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p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>
        <w:tc>
          <w:tcPr>
            <w:tcW w:w="469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C3215F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Game Show Network, LLC,</w:t>
            </w:r>
          </w:p>
          <w:p w:rsidR="00C3215F" w:rsidRDefault="00C3215F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     Complainant</w:t>
            </w:r>
          </w:p>
          <w:p w:rsidR="00C3215F" w:rsidRDefault="00C3215F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3215F" w:rsidRDefault="00C3215F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               v.</w:t>
            </w:r>
          </w:p>
          <w:p w:rsidR="00C3215F" w:rsidRDefault="00C3215F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3215F" w:rsidRDefault="00C3215F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Cablevision Systems Corp.,</w:t>
            </w:r>
          </w:p>
          <w:p w:rsidR="00C3215F" w:rsidRPr="007115F7" w:rsidRDefault="00C3215F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     Defendant</w:t>
            </w:r>
          </w:p>
        </w:tc>
        <w:tc>
          <w:tcPr>
            <w:tcW w:w="630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C3215F" w:rsidRDefault="00C3215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C3215F" w:rsidRDefault="00C3215F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424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4C2EE3" w:rsidRDefault="00C3215F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MB Docket No. 12-122</w:t>
            </w:r>
          </w:p>
          <w:p w:rsidR="00C3215F" w:rsidRDefault="00C3215F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3215F" w:rsidRDefault="00C3215F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File No. CSR-8529-P</w:t>
            </w:r>
          </w:p>
        </w:tc>
      </w:tr>
    </w:tbl>
    <w:p w:rsidR="004C2EE3" w:rsidRDefault="004C2EE3" w:rsidP="0070224F"/>
    <w:p w:rsidR="00841AB1" w:rsidRDefault="00C3215F" w:rsidP="00F021FA">
      <w:pPr>
        <w:pStyle w:val="StyleBoldCentered"/>
      </w:pPr>
      <w:r>
        <w:t>ORder</w:t>
      </w:r>
    </w:p>
    <w:p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RDefault="004C2EE3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2D3123">
        <w:rPr>
          <w:b/>
          <w:spacing w:val="-2"/>
        </w:rPr>
        <w:t>January 10</w:t>
      </w:r>
      <w:r w:rsidR="00CF4C2A">
        <w:rPr>
          <w:b/>
          <w:spacing w:val="-2"/>
        </w:rPr>
        <w:t>, 2017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2D3123">
        <w:rPr>
          <w:b/>
          <w:spacing w:val="-2"/>
        </w:rPr>
        <w:t>January 10</w:t>
      </w:r>
      <w:r w:rsidR="00C3215F">
        <w:rPr>
          <w:b/>
          <w:spacing w:val="-2"/>
        </w:rPr>
        <w:t>, 201</w:t>
      </w:r>
      <w:r w:rsidR="00CF4C2A">
        <w:rPr>
          <w:b/>
          <w:spacing w:val="-2"/>
        </w:rPr>
        <w:t>7</w:t>
      </w:r>
    </w:p>
    <w:p w:rsidR="00822CE0" w:rsidRDefault="00822CE0"/>
    <w:p w:rsidR="004C2EE3" w:rsidRDefault="004C2EE3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C3215F">
        <w:rPr>
          <w:spacing w:val="-2"/>
        </w:rPr>
        <w:t>Associate General Counsel, Administrative Law Division</w:t>
      </w:r>
      <w:r>
        <w:rPr>
          <w:spacing w:val="-2"/>
        </w:rPr>
        <w:t>:</w:t>
      </w:r>
    </w:p>
    <w:p w:rsidR="002C00E8" w:rsidRDefault="002C00E8" w:rsidP="00834547">
      <w:pPr>
        <w:pStyle w:val="Heading1"/>
        <w:numPr>
          <w:ilvl w:val="0"/>
          <w:numId w:val="0"/>
        </w:numPr>
        <w:ind w:left="720"/>
      </w:pPr>
    </w:p>
    <w:p w:rsidR="00B666F2" w:rsidRDefault="00834547" w:rsidP="00834547">
      <w:pPr>
        <w:pStyle w:val="ParaNum"/>
      </w:pPr>
      <w:r>
        <w:t xml:space="preserve">Pending before </w:t>
      </w:r>
      <w:r w:rsidR="00B666F2">
        <w:t xml:space="preserve">the Commission is a Motion for Extension of Time </w:t>
      </w:r>
      <w:r w:rsidR="00710DB5">
        <w:t xml:space="preserve">(Motion) </w:t>
      </w:r>
      <w:r w:rsidR="00B666F2">
        <w:t>filed by Game Show N</w:t>
      </w:r>
      <w:r w:rsidR="00CF4C2A">
        <w:t>etwork, LLC (GSN) on January 5, 2017</w:t>
      </w:r>
      <w:r>
        <w:t xml:space="preserve">.  </w:t>
      </w:r>
      <w:r w:rsidR="001722AB">
        <w:t xml:space="preserve">GSN requests an </w:t>
      </w:r>
      <w:r w:rsidR="00B666F2">
        <w:t>exten</w:t>
      </w:r>
      <w:r w:rsidR="00CF4C2A">
        <w:t xml:space="preserve">sion of time for </w:t>
      </w:r>
      <w:r w:rsidR="00B666F2">
        <w:t xml:space="preserve">replying to </w:t>
      </w:r>
      <w:r w:rsidR="00CF4C2A">
        <w:t>Cablevision</w:t>
      </w:r>
      <w:r w:rsidR="00CF4C2A" w:rsidRPr="00CF4C2A">
        <w:t xml:space="preserve"> </w:t>
      </w:r>
      <w:r w:rsidR="00CF4C2A">
        <w:t xml:space="preserve">Systems Corporation’s (Cablevision) Petition to Stay </w:t>
      </w:r>
      <w:r w:rsidR="00B666F2">
        <w:t>Chief Administrative Law Judge Sippel’s initial decision in this proceeding.</w:t>
      </w:r>
      <w:r w:rsidR="00B666F2">
        <w:rPr>
          <w:rStyle w:val="FootnoteReference"/>
        </w:rPr>
        <w:footnoteReference w:id="2"/>
      </w:r>
      <w:r w:rsidR="00A32DE5">
        <w:t xml:space="preserve">  GSN has conferred with Cablevision and the Enforcement Bureau</w:t>
      </w:r>
      <w:r w:rsidR="00B666F2">
        <w:t xml:space="preserve">, </w:t>
      </w:r>
      <w:r w:rsidR="00A32DE5">
        <w:t xml:space="preserve">and </w:t>
      </w:r>
      <w:r w:rsidR="00277AD7">
        <w:t xml:space="preserve">represents that </w:t>
      </w:r>
      <w:r w:rsidR="00A32DE5">
        <w:t>neither party opposes this request</w:t>
      </w:r>
      <w:r w:rsidR="006B16A7">
        <w:t>.</w:t>
      </w:r>
      <w:r w:rsidR="006B16A7">
        <w:rPr>
          <w:rStyle w:val="FootnoteReference"/>
        </w:rPr>
        <w:footnoteReference w:id="3"/>
      </w:r>
    </w:p>
    <w:p w:rsidR="00834547" w:rsidRDefault="001722AB" w:rsidP="00E3289D">
      <w:pPr>
        <w:pStyle w:val="ParaNum"/>
      </w:pPr>
      <w:r>
        <w:t>GSN seeks a three</w:t>
      </w:r>
      <w:r w:rsidR="00F43A4C">
        <w:t xml:space="preserve">-day extension of the time in which it may file </w:t>
      </w:r>
      <w:r>
        <w:t>its opposition to the Stay Petition (from January 10</w:t>
      </w:r>
      <w:r w:rsidR="00F43A4C">
        <w:t>, 2017 to January 13, 2017).</w:t>
      </w:r>
      <w:r w:rsidR="00F43A4C">
        <w:rPr>
          <w:rStyle w:val="FootnoteReference"/>
        </w:rPr>
        <w:footnoteReference w:id="4"/>
      </w:r>
      <w:r w:rsidR="00F43A4C">
        <w:t xml:space="preserve">  GSN states that </w:t>
      </w:r>
      <w:r>
        <w:t xml:space="preserve">January 13, 2017 is the date on which it will file its replies to Cablevision’s (1) Exceptions to the Initial Decision, and (2) Opposition to Petition to Compel </w:t>
      </w:r>
      <w:r w:rsidR="002B41BA">
        <w:t>Compliance</w:t>
      </w:r>
      <w:r>
        <w:t xml:space="preserve">.  </w:t>
      </w:r>
      <w:r w:rsidR="00880439">
        <w:t>Those filing dates are pursuant to a schedule approved by an Order granting a previous Motion for Extension of Time by GSN.</w:t>
      </w:r>
      <w:r w:rsidR="00BA7878">
        <w:rPr>
          <w:rStyle w:val="FootnoteReference"/>
        </w:rPr>
        <w:footnoteReference w:id="5"/>
      </w:r>
      <w:r w:rsidR="00880439">
        <w:t xml:space="preserve">  </w:t>
      </w:r>
      <w:r w:rsidR="00F43A4C">
        <w:t xml:space="preserve">GSN </w:t>
      </w:r>
      <w:r w:rsidR="00A54649">
        <w:t>states that the short extension of time will enable GSN to align the filing of multiple pleadings, all of which consider interrelated issues from this proceeding’s large and complex record.</w:t>
      </w:r>
      <w:r w:rsidR="00A54649">
        <w:rPr>
          <w:rStyle w:val="FootnoteReference"/>
        </w:rPr>
        <w:footnoteReference w:id="6"/>
      </w:r>
      <w:r w:rsidR="00E3289D">
        <w:t xml:space="preserve">  GSN states that, in particular, Cablevision’s Stay Petition </w:t>
      </w:r>
      <w:r w:rsidR="00E3289D">
        <w:lastRenderedPageBreak/>
        <w:t>relate</w:t>
      </w:r>
      <w:r w:rsidR="00B8427A">
        <w:t xml:space="preserve">s closely to </w:t>
      </w:r>
      <w:r w:rsidR="00E3289D">
        <w:t>its Opposition to GSN’s Petition to Compel Compliance.</w:t>
      </w:r>
      <w:r w:rsidR="00E3289D">
        <w:rPr>
          <w:rStyle w:val="FootnoteReference"/>
        </w:rPr>
        <w:footnoteReference w:id="7"/>
      </w:r>
      <w:r w:rsidR="00E3289D">
        <w:t xml:space="preserve">  </w:t>
      </w:r>
    </w:p>
    <w:p w:rsidR="001D181D" w:rsidRDefault="00093D5A" w:rsidP="00712C3E">
      <w:pPr>
        <w:pStyle w:val="ParaNum"/>
      </w:pPr>
      <w:r>
        <w:t>While it is the Commission’s policy that extensions of time are not routinely granted,</w:t>
      </w:r>
      <w:r w:rsidR="00DE4B05">
        <w:rPr>
          <w:rStyle w:val="FootnoteReference"/>
        </w:rPr>
        <w:footnoteReference w:id="8"/>
      </w:r>
      <w:r>
        <w:t xml:space="preserve"> GSN’s request i</w:t>
      </w:r>
      <w:r w:rsidR="00E3289D">
        <w:t>s supported by good</w:t>
      </w:r>
      <w:r w:rsidR="00A81186">
        <w:t xml:space="preserve"> cause and </w:t>
      </w:r>
      <w:r w:rsidR="00E3289D">
        <w:t xml:space="preserve">consistent with the </w:t>
      </w:r>
      <w:r w:rsidR="00277AD7">
        <w:t xml:space="preserve">reasoning </w:t>
      </w:r>
      <w:r w:rsidR="00A81186">
        <w:t>in the Consolidation Order</w:t>
      </w:r>
      <w:r w:rsidR="001427FC">
        <w:t>.</w:t>
      </w:r>
      <w:r w:rsidR="002B41BA">
        <w:rPr>
          <w:rStyle w:val="FootnoteReference"/>
        </w:rPr>
        <w:footnoteReference w:id="9"/>
      </w:r>
      <w:r w:rsidR="003F409B">
        <w:t xml:space="preserve">  </w:t>
      </w:r>
      <w:r w:rsidR="00A81186">
        <w:t>Three</w:t>
      </w:r>
      <w:r w:rsidR="00A85B0B">
        <w:t xml:space="preserve"> additional days will allow parties </w:t>
      </w:r>
      <w:r w:rsidR="00A81186">
        <w:t>to more efficiently respond to related pleadings by aligning due dates without creating undue delay.</w:t>
      </w:r>
      <w:r w:rsidR="001427FC">
        <w:t xml:space="preserve">  Additionally, all p</w:t>
      </w:r>
      <w:r w:rsidR="009A05E7">
        <w:t>arties to the hearing consent to the proposed extension</w:t>
      </w:r>
      <w:r w:rsidR="001427FC">
        <w:t xml:space="preserve">.  </w:t>
      </w:r>
    </w:p>
    <w:p w:rsidR="00036851" w:rsidRDefault="005672A2" w:rsidP="00834547">
      <w:pPr>
        <w:pStyle w:val="ParaNum"/>
      </w:pPr>
      <w:r>
        <w:t xml:space="preserve">ACCORDINGLY, IT IS ORDERED </w:t>
      </w:r>
      <w:r w:rsidR="00BD4FDD">
        <w:t>t</w:t>
      </w:r>
      <w:r>
        <w:t>hat pursuant to the authority set forth in 47 C.F.R. §</w:t>
      </w:r>
      <w:r w:rsidR="00712C3E">
        <w:t xml:space="preserve"> 0.251(b)(1), GSN’s </w:t>
      </w:r>
      <w:r w:rsidR="009A05E7">
        <w:t xml:space="preserve">January 5, 2017 </w:t>
      </w:r>
      <w:r w:rsidR="00712C3E">
        <w:t xml:space="preserve">Motion for </w:t>
      </w:r>
      <w:r w:rsidR="007E4F61">
        <w:t xml:space="preserve">Extension </w:t>
      </w:r>
      <w:r w:rsidR="00712C3E">
        <w:t>of Time IS GRAN</w:t>
      </w:r>
      <w:r w:rsidR="009A05E7">
        <w:t>TED, and oppositions to Cablevision’s Petition to Stay the Initial Decision will be due no later than January 13, 2017</w:t>
      </w:r>
      <w:r w:rsidR="00712C3E">
        <w:t>.</w:t>
      </w:r>
    </w:p>
    <w:p w:rsidR="006E2A42" w:rsidRDefault="00036851" w:rsidP="00036851">
      <w:pPr>
        <w:pStyle w:val="ParaNum"/>
        <w:numPr>
          <w:ilvl w:val="0"/>
          <w:numId w:val="0"/>
        </w:numPr>
        <w:ind w:left="720"/>
      </w:pPr>
      <w:r>
        <w:tab/>
      </w:r>
      <w:r>
        <w:tab/>
      </w:r>
      <w:r>
        <w:tab/>
      </w:r>
      <w:r>
        <w:tab/>
      </w:r>
    </w:p>
    <w:p w:rsidR="00036851" w:rsidRDefault="006E2A42" w:rsidP="00036851">
      <w:pPr>
        <w:pStyle w:val="ParaNum"/>
        <w:numPr>
          <w:ilvl w:val="0"/>
          <w:numId w:val="0"/>
        </w:numPr>
        <w:ind w:left="720"/>
      </w:pPr>
      <w:r>
        <w:tab/>
      </w:r>
      <w:r>
        <w:tab/>
      </w:r>
      <w:r>
        <w:tab/>
      </w:r>
      <w:r>
        <w:tab/>
      </w:r>
      <w:r w:rsidR="00036851">
        <w:t>FEDERAL COMMUNICATIONS COMMISSION</w:t>
      </w:r>
    </w:p>
    <w:p w:rsidR="00036851" w:rsidRDefault="00036851" w:rsidP="00036851">
      <w:pPr>
        <w:pStyle w:val="ParaNum"/>
        <w:numPr>
          <w:ilvl w:val="0"/>
          <w:numId w:val="0"/>
        </w:numPr>
        <w:ind w:left="720"/>
      </w:pPr>
    </w:p>
    <w:p w:rsidR="00036851" w:rsidRDefault="00036851" w:rsidP="00036851">
      <w:pPr>
        <w:pStyle w:val="ParaNum"/>
        <w:numPr>
          <w:ilvl w:val="0"/>
          <w:numId w:val="0"/>
        </w:numPr>
        <w:ind w:left="720"/>
      </w:pPr>
    </w:p>
    <w:p w:rsidR="00036851" w:rsidRDefault="00036851" w:rsidP="00570EFD">
      <w:pPr>
        <w:pStyle w:val="ParaNum"/>
        <w:numPr>
          <w:ilvl w:val="0"/>
          <w:numId w:val="0"/>
        </w:numPr>
        <w:spacing w:after="0"/>
        <w:ind w:left="720"/>
      </w:pPr>
      <w:r>
        <w:tab/>
      </w:r>
      <w:r>
        <w:tab/>
      </w:r>
      <w:r>
        <w:tab/>
      </w:r>
      <w:r>
        <w:tab/>
        <w:t xml:space="preserve">Linda </w:t>
      </w:r>
      <w:r w:rsidR="00E01D82">
        <w:t xml:space="preserve">L. </w:t>
      </w:r>
      <w:r>
        <w:t>Oliver</w:t>
      </w:r>
    </w:p>
    <w:p w:rsidR="00712C3E" w:rsidRDefault="00712C3E" w:rsidP="00712C3E">
      <w:pPr>
        <w:pStyle w:val="ParaNum"/>
        <w:numPr>
          <w:ilvl w:val="0"/>
          <w:numId w:val="0"/>
        </w:numPr>
        <w:spacing w:after="0"/>
        <w:ind w:left="720"/>
      </w:pPr>
      <w:r>
        <w:tab/>
      </w:r>
      <w:r>
        <w:tab/>
      </w:r>
      <w:r>
        <w:tab/>
      </w:r>
      <w:r>
        <w:tab/>
        <w:t>Associate General Counsel</w:t>
      </w:r>
    </w:p>
    <w:p w:rsidR="00712C3E" w:rsidRDefault="00712C3E" w:rsidP="00712C3E">
      <w:pPr>
        <w:pStyle w:val="ParaNum"/>
        <w:numPr>
          <w:ilvl w:val="0"/>
          <w:numId w:val="0"/>
        </w:numPr>
        <w:spacing w:after="0"/>
        <w:ind w:left="720"/>
      </w:pPr>
      <w:r>
        <w:tab/>
      </w:r>
      <w:r>
        <w:tab/>
      </w:r>
      <w:r>
        <w:tab/>
      </w:r>
      <w:r>
        <w:tab/>
      </w:r>
      <w:r w:rsidR="003768A7">
        <w:t>Administrative Law Division</w:t>
      </w:r>
    </w:p>
    <w:p w:rsidR="00890CD6" w:rsidRPr="00834547" w:rsidRDefault="00712C3E" w:rsidP="006E2A42">
      <w:pPr>
        <w:pStyle w:val="ParaNum"/>
        <w:numPr>
          <w:ilvl w:val="0"/>
          <w:numId w:val="0"/>
        </w:numPr>
        <w:spacing w:after="0"/>
        <w:ind w:left="720"/>
      </w:pPr>
      <w:r>
        <w:tab/>
      </w:r>
      <w:r>
        <w:tab/>
      </w:r>
      <w:r>
        <w:tab/>
      </w:r>
      <w:r>
        <w:tab/>
      </w:r>
      <w:r w:rsidR="00570EFD">
        <w:t>Office of General Counsel</w:t>
      </w:r>
    </w:p>
    <w:sectPr w:rsidR="00890CD6" w:rsidRPr="00834547" w:rsidSect="00AE4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50" w:rsidRDefault="00384450">
      <w:pPr>
        <w:spacing w:line="20" w:lineRule="exact"/>
      </w:pPr>
    </w:p>
  </w:endnote>
  <w:endnote w:type="continuationSeparator" w:id="0">
    <w:p w:rsidR="00384450" w:rsidRDefault="00384450">
      <w:r>
        <w:t xml:space="preserve"> </w:t>
      </w:r>
    </w:p>
  </w:endnote>
  <w:endnote w:type="continuationNotice" w:id="1">
    <w:p w:rsidR="00384450" w:rsidRDefault="0038445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77B98">
      <w:rPr>
        <w:noProof/>
      </w:rPr>
      <w:t>1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50" w:rsidRDefault="00384450">
      <w:r>
        <w:separator/>
      </w:r>
    </w:p>
  </w:footnote>
  <w:footnote w:type="continuationSeparator" w:id="0">
    <w:p w:rsidR="00384450" w:rsidRDefault="00384450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384450" w:rsidRDefault="00384450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B666F2" w:rsidRPr="00BC0CCE" w:rsidRDefault="00B666F2" w:rsidP="00B666F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F4C2A">
        <w:t xml:space="preserve">Cablevision Sys. Corp., Petition to Stay the Initial Decision, </w:t>
      </w:r>
      <w:r w:rsidR="00CF4C2A">
        <w:rPr>
          <w:i/>
        </w:rPr>
        <w:t>Game Show Network, LLC</w:t>
      </w:r>
      <w:r w:rsidR="00CF4C2A">
        <w:t xml:space="preserve"> </w:t>
      </w:r>
      <w:r w:rsidR="00CF4C2A" w:rsidRPr="00CF4C2A">
        <w:rPr>
          <w:i/>
        </w:rPr>
        <w:t xml:space="preserve">v. </w:t>
      </w:r>
      <w:r w:rsidR="00CF4C2A">
        <w:rPr>
          <w:i/>
        </w:rPr>
        <w:t>Cablevision Sys. Corp.</w:t>
      </w:r>
      <w:r w:rsidR="00CF4C2A">
        <w:t>, MB Docket No. 12-122; File No. CSR-8529-P (Jan. 3, 2017) (Stay Petition);</w:t>
      </w:r>
      <w:r w:rsidR="00CF4C2A">
        <w:rPr>
          <w:i/>
        </w:rPr>
        <w:t xml:space="preserve"> </w:t>
      </w:r>
      <w:r>
        <w:rPr>
          <w:i/>
        </w:rPr>
        <w:t>Game Show Network, LLC</w:t>
      </w:r>
      <w:r>
        <w:t xml:space="preserve"> </w:t>
      </w:r>
      <w:r w:rsidRPr="00CF4C2A">
        <w:rPr>
          <w:i/>
        </w:rPr>
        <w:t xml:space="preserve">v. </w:t>
      </w:r>
      <w:r>
        <w:rPr>
          <w:i/>
        </w:rPr>
        <w:t>Cablevision Sys. Corp</w:t>
      </w:r>
      <w:r w:rsidR="005448D3">
        <w:rPr>
          <w:i/>
        </w:rPr>
        <w:t>.</w:t>
      </w:r>
      <w:r w:rsidR="005448D3">
        <w:t>,</w:t>
      </w:r>
      <w:r w:rsidR="00BA7878">
        <w:t xml:space="preserve"> </w:t>
      </w:r>
      <w:r>
        <w:t>MB Docket No. 12-122; File No. CSR-</w:t>
      </w:r>
      <w:r w:rsidR="00BA7878">
        <w:t>8529-P,</w:t>
      </w:r>
      <w:r w:rsidR="005448D3">
        <w:t xml:space="preserve"> Init</w:t>
      </w:r>
      <w:r w:rsidR="00DD77D9">
        <w:t>ial Decision</w:t>
      </w:r>
      <w:r w:rsidR="005448D3">
        <w:t xml:space="preserve">, </w:t>
      </w:r>
      <w:r w:rsidR="00BA7878">
        <w:t xml:space="preserve">16D-1 </w:t>
      </w:r>
      <w:r>
        <w:t>(Nov. 23, 2016) (Initial Decision).</w:t>
      </w:r>
    </w:p>
  </w:footnote>
  <w:footnote w:id="3">
    <w:p w:rsidR="006B16A7" w:rsidRPr="00710DB5" w:rsidRDefault="006B16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10DB5">
        <w:t xml:space="preserve">Motion </w:t>
      </w:r>
      <w:r w:rsidR="00380E87">
        <w:t>at 1</w:t>
      </w:r>
      <w:r w:rsidR="00A32DE5">
        <w:t>-2</w:t>
      </w:r>
      <w:r w:rsidR="00A54649">
        <w:t>.</w:t>
      </w:r>
    </w:p>
  </w:footnote>
  <w:footnote w:id="4">
    <w:p w:rsidR="00F43A4C" w:rsidRDefault="00F43A4C">
      <w:pPr>
        <w:pStyle w:val="FootnoteText"/>
      </w:pPr>
      <w:r>
        <w:rPr>
          <w:rStyle w:val="FootnoteReference"/>
        </w:rPr>
        <w:footnoteRef/>
      </w:r>
      <w:r w:rsidR="00E3289D">
        <w:t xml:space="preserve"> </w:t>
      </w:r>
      <w:r w:rsidR="00E3289D" w:rsidRPr="00E3289D">
        <w:rPr>
          <w:i/>
        </w:rPr>
        <w:t>Id</w:t>
      </w:r>
      <w:r w:rsidR="00E3289D">
        <w:rPr>
          <w:i/>
        </w:rPr>
        <w:t>.</w:t>
      </w:r>
      <w:r w:rsidR="00E3289D">
        <w:t xml:space="preserve"> </w:t>
      </w:r>
      <w:r w:rsidR="001722AB" w:rsidRPr="00E3289D">
        <w:t>at</w:t>
      </w:r>
      <w:r w:rsidR="001722AB">
        <w:t xml:space="preserve"> 1</w:t>
      </w:r>
      <w:r w:rsidR="00A54649">
        <w:t xml:space="preserve"> (noting that </w:t>
      </w:r>
      <w:r w:rsidR="009D14BE">
        <w:t xml:space="preserve">section 1.45(d) of the Commission’s Rules, 47 C.F.R. § 1.45(d), requires oppositions to a request for stay to be filed </w:t>
      </w:r>
      <w:r w:rsidR="002B41BA">
        <w:t xml:space="preserve">within </w:t>
      </w:r>
      <w:r w:rsidR="009D14BE">
        <w:t>seven days after the request is filed).</w:t>
      </w:r>
    </w:p>
  </w:footnote>
  <w:footnote w:id="5">
    <w:p w:rsidR="00BA7878" w:rsidRDefault="00BA7878">
      <w:pPr>
        <w:pStyle w:val="FootnoteText"/>
      </w:pPr>
      <w:r>
        <w:rPr>
          <w:rStyle w:val="FootnoteReference"/>
        </w:rPr>
        <w:footnoteRef/>
      </w:r>
      <w:r>
        <w:rPr>
          <w:i/>
        </w:rPr>
        <w:t xml:space="preserve"> Game Show Network, LLC</w:t>
      </w:r>
      <w:r>
        <w:t xml:space="preserve"> </w:t>
      </w:r>
      <w:r w:rsidRPr="00CF4C2A">
        <w:rPr>
          <w:i/>
        </w:rPr>
        <w:t xml:space="preserve">v. </w:t>
      </w:r>
      <w:r>
        <w:rPr>
          <w:i/>
        </w:rPr>
        <w:t>Cablevision Sys. Corp.</w:t>
      </w:r>
      <w:r>
        <w:t xml:space="preserve">, MB Docket No. 12-122; File No. CSR-8529-P, </w:t>
      </w:r>
      <w:r w:rsidR="005448D3">
        <w:t xml:space="preserve">Order, </w:t>
      </w:r>
      <w:r w:rsidR="002B41BA">
        <w:t xml:space="preserve">DA </w:t>
      </w:r>
      <w:r w:rsidR="00A54649">
        <w:t>16-1430 (OGC Dec. 21, 2016) (consolidating filing dates to simplify the schedule and alleviate scheduling conflicts)</w:t>
      </w:r>
      <w:r w:rsidR="00A81186">
        <w:t xml:space="preserve"> (Consolidation Order)</w:t>
      </w:r>
      <w:r w:rsidR="00A54649">
        <w:t>.</w:t>
      </w:r>
      <w:r>
        <w:t xml:space="preserve"> </w:t>
      </w:r>
    </w:p>
  </w:footnote>
  <w:footnote w:id="6">
    <w:p w:rsidR="00A54649" w:rsidRDefault="00A54649">
      <w:pPr>
        <w:pStyle w:val="FootnoteText"/>
      </w:pPr>
      <w:r>
        <w:rPr>
          <w:rStyle w:val="FootnoteReference"/>
        </w:rPr>
        <w:footnoteRef/>
      </w:r>
      <w:r>
        <w:t xml:space="preserve"> Motion at 2.</w:t>
      </w:r>
    </w:p>
  </w:footnote>
  <w:footnote w:id="7">
    <w:p w:rsidR="00E3289D" w:rsidRPr="00E3289D" w:rsidRDefault="00E328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(“In aligning the deadlines, GSN believes it will be able to respond to Cablevision’s pleadings more efficiently and in a more streamlined manner, without causing significant delay.”).</w:t>
      </w:r>
    </w:p>
  </w:footnote>
  <w:footnote w:id="8">
    <w:p w:rsidR="00DE4B05" w:rsidRDefault="00DE4B05" w:rsidP="00DE4B05">
      <w:pPr>
        <w:pStyle w:val="FootnoteText"/>
      </w:pPr>
      <w:r>
        <w:rPr>
          <w:rStyle w:val="FootnoteReference"/>
        </w:rPr>
        <w:footnoteRef/>
      </w:r>
      <w:r>
        <w:t xml:space="preserve"> 47 C.F.R. § 1.46(a</w:t>
      </w:r>
      <w:r w:rsidR="00E3289D">
        <w:t>).</w:t>
      </w:r>
    </w:p>
  </w:footnote>
  <w:footnote w:id="9">
    <w:p w:rsidR="002B41BA" w:rsidRPr="002B41BA" w:rsidRDefault="002B41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t>Consolidation Order at 2, para. 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1B" w:rsidRDefault="007968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945B8C">
      <w:t xml:space="preserve"> DA 17-41</w:t>
    </w:r>
  </w:p>
  <w:p w:rsidR="00D25FB5" w:rsidRDefault="002174C2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625081D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2174C2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2E0F362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  <w:r w:rsidR="00C3215F">
      <w:t>DA 16-XXX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C2"/>
    <w:rsid w:val="00036039"/>
    <w:rsid w:val="00036851"/>
    <w:rsid w:val="00037F90"/>
    <w:rsid w:val="00064EBF"/>
    <w:rsid w:val="000875BF"/>
    <w:rsid w:val="00092AE4"/>
    <w:rsid w:val="00093D5A"/>
    <w:rsid w:val="00096D8C"/>
    <w:rsid w:val="000C0B65"/>
    <w:rsid w:val="000E05FE"/>
    <w:rsid w:val="000E3D42"/>
    <w:rsid w:val="0011248F"/>
    <w:rsid w:val="00122BD5"/>
    <w:rsid w:val="00126105"/>
    <w:rsid w:val="00133F79"/>
    <w:rsid w:val="001427FC"/>
    <w:rsid w:val="001534EA"/>
    <w:rsid w:val="0016008B"/>
    <w:rsid w:val="001722AB"/>
    <w:rsid w:val="00194A66"/>
    <w:rsid w:val="001D181D"/>
    <w:rsid w:val="001D6BCF"/>
    <w:rsid w:val="001E01CA"/>
    <w:rsid w:val="00210493"/>
    <w:rsid w:val="002174C2"/>
    <w:rsid w:val="002623D6"/>
    <w:rsid w:val="00266D64"/>
    <w:rsid w:val="00275CF5"/>
    <w:rsid w:val="00277AD7"/>
    <w:rsid w:val="0028301F"/>
    <w:rsid w:val="00285017"/>
    <w:rsid w:val="002A2D2E"/>
    <w:rsid w:val="002B41BA"/>
    <w:rsid w:val="002C00E8"/>
    <w:rsid w:val="002D3123"/>
    <w:rsid w:val="003125B3"/>
    <w:rsid w:val="00343749"/>
    <w:rsid w:val="003660ED"/>
    <w:rsid w:val="00375781"/>
    <w:rsid w:val="003768A7"/>
    <w:rsid w:val="00380E87"/>
    <w:rsid w:val="00384450"/>
    <w:rsid w:val="00396B05"/>
    <w:rsid w:val="003B0550"/>
    <w:rsid w:val="003B694F"/>
    <w:rsid w:val="003F171C"/>
    <w:rsid w:val="003F409B"/>
    <w:rsid w:val="003F5CEA"/>
    <w:rsid w:val="00412FC5"/>
    <w:rsid w:val="00422276"/>
    <w:rsid w:val="004242F1"/>
    <w:rsid w:val="004278C1"/>
    <w:rsid w:val="00445A00"/>
    <w:rsid w:val="00451B0F"/>
    <w:rsid w:val="00486DD2"/>
    <w:rsid w:val="004C2EE3"/>
    <w:rsid w:val="004D5C35"/>
    <w:rsid w:val="004E4A22"/>
    <w:rsid w:val="00511968"/>
    <w:rsid w:val="005448D3"/>
    <w:rsid w:val="0055614C"/>
    <w:rsid w:val="005672A2"/>
    <w:rsid w:val="00570EFD"/>
    <w:rsid w:val="00580A06"/>
    <w:rsid w:val="005C5C42"/>
    <w:rsid w:val="005D33A2"/>
    <w:rsid w:val="005E14C2"/>
    <w:rsid w:val="005F5C0E"/>
    <w:rsid w:val="00604178"/>
    <w:rsid w:val="00607BA5"/>
    <w:rsid w:val="0061180A"/>
    <w:rsid w:val="006155ED"/>
    <w:rsid w:val="00626EB6"/>
    <w:rsid w:val="0065579D"/>
    <w:rsid w:val="00655D03"/>
    <w:rsid w:val="00683388"/>
    <w:rsid w:val="00683F84"/>
    <w:rsid w:val="00694616"/>
    <w:rsid w:val="006A6A81"/>
    <w:rsid w:val="006B16A7"/>
    <w:rsid w:val="006E2A42"/>
    <w:rsid w:val="006E5BC2"/>
    <w:rsid w:val="006F7393"/>
    <w:rsid w:val="00700819"/>
    <w:rsid w:val="0070224F"/>
    <w:rsid w:val="00710DB5"/>
    <w:rsid w:val="007115F7"/>
    <w:rsid w:val="00712C3E"/>
    <w:rsid w:val="00741EF4"/>
    <w:rsid w:val="00770AC3"/>
    <w:rsid w:val="00785689"/>
    <w:rsid w:val="00793403"/>
    <w:rsid w:val="0079681B"/>
    <w:rsid w:val="0079754B"/>
    <w:rsid w:val="007A1E6D"/>
    <w:rsid w:val="007B0EB2"/>
    <w:rsid w:val="007E36CC"/>
    <w:rsid w:val="007E4F61"/>
    <w:rsid w:val="00804D8A"/>
    <w:rsid w:val="00810B6F"/>
    <w:rsid w:val="00812318"/>
    <w:rsid w:val="00822CE0"/>
    <w:rsid w:val="00834547"/>
    <w:rsid w:val="00841AB1"/>
    <w:rsid w:val="00865F15"/>
    <w:rsid w:val="00880439"/>
    <w:rsid w:val="00890CD6"/>
    <w:rsid w:val="008C47BE"/>
    <w:rsid w:val="008C68F1"/>
    <w:rsid w:val="00921803"/>
    <w:rsid w:val="00926503"/>
    <w:rsid w:val="00945B8C"/>
    <w:rsid w:val="009612FF"/>
    <w:rsid w:val="009726D8"/>
    <w:rsid w:val="009A05E7"/>
    <w:rsid w:val="009D14BE"/>
    <w:rsid w:val="009F76DB"/>
    <w:rsid w:val="00A32C3B"/>
    <w:rsid w:val="00A32DE5"/>
    <w:rsid w:val="00A45F4F"/>
    <w:rsid w:val="00A54649"/>
    <w:rsid w:val="00A600A9"/>
    <w:rsid w:val="00A81186"/>
    <w:rsid w:val="00A85B0B"/>
    <w:rsid w:val="00AA55B7"/>
    <w:rsid w:val="00AA5B9E"/>
    <w:rsid w:val="00AB2407"/>
    <w:rsid w:val="00AB53DF"/>
    <w:rsid w:val="00AC31EC"/>
    <w:rsid w:val="00AE42FF"/>
    <w:rsid w:val="00B07E5C"/>
    <w:rsid w:val="00B10458"/>
    <w:rsid w:val="00B666F2"/>
    <w:rsid w:val="00B77B98"/>
    <w:rsid w:val="00B811F7"/>
    <w:rsid w:val="00B8427A"/>
    <w:rsid w:val="00BA558B"/>
    <w:rsid w:val="00BA5DC6"/>
    <w:rsid w:val="00BA6196"/>
    <w:rsid w:val="00BA7878"/>
    <w:rsid w:val="00BC0CCE"/>
    <w:rsid w:val="00BC6D8C"/>
    <w:rsid w:val="00BD4FDD"/>
    <w:rsid w:val="00C3215F"/>
    <w:rsid w:val="00C34006"/>
    <w:rsid w:val="00C426B1"/>
    <w:rsid w:val="00C432F7"/>
    <w:rsid w:val="00C66160"/>
    <w:rsid w:val="00C721AC"/>
    <w:rsid w:val="00C90D6A"/>
    <w:rsid w:val="00CA247E"/>
    <w:rsid w:val="00CB02A2"/>
    <w:rsid w:val="00CC3A35"/>
    <w:rsid w:val="00CC72B6"/>
    <w:rsid w:val="00CF4C2A"/>
    <w:rsid w:val="00D0218D"/>
    <w:rsid w:val="00D0690D"/>
    <w:rsid w:val="00D14A98"/>
    <w:rsid w:val="00D25FB5"/>
    <w:rsid w:val="00D44223"/>
    <w:rsid w:val="00D841D6"/>
    <w:rsid w:val="00DA186A"/>
    <w:rsid w:val="00DA2529"/>
    <w:rsid w:val="00DA2B99"/>
    <w:rsid w:val="00DA371D"/>
    <w:rsid w:val="00DB130A"/>
    <w:rsid w:val="00DB2EBB"/>
    <w:rsid w:val="00DC10A1"/>
    <w:rsid w:val="00DC655F"/>
    <w:rsid w:val="00DD0B59"/>
    <w:rsid w:val="00DD77D9"/>
    <w:rsid w:val="00DD7EBD"/>
    <w:rsid w:val="00DE1D24"/>
    <w:rsid w:val="00DE4B05"/>
    <w:rsid w:val="00DF62B6"/>
    <w:rsid w:val="00E01D82"/>
    <w:rsid w:val="00E07225"/>
    <w:rsid w:val="00E3289D"/>
    <w:rsid w:val="00E43054"/>
    <w:rsid w:val="00E5409F"/>
    <w:rsid w:val="00E6730C"/>
    <w:rsid w:val="00E94A2D"/>
    <w:rsid w:val="00EE6488"/>
    <w:rsid w:val="00EF1747"/>
    <w:rsid w:val="00F021FA"/>
    <w:rsid w:val="00F401BD"/>
    <w:rsid w:val="00F43A4C"/>
    <w:rsid w:val="00F62E97"/>
    <w:rsid w:val="00F64209"/>
    <w:rsid w:val="00F93BF5"/>
    <w:rsid w:val="00F9413D"/>
    <w:rsid w:val="00FB2A1C"/>
    <w:rsid w:val="00FE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12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2318"/>
    <w:rPr>
      <w:rFonts w:ascii="Segoe UI" w:hAnsi="Segoe UI" w:cs="Segoe UI"/>
      <w:snapToGrid w:val="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12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2318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2</Pages>
  <Words>381</Words>
  <Characters>2024</Characters>
  <Application>Microsoft Office Word</Application>
  <DocSecurity>0</DocSecurity>
  <Lines>66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2435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2016-12-15T15:28:00Z</cp:lastPrinted>
  <dcterms:created xsi:type="dcterms:W3CDTF">2017-01-10T21:32:00Z</dcterms:created>
  <dcterms:modified xsi:type="dcterms:W3CDTF">2017-01-10T21:32:00Z</dcterms:modified>
  <cp:category> </cp:category>
  <cp:contentStatus> </cp:contentStatus>
</cp:coreProperties>
</file>