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09C9A" w14:textId="79CC08D5" w:rsidR="00294E2E" w:rsidRDefault="00095700" w:rsidP="005D24C0">
      <w:pPr>
        <w:jc w:val="center"/>
        <w:rPr>
          <w:sz w:val="22"/>
          <w:szCs w:val="22"/>
        </w:rPr>
      </w:pPr>
      <w:bookmarkStart w:id="0" w:name="_GoBack"/>
      <w:bookmarkEnd w:id="0"/>
      <w:r>
        <w:rPr>
          <w:sz w:val="22"/>
          <w:szCs w:val="22"/>
        </w:rPr>
        <w:t xml:space="preserve">May </w:t>
      </w:r>
      <w:r w:rsidR="000F1572">
        <w:rPr>
          <w:sz w:val="22"/>
          <w:szCs w:val="22"/>
        </w:rPr>
        <w:t>4</w:t>
      </w:r>
      <w:r w:rsidR="00294E2E">
        <w:rPr>
          <w:sz w:val="22"/>
          <w:szCs w:val="22"/>
        </w:rPr>
        <w:t>, 2017</w:t>
      </w:r>
    </w:p>
    <w:p w14:paraId="30781039" w14:textId="77777777" w:rsidR="005D24C0" w:rsidRDefault="005D24C0" w:rsidP="009C699D">
      <w:pPr>
        <w:rPr>
          <w:sz w:val="22"/>
          <w:szCs w:val="22"/>
        </w:rPr>
      </w:pPr>
    </w:p>
    <w:p w14:paraId="459CEDAF" w14:textId="77777777" w:rsidR="00294E2E" w:rsidRDefault="00294E2E" w:rsidP="009C699D">
      <w:pPr>
        <w:rPr>
          <w:sz w:val="22"/>
          <w:szCs w:val="22"/>
        </w:rPr>
      </w:pPr>
    </w:p>
    <w:p w14:paraId="166F8D53" w14:textId="77777777" w:rsidR="00D660FA" w:rsidRDefault="00D660FA" w:rsidP="009C699D">
      <w:pPr>
        <w:rPr>
          <w:sz w:val="22"/>
          <w:szCs w:val="22"/>
        </w:rPr>
      </w:pPr>
    </w:p>
    <w:p w14:paraId="3EA6099F" w14:textId="77777777" w:rsidR="00BE4B2A" w:rsidRDefault="00CF783F" w:rsidP="009C699D">
      <w:pPr>
        <w:rPr>
          <w:sz w:val="22"/>
          <w:szCs w:val="22"/>
        </w:rPr>
      </w:pPr>
      <w:r>
        <w:rPr>
          <w:sz w:val="22"/>
          <w:szCs w:val="22"/>
        </w:rPr>
        <w:t>Bryan N. Tramont</w:t>
      </w:r>
      <w:r w:rsidR="000F376B">
        <w:rPr>
          <w:sz w:val="22"/>
          <w:szCs w:val="22"/>
        </w:rPr>
        <w:t>, Esq.</w:t>
      </w:r>
    </w:p>
    <w:p w14:paraId="02CBEC03" w14:textId="77777777" w:rsidR="00CF783F" w:rsidRDefault="00CF783F" w:rsidP="009C699D">
      <w:pPr>
        <w:rPr>
          <w:sz w:val="22"/>
          <w:szCs w:val="22"/>
        </w:rPr>
      </w:pPr>
      <w:r>
        <w:rPr>
          <w:sz w:val="22"/>
          <w:szCs w:val="22"/>
        </w:rPr>
        <w:t>Wilkinson Barker Knauer, LLP</w:t>
      </w:r>
    </w:p>
    <w:p w14:paraId="6429DAFF" w14:textId="77777777" w:rsidR="00CF783F" w:rsidRDefault="00CF783F" w:rsidP="009C699D">
      <w:pPr>
        <w:rPr>
          <w:sz w:val="22"/>
          <w:szCs w:val="22"/>
        </w:rPr>
      </w:pPr>
      <w:r>
        <w:rPr>
          <w:sz w:val="22"/>
          <w:szCs w:val="22"/>
        </w:rPr>
        <w:t>1800 M Street, N.W.</w:t>
      </w:r>
    </w:p>
    <w:p w14:paraId="34C3536A" w14:textId="77777777" w:rsidR="00CF783F" w:rsidRDefault="00CF783F" w:rsidP="009C699D">
      <w:pPr>
        <w:rPr>
          <w:sz w:val="22"/>
          <w:szCs w:val="22"/>
        </w:rPr>
      </w:pPr>
      <w:r>
        <w:rPr>
          <w:sz w:val="22"/>
          <w:szCs w:val="22"/>
        </w:rPr>
        <w:t>Suite 800N</w:t>
      </w:r>
    </w:p>
    <w:p w14:paraId="4463CDC4" w14:textId="77777777" w:rsidR="00CF783F" w:rsidRDefault="00CF783F" w:rsidP="009C699D">
      <w:pPr>
        <w:rPr>
          <w:sz w:val="22"/>
          <w:szCs w:val="22"/>
        </w:rPr>
      </w:pPr>
      <w:r>
        <w:rPr>
          <w:sz w:val="22"/>
          <w:szCs w:val="22"/>
        </w:rPr>
        <w:t>Washington, D.C. 20036</w:t>
      </w:r>
    </w:p>
    <w:p w14:paraId="43D9C440" w14:textId="77777777" w:rsidR="00BE4B2A" w:rsidRDefault="00BE4B2A" w:rsidP="009C699D">
      <w:pPr>
        <w:rPr>
          <w:sz w:val="22"/>
          <w:szCs w:val="22"/>
        </w:rPr>
      </w:pPr>
    </w:p>
    <w:p w14:paraId="144AA23F" w14:textId="77777777" w:rsidR="00242056" w:rsidRDefault="00CF783F" w:rsidP="00242056">
      <w:pPr>
        <w:rPr>
          <w:sz w:val="22"/>
          <w:szCs w:val="22"/>
        </w:rPr>
      </w:pPr>
      <w:r>
        <w:rPr>
          <w:sz w:val="22"/>
          <w:szCs w:val="22"/>
        </w:rPr>
        <w:tab/>
        <w:t>Re:</w:t>
      </w:r>
      <w:r w:rsidR="00242056">
        <w:rPr>
          <w:sz w:val="22"/>
          <w:szCs w:val="22"/>
        </w:rPr>
        <w:tab/>
        <w:t xml:space="preserve">Petition for Declaratory Ruling </w:t>
      </w:r>
      <w:r w:rsidR="005D24C0">
        <w:rPr>
          <w:sz w:val="22"/>
          <w:szCs w:val="22"/>
        </w:rPr>
        <w:t xml:space="preserve">- </w:t>
      </w:r>
      <w:r w:rsidR="005D24C0" w:rsidRPr="005D24C0">
        <w:rPr>
          <w:sz w:val="22"/>
          <w:szCs w:val="22"/>
        </w:rPr>
        <w:t>Multifamily Broadband Council</w:t>
      </w:r>
    </w:p>
    <w:p w14:paraId="0E3EF9F2" w14:textId="77777777" w:rsidR="00242056" w:rsidRDefault="00242056" w:rsidP="00242056">
      <w:pPr>
        <w:rPr>
          <w:sz w:val="22"/>
          <w:szCs w:val="22"/>
        </w:rPr>
      </w:pPr>
    </w:p>
    <w:p w14:paraId="21076F17" w14:textId="77777777" w:rsidR="00242056" w:rsidRDefault="00242056" w:rsidP="00242056">
      <w:pPr>
        <w:rPr>
          <w:sz w:val="22"/>
          <w:szCs w:val="22"/>
        </w:rPr>
      </w:pPr>
      <w:r>
        <w:rPr>
          <w:sz w:val="22"/>
          <w:szCs w:val="22"/>
        </w:rPr>
        <w:t>Dear M</w:t>
      </w:r>
      <w:r w:rsidR="00CF783F">
        <w:rPr>
          <w:sz w:val="22"/>
          <w:szCs w:val="22"/>
        </w:rPr>
        <w:t>r. Tramont:</w:t>
      </w:r>
    </w:p>
    <w:p w14:paraId="353D8558" w14:textId="77777777" w:rsidR="00242056" w:rsidRDefault="00242056" w:rsidP="00242056">
      <w:pPr>
        <w:rPr>
          <w:sz w:val="22"/>
          <w:szCs w:val="22"/>
        </w:rPr>
      </w:pPr>
    </w:p>
    <w:p w14:paraId="14315F75" w14:textId="2DFBD61B" w:rsidR="00CB4F97" w:rsidRDefault="00000C35" w:rsidP="00DE5E9A">
      <w:pPr>
        <w:pStyle w:val="BodyText"/>
        <w:tabs>
          <w:tab w:val="left" w:pos="1215"/>
        </w:tabs>
        <w:jc w:val="left"/>
        <w:rPr>
          <w:szCs w:val="22"/>
        </w:rPr>
      </w:pPr>
      <w:r>
        <w:rPr>
          <w:szCs w:val="22"/>
        </w:rPr>
        <w:t xml:space="preserve">           </w:t>
      </w:r>
      <w:r w:rsidR="00242056" w:rsidRPr="00F36263">
        <w:rPr>
          <w:szCs w:val="22"/>
        </w:rPr>
        <w:t>This let</w:t>
      </w:r>
      <w:r w:rsidR="00242056">
        <w:rPr>
          <w:szCs w:val="22"/>
        </w:rPr>
        <w:t>t</w:t>
      </w:r>
      <w:r w:rsidR="009C699D">
        <w:rPr>
          <w:szCs w:val="22"/>
        </w:rPr>
        <w:t xml:space="preserve">er </w:t>
      </w:r>
      <w:r w:rsidR="00CB4F97">
        <w:rPr>
          <w:szCs w:val="22"/>
        </w:rPr>
        <w:t>addresses</w:t>
      </w:r>
      <w:r w:rsidR="009C699D">
        <w:rPr>
          <w:szCs w:val="22"/>
        </w:rPr>
        <w:t xml:space="preserve"> </w:t>
      </w:r>
      <w:r w:rsidR="00543944">
        <w:rPr>
          <w:szCs w:val="22"/>
        </w:rPr>
        <w:t xml:space="preserve">a </w:t>
      </w:r>
      <w:r w:rsidR="00255BC3">
        <w:rPr>
          <w:szCs w:val="22"/>
        </w:rPr>
        <w:t>P</w:t>
      </w:r>
      <w:r w:rsidR="00242056">
        <w:rPr>
          <w:szCs w:val="22"/>
        </w:rPr>
        <w:t xml:space="preserve">etition for </w:t>
      </w:r>
      <w:r w:rsidR="00275406">
        <w:rPr>
          <w:szCs w:val="22"/>
        </w:rPr>
        <w:t>D</w:t>
      </w:r>
      <w:r w:rsidR="00242056" w:rsidRPr="00F36263">
        <w:rPr>
          <w:szCs w:val="22"/>
        </w:rPr>
        <w:t xml:space="preserve">eclaratory </w:t>
      </w:r>
      <w:r w:rsidR="00275406">
        <w:rPr>
          <w:szCs w:val="22"/>
        </w:rPr>
        <w:t>R</w:t>
      </w:r>
      <w:r w:rsidR="00242056" w:rsidRPr="00F36263">
        <w:rPr>
          <w:szCs w:val="22"/>
        </w:rPr>
        <w:t xml:space="preserve">uling that you filed with the Federal Communications Commission </w:t>
      </w:r>
      <w:r w:rsidR="0018498B">
        <w:rPr>
          <w:szCs w:val="22"/>
        </w:rPr>
        <w:t xml:space="preserve">(Commission) </w:t>
      </w:r>
      <w:r w:rsidR="00185AEB">
        <w:rPr>
          <w:szCs w:val="22"/>
        </w:rPr>
        <w:t xml:space="preserve">on </w:t>
      </w:r>
      <w:r w:rsidR="007B3907">
        <w:rPr>
          <w:szCs w:val="22"/>
        </w:rPr>
        <w:t>February 25</w:t>
      </w:r>
      <w:r w:rsidR="0013364B">
        <w:rPr>
          <w:szCs w:val="22"/>
        </w:rPr>
        <w:t>, 2017</w:t>
      </w:r>
      <w:r w:rsidR="009E599C">
        <w:rPr>
          <w:szCs w:val="22"/>
        </w:rPr>
        <w:t xml:space="preserve"> </w:t>
      </w:r>
      <w:r w:rsidR="00CF783F">
        <w:rPr>
          <w:szCs w:val="22"/>
        </w:rPr>
        <w:t>on behalf of your client, the Multifamily Broadband Council (MBC)</w:t>
      </w:r>
      <w:r w:rsidR="00B218DE">
        <w:rPr>
          <w:szCs w:val="22"/>
        </w:rPr>
        <w:t xml:space="preserve">, alleging that </w:t>
      </w:r>
      <w:r w:rsidR="00B218DE" w:rsidRPr="007E406A">
        <w:t>Article 52 of the San Francisco Police Code</w:t>
      </w:r>
      <w:r w:rsidR="00B218DE">
        <w:t xml:space="preserve"> (Article 52)</w:t>
      </w:r>
      <w:r w:rsidR="005B21EA" w:rsidRPr="007E406A">
        <w:rPr>
          <w:rStyle w:val="FootnoteReference"/>
          <w:color w:val="000000"/>
        </w:rPr>
        <w:footnoteReference w:id="2"/>
      </w:r>
      <w:r w:rsidR="00B218DE">
        <w:t xml:space="preserve"> </w:t>
      </w:r>
      <w:r w:rsidR="00B218DE">
        <w:rPr>
          <w:color w:val="000000"/>
        </w:rPr>
        <w:t xml:space="preserve">violates </w:t>
      </w:r>
      <w:r w:rsidR="0097392C">
        <w:rPr>
          <w:color w:val="000000"/>
        </w:rPr>
        <w:t xml:space="preserve">the </w:t>
      </w:r>
      <w:r w:rsidR="00B218DE">
        <w:rPr>
          <w:szCs w:val="22"/>
        </w:rPr>
        <w:t>Commission’s Over-the-Air Reception Devices rule (OTARD Rule)</w:t>
      </w:r>
      <w:r w:rsidR="00CF783F">
        <w:rPr>
          <w:szCs w:val="22"/>
        </w:rPr>
        <w:t xml:space="preserve">.  </w:t>
      </w:r>
      <w:r w:rsidR="00897439">
        <w:rPr>
          <w:szCs w:val="22"/>
        </w:rPr>
        <w:t>For the reasons di</w:t>
      </w:r>
      <w:r w:rsidR="00255BC3">
        <w:rPr>
          <w:szCs w:val="22"/>
        </w:rPr>
        <w:t>scussed below, we dismiss this P</w:t>
      </w:r>
      <w:r w:rsidR="00897439">
        <w:rPr>
          <w:szCs w:val="22"/>
        </w:rPr>
        <w:t xml:space="preserve">etition.  </w:t>
      </w:r>
    </w:p>
    <w:p w14:paraId="4527C0DA" w14:textId="77777777" w:rsidR="00CB4F97" w:rsidRDefault="00CB4F97" w:rsidP="00DE5E9A">
      <w:pPr>
        <w:pStyle w:val="BodyText"/>
        <w:tabs>
          <w:tab w:val="left" w:pos="1215"/>
        </w:tabs>
        <w:jc w:val="left"/>
        <w:rPr>
          <w:szCs w:val="22"/>
        </w:rPr>
      </w:pPr>
    </w:p>
    <w:p w14:paraId="211E51A0" w14:textId="013842CD" w:rsidR="00331386" w:rsidRDefault="00CB4F97" w:rsidP="0024437E">
      <w:pPr>
        <w:pStyle w:val="BodyText"/>
        <w:tabs>
          <w:tab w:val="left" w:pos="630"/>
        </w:tabs>
        <w:jc w:val="left"/>
        <w:rPr>
          <w:color w:val="000000"/>
        </w:rPr>
      </w:pPr>
      <w:r>
        <w:rPr>
          <w:szCs w:val="22"/>
        </w:rPr>
        <w:tab/>
      </w:r>
      <w:r w:rsidR="00CF783F">
        <w:rPr>
          <w:szCs w:val="22"/>
        </w:rPr>
        <w:t>According to the Petition, MBC</w:t>
      </w:r>
      <w:r w:rsidR="00CF783F" w:rsidRPr="007E406A">
        <w:rPr>
          <w:color w:val="000000"/>
        </w:rPr>
        <w:t xml:space="preserve"> consists of non-franchised communications companies that provide broadband-related services to multifamily communities and their vendors through various technologies</w:t>
      </w:r>
      <w:r w:rsidR="00CF783F">
        <w:rPr>
          <w:color w:val="000000"/>
        </w:rPr>
        <w:t>,</w:t>
      </w:r>
      <w:r w:rsidR="00CF783F" w:rsidRPr="007E406A">
        <w:rPr>
          <w:color w:val="000000"/>
        </w:rPr>
        <w:t xml:space="preserve"> such as wireless, cable modem, D</w:t>
      </w:r>
      <w:r w:rsidR="00CF783F">
        <w:rPr>
          <w:color w:val="000000"/>
        </w:rPr>
        <w:t xml:space="preserve">igital </w:t>
      </w:r>
      <w:r w:rsidR="00CF783F" w:rsidRPr="007E406A">
        <w:rPr>
          <w:color w:val="000000"/>
        </w:rPr>
        <w:t>S</w:t>
      </w:r>
      <w:r w:rsidR="00CF783F">
        <w:rPr>
          <w:color w:val="000000"/>
        </w:rPr>
        <w:t xml:space="preserve">ubscriber </w:t>
      </w:r>
      <w:r w:rsidR="00CF783F" w:rsidRPr="007E406A">
        <w:rPr>
          <w:color w:val="000000"/>
        </w:rPr>
        <w:t>L</w:t>
      </w:r>
      <w:r w:rsidR="00CF783F">
        <w:rPr>
          <w:color w:val="000000"/>
        </w:rPr>
        <w:t>ine</w:t>
      </w:r>
      <w:r w:rsidR="00CF783F" w:rsidRPr="007E406A">
        <w:rPr>
          <w:color w:val="000000"/>
        </w:rPr>
        <w:t>, Active Ethernet</w:t>
      </w:r>
      <w:r w:rsidR="00784719">
        <w:rPr>
          <w:color w:val="000000"/>
        </w:rPr>
        <w:t>,</w:t>
      </w:r>
      <w:r w:rsidR="00CF783F" w:rsidRPr="007E406A">
        <w:rPr>
          <w:color w:val="000000"/>
        </w:rPr>
        <w:t xml:space="preserve"> and Fiber-to-the-Home.</w:t>
      </w:r>
      <w:r w:rsidR="007A34D4">
        <w:rPr>
          <w:rStyle w:val="FootnoteReference"/>
          <w:color w:val="000000"/>
        </w:rPr>
        <w:footnoteReference w:id="3"/>
      </w:r>
      <w:r w:rsidR="00CF783F" w:rsidRPr="007E406A">
        <w:rPr>
          <w:color w:val="000000"/>
        </w:rPr>
        <w:t xml:space="preserve">  </w:t>
      </w:r>
      <w:r w:rsidR="00140587">
        <w:rPr>
          <w:color w:val="000000"/>
        </w:rPr>
        <w:t xml:space="preserve">MBC asserts that these services are delivered via antennas </w:t>
      </w:r>
      <w:r w:rsidR="00966530">
        <w:rPr>
          <w:color w:val="000000"/>
        </w:rPr>
        <w:t>typically placed on rooftops or other common areas</w:t>
      </w:r>
      <w:r w:rsidR="00140587">
        <w:rPr>
          <w:color w:val="000000"/>
        </w:rPr>
        <w:t xml:space="preserve"> and that consumers sometimes use devices containing antennas (such as </w:t>
      </w:r>
      <w:r w:rsidR="00966530">
        <w:rPr>
          <w:color w:val="000000"/>
        </w:rPr>
        <w:t>cordless telephone handsets</w:t>
      </w:r>
      <w:r w:rsidR="00140587">
        <w:rPr>
          <w:color w:val="000000"/>
        </w:rPr>
        <w:t xml:space="preserve"> and home Wi-Fi routers) in conjunction with the services provided by MBC’s members.</w:t>
      </w:r>
      <w:r w:rsidR="00140587">
        <w:rPr>
          <w:rStyle w:val="FootnoteReference"/>
          <w:color w:val="000000"/>
        </w:rPr>
        <w:footnoteReference w:id="4"/>
      </w:r>
      <w:r w:rsidR="00140587">
        <w:rPr>
          <w:color w:val="000000"/>
        </w:rPr>
        <w:t xml:space="preserve">  </w:t>
      </w:r>
      <w:r w:rsidR="00CF783F" w:rsidRPr="007E406A">
        <w:rPr>
          <w:color w:val="000000"/>
        </w:rPr>
        <w:t xml:space="preserve">MBC </w:t>
      </w:r>
      <w:r w:rsidR="008058D2">
        <w:rPr>
          <w:color w:val="000000"/>
        </w:rPr>
        <w:t>states</w:t>
      </w:r>
      <w:r w:rsidR="008058D2" w:rsidRPr="007E406A">
        <w:rPr>
          <w:color w:val="000000"/>
        </w:rPr>
        <w:t xml:space="preserve"> </w:t>
      </w:r>
      <w:r w:rsidR="00CF783F" w:rsidRPr="007E406A">
        <w:rPr>
          <w:color w:val="000000"/>
        </w:rPr>
        <w:t xml:space="preserve">that </w:t>
      </w:r>
      <w:r w:rsidR="006B2302" w:rsidRPr="007E406A">
        <w:t xml:space="preserve">Article 52 </w:t>
      </w:r>
      <w:r w:rsidR="00CF783F" w:rsidRPr="007E406A">
        <w:rPr>
          <w:color w:val="000000"/>
        </w:rPr>
        <w:t>requires an owner of a</w:t>
      </w:r>
      <w:r w:rsidR="003C4960" w:rsidRPr="003C4960">
        <w:rPr>
          <w:color w:val="000000"/>
        </w:rPr>
        <w:t xml:space="preserve"> </w:t>
      </w:r>
      <w:r w:rsidR="00011217">
        <w:rPr>
          <w:color w:val="000000"/>
        </w:rPr>
        <w:t>“</w:t>
      </w:r>
      <w:r w:rsidR="003C4960">
        <w:rPr>
          <w:color w:val="000000"/>
        </w:rPr>
        <w:t>multiple occupancy building</w:t>
      </w:r>
      <w:r w:rsidR="00011217">
        <w:rPr>
          <w:color w:val="000000"/>
        </w:rPr>
        <w:t>”</w:t>
      </w:r>
      <w:r w:rsidR="003C4960">
        <w:rPr>
          <w:color w:val="000000"/>
        </w:rPr>
        <w:t xml:space="preserve"> </w:t>
      </w:r>
      <w:r w:rsidR="00CF783F" w:rsidRPr="007E406A">
        <w:rPr>
          <w:color w:val="000000"/>
        </w:rPr>
        <w:t xml:space="preserve">to allow </w:t>
      </w:r>
      <w:r w:rsidR="00CF783F">
        <w:rPr>
          <w:color w:val="000000"/>
        </w:rPr>
        <w:t xml:space="preserve">an </w:t>
      </w:r>
      <w:r w:rsidR="00CF783F" w:rsidRPr="007E406A">
        <w:rPr>
          <w:color w:val="000000"/>
        </w:rPr>
        <w:t xml:space="preserve">unlimited </w:t>
      </w:r>
      <w:r w:rsidR="00CF783F">
        <w:rPr>
          <w:color w:val="000000"/>
        </w:rPr>
        <w:t xml:space="preserve">number of </w:t>
      </w:r>
      <w:r w:rsidR="00CF783F" w:rsidRPr="007E406A">
        <w:rPr>
          <w:color w:val="000000"/>
        </w:rPr>
        <w:t>additional communications</w:t>
      </w:r>
      <w:r w:rsidR="00495C4B">
        <w:rPr>
          <w:color w:val="000000"/>
        </w:rPr>
        <w:t xml:space="preserve"> service</w:t>
      </w:r>
      <w:r w:rsidR="00CF783F" w:rsidRPr="007E406A">
        <w:rPr>
          <w:color w:val="000000"/>
        </w:rPr>
        <w:t xml:space="preserve"> providers onto the property at the request of a</w:t>
      </w:r>
      <w:r w:rsidR="000D5293">
        <w:rPr>
          <w:color w:val="000000"/>
        </w:rPr>
        <w:t>n</w:t>
      </w:r>
      <w:r w:rsidR="00CF783F" w:rsidRPr="007E406A">
        <w:rPr>
          <w:color w:val="000000"/>
        </w:rPr>
        <w:t xml:space="preserve"> </w:t>
      </w:r>
      <w:r w:rsidR="000D5293">
        <w:rPr>
          <w:color w:val="000000"/>
        </w:rPr>
        <w:t>occupant</w:t>
      </w:r>
      <w:r w:rsidR="00CF783F">
        <w:rPr>
          <w:color w:val="000000"/>
        </w:rPr>
        <w:t xml:space="preserve">, while allowing </w:t>
      </w:r>
      <w:r w:rsidR="004E2450">
        <w:rPr>
          <w:color w:val="000000"/>
        </w:rPr>
        <w:t>any</w:t>
      </w:r>
      <w:r w:rsidR="004E2450" w:rsidRPr="007E406A">
        <w:rPr>
          <w:color w:val="000000"/>
        </w:rPr>
        <w:t xml:space="preserve"> </w:t>
      </w:r>
      <w:r w:rsidR="00CF783F" w:rsidRPr="007E406A">
        <w:rPr>
          <w:color w:val="000000"/>
        </w:rPr>
        <w:t xml:space="preserve">new provider </w:t>
      </w:r>
      <w:r w:rsidR="00CF783F">
        <w:rPr>
          <w:color w:val="000000"/>
        </w:rPr>
        <w:t xml:space="preserve">to </w:t>
      </w:r>
      <w:r w:rsidR="00CF783F" w:rsidRPr="007E406A">
        <w:rPr>
          <w:color w:val="000000"/>
        </w:rPr>
        <w:t xml:space="preserve">use the existing wiring </w:t>
      </w:r>
      <w:r w:rsidR="00444CB3">
        <w:rPr>
          <w:color w:val="000000"/>
        </w:rPr>
        <w:t xml:space="preserve">owned </w:t>
      </w:r>
      <w:r w:rsidR="00CF783F" w:rsidRPr="007E406A">
        <w:rPr>
          <w:color w:val="000000"/>
        </w:rPr>
        <w:t>by the building owner.</w:t>
      </w:r>
      <w:r w:rsidR="0004367E">
        <w:rPr>
          <w:rStyle w:val="FootnoteReference"/>
          <w:color w:val="000000"/>
        </w:rPr>
        <w:footnoteReference w:id="5"/>
      </w:r>
      <w:r w:rsidR="0004367E">
        <w:rPr>
          <w:color w:val="000000"/>
        </w:rPr>
        <w:t xml:space="preserve">  </w:t>
      </w:r>
      <w:r w:rsidR="00CF783F" w:rsidRPr="007E406A">
        <w:rPr>
          <w:color w:val="000000"/>
        </w:rPr>
        <w:t xml:space="preserve">It further </w:t>
      </w:r>
      <w:r w:rsidR="008058D2">
        <w:rPr>
          <w:color w:val="000000"/>
        </w:rPr>
        <w:t>states</w:t>
      </w:r>
      <w:r w:rsidR="008058D2" w:rsidRPr="007E406A">
        <w:rPr>
          <w:color w:val="000000"/>
        </w:rPr>
        <w:t xml:space="preserve"> </w:t>
      </w:r>
      <w:r w:rsidR="00CF783F" w:rsidRPr="007E406A">
        <w:rPr>
          <w:color w:val="000000"/>
        </w:rPr>
        <w:t xml:space="preserve">that Article 52 </w:t>
      </w:r>
      <w:r w:rsidR="00495C4B">
        <w:rPr>
          <w:color w:val="000000"/>
        </w:rPr>
        <w:t>applies regardless of whether the property owner has existing contractual arrangements with other communications service providers, such as</w:t>
      </w:r>
      <w:r w:rsidR="00CF783F" w:rsidRPr="007E406A">
        <w:rPr>
          <w:color w:val="000000"/>
        </w:rPr>
        <w:t xml:space="preserve"> </w:t>
      </w:r>
      <w:r w:rsidR="00495C4B">
        <w:rPr>
          <w:color w:val="000000"/>
        </w:rPr>
        <w:t>agreements for exclusive use of wiring</w:t>
      </w:r>
      <w:r w:rsidR="00645A7A">
        <w:rPr>
          <w:color w:val="000000"/>
        </w:rPr>
        <w:t xml:space="preserve">, which </w:t>
      </w:r>
      <w:r w:rsidR="00332607">
        <w:rPr>
          <w:color w:val="000000"/>
        </w:rPr>
        <w:t xml:space="preserve">MBC claims </w:t>
      </w:r>
      <w:r w:rsidR="00645A7A">
        <w:rPr>
          <w:color w:val="000000"/>
        </w:rPr>
        <w:t xml:space="preserve">are necessary for smaller entities to secure financing for </w:t>
      </w:r>
      <w:r w:rsidR="005213A1">
        <w:rPr>
          <w:color w:val="000000"/>
        </w:rPr>
        <w:t>build</w:t>
      </w:r>
      <w:r w:rsidR="00DD378D">
        <w:rPr>
          <w:color w:val="000000"/>
        </w:rPr>
        <w:t>-</w:t>
      </w:r>
      <w:r w:rsidR="005213A1">
        <w:rPr>
          <w:color w:val="000000"/>
        </w:rPr>
        <w:t>out and</w:t>
      </w:r>
      <w:r w:rsidR="00645A7A">
        <w:rPr>
          <w:color w:val="000000"/>
        </w:rPr>
        <w:t xml:space="preserve"> provision of service</w:t>
      </w:r>
      <w:r w:rsidR="00C129B5">
        <w:rPr>
          <w:color w:val="000000"/>
        </w:rPr>
        <w:t xml:space="preserve"> </w:t>
      </w:r>
      <w:r w:rsidR="00DD378D">
        <w:rPr>
          <w:color w:val="000000"/>
        </w:rPr>
        <w:t xml:space="preserve">in </w:t>
      </w:r>
      <w:r w:rsidR="00831E30">
        <w:rPr>
          <w:color w:val="000000"/>
        </w:rPr>
        <w:t>multi</w:t>
      </w:r>
      <w:r w:rsidR="004F4AC3">
        <w:rPr>
          <w:color w:val="000000"/>
        </w:rPr>
        <w:t>-tenant</w:t>
      </w:r>
      <w:r w:rsidR="00831E30">
        <w:rPr>
          <w:color w:val="000000"/>
        </w:rPr>
        <w:t xml:space="preserve"> building</w:t>
      </w:r>
      <w:r w:rsidR="002B70F2">
        <w:rPr>
          <w:color w:val="000000"/>
        </w:rPr>
        <w:t>s</w:t>
      </w:r>
      <w:r w:rsidR="00CF783F" w:rsidRPr="007E406A">
        <w:rPr>
          <w:color w:val="000000"/>
        </w:rPr>
        <w:t>.</w:t>
      </w:r>
      <w:r w:rsidR="00FE45AD">
        <w:rPr>
          <w:rStyle w:val="FootnoteReference"/>
          <w:color w:val="000000"/>
        </w:rPr>
        <w:footnoteReference w:id="6"/>
      </w:r>
      <w:r w:rsidR="00CF783F" w:rsidRPr="007E406A">
        <w:rPr>
          <w:color w:val="000000"/>
        </w:rPr>
        <w:t xml:space="preserve">  </w:t>
      </w:r>
      <w:r w:rsidR="002D3CC1">
        <w:rPr>
          <w:color w:val="000000"/>
        </w:rPr>
        <w:t>It also argues that Article 52 “effectively denies</w:t>
      </w:r>
      <w:r w:rsidR="00CD47C5">
        <w:rPr>
          <w:color w:val="000000"/>
        </w:rPr>
        <w:t>”</w:t>
      </w:r>
      <w:r w:rsidR="002D3CC1">
        <w:rPr>
          <w:color w:val="000000"/>
        </w:rPr>
        <w:t xml:space="preserve"> tenants the benefit of bulk </w:t>
      </w:r>
      <w:r w:rsidR="002D3CC1">
        <w:rPr>
          <w:color w:val="000000"/>
        </w:rPr>
        <w:lastRenderedPageBreak/>
        <w:t>billing arrangements</w:t>
      </w:r>
      <w:r w:rsidR="00933B9F">
        <w:rPr>
          <w:color w:val="000000"/>
        </w:rPr>
        <w:t xml:space="preserve"> under which all occupants of multi-tenant buildings are provided communications service from a single provider</w:t>
      </w:r>
      <w:r w:rsidR="002D3CC1">
        <w:rPr>
          <w:color w:val="000000"/>
        </w:rPr>
        <w:t>.</w:t>
      </w:r>
      <w:r w:rsidR="00FE45AD">
        <w:rPr>
          <w:rStyle w:val="FootnoteReference"/>
          <w:color w:val="000000"/>
        </w:rPr>
        <w:footnoteReference w:id="7"/>
      </w:r>
      <w:r w:rsidR="002D3CC1">
        <w:rPr>
          <w:color w:val="000000"/>
        </w:rPr>
        <w:t xml:space="preserve"> </w:t>
      </w:r>
      <w:r w:rsidR="00AE0390">
        <w:rPr>
          <w:color w:val="000000"/>
        </w:rPr>
        <w:t xml:space="preserve"> </w:t>
      </w:r>
      <w:r w:rsidR="009A56AD">
        <w:rPr>
          <w:color w:val="000000"/>
        </w:rPr>
        <w:t xml:space="preserve">MBC </w:t>
      </w:r>
      <w:r w:rsidR="00CF783F">
        <w:rPr>
          <w:color w:val="000000"/>
        </w:rPr>
        <w:t>notes that a property owner could be</w:t>
      </w:r>
      <w:r w:rsidR="00CF783F" w:rsidRPr="007E406A">
        <w:rPr>
          <w:color w:val="000000"/>
        </w:rPr>
        <w:t xml:space="preserve"> subject to enforcement claims and penalties brought by providers and </w:t>
      </w:r>
      <w:r w:rsidR="00CF783F">
        <w:rPr>
          <w:color w:val="000000"/>
        </w:rPr>
        <w:t>tenants</w:t>
      </w:r>
      <w:r w:rsidR="00CF783F" w:rsidRPr="007E406A">
        <w:rPr>
          <w:color w:val="000000"/>
        </w:rPr>
        <w:t xml:space="preserve"> of the building</w:t>
      </w:r>
      <w:r w:rsidR="00255BC3">
        <w:rPr>
          <w:color w:val="000000"/>
        </w:rPr>
        <w:t xml:space="preserve"> pursuant to Article 52</w:t>
      </w:r>
      <w:r w:rsidR="00CF783F" w:rsidRPr="007E406A">
        <w:rPr>
          <w:color w:val="000000"/>
        </w:rPr>
        <w:t>.</w:t>
      </w:r>
      <w:r w:rsidR="00FE45AD">
        <w:rPr>
          <w:rStyle w:val="FootnoteReference"/>
          <w:color w:val="000000"/>
        </w:rPr>
        <w:footnoteReference w:id="8"/>
      </w:r>
      <w:r w:rsidR="00CF783F" w:rsidRPr="007E406A">
        <w:rPr>
          <w:color w:val="000000"/>
        </w:rPr>
        <w:t xml:space="preserve">  </w:t>
      </w:r>
    </w:p>
    <w:p w14:paraId="232E2637" w14:textId="77777777" w:rsidR="00331386" w:rsidRDefault="00331386" w:rsidP="00905070">
      <w:pPr>
        <w:pStyle w:val="BodyText"/>
        <w:tabs>
          <w:tab w:val="left" w:pos="1215"/>
        </w:tabs>
        <w:jc w:val="left"/>
        <w:rPr>
          <w:color w:val="000000"/>
        </w:rPr>
      </w:pPr>
    </w:p>
    <w:p w14:paraId="70637938" w14:textId="574B01D4" w:rsidR="00432585" w:rsidRDefault="007C361D" w:rsidP="0024437E">
      <w:pPr>
        <w:pStyle w:val="BodyText"/>
        <w:tabs>
          <w:tab w:val="left" w:pos="630"/>
        </w:tabs>
        <w:jc w:val="left"/>
        <w:rPr>
          <w:color w:val="000000"/>
        </w:rPr>
      </w:pPr>
      <w:r>
        <w:rPr>
          <w:color w:val="000000"/>
        </w:rPr>
        <w:tab/>
      </w:r>
      <w:r w:rsidR="00CF783F" w:rsidRPr="007E406A">
        <w:rPr>
          <w:color w:val="000000"/>
        </w:rPr>
        <w:t>MBC contends that Article 52</w:t>
      </w:r>
      <w:r w:rsidR="00662DAE">
        <w:rPr>
          <w:color w:val="000000"/>
        </w:rPr>
        <w:t xml:space="preserve"> “imposes severe constraints on the ability of competitive, antenna-based service providers to serve multi-tenant buildings</w:t>
      </w:r>
      <w:r w:rsidR="00331386">
        <w:rPr>
          <w:color w:val="000000"/>
        </w:rPr>
        <w:t>,</w:t>
      </w:r>
      <w:r w:rsidR="00662DAE">
        <w:rPr>
          <w:color w:val="000000"/>
        </w:rPr>
        <w:t>”</w:t>
      </w:r>
      <w:r w:rsidR="00331386">
        <w:rPr>
          <w:color w:val="000000"/>
        </w:rPr>
        <w:t xml:space="preserve"> </w:t>
      </w:r>
      <w:r w:rsidR="00662DAE">
        <w:rPr>
          <w:color w:val="000000"/>
        </w:rPr>
        <w:t>and as such,</w:t>
      </w:r>
      <w:r w:rsidR="00CF783F" w:rsidRPr="007E406A">
        <w:rPr>
          <w:color w:val="000000"/>
        </w:rPr>
        <w:t xml:space="preserve"> </w:t>
      </w:r>
      <w:r w:rsidR="006B2302">
        <w:rPr>
          <w:color w:val="000000"/>
        </w:rPr>
        <w:t>impair</w:t>
      </w:r>
      <w:r w:rsidR="00623D5A">
        <w:rPr>
          <w:color w:val="000000"/>
        </w:rPr>
        <w:t>s</w:t>
      </w:r>
      <w:r w:rsidR="006B2302">
        <w:rPr>
          <w:color w:val="000000"/>
        </w:rPr>
        <w:t xml:space="preserve"> the installation, maintenance, and use of covered antennas in violation of the </w:t>
      </w:r>
      <w:r w:rsidR="006B2302">
        <w:rPr>
          <w:szCs w:val="22"/>
        </w:rPr>
        <w:t>OTARD Rule</w:t>
      </w:r>
      <w:r w:rsidR="00331386">
        <w:rPr>
          <w:szCs w:val="22"/>
        </w:rPr>
        <w:t>.</w:t>
      </w:r>
      <w:r w:rsidR="002B70F2">
        <w:rPr>
          <w:rStyle w:val="FootnoteReference"/>
          <w:szCs w:val="22"/>
        </w:rPr>
        <w:footnoteReference w:id="9"/>
      </w:r>
      <w:r w:rsidR="001F04F0">
        <w:rPr>
          <w:szCs w:val="22"/>
        </w:rPr>
        <w:t xml:space="preserve">  </w:t>
      </w:r>
      <w:r w:rsidR="00432585">
        <w:rPr>
          <w:color w:val="000000"/>
        </w:rPr>
        <w:t xml:space="preserve">More specifically, MBC states that Article 52 prevents </w:t>
      </w:r>
      <w:r w:rsidR="000306B0">
        <w:rPr>
          <w:color w:val="000000"/>
        </w:rPr>
        <w:t xml:space="preserve">building owners from granting independent providers </w:t>
      </w:r>
      <w:r w:rsidR="00432585">
        <w:rPr>
          <w:color w:val="000000"/>
        </w:rPr>
        <w:t xml:space="preserve">exclusive use of inside wiring, which it claims </w:t>
      </w:r>
      <w:r w:rsidR="00476CF3">
        <w:rPr>
          <w:color w:val="000000"/>
        </w:rPr>
        <w:t xml:space="preserve">in turn </w:t>
      </w:r>
      <w:r w:rsidR="00432585">
        <w:rPr>
          <w:color w:val="000000"/>
        </w:rPr>
        <w:t>jeopardizes these providers’ ability to continue providing service or to do so with without raising rates; interferes with bulk billing arrangements that lower consumer costs</w:t>
      </w:r>
      <w:r w:rsidR="00432585" w:rsidRPr="007E406A">
        <w:rPr>
          <w:color w:val="000000"/>
        </w:rPr>
        <w:t xml:space="preserve">; and </w:t>
      </w:r>
      <w:r w:rsidR="00432585">
        <w:rPr>
          <w:color w:val="000000"/>
        </w:rPr>
        <w:t>enables interference with and termination of existing services when new service providers use existing wiring to provide other services.</w:t>
      </w:r>
      <w:r w:rsidR="00432585">
        <w:rPr>
          <w:rStyle w:val="FootnoteReference"/>
          <w:color w:val="000000"/>
        </w:rPr>
        <w:footnoteReference w:id="10"/>
      </w:r>
      <w:r w:rsidR="00432585">
        <w:rPr>
          <w:color w:val="000000"/>
        </w:rPr>
        <w:t xml:space="preserve">  </w:t>
      </w:r>
    </w:p>
    <w:p w14:paraId="110F0590" w14:textId="77777777" w:rsidR="00432585" w:rsidRDefault="00432585" w:rsidP="0024437E">
      <w:pPr>
        <w:pStyle w:val="BodyText"/>
        <w:tabs>
          <w:tab w:val="left" w:pos="630"/>
        </w:tabs>
        <w:jc w:val="left"/>
        <w:rPr>
          <w:color w:val="000000"/>
        </w:rPr>
      </w:pPr>
    </w:p>
    <w:p w14:paraId="10E86567" w14:textId="77777777" w:rsidR="007D3B8C" w:rsidRDefault="00432585" w:rsidP="00ED2910">
      <w:pPr>
        <w:pStyle w:val="BodyText"/>
        <w:tabs>
          <w:tab w:val="left" w:pos="630"/>
        </w:tabs>
        <w:jc w:val="left"/>
        <w:rPr>
          <w:color w:val="000000"/>
        </w:rPr>
      </w:pPr>
      <w:r>
        <w:rPr>
          <w:color w:val="000000"/>
        </w:rPr>
        <w:tab/>
      </w:r>
      <w:r w:rsidR="00C4452A">
        <w:rPr>
          <w:szCs w:val="22"/>
        </w:rPr>
        <w:t xml:space="preserve">The OTARD Rule prohibits </w:t>
      </w:r>
      <w:r w:rsidR="001B495D">
        <w:rPr>
          <w:szCs w:val="22"/>
        </w:rPr>
        <w:t>governmental and private</w:t>
      </w:r>
      <w:r w:rsidR="00C611E0">
        <w:rPr>
          <w:szCs w:val="22"/>
        </w:rPr>
        <w:t xml:space="preserve"> entities </w:t>
      </w:r>
      <w:r w:rsidR="00C4452A">
        <w:rPr>
          <w:szCs w:val="22"/>
        </w:rPr>
        <w:t>from imposing “on property within the exclusive use or control of the antenna user where the user has a direct or indirect ownership</w:t>
      </w:r>
      <w:r w:rsidR="00D37CAE">
        <w:rPr>
          <w:szCs w:val="22"/>
        </w:rPr>
        <w:t xml:space="preserve"> or</w:t>
      </w:r>
      <w:r w:rsidR="00C4452A">
        <w:rPr>
          <w:szCs w:val="22"/>
        </w:rPr>
        <w:t xml:space="preserve"> leasehold interest in the property” </w:t>
      </w:r>
      <w:r w:rsidR="00371DF1">
        <w:rPr>
          <w:szCs w:val="22"/>
        </w:rPr>
        <w:t xml:space="preserve">any restriction </w:t>
      </w:r>
      <w:r w:rsidR="00C4452A">
        <w:rPr>
          <w:szCs w:val="22"/>
        </w:rPr>
        <w:t xml:space="preserve">that impairs the installation, maintenance, or use of </w:t>
      </w:r>
      <w:r w:rsidR="005742DE">
        <w:rPr>
          <w:szCs w:val="22"/>
        </w:rPr>
        <w:t xml:space="preserve">covered </w:t>
      </w:r>
      <w:r w:rsidR="00C4452A">
        <w:rPr>
          <w:szCs w:val="22"/>
        </w:rPr>
        <w:t>antennas</w:t>
      </w:r>
      <w:r w:rsidR="005742DE">
        <w:rPr>
          <w:szCs w:val="22"/>
        </w:rPr>
        <w:t>.  47 C.F.R. § 1.4000(a)(1).</w:t>
      </w:r>
      <w:r w:rsidR="000E635B">
        <w:rPr>
          <w:rStyle w:val="FootnoteReference"/>
          <w:szCs w:val="22"/>
        </w:rPr>
        <w:footnoteReference w:id="11"/>
      </w:r>
      <w:r w:rsidR="005742DE">
        <w:rPr>
          <w:szCs w:val="22"/>
        </w:rPr>
        <w:t xml:space="preserve">  </w:t>
      </w:r>
      <w:r w:rsidR="001F2E73">
        <w:rPr>
          <w:szCs w:val="22"/>
        </w:rPr>
        <w:t>Under the Rule, a</w:t>
      </w:r>
      <w:r w:rsidR="006A532B">
        <w:rPr>
          <w:szCs w:val="22"/>
        </w:rPr>
        <w:t xml:space="preserve"> restriction impairs the installation, maintenance, or use of antennas if it unreasonably delays or prevents installation, maintenance, or use; unreasonably increases the cost of installation, maintenance, or use; or prevents reception or transmission of an acceptable quality signal.  </w:t>
      </w:r>
      <w:r w:rsidR="006A532B">
        <w:rPr>
          <w:i/>
          <w:szCs w:val="22"/>
        </w:rPr>
        <w:t>Id</w:t>
      </w:r>
      <w:r w:rsidR="006A532B">
        <w:rPr>
          <w:szCs w:val="22"/>
        </w:rPr>
        <w:t xml:space="preserve">. § 1.4000(a)(3). </w:t>
      </w:r>
      <w:r w:rsidR="00ED2910">
        <w:rPr>
          <w:szCs w:val="22"/>
        </w:rPr>
        <w:t xml:space="preserve"> </w:t>
      </w:r>
      <w:r w:rsidR="00ED2910">
        <w:t xml:space="preserve">  </w:t>
      </w:r>
      <w:r w:rsidR="00ED2910">
        <w:rPr>
          <w:szCs w:val="22"/>
        </w:rPr>
        <w:t xml:space="preserve">   </w:t>
      </w:r>
      <w:r>
        <w:rPr>
          <w:color w:val="000000"/>
        </w:rPr>
        <w:tab/>
      </w:r>
    </w:p>
    <w:p w14:paraId="557BC9DD" w14:textId="77777777" w:rsidR="007D3B8C" w:rsidRDefault="007D3B8C" w:rsidP="00ED2910">
      <w:pPr>
        <w:pStyle w:val="BodyText"/>
        <w:tabs>
          <w:tab w:val="left" w:pos="630"/>
        </w:tabs>
        <w:jc w:val="left"/>
        <w:rPr>
          <w:color w:val="000000"/>
        </w:rPr>
      </w:pPr>
    </w:p>
    <w:p w14:paraId="718A6E19" w14:textId="23FF40FC" w:rsidR="00D21D2A" w:rsidRPr="00294E2E" w:rsidRDefault="007D3B8C" w:rsidP="00ED2910">
      <w:pPr>
        <w:pStyle w:val="BodyText"/>
        <w:tabs>
          <w:tab w:val="left" w:pos="630"/>
        </w:tabs>
        <w:jc w:val="left"/>
        <w:rPr>
          <w:color w:val="000000"/>
        </w:rPr>
      </w:pPr>
      <w:r>
        <w:rPr>
          <w:color w:val="000000"/>
        </w:rPr>
        <w:tab/>
      </w:r>
      <w:r w:rsidR="008058D2">
        <w:rPr>
          <w:color w:val="000000"/>
        </w:rPr>
        <w:t xml:space="preserve">We find that </w:t>
      </w:r>
      <w:r w:rsidR="0041327C">
        <w:rPr>
          <w:color w:val="000000"/>
        </w:rPr>
        <w:t xml:space="preserve">MBC has not established </w:t>
      </w:r>
      <w:r w:rsidR="0041327C" w:rsidRPr="007E406A">
        <w:rPr>
          <w:color w:val="000000"/>
        </w:rPr>
        <w:t xml:space="preserve">that </w:t>
      </w:r>
      <w:r w:rsidR="00ED2910">
        <w:rPr>
          <w:color w:val="000000"/>
        </w:rPr>
        <w:t>it is entitled to relief under the OTARD Rule</w:t>
      </w:r>
      <w:r w:rsidR="0041327C">
        <w:rPr>
          <w:color w:val="000000"/>
        </w:rPr>
        <w:t xml:space="preserve">.  </w:t>
      </w:r>
      <w:r w:rsidR="00796884">
        <w:rPr>
          <w:color w:val="000000"/>
        </w:rPr>
        <w:t xml:space="preserve">We </w:t>
      </w:r>
      <w:r w:rsidR="001F2E73">
        <w:rPr>
          <w:color w:val="000000"/>
        </w:rPr>
        <w:t>disagree with MBC</w:t>
      </w:r>
      <w:r w:rsidR="00796884">
        <w:rPr>
          <w:color w:val="000000"/>
        </w:rPr>
        <w:t xml:space="preserve"> that </w:t>
      </w:r>
      <w:r w:rsidR="00796884" w:rsidRPr="00796884">
        <w:rPr>
          <w:color w:val="000000"/>
        </w:rPr>
        <w:t>permitting additional communications service providers to serve multi</w:t>
      </w:r>
      <w:r w:rsidR="00420812">
        <w:rPr>
          <w:color w:val="000000"/>
        </w:rPr>
        <w:t>ple occupancy</w:t>
      </w:r>
      <w:r w:rsidR="00796884" w:rsidRPr="00796884">
        <w:rPr>
          <w:color w:val="000000"/>
        </w:rPr>
        <w:t xml:space="preserve"> buildings</w:t>
      </w:r>
      <w:r w:rsidR="00796884">
        <w:rPr>
          <w:color w:val="000000"/>
        </w:rPr>
        <w:t xml:space="preserve"> at the request of </w:t>
      </w:r>
      <w:r w:rsidR="00707E1B">
        <w:rPr>
          <w:color w:val="000000"/>
        </w:rPr>
        <w:t>occupants</w:t>
      </w:r>
      <w:r w:rsidR="001F2E73">
        <w:rPr>
          <w:color w:val="000000"/>
        </w:rPr>
        <w:t xml:space="preserve">, as required under Article 52, </w:t>
      </w:r>
      <w:r w:rsidR="00796884" w:rsidRPr="00796884">
        <w:rPr>
          <w:color w:val="000000"/>
        </w:rPr>
        <w:t xml:space="preserve">impairs the ability of antenna users to install, maintain, or use an antenna covered by the OTARD Rule.  </w:t>
      </w:r>
      <w:r w:rsidR="00432585">
        <w:rPr>
          <w:color w:val="000000"/>
        </w:rPr>
        <w:t>Article 52 does not restrict the placement of antennas or any other aspect of antenna installation, use, or maintenance.</w:t>
      </w:r>
      <w:r w:rsidR="003468E2" w:rsidRPr="003468E2">
        <w:rPr>
          <w:rStyle w:val="FootnoteReference"/>
          <w:color w:val="000000"/>
        </w:rPr>
        <w:t xml:space="preserve"> </w:t>
      </w:r>
      <w:r w:rsidR="003468E2">
        <w:rPr>
          <w:rStyle w:val="FootnoteReference"/>
          <w:color w:val="000000"/>
        </w:rPr>
        <w:footnoteReference w:id="12"/>
      </w:r>
      <w:r w:rsidR="003468E2">
        <w:rPr>
          <w:color w:val="000000"/>
        </w:rPr>
        <w:t xml:space="preserve"> </w:t>
      </w:r>
      <w:r w:rsidR="00432585">
        <w:rPr>
          <w:color w:val="000000"/>
        </w:rPr>
        <w:t xml:space="preserve"> </w:t>
      </w:r>
      <w:r w:rsidR="00432585">
        <w:rPr>
          <w:color w:val="000000"/>
        </w:rPr>
        <w:lastRenderedPageBreak/>
        <w:t xml:space="preserve">Rather, </w:t>
      </w:r>
      <w:r w:rsidR="00441C85">
        <w:rPr>
          <w:color w:val="000000"/>
        </w:rPr>
        <w:t xml:space="preserve">Article 52 is directed at inside wiring.  Specifically, </w:t>
      </w:r>
      <w:r w:rsidR="00432585">
        <w:rPr>
          <w:color w:val="000000"/>
        </w:rPr>
        <w:t xml:space="preserve">it restricts a building owner’s </w:t>
      </w:r>
      <w:r w:rsidR="00441C85">
        <w:rPr>
          <w:color w:val="000000"/>
        </w:rPr>
        <w:t xml:space="preserve">ability to grant exclusive rights to use its inside wiring </w:t>
      </w:r>
      <w:r w:rsidR="00441C85" w:rsidRPr="00A2497A">
        <w:rPr>
          <w:color w:val="000000"/>
        </w:rPr>
        <w:t>or otherwise to interfere with an occupant’s right to obtain communications services from any provider it chooses, absent physical limitations.</w:t>
      </w:r>
      <w:r w:rsidR="00441C85" w:rsidDel="00441C85">
        <w:rPr>
          <w:color w:val="000000"/>
        </w:rPr>
        <w:t xml:space="preserve"> </w:t>
      </w:r>
      <w:r w:rsidR="00432585">
        <w:rPr>
          <w:color w:val="000000"/>
        </w:rPr>
        <w:t xml:space="preserve"> </w:t>
      </w:r>
      <w:r w:rsidR="003468E2">
        <w:rPr>
          <w:color w:val="000000"/>
        </w:rPr>
        <w:t>Although</w:t>
      </w:r>
      <w:r w:rsidR="00432585">
        <w:rPr>
          <w:color w:val="000000"/>
        </w:rPr>
        <w:t xml:space="preserve"> </w:t>
      </w:r>
      <w:r w:rsidR="00441C85">
        <w:rPr>
          <w:color w:val="000000"/>
        </w:rPr>
        <w:t xml:space="preserve">inside wiring is used to access </w:t>
      </w:r>
      <w:r w:rsidR="00432585">
        <w:rPr>
          <w:color w:val="000000"/>
        </w:rPr>
        <w:t xml:space="preserve">services that are delivered to building owners or consumers through antennas, or services that can be used with equipment that contains an antenna, </w:t>
      </w:r>
      <w:r w:rsidR="003468E2">
        <w:rPr>
          <w:color w:val="000000"/>
        </w:rPr>
        <w:t xml:space="preserve">nothing in Article 52 impairs the ability of </w:t>
      </w:r>
      <w:r w:rsidR="003468E2" w:rsidRPr="00796884">
        <w:rPr>
          <w:color w:val="000000"/>
        </w:rPr>
        <w:t>antenna users to install, maintain, or use an antenna covered by the OTARD Rule</w:t>
      </w:r>
      <w:r w:rsidR="003468E2">
        <w:rPr>
          <w:color w:val="000000"/>
        </w:rPr>
        <w:t xml:space="preserve">.  Thus, the MBC petition fails </w:t>
      </w:r>
      <w:r w:rsidR="00A2497A">
        <w:rPr>
          <w:color w:val="000000"/>
        </w:rPr>
        <w:t xml:space="preserve">to </w:t>
      </w:r>
      <w:r w:rsidR="00432585">
        <w:rPr>
          <w:color w:val="000000"/>
        </w:rPr>
        <w:t xml:space="preserve">establish an impairment under the OTARD </w:t>
      </w:r>
      <w:r w:rsidR="00D3546F">
        <w:rPr>
          <w:color w:val="000000"/>
        </w:rPr>
        <w:t>R</w:t>
      </w:r>
      <w:r w:rsidR="00432585">
        <w:rPr>
          <w:color w:val="000000"/>
        </w:rPr>
        <w:t xml:space="preserve">ule.  </w:t>
      </w:r>
      <w:r w:rsidR="00420812">
        <w:t>Further</w:t>
      </w:r>
      <w:r w:rsidR="0089175C">
        <w:t xml:space="preserve">, </w:t>
      </w:r>
      <w:r w:rsidR="00672961">
        <w:t xml:space="preserve">we reject </w:t>
      </w:r>
      <w:r w:rsidR="0089175C">
        <w:t>MBC</w:t>
      </w:r>
      <w:r w:rsidR="00AB4723">
        <w:t>’</w:t>
      </w:r>
      <w:r w:rsidR="0089175C">
        <w:t xml:space="preserve">s assertion that </w:t>
      </w:r>
      <w:r w:rsidR="00672961">
        <w:t xml:space="preserve">an impairment occurs under the OTARD Rule because </w:t>
      </w:r>
      <w:r w:rsidR="0089175C">
        <w:t>small</w:t>
      </w:r>
      <w:r w:rsidR="005A160C">
        <w:t>,</w:t>
      </w:r>
      <w:r w:rsidR="0089175C">
        <w:t xml:space="preserve"> independent providers will not be able to obtain financing without </w:t>
      </w:r>
      <w:r w:rsidR="00FA62DF">
        <w:t>“</w:t>
      </w:r>
      <w:r w:rsidR="0089175C">
        <w:t>the</w:t>
      </w:r>
      <w:r w:rsidR="00FA62DF">
        <w:t xml:space="preserve"> ability to secure the </w:t>
      </w:r>
      <w:r w:rsidR="0089175C">
        <w:t>exclusive right to use designated wiring</w:t>
      </w:r>
      <w:r w:rsidR="005A160C">
        <w:t>,</w:t>
      </w:r>
      <w:r w:rsidR="0089175C">
        <w:t>”</w:t>
      </w:r>
      <w:r w:rsidR="005A160C">
        <w:t xml:space="preserve"> </w:t>
      </w:r>
      <w:r w:rsidR="00F823E8">
        <w:t>effectively</w:t>
      </w:r>
      <w:r w:rsidR="005A160C">
        <w:t xml:space="preserve"> </w:t>
      </w:r>
      <w:r w:rsidR="00D06450">
        <w:t>excluding</w:t>
      </w:r>
      <w:r w:rsidR="005A160C">
        <w:t xml:space="preserve"> them from </w:t>
      </w:r>
      <w:r w:rsidR="00F823E8">
        <w:t>providing competitive services at multi-tenant locations</w:t>
      </w:r>
      <w:r w:rsidR="005A160C">
        <w:t>.</w:t>
      </w:r>
      <w:r w:rsidR="0089175C">
        <w:rPr>
          <w:rStyle w:val="FootnoteReference"/>
        </w:rPr>
        <w:footnoteReference w:id="13"/>
      </w:r>
      <w:r w:rsidR="00672961">
        <w:t xml:space="preserve">  </w:t>
      </w:r>
      <w:r w:rsidR="00233735">
        <w:t>U</w:t>
      </w:r>
      <w:r w:rsidR="0055393A">
        <w:t xml:space="preserve">ltimately, the OTARD Rule exists to </w:t>
      </w:r>
      <w:r w:rsidR="00CB04EE">
        <w:t>enable</w:t>
      </w:r>
      <w:r w:rsidR="009536D7">
        <w:t xml:space="preserve"> </w:t>
      </w:r>
      <w:r w:rsidR="0055393A">
        <w:t>consumer</w:t>
      </w:r>
      <w:r w:rsidR="00CB04EE">
        <w:t>s to use the service</w:t>
      </w:r>
      <w:r w:rsidR="001F5114">
        <w:t>s</w:t>
      </w:r>
      <w:r w:rsidR="00CB04EE">
        <w:t xml:space="preserve"> of their choosing free from undue restrictions imposed by property owners or governmental authorities</w:t>
      </w:r>
      <w:r w:rsidR="00A4025A">
        <w:t>, and not to protect the ability of any particular service provider to secure financing</w:t>
      </w:r>
      <w:r w:rsidR="00C7655E">
        <w:t xml:space="preserve"> by excluding others</w:t>
      </w:r>
      <w:r w:rsidR="0055393A">
        <w:t>.</w:t>
      </w:r>
      <w:r w:rsidR="00E3283C">
        <w:t xml:space="preserve">  </w:t>
      </w:r>
      <w:r w:rsidR="00E3283C" w:rsidRPr="00A2497A">
        <w:t xml:space="preserve">Article 52 </w:t>
      </w:r>
      <w:r w:rsidR="00ED2910" w:rsidRPr="00A2497A">
        <w:rPr>
          <w:color w:val="000000"/>
        </w:rPr>
        <w:t xml:space="preserve">requires building owners to allow additional communications service providers to provide services requested by occupants and thus </w:t>
      </w:r>
      <w:r w:rsidR="005831BC" w:rsidRPr="00A2497A">
        <w:t xml:space="preserve">appears to </w:t>
      </w:r>
      <w:r w:rsidR="00AC3DC7" w:rsidRPr="00A2497A">
        <w:t>support</w:t>
      </w:r>
      <w:r w:rsidR="00091DBD" w:rsidRPr="00A2497A">
        <w:t xml:space="preserve"> </w:t>
      </w:r>
      <w:r w:rsidR="005831BC" w:rsidRPr="00A2497A">
        <w:t>these objectives</w:t>
      </w:r>
      <w:r w:rsidR="00AC3DC7" w:rsidRPr="00A2497A">
        <w:t xml:space="preserve"> by promoting choice </w:t>
      </w:r>
      <w:r w:rsidR="004E5E97" w:rsidRPr="00A2497A">
        <w:t xml:space="preserve">in the provision of communications services </w:t>
      </w:r>
      <w:r w:rsidR="00AC3DC7" w:rsidRPr="00A2497A">
        <w:t>to consumers</w:t>
      </w:r>
      <w:r w:rsidR="00E3283C" w:rsidRPr="00A2497A">
        <w:t>.</w:t>
      </w:r>
      <w:r w:rsidR="00ED2910" w:rsidRPr="00A2497A">
        <w:rPr>
          <w:rStyle w:val="FootnoteReference"/>
        </w:rPr>
        <w:footnoteReference w:id="14"/>
      </w:r>
      <w:r w:rsidR="00ED2910">
        <w:t xml:space="preserve">  </w:t>
      </w:r>
    </w:p>
    <w:p w14:paraId="5808BC48" w14:textId="77777777" w:rsidR="00D21D2A" w:rsidRDefault="00D21D2A" w:rsidP="00ED2910">
      <w:pPr>
        <w:pStyle w:val="BodyText"/>
        <w:tabs>
          <w:tab w:val="left" w:pos="630"/>
        </w:tabs>
        <w:jc w:val="left"/>
      </w:pPr>
    </w:p>
    <w:p w14:paraId="606E74FD" w14:textId="518223BF" w:rsidR="0041327C" w:rsidRPr="00ED2910" w:rsidRDefault="00D21D2A" w:rsidP="00ED2910">
      <w:pPr>
        <w:pStyle w:val="BodyText"/>
        <w:tabs>
          <w:tab w:val="left" w:pos="630"/>
        </w:tabs>
        <w:jc w:val="left"/>
        <w:rPr>
          <w:szCs w:val="22"/>
        </w:rPr>
      </w:pPr>
      <w:r>
        <w:tab/>
      </w:r>
      <w:r w:rsidR="00CD4C1E">
        <w:t>Because</w:t>
      </w:r>
      <w:r w:rsidR="004F01D8">
        <w:t xml:space="preserve"> </w:t>
      </w:r>
      <w:r w:rsidR="005165E0">
        <w:t xml:space="preserve">MBC has not </w:t>
      </w:r>
      <w:r w:rsidR="00233735">
        <w:t>established</w:t>
      </w:r>
      <w:r w:rsidR="00F57508">
        <w:t>, as a threshold matter,</w:t>
      </w:r>
      <w:r w:rsidR="00233735">
        <w:t xml:space="preserve"> </w:t>
      </w:r>
      <w:r w:rsidR="005165E0">
        <w:t xml:space="preserve">that </w:t>
      </w:r>
      <w:r w:rsidR="004F01D8">
        <w:t>Article 52 impair</w:t>
      </w:r>
      <w:r w:rsidR="005165E0">
        <w:t>s</w:t>
      </w:r>
      <w:r w:rsidR="004F01D8">
        <w:t xml:space="preserve"> an antenna user’s ability to install</w:t>
      </w:r>
      <w:r w:rsidR="00CD4C1E">
        <w:t xml:space="preserve">, maintain, or use </w:t>
      </w:r>
      <w:r w:rsidR="004F01D8">
        <w:t>a covered antenna under the OTARD Rule</w:t>
      </w:r>
      <w:r w:rsidR="00AD1EAD">
        <w:t xml:space="preserve">, </w:t>
      </w:r>
      <w:r w:rsidR="00AD1EAD">
        <w:rPr>
          <w:color w:val="000000"/>
        </w:rPr>
        <w:t>we are dismissing the Petition.</w:t>
      </w:r>
    </w:p>
    <w:p w14:paraId="1B049C45" w14:textId="072B2F55" w:rsidR="008754B1" w:rsidRDefault="008754B1">
      <w:pPr>
        <w:rPr>
          <w:sz w:val="22"/>
        </w:rPr>
      </w:pPr>
    </w:p>
    <w:p w14:paraId="7D15B8B0" w14:textId="6444D6A0" w:rsidR="00267510" w:rsidRDefault="00267510" w:rsidP="00255BC3">
      <w:pPr>
        <w:pStyle w:val="BodyText"/>
        <w:ind w:firstLine="720"/>
        <w:jc w:val="left"/>
      </w:pPr>
      <w:r>
        <w:t xml:space="preserve">Should you have any questions on this matter, please contact Kenneth Lewis, the </w:t>
      </w:r>
      <w:r w:rsidR="0018498B">
        <w:t>Commission</w:t>
      </w:r>
      <w:r w:rsidR="00DE4FCF">
        <w:t xml:space="preserve"> </w:t>
      </w:r>
      <w:r>
        <w:t>attorney assigned to this case, at (202) 418-2622.</w:t>
      </w:r>
    </w:p>
    <w:p w14:paraId="455B3957" w14:textId="77777777" w:rsidR="00B01E18" w:rsidRPr="00267510" w:rsidRDefault="009276B4" w:rsidP="00267510">
      <w:pPr>
        <w:rPr>
          <w:sz w:val="22"/>
          <w:szCs w:val="22"/>
        </w:rPr>
      </w:pPr>
      <w:r>
        <w:t xml:space="preserve">  </w:t>
      </w:r>
    </w:p>
    <w:p w14:paraId="57B38CC1" w14:textId="77777777" w:rsidR="00B01E18" w:rsidRPr="00F36263" w:rsidRDefault="00B01E18" w:rsidP="00B01E18">
      <w:pPr>
        <w:ind w:left="2880" w:firstLine="720"/>
        <w:jc w:val="both"/>
        <w:rPr>
          <w:sz w:val="22"/>
          <w:szCs w:val="22"/>
        </w:rPr>
      </w:pPr>
      <w:r w:rsidRPr="00F36263">
        <w:rPr>
          <w:sz w:val="22"/>
          <w:szCs w:val="22"/>
        </w:rPr>
        <w:t xml:space="preserve">Sincerely, </w:t>
      </w:r>
    </w:p>
    <w:p w14:paraId="1E2BB343" w14:textId="77777777" w:rsidR="00B01E18" w:rsidRPr="00F36263" w:rsidRDefault="00B01E18" w:rsidP="00B01E18">
      <w:pPr>
        <w:jc w:val="both"/>
        <w:rPr>
          <w:sz w:val="22"/>
          <w:szCs w:val="22"/>
        </w:rPr>
      </w:pPr>
    </w:p>
    <w:p w14:paraId="0D88E171" w14:textId="77777777" w:rsidR="00B01E18" w:rsidRPr="00F36263" w:rsidRDefault="00B01E18" w:rsidP="00B01E18">
      <w:pPr>
        <w:jc w:val="both"/>
        <w:rPr>
          <w:sz w:val="22"/>
          <w:szCs w:val="22"/>
        </w:rPr>
      </w:pPr>
    </w:p>
    <w:p w14:paraId="573D6632" w14:textId="77777777" w:rsidR="00B01E18" w:rsidRPr="00F36263" w:rsidRDefault="0010582F" w:rsidP="00B01E1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69866434" w14:textId="77777777" w:rsidR="009071F4" w:rsidRPr="00BD7A50" w:rsidRDefault="009071F4" w:rsidP="009071F4">
      <w:pPr>
        <w:pStyle w:val="Heading2"/>
        <w:ind w:left="2880" w:firstLine="720"/>
        <w:jc w:val="both"/>
        <w:rPr>
          <w:sz w:val="22"/>
          <w:szCs w:val="22"/>
        </w:rPr>
      </w:pPr>
      <w:r w:rsidRPr="00BD7A50">
        <w:rPr>
          <w:sz w:val="22"/>
          <w:szCs w:val="22"/>
        </w:rPr>
        <w:t>Maria Mullarkey</w:t>
      </w:r>
      <w:r w:rsidRPr="00BD7A50">
        <w:rPr>
          <w:sz w:val="22"/>
          <w:szCs w:val="22"/>
        </w:rPr>
        <w:tab/>
      </w:r>
    </w:p>
    <w:p w14:paraId="63BF0923" w14:textId="77777777" w:rsidR="009071F4" w:rsidRPr="00BD7A50" w:rsidRDefault="009071F4" w:rsidP="009071F4">
      <w:pPr>
        <w:ind w:left="2880" w:firstLine="720"/>
        <w:rPr>
          <w:sz w:val="22"/>
          <w:szCs w:val="22"/>
        </w:rPr>
      </w:pPr>
      <w:r w:rsidRPr="00BD7A50">
        <w:rPr>
          <w:sz w:val="22"/>
          <w:szCs w:val="22"/>
        </w:rPr>
        <w:t>Assistant Division Chief, Policy Division</w:t>
      </w:r>
    </w:p>
    <w:p w14:paraId="32CE7349" w14:textId="77777777" w:rsidR="009071F4" w:rsidRDefault="009071F4" w:rsidP="009071F4">
      <w:pPr>
        <w:ind w:left="2880" w:firstLine="720"/>
        <w:rPr>
          <w:sz w:val="22"/>
          <w:szCs w:val="22"/>
        </w:rPr>
      </w:pPr>
      <w:r w:rsidRPr="00BD7A50">
        <w:rPr>
          <w:sz w:val="22"/>
          <w:szCs w:val="22"/>
        </w:rPr>
        <w:t>Media Bureau</w:t>
      </w:r>
    </w:p>
    <w:p w14:paraId="35297CC1" w14:textId="77777777" w:rsidR="009071F4" w:rsidRDefault="009071F4" w:rsidP="0010582F">
      <w:pPr>
        <w:ind w:left="2880" w:firstLine="720"/>
        <w:rPr>
          <w:sz w:val="22"/>
          <w:szCs w:val="22"/>
        </w:rPr>
      </w:pPr>
    </w:p>
    <w:p w14:paraId="13A3CBA9" w14:textId="77777777" w:rsidR="00B01E18" w:rsidRDefault="00B01E18" w:rsidP="0010582F">
      <w:pPr>
        <w:ind w:left="2880" w:firstLine="720"/>
        <w:rPr>
          <w:sz w:val="22"/>
          <w:szCs w:val="22"/>
        </w:rPr>
      </w:pPr>
    </w:p>
    <w:p w14:paraId="1B78A456" w14:textId="77777777" w:rsidR="00903F29" w:rsidRDefault="00B21326" w:rsidP="00903F29">
      <w:pPr>
        <w:ind w:left="720" w:hanging="720"/>
        <w:rPr>
          <w:sz w:val="22"/>
          <w:szCs w:val="22"/>
        </w:rPr>
      </w:pPr>
      <w:r>
        <w:t xml:space="preserve">cc: </w:t>
      </w:r>
      <w:r w:rsidR="00242056">
        <w:tab/>
      </w:r>
      <w:r w:rsidR="00267510">
        <w:rPr>
          <w:sz w:val="22"/>
          <w:szCs w:val="22"/>
        </w:rPr>
        <w:t>Mr. Dennis Herrera</w:t>
      </w:r>
    </w:p>
    <w:p w14:paraId="7E4537E7" w14:textId="77777777" w:rsidR="00267510" w:rsidRDefault="00267510" w:rsidP="00903F29">
      <w:pPr>
        <w:ind w:left="720" w:hanging="720"/>
        <w:rPr>
          <w:sz w:val="22"/>
          <w:szCs w:val="22"/>
        </w:rPr>
      </w:pPr>
      <w:r>
        <w:rPr>
          <w:sz w:val="22"/>
          <w:szCs w:val="22"/>
        </w:rPr>
        <w:tab/>
        <w:t>City Attorney of San Francisco</w:t>
      </w:r>
    </w:p>
    <w:p w14:paraId="407E8FC1" w14:textId="77777777" w:rsidR="00267510" w:rsidRDefault="00267510" w:rsidP="00903F29">
      <w:pPr>
        <w:ind w:left="720" w:hanging="720"/>
        <w:rPr>
          <w:sz w:val="22"/>
          <w:szCs w:val="22"/>
        </w:rPr>
      </w:pPr>
      <w:r>
        <w:rPr>
          <w:sz w:val="22"/>
          <w:szCs w:val="22"/>
        </w:rPr>
        <w:tab/>
        <w:t>Office of the City Attorney</w:t>
      </w:r>
    </w:p>
    <w:p w14:paraId="525DBC40" w14:textId="77777777" w:rsidR="00267510" w:rsidRDefault="00267510" w:rsidP="00903F29">
      <w:pPr>
        <w:ind w:left="720" w:hanging="720"/>
        <w:rPr>
          <w:sz w:val="22"/>
          <w:szCs w:val="22"/>
        </w:rPr>
      </w:pPr>
      <w:r>
        <w:rPr>
          <w:sz w:val="22"/>
          <w:szCs w:val="22"/>
        </w:rPr>
        <w:tab/>
        <w:t>City Hall, Room 234</w:t>
      </w:r>
    </w:p>
    <w:p w14:paraId="710BB49F" w14:textId="77777777" w:rsidR="00267510" w:rsidRDefault="00267510" w:rsidP="00903F29">
      <w:pPr>
        <w:ind w:left="720" w:hanging="720"/>
        <w:rPr>
          <w:sz w:val="22"/>
          <w:szCs w:val="22"/>
        </w:rPr>
      </w:pPr>
      <w:r>
        <w:rPr>
          <w:sz w:val="22"/>
          <w:szCs w:val="22"/>
        </w:rPr>
        <w:tab/>
        <w:t>1 Dr. Carlton B. Goodlett Pl.</w:t>
      </w:r>
    </w:p>
    <w:p w14:paraId="691D1BA4" w14:textId="77777777" w:rsidR="00267510" w:rsidRDefault="00267510" w:rsidP="00903F29">
      <w:pPr>
        <w:ind w:left="720" w:hanging="720"/>
        <w:rPr>
          <w:sz w:val="22"/>
          <w:szCs w:val="22"/>
        </w:rPr>
      </w:pPr>
      <w:r>
        <w:rPr>
          <w:sz w:val="22"/>
          <w:szCs w:val="22"/>
        </w:rPr>
        <w:tab/>
        <w:t>San Francisco, CA 94102</w:t>
      </w:r>
    </w:p>
    <w:p w14:paraId="1CBA415D" w14:textId="77777777" w:rsidR="00267510" w:rsidRDefault="00267510" w:rsidP="00903F29">
      <w:pPr>
        <w:ind w:left="720" w:hanging="720"/>
        <w:rPr>
          <w:sz w:val="22"/>
          <w:szCs w:val="22"/>
        </w:rPr>
      </w:pPr>
    </w:p>
    <w:p w14:paraId="306A5E02" w14:textId="77777777" w:rsidR="00267510" w:rsidRDefault="00267510" w:rsidP="00903F29">
      <w:pPr>
        <w:ind w:left="720" w:hanging="720"/>
        <w:rPr>
          <w:sz w:val="22"/>
          <w:szCs w:val="22"/>
        </w:rPr>
      </w:pPr>
      <w:r>
        <w:rPr>
          <w:sz w:val="22"/>
          <w:szCs w:val="22"/>
        </w:rPr>
        <w:tab/>
        <w:t>Office of the Controller</w:t>
      </w:r>
    </w:p>
    <w:p w14:paraId="7BA548AA" w14:textId="77777777" w:rsidR="00267510" w:rsidRDefault="00267510" w:rsidP="00903F29">
      <w:pPr>
        <w:ind w:left="720" w:hanging="720"/>
        <w:rPr>
          <w:sz w:val="22"/>
          <w:szCs w:val="22"/>
        </w:rPr>
      </w:pPr>
      <w:r>
        <w:rPr>
          <w:sz w:val="22"/>
          <w:szCs w:val="22"/>
        </w:rPr>
        <w:tab/>
        <w:t>City Hall, Room 316</w:t>
      </w:r>
    </w:p>
    <w:p w14:paraId="0EE1AF13" w14:textId="77777777" w:rsidR="006A6FD0" w:rsidRDefault="00267510" w:rsidP="006A6FD0">
      <w:pPr>
        <w:ind w:left="720" w:hanging="720"/>
        <w:rPr>
          <w:sz w:val="22"/>
          <w:szCs w:val="22"/>
        </w:rPr>
      </w:pPr>
      <w:r>
        <w:rPr>
          <w:sz w:val="22"/>
          <w:szCs w:val="22"/>
        </w:rPr>
        <w:tab/>
      </w:r>
      <w:r w:rsidR="006A6FD0">
        <w:rPr>
          <w:sz w:val="22"/>
          <w:szCs w:val="22"/>
        </w:rPr>
        <w:t>1 Dr. Carlton B. Goodlett Pl.</w:t>
      </w:r>
    </w:p>
    <w:p w14:paraId="70FF7168" w14:textId="6E09037F" w:rsidR="00E774A8" w:rsidRPr="008976A6" w:rsidRDefault="006A6FD0" w:rsidP="002E1E9B">
      <w:pPr>
        <w:ind w:left="720" w:hanging="720"/>
        <w:rPr>
          <w:sz w:val="22"/>
          <w:szCs w:val="22"/>
        </w:rPr>
      </w:pPr>
      <w:r>
        <w:rPr>
          <w:sz w:val="22"/>
          <w:szCs w:val="22"/>
        </w:rPr>
        <w:tab/>
        <w:t>San Francisco, CA 94102</w:t>
      </w:r>
    </w:p>
    <w:sectPr w:rsidR="00E774A8" w:rsidRPr="008976A6" w:rsidSect="009A6D84">
      <w:headerReference w:type="even" r:id="rId7"/>
      <w:headerReference w:type="default" r:id="rId8"/>
      <w:footerReference w:type="even" r:id="rId9"/>
      <w:footerReference w:type="default" r:id="rId10"/>
      <w:headerReference w:type="first" r:id="rId11"/>
      <w:footerReference w:type="first" r:id="rId12"/>
      <w:pgSz w:w="12240" w:h="15840" w:code="1"/>
      <w:pgMar w:top="1728"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CA5E" w14:textId="77777777" w:rsidR="0071458C" w:rsidRDefault="0071458C">
      <w:r>
        <w:separator/>
      </w:r>
    </w:p>
  </w:endnote>
  <w:endnote w:type="continuationSeparator" w:id="0">
    <w:p w14:paraId="6AA91B04" w14:textId="77777777" w:rsidR="0071458C" w:rsidRDefault="0071458C">
      <w:r>
        <w:continuationSeparator/>
      </w:r>
    </w:p>
  </w:endnote>
  <w:endnote w:type="continuationNotice" w:id="1">
    <w:p w14:paraId="2FD56578" w14:textId="77777777" w:rsidR="0071458C" w:rsidRDefault="00714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7A86" w14:textId="77777777" w:rsidR="004D2F6B" w:rsidRDefault="004D2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CE67" w14:textId="77777777" w:rsidR="004D2F6B" w:rsidRDefault="004D2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1DF3" w14:textId="77777777" w:rsidR="004D2F6B" w:rsidRDefault="004D2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F4318" w14:textId="77777777" w:rsidR="0071458C" w:rsidRDefault="0071458C">
      <w:r>
        <w:separator/>
      </w:r>
    </w:p>
  </w:footnote>
  <w:footnote w:type="continuationSeparator" w:id="0">
    <w:p w14:paraId="7BA47453" w14:textId="77777777" w:rsidR="0071458C" w:rsidRDefault="0071458C">
      <w:r>
        <w:continuationSeparator/>
      </w:r>
    </w:p>
  </w:footnote>
  <w:footnote w:type="continuationNotice" w:id="1">
    <w:p w14:paraId="40965D04" w14:textId="77777777" w:rsidR="0071458C" w:rsidRDefault="0071458C"/>
  </w:footnote>
  <w:footnote w:id="2">
    <w:p w14:paraId="40563D13" w14:textId="77777777" w:rsidR="005B21EA" w:rsidRPr="0004367E" w:rsidRDefault="005B21EA" w:rsidP="004055D7">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Article 52 of the San Francisco Police Code, Ordinance No. 250-16: Occupant’s Right to Choose a Communications Services Provider.</w:t>
      </w:r>
    </w:p>
  </w:footnote>
  <w:footnote w:id="3">
    <w:p w14:paraId="4771C603" w14:textId="77777777" w:rsidR="007A34D4" w:rsidRPr="0004367E" w:rsidRDefault="007A34D4" w:rsidP="00885DE3">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Petition at 1, n.3.</w:t>
      </w:r>
    </w:p>
  </w:footnote>
  <w:footnote w:id="4">
    <w:p w14:paraId="5A27F3DD" w14:textId="49C346EB" w:rsidR="00A77FB0" w:rsidRPr="0004367E" w:rsidRDefault="00140587" w:rsidP="0004367E">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w:t>
      </w:r>
      <w:r w:rsidR="00F55996" w:rsidRPr="0004367E">
        <w:rPr>
          <w:rFonts w:ascii="Times New Roman" w:hAnsi="Times New Roman"/>
        </w:rPr>
        <w:t xml:space="preserve">Petition at </w:t>
      </w:r>
      <w:r w:rsidR="00966530" w:rsidRPr="0004367E">
        <w:rPr>
          <w:rFonts w:ascii="Times New Roman" w:hAnsi="Times New Roman"/>
        </w:rPr>
        <w:t>5, 10-14 &amp; Ex. B (Terheggen Decl.).</w:t>
      </w:r>
    </w:p>
  </w:footnote>
  <w:footnote w:id="5">
    <w:p w14:paraId="585F5308" w14:textId="60C43D6D" w:rsidR="0004367E" w:rsidRPr="0004367E" w:rsidRDefault="0004367E" w:rsidP="0004367E">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w:t>
      </w:r>
      <w:r w:rsidRPr="0004367E">
        <w:rPr>
          <w:rFonts w:ascii="Times New Roman" w:hAnsi="Times New Roman"/>
          <w:i/>
        </w:rPr>
        <w:t>Id</w:t>
      </w:r>
      <w:r w:rsidRPr="0004367E">
        <w:rPr>
          <w:rFonts w:ascii="Times New Roman" w:hAnsi="Times New Roman"/>
        </w:rPr>
        <w:t xml:space="preserve">. at 2-3.  A “multiple occupancy building” is defined as (i) an apartment building, apartment complex, or any other group of residential units located upon a single premises or lot, provided that such multiple dwelling unit contains at least four separate units; and (ii) a multi-tenant building used for business purposes that has separate units occupied by at least four different persons.  </w:t>
      </w:r>
      <w:r w:rsidRPr="0004367E">
        <w:rPr>
          <w:rFonts w:ascii="Times New Roman" w:hAnsi="Times New Roman"/>
          <w:i/>
        </w:rPr>
        <w:t>Id</w:t>
      </w:r>
      <w:r w:rsidRPr="0004367E">
        <w:rPr>
          <w:rFonts w:ascii="Times New Roman" w:hAnsi="Times New Roman"/>
        </w:rPr>
        <w:t xml:space="preserve">. at Exh. A (Article 52, Sec. 5200).  The Petition also refers to such buildings as “multi-tenant buildings.”  </w:t>
      </w:r>
      <w:r w:rsidRPr="0004367E">
        <w:rPr>
          <w:rFonts w:ascii="Times New Roman" w:hAnsi="Times New Roman"/>
          <w:i/>
        </w:rPr>
        <w:t>See, e.g.</w:t>
      </w:r>
      <w:r w:rsidRPr="0004367E">
        <w:rPr>
          <w:rFonts w:ascii="Times New Roman" w:hAnsi="Times New Roman"/>
        </w:rPr>
        <w:t xml:space="preserve">, </w:t>
      </w:r>
      <w:r w:rsidRPr="0004367E">
        <w:rPr>
          <w:rFonts w:ascii="Times New Roman" w:hAnsi="Times New Roman"/>
          <w:i/>
        </w:rPr>
        <w:t>id</w:t>
      </w:r>
      <w:r w:rsidRPr="0004367E">
        <w:rPr>
          <w:rFonts w:ascii="Times New Roman" w:hAnsi="Times New Roman"/>
        </w:rPr>
        <w:t xml:space="preserve">. at 1. </w:t>
      </w:r>
      <w:r w:rsidR="00D3546F">
        <w:rPr>
          <w:rFonts w:ascii="Times New Roman" w:hAnsi="Times New Roman"/>
        </w:rPr>
        <w:t xml:space="preserve"> </w:t>
      </w:r>
      <w:r w:rsidRPr="0004367E">
        <w:rPr>
          <w:rFonts w:ascii="Times New Roman" w:hAnsi="Times New Roman"/>
        </w:rPr>
        <w:t xml:space="preserve">“Existing wiring” means “both home run wiring and cable home wiring . . ., except that those terms as used herein shall apply only to the home run wiring or cable home wiring owned by a property owner.”  </w:t>
      </w:r>
      <w:r w:rsidRPr="0004367E">
        <w:rPr>
          <w:rFonts w:ascii="Times New Roman" w:hAnsi="Times New Roman"/>
          <w:i/>
        </w:rPr>
        <w:t>Id.</w:t>
      </w:r>
    </w:p>
  </w:footnote>
  <w:footnote w:id="6">
    <w:p w14:paraId="68410DAD" w14:textId="77777777" w:rsidR="00CF4A9F" w:rsidRPr="0004367E" w:rsidRDefault="00FE45AD" w:rsidP="004055D7">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w:t>
      </w:r>
      <w:r w:rsidRPr="0004367E">
        <w:rPr>
          <w:rFonts w:ascii="Times New Roman" w:hAnsi="Times New Roman"/>
          <w:i/>
        </w:rPr>
        <w:t>Id</w:t>
      </w:r>
      <w:r w:rsidRPr="0004367E">
        <w:rPr>
          <w:rFonts w:ascii="Times New Roman" w:hAnsi="Times New Roman"/>
        </w:rPr>
        <w:t xml:space="preserve">. at </w:t>
      </w:r>
      <w:r w:rsidR="00DA0E78" w:rsidRPr="0004367E">
        <w:rPr>
          <w:rFonts w:ascii="Times New Roman" w:hAnsi="Times New Roman"/>
        </w:rPr>
        <w:t xml:space="preserve">3, </w:t>
      </w:r>
      <w:r w:rsidR="00AE0390" w:rsidRPr="0004367E">
        <w:rPr>
          <w:rFonts w:ascii="Times New Roman" w:hAnsi="Times New Roman"/>
        </w:rPr>
        <w:t>15-16.</w:t>
      </w:r>
    </w:p>
  </w:footnote>
  <w:footnote w:id="7">
    <w:p w14:paraId="500240F3" w14:textId="1C0D5F82" w:rsidR="00CF4A9F" w:rsidRPr="0004367E" w:rsidRDefault="00FE45AD" w:rsidP="004055D7">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w:t>
      </w:r>
      <w:r w:rsidRPr="0004367E">
        <w:rPr>
          <w:rFonts w:ascii="Times New Roman" w:hAnsi="Times New Roman"/>
          <w:i/>
        </w:rPr>
        <w:t>Id</w:t>
      </w:r>
      <w:r w:rsidRPr="0004367E">
        <w:rPr>
          <w:rFonts w:ascii="Times New Roman" w:hAnsi="Times New Roman"/>
        </w:rPr>
        <w:t>. at 4</w:t>
      </w:r>
      <w:r w:rsidR="00DA0E78" w:rsidRPr="0004367E">
        <w:rPr>
          <w:rFonts w:ascii="Times New Roman" w:hAnsi="Times New Roman"/>
        </w:rPr>
        <w:t>, 16-17</w:t>
      </w:r>
      <w:r w:rsidRPr="0004367E">
        <w:rPr>
          <w:rFonts w:ascii="Times New Roman" w:hAnsi="Times New Roman"/>
        </w:rPr>
        <w:t>.</w:t>
      </w:r>
    </w:p>
  </w:footnote>
  <w:footnote w:id="8">
    <w:p w14:paraId="01829D72" w14:textId="77777777" w:rsidR="00FE45AD" w:rsidRPr="0004367E" w:rsidRDefault="00FE45AD" w:rsidP="00885DE3">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w:t>
      </w:r>
      <w:r w:rsidRPr="0004367E">
        <w:rPr>
          <w:rFonts w:ascii="Times New Roman" w:hAnsi="Times New Roman"/>
          <w:i/>
        </w:rPr>
        <w:t>Id.</w:t>
      </w:r>
      <w:r w:rsidRPr="0004367E">
        <w:rPr>
          <w:rFonts w:ascii="Times New Roman" w:hAnsi="Times New Roman"/>
        </w:rPr>
        <w:t xml:space="preserve"> at </w:t>
      </w:r>
      <w:r w:rsidR="00DA0E78" w:rsidRPr="0004367E">
        <w:rPr>
          <w:rFonts w:ascii="Times New Roman" w:hAnsi="Times New Roman"/>
        </w:rPr>
        <w:t>4-5, 21</w:t>
      </w:r>
      <w:r w:rsidR="00AE0390" w:rsidRPr="0004367E">
        <w:rPr>
          <w:rFonts w:ascii="Times New Roman" w:hAnsi="Times New Roman"/>
        </w:rPr>
        <w:t>.</w:t>
      </w:r>
    </w:p>
  </w:footnote>
  <w:footnote w:id="9">
    <w:p w14:paraId="22323D7A" w14:textId="77777777" w:rsidR="002B70F2" w:rsidRPr="0004367E" w:rsidRDefault="002B70F2" w:rsidP="004055D7">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w:t>
      </w:r>
      <w:r w:rsidRPr="0004367E">
        <w:rPr>
          <w:rFonts w:ascii="Times New Roman" w:hAnsi="Times New Roman"/>
          <w:i/>
        </w:rPr>
        <w:t>Id</w:t>
      </w:r>
      <w:r w:rsidR="004055D7" w:rsidRPr="0004367E">
        <w:rPr>
          <w:rFonts w:ascii="Times New Roman" w:hAnsi="Times New Roman"/>
        </w:rPr>
        <w:t>. at ii.</w:t>
      </w:r>
    </w:p>
  </w:footnote>
  <w:footnote w:id="10">
    <w:p w14:paraId="74C62417" w14:textId="06CE5DBF" w:rsidR="00432585" w:rsidRPr="0004367E" w:rsidRDefault="00432585" w:rsidP="00432585">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w:t>
      </w:r>
      <w:r w:rsidRPr="0004367E">
        <w:rPr>
          <w:rFonts w:ascii="Times New Roman" w:hAnsi="Times New Roman"/>
          <w:i/>
        </w:rPr>
        <w:t xml:space="preserve">Id. </w:t>
      </w:r>
      <w:r w:rsidRPr="0004367E">
        <w:rPr>
          <w:rFonts w:ascii="Times New Roman" w:hAnsi="Times New Roman"/>
        </w:rPr>
        <w:t>at 14-18.</w:t>
      </w:r>
    </w:p>
  </w:footnote>
  <w:footnote w:id="11">
    <w:p w14:paraId="7C6D3038" w14:textId="77777777" w:rsidR="000E635B" w:rsidRPr="0004367E" w:rsidRDefault="000E635B" w:rsidP="004055D7">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The OTARD Rule applies to direct broadcast satellite antennas or antennas used to receive or transmit fixed wireless signals that are one meter or less in diameter or any size in Alaska; antennas that are one meter or less in diameter or diagonal measurement and are used to receive video programming services through multipoint distribution services; and antennas used to receive television broadcast signals.  47 C.F.R. § 1.4000(a)(1)(i)-(iii).  “Fixed wireless signals” are defined to include any commercial, non-broadcast communications signals transmitted via wireless technology to and/or from a fixed customer location.  </w:t>
      </w:r>
      <w:r w:rsidRPr="0004367E">
        <w:rPr>
          <w:rFonts w:ascii="Times New Roman" w:hAnsi="Times New Roman"/>
          <w:i/>
        </w:rPr>
        <w:t>Id</w:t>
      </w:r>
      <w:r w:rsidRPr="0004367E">
        <w:rPr>
          <w:rFonts w:ascii="Times New Roman" w:hAnsi="Times New Roman"/>
        </w:rPr>
        <w:t>. § 1.4000(a)(2).</w:t>
      </w:r>
    </w:p>
  </w:footnote>
  <w:footnote w:id="12">
    <w:p w14:paraId="22FA472F" w14:textId="39D241B9" w:rsidR="003468E2" w:rsidRPr="0004367E" w:rsidRDefault="003468E2" w:rsidP="00043557">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w:t>
      </w:r>
      <w:r w:rsidRPr="0004367E">
        <w:rPr>
          <w:rFonts w:ascii="Times New Roman" w:hAnsi="Times New Roman"/>
          <w:i/>
        </w:rPr>
        <w:t>See Promotion of Competitive Networks</w:t>
      </w:r>
      <w:r w:rsidRPr="0004367E">
        <w:rPr>
          <w:rFonts w:ascii="Times New Roman" w:hAnsi="Times New Roman"/>
        </w:rPr>
        <w:t xml:space="preserve">, 15 FCC Rcd 22983, 23025 (2000) (“We adopted Section 1.4000 pursuant to Section 303 of the Communications Act as directed by Section 207 of the 1996 Act, which applies to the placement of over-the-air reception devices (OTARDs) in order to receive television broadcast signals, direct broadcast satellite services, and multichannel multipoint distribution services.”).  </w:t>
      </w:r>
      <w:r w:rsidRPr="0004367E">
        <w:rPr>
          <w:rFonts w:ascii="Times New Roman" w:hAnsi="Times New Roman"/>
          <w:i/>
        </w:rPr>
        <w:t>Id.</w:t>
      </w:r>
      <w:r w:rsidRPr="0004367E">
        <w:rPr>
          <w:rFonts w:ascii="Times New Roman" w:hAnsi="Times New Roman"/>
        </w:rPr>
        <w:t xml:space="preserve"> at 23027 (“To the extent a restriction unreasonably limits a customer</w:t>
      </w:r>
      <w:r w:rsidR="00D3546F">
        <w:rPr>
          <w:rFonts w:ascii="Times New Roman" w:hAnsi="Times New Roman"/>
        </w:rPr>
        <w:t>’</w:t>
      </w:r>
      <w:r w:rsidRPr="0004367E">
        <w:rPr>
          <w:rFonts w:ascii="Times New Roman" w:hAnsi="Times New Roman"/>
        </w:rPr>
        <w:t>s ability to place antennas to receive telecommunications or other services, whether imposed by government, homeowner associations, building owners, or other third parties, that restriction impedes the development of advanced, competitive services.”);</w:t>
      </w:r>
      <w:r w:rsidRPr="0004367E">
        <w:rPr>
          <w:rFonts w:ascii="Times New Roman" w:hAnsi="Times New Roman"/>
          <w:i/>
        </w:rPr>
        <w:t xml:space="preserve"> Preemption of Local Zoning Regulation of Satellite Earth Stations and Implementation of Section 207 of the Telecommunications Act of 1996; Restrictions on Over-the-Air Reception Devices: Television Broadcast Service and Multichannel Multipoint Distribution Service</w:t>
      </w:r>
      <w:r w:rsidRPr="0004367E">
        <w:rPr>
          <w:rFonts w:ascii="Times New Roman" w:hAnsi="Times New Roman"/>
        </w:rPr>
        <w:t>, Report and Order, Memorandum Opinion and Order, and Further Notice of Proposed Rulemaking, 11 FCC Rcd 19276, 19307 (1996) (</w:t>
      </w:r>
      <w:r w:rsidRPr="0004367E">
        <w:rPr>
          <w:rFonts w:ascii="Times New Roman" w:hAnsi="Times New Roman"/>
          <w:i/>
        </w:rPr>
        <w:t>OTARD Report and Order</w:t>
      </w:r>
      <w:r w:rsidRPr="0004367E">
        <w:rPr>
          <w:rFonts w:ascii="Times New Roman" w:hAnsi="Times New Roman"/>
        </w:rPr>
        <w:t>) (“In addition to covering restrictions on antenna placement on property owned by the viewer, our rule will also apply where an individual who has a direct or indirect ownership interest in the property seeks to install an antenna in an area that is within his or her exclusive use or control.”).</w:t>
      </w:r>
    </w:p>
  </w:footnote>
  <w:footnote w:id="13">
    <w:p w14:paraId="69F22966" w14:textId="77777777" w:rsidR="0089175C" w:rsidRPr="0004367E" w:rsidRDefault="0089175C" w:rsidP="004055D7">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Petition at 15-16.</w:t>
      </w:r>
    </w:p>
  </w:footnote>
  <w:footnote w:id="14">
    <w:p w14:paraId="4FD89467" w14:textId="523038E3" w:rsidR="00ED2910" w:rsidRPr="007D3B8C" w:rsidRDefault="00ED2910" w:rsidP="00ED2910">
      <w:pPr>
        <w:pStyle w:val="FootnoteText"/>
        <w:spacing w:after="120"/>
        <w:rPr>
          <w:rFonts w:ascii="Times New Roman" w:hAnsi="Times New Roman"/>
        </w:rPr>
      </w:pPr>
      <w:r w:rsidRPr="0004367E">
        <w:rPr>
          <w:rStyle w:val="FootnoteReference"/>
          <w:rFonts w:ascii="Times New Roman" w:hAnsi="Times New Roman"/>
        </w:rPr>
        <w:footnoteRef/>
      </w:r>
      <w:r w:rsidRPr="0004367E">
        <w:rPr>
          <w:rFonts w:ascii="Times New Roman" w:hAnsi="Times New Roman"/>
        </w:rPr>
        <w:t xml:space="preserve"> </w:t>
      </w:r>
      <w:r w:rsidRPr="0004367E">
        <w:rPr>
          <w:rFonts w:ascii="Times New Roman" w:hAnsi="Times New Roman"/>
          <w:i/>
        </w:rPr>
        <w:t>See</w:t>
      </w:r>
      <w:r w:rsidR="001720CC" w:rsidRPr="0004367E">
        <w:rPr>
          <w:rFonts w:ascii="Times New Roman" w:hAnsi="Times New Roman"/>
          <w:i/>
        </w:rPr>
        <w:t xml:space="preserve"> OTARD Report and Order</w:t>
      </w:r>
      <w:r w:rsidRPr="0004367E">
        <w:rPr>
          <w:rFonts w:ascii="Times New Roman" w:hAnsi="Times New Roman"/>
        </w:rPr>
        <w:t xml:space="preserve">, 11 FCC Rcd </w:t>
      </w:r>
      <w:r w:rsidR="001720CC" w:rsidRPr="0004367E">
        <w:rPr>
          <w:rFonts w:ascii="Times New Roman" w:hAnsi="Times New Roman"/>
        </w:rPr>
        <w:t>at</w:t>
      </w:r>
      <w:r w:rsidRPr="0004367E">
        <w:rPr>
          <w:rFonts w:ascii="Times New Roman" w:hAnsi="Times New Roman"/>
        </w:rPr>
        <w:t xml:space="preserve"> 19281-82 (“We have thus attempted to implement Section 207 in a way that produces greater competition and consumer choice by ensuring viewers</w:t>
      </w:r>
      <w:r w:rsidR="00D3546F">
        <w:rPr>
          <w:rFonts w:ascii="Times New Roman" w:hAnsi="Times New Roman"/>
        </w:rPr>
        <w:t>’</w:t>
      </w:r>
      <w:r w:rsidRPr="0004367E">
        <w:rPr>
          <w:rFonts w:ascii="Times New Roman" w:hAnsi="Times New Roman"/>
        </w:rPr>
        <w:t xml:space="preserve"> ability to receive over-the-air signals, while preserving local control of regulation of safety and historic areas.”); </w:t>
      </w:r>
      <w:r w:rsidRPr="0004367E">
        <w:rPr>
          <w:rFonts w:ascii="Times New Roman" w:hAnsi="Times New Roman"/>
          <w:i/>
        </w:rPr>
        <w:t>see also id.</w:t>
      </w:r>
      <w:r w:rsidRPr="0004367E">
        <w:rPr>
          <w:rFonts w:ascii="Times New Roman" w:hAnsi="Times New Roman"/>
        </w:rPr>
        <w:t>, Second Report and Order</w:t>
      </w:r>
      <w:r w:rsidRPr="00D3546F">
        <w:rPr>
          <w:rFonts w:ascii="Times New Roman" w:hAnsi="Times New Roman"/>
        </w:rPr>
        <w:t>,</w:t>
      </w:r>
      <w:r w:rsidRPr="0004367E">
        <w:rPr>
          <w:rFonts w:ascii="Times New Roman" w:hAnsi="Times New Roman"/>
        </w:rPr>
        <w:t xml:space="preserve"> 13 FCC Rcd 23874, 23875 (1998) (OTARD rule furthers the “two federal objectives of promoting competition among multichannel video providers and of providing viewers with access to multiple choices for video programming”), </w:t>
      </w:r>
      <w:r w:rsidRPr="0004367E">
        <w:rPr>
          <w:rFonts w:ascii="Times New Roman" w:hAnsi="Times New Roman"/>
          <w:i/>
        </w:rPr>
        <w:t>recon. denied</w:t>
      </w:r>
      <w:r w:rsidRPr="0004367E">
        <w:rPr>
          <w:rFonts w:ascii="Times New Roman" w:hAnsi="Times New Roman"/>
        </w:rPr>
        <w:t>, 14 FCC Rcd 19924 (1999).</w:t>
      </w:r>
      <w:r w:rsidRPr="007D3B8C">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3367" w14:textId="77777777" w:rsidR="004D2F6B" w:rsidRDefault="004D2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53F95" w14:textId="4CBF50E0" w:rsidR="00CB5FBE" w:rsidRDefault="00CB5FBE" w:rsidP="00C46EED">
    <w:pPr>
      <w:pStyle w:val="Header"/>
    </w:pPr>
    <w:r>
      <w:t>M</w:t>
    </w:r>
    <w:r w:rsidR="009E599C">
      <w:t xml:space="preserve">r. </w:t>
    </w:r>
    <w:r w:rsidR="00DE4FCF">
      <w:t xml:space="preserve">Bryan N. </w:t>
    </w:r>
    <w:r w:rsidR="00903F29">
      <w:t>Tramont</w:t>
    </w:r>
  </w:p>
  <w:p w14:paraId="37352281" w14:textId="12A5CE7B" w:rsidR="00617342" w:rsidRDefault="00095700" w:rsidP="00C46EED">
    <w:pPr>
      <w:pStyle w:val="Header"/>
    </w:pPr>
    <w:r>
      <w:t xml:space="preserve">May </w:t>
    </w:r>
    <w:r w:rsidR="000F1572">
      <w:t>4</w:t>
    </w:r>
    <w:r w:rsidR="00617342">
      <w:t>, 2017</w:t>
    </w:r>
  </w:p>
  <w:p w14:paraId="0C796D82" w14:textId="77777777" w:rsidR="00CB5FBE" w:rsidRDefault="00B60027">
    <w:pPr>
      <w:pStyle w:val="Header"/>
    </w:pPr>
    <w:r>
      <w:t xml:space="preserve">Page </w:t>
    </w:r>
    <w:r>
      <w:fldChar w:fldCharType="begin"/>
    </w:r>
    <w:r>
      <w:instrText xml:space="preserve"> PAGE   \* MERGEFORMAT </w:instrText>
    </w:r>
    <w:r>
      <w:fldChar w:fldCharType="separate"/>
    </w:r>
    <w:r w:rsidR="004B4ADD">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9FE3" w14:textId="77777777" w:rsidR="00CB5FBE" w:rsidRDefault="004B4ADD">
    <w:pPr>
      <w:pStyle w:val="Header"/>
      <w:tabs>
        <w:tab w:val="clear" w:pos="4320"/>
        <w:tab w:val="clear" w:pos="8640"/>
      </w:tabs>
      <w:spacing w:before="360" w:line="228" w:lineRule="auto"/>
      <w:jc w:val="center"/>
    </w:pPr>
    <w:r>
      <w:rPr>
        <w:rFonts w:ascii="CG Times (W1)" w:hAnsi="CG Times (W1)"/>
        <w:sz w:val="28"/>
      </w:rPr>
      <w:pict w14:anchorId="4ED5E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8752;visibility:visible;mso-wrap-edited:f" o:allowincell="f" filled="t" fillcolor="#3cc">
          <v:imagedata r:id="rId1" o:title="" gain="69719f"/>
        </v:shape>
        <o:OLEObject Type="Embed" ProgID="Word.Picture.8" ShapeID="_x0000_s2049" DrawAspect="Content" ObjectID="_1555397086" r:id="rId2"/>
      </w:pict>
    </w:r>
    <w:r w:rsidR="00CB5FBE">
      <w:rPr>
        <w:rFonts w:ascii="CG Times (W1)" w:hAnsi="CG Times (W1)"/>
        <w:sz w:val="28"/>
      </w:rPr>
      <w:t>Federal Communications Commission</w:t>
    </w:r>
  </w:p>
  <w:p w14:paraId="767FCD82" w14:textId="77777777" w:rsidR="00CB5FBE" w:rsidRDefault="00CB5FBE">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14:paraId="1FFBF2C8" w14:textId="77777777" w:rsidR="00CB5FBE" w:rsidRDefault="00CB5FBE">
    <w:pPr>
      <w:pStyle w:val="Header"/>
      <w:tabs>
        <w:tab w:val="clear" w:pos="4320"/>
      </w:tabs>
      <w:jc w:val="center"/>
      <w:rPr>
        <w:sz w:val="22"/>
      </w:rPr>
    </w:pPr>
  </w:p>
  <w:p w14:paraId="1F9DB48E" w14:textId="1D0378AA" w:rsidR="00CB5FBE" w:rsidRDefault="000C4BCC">
    <w:pPr>
      <w:pStyle w:val="Header"/>
      <w:tabs>
        <w:tab w:val="clear" w:pos="4320"/>
      </w:tabs>
      <w:jc w:val="center"/>
      <w:rPr>
        <w:sz w:val="22"/>
      </w:rPr>
    </w:pPr>
    <w:r>
      <w:rPr>
        <w:sz w:val="22"/>
      </w:rPr>
      <w:tab/>
      <w:t>DA 17-421</w:t>
    </w:r>
  </w:p>
  <w:p w14:paraId="00247385" w14:textId="357EAC93" w:rsidR="00CB5FBE" w:rsidRDefault="00CB5FBE">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8"/>
    <w:rsid w:val="00000C35"/>
    <w:rsid w:val="0000593F"/>
    <w:rsid w:val="00006B62"/>
    <w:rsid w:val="00011217"/>
    <w:rsid w:val="000306B0"/>
    <w:rsid w:val="0004195B"/>
    <w:rsid w:val="00043557"/>
    <w:rsid w:val="0004367E"/>
    <w:rsid w:val="00043766"/>
    <w:rsid w:val="00044E4A"/>
    <w:rsid w:val="0005298D"/>
    <w:rsid w:val="00054564"/>
    <w:rsid w:val="00060611"/>
    <w:rsid w:val="000606F9"/>
    <w:rsid w:val="0006698C"/>
    <w:rsid w:val="000669F9"/>
    <w:rsid w:val="00073B80"/>
    <w:rsid w:val="000811C5"/>
    <w:rsid w:val="0009157F"/>
    <w:rsid w:val="00091DBD"/>
    <w:rsid w:val="00095700"/>
    <w:rsid w:val="000A342E"/>
    <w:rsid w:val="000B3FE1"/>
    <w:rsid w:val="000C280F"/>
    <w:rsid w:val="000C4BCC"/>
    <w:rsid w:val="000D5293"/>
    <w:rsid w:val="000E635B"/>
    <w:rsid w:val="000F0CAB"/>
    <w:rsid w:val="000F1572"/>
    <w:rsid w:val="000F376B"/>
    <w:rsid w:val="000F698F"/>
    <w:rsid w:val="0010582F"/>
    <w:rsid w:val="00121542"/>
    <w:rsid w:val="00131896"/>
    <w:rsid w:val="0013364B"/>
    <w:rsid w:val="00140587"/>
    <w:rsid w:val="001434D4"/>
    <w:rsid w:val="00144B6F"/>
    <w:rsid w:val="00151689"/>
    <w:rsid w:val="001536BD"/>
    <w:rsid w:val="001720CC"/>
    <w:rsid w:val="001762BB"/>
    <w:rsid w:val="0018498B"/>
    <w:rsid w:val="00185AEB"/>
    <w:rsid w:val="00185ED1"/>
    <w:rsid w:val="001936E9"/>
    <w:rsid w:val="00195FD5"/>
    <w:rsid w:val="0019695B"/>
    <w:rsid w:val="001A61F0"/>
    <w:rsid w:val="001A6A69"/>
    <w:rsid w:val="001B0511"/>
    <w:rsid w:val="001B2768"/>
    <w:rsid w:val="001B495D"/>
    <w:rsid w:val="001B7A47"/>
    <w:rsid w:val="001D62C2"/>
    <w:rsid w:val="001E339E"/>
    <w:rsid w:val="001F04F0"/>
    <w:rsid w:val="001F0D1C"/>
    <w:rsid w:val="001F12AB"/>
    <w:rsid w:val="001F2E73"/>
    <w:rsid w:val="001F3E09"/>
    <w:rsid w:val="001F5114"/>
    <w:rsid w:val="00207671"/>
    <w:rsid w:val="00224BC5"/>
    <w:rsid w:val="002313CC"/>
    <w:rsid w:val="00233735"/>
    <w:rsid w:val="00242056"/>
    <w:rsid w:val="0024437E"/>
    <w:rsid w:val="00254CF6"/>
    <w:rsid w:val="00255BC3"/>
    <w:rsid w:val="0026673F"/>
    <w:rsid w:val="00267510"/>
    <w:rsid w:val="002704BE"/>
    <w:rsid w:val="002724DA"/>
    <w:rsid w:val="00275406"/>
    <w:rsid w:val="002772B6"/>
    <w:rsid w:val="002871FB"/>
    <w:rsid w:val="00294E2E"/>
    <w:rsid w:val="00294F5A"/>
    <w:rsid w:val="002A16FA"/>
    <w:rsid w:val="002A388A"/>
    <w:rsid w:val="002B49C2"/>
    <w:rsid w:val="002B6737"/>
    <w:rsid w:val="002B70F2"/>
    <w:rsid w:val="002D3CC1"/>
    <w:rsid w:val="002D5CF0"/>
    <w:rsid w:val="002E1E9B"/>
    <w:rsid w:val="002F013E"/>
    <w:rsid w:val="002F04DC"/>
    <w:rsid w:val="002F1196"/>
    <w:rsid w:val="002F1DB0"/>
    <w:rsid w:val="00304580"/>
    <w:rsid w:val="00311982"/>
    <w:rsid w:val="003147E9"/>
    <w:rsid w:val="00316397"/>
    <w:rsid w:val="003179FC"/>
    <w:rsid w:val="00331386"/>
    <w:rsid w:val="00332607"/>
    <w:rsid w:val="00336D5C"/>
    <w:rsid w:val="00342D64"/>
    <w:rsid w:val="003468E2"/>
    <w:rsid w:val="00352398"/>
    <w:rsid w:val="0036114D"/>
    <w:rsid w:val="00366670"/>
    <w:rsid w:val="00367306"/>
    <w:rsid w:val="00371DF1"/>
    <w:rsid w:val="00373EE0"/>
    <w:rsid w:val="00374015"/>
    <w:rsid w:val="00382329"/>
    <w:rsid w:val="00390750"/>
    <w:rsid w:val="00390A7A"/>
    <w:rsid w:val="00392BF1"/>
    <w:rsid w:val="003A28AB"/>
    <w:rsid w:val="003B2B15"/>
    <w:rsid w:val="003B7656"/>
    <w:rsid w:val="003B7A7A"/>
    <w:rsid w:val="003C24BD"/>
    <w:rsid w:val="003C4960"/>
    <w:rsid w:val="003C4A4B"/>
    <w:rsid w:val="003C694C"/>
    <w:rsid w:val="003C6EBC"/>
    <w:rsid w:val="003D4EC3"/>
    <w:rsid w:val="003D7371"/>
    <w:rsid w:val="003E143E"/>
    <w:rsid w:val="003E15CD"/>
    <w:rsid w:val="003E4873"/>
    <w:rsid w:val="003F3B46"/>
    <w:rsid w:val="003F4020"/>
    <w:rsid w:val="004055D7"/>
    <w:rsid w:val="00407827"/>
    <w:rsid w:val="0041327C"/>
    <w:rsid w:val="00420812"/>
    <w:rsid w:val="00424365"/>
    <w:rsid w:val="00430361"/>
    <w:rsid w:val="00432585"/>
    <w:rsid w:val="0043690D"/>
    <w:rsid w:val="004373AF"/>
    <w:rsid w:val="00437A16"/>
    <w:rsid w:val="00441C85"/>
    <w:rsid w:val="00444CB3"/>
    <w:rsid w:val="0044796D"/>
    <w:rsid w:val="00453635"/>
    <w:rsid w:val="00460215"/>
    <w:rsid w:val="00460FDE"/>
    <w:rsid w:val="00465249"/>
    <w:rsid w:val="00476CF3"/>
    <w:rsid w:val="00481154"/>
    <w:rsid w:val="00494B1B"/>
    <w:rsid w:val="00495C4B"/>
    <w:rsid w:val="00496E4E"/>
    <w:rsid w:val="004A1528"/>
    <w:rsid w:val="004B4ADD"/>
    <w:rsid w:val="004B76D9"/>
    <w:rsid w:val="004D0980"/>
    <w:rsid w:val="004D2F6B"/>
    <w:rsid w:val="004D5AD8"/>
    <w:rsid w:val="004E2450"/>
    <w:rsid w:val="004E52E4"/>
    <w:rsid w:val="004E5E97"/>
    <w:rsid w:val="004F01D8"/>
    <w:rsid w:val="004F4AC3"/>
    <w:rsid w:val="00500B6F"/>
    <w:rsid w:val="00504CD9"/>
    <w:rsid w:val="00504D1C"/>
    <w:rsid w:val="00506CEC"/>
    <w:rsid w:val="0051184D"/>
    <w:rsid w:val="005165E0"/>
    <w:rsid w:val="005213A1"/>
    <w:rsid w:val="005360D2"/>
    <w:rsid w:val="005413A5"/>
    <w:rsid w:val="00543944"/>
    <w:rsid w:val="0055393A"/>
    <w:rsid w:val="005717EA"/>
    <w:rsid w:val="005742DE"/>
    <w:rsid w:val="00574741"/>
    <w:rsid w:val="00575B7D"/>
    <w:rsid w:val="005831BC"/>
    <w:rsid w:val="005962C2"/>
    <w:rsid w:val="00597A47"/>
    <w:rsid w:val="005A0328"/>
    <w:rsid w:val="005A160C"/>
    <w:rsid w:val="005A444D"/>
    <w:rsid w:val="005B21EA"/>
    <w:rsid w:val="005B6AE6"/>
    <w:rsid w:val="005C5836"/>
    <w:rsid w:val="005D1E11"/>
    <w:rsid w:val="005D24C0"/>
    <w:rsid w:val="005D30B5"/>
    <w:rsid w:val="005D325E"/>
    <w:rsid w:val="005E00BF"/>
    <w:rsid w:val="005E3833"/>
    <w:rsid w:val="005F253D"/>
    <w:rsid w:val="00605095"/>
    <w:rsid w:val="006118BB"/>
    <w:rsid w:val="0061532B"/>
    <w:rsid w:val="00617342"/>
    <w:rsid w:val="00623D5A"/>
    <w:rsid w:val="00626985"/>
    <w:rsid w:val="00632B66"/>
    <w:rsid w:val="00634ADE"/>
    <w:rsid w:val="00637CE8"/>
    <w:rsid w:val="00645A7A"/>
    <w:rsid w:val="00652BD5"/>
    <w:rsid w:val="00655F9B"/>
    <w:rsid w:val="00656BA8"/>
    <w:rsid w:val="00662DAE"/>
    <w:rsid w:val="00667198"/>
    <w:rsid w:val="00672961"/>
    <w:rsid w:val="00680036"/>
    <w:rsid w:val="00683559"/>
    <w:rsid w:val="00686306"/>
    <w:rsid w:val="00686B15"/>
    <w:rsid w:val="006877F0"/>
    <w:rsid w:val="0069006A"/>
    <w:rsid w:val="006A532B"/>
    <w:rsid w:val="006A6FD0"/>
    <w:rsid w:val="006B2302"/>
    <w:rsid w:val="006B24E6"/>
    <w:rsid w:val="006B26AC"/>
    <w:rsid w:val="006B285C"/>
    <w:rsid w:val="006C05B5"/>
    <w:rsid w:val="006D34C8"/>
    <w:rsid w:val="006D5D77"/>
    <w:rsid w:val="006F6583"/>
    <w:rsid w:val="007026FF"/>
    <w:rsid w:val="00707E1B"/>
    <w:rsid w:val="0071458C"/>
    <w:rsid w:val="00741DDD"/>
    <w:rsid w:val="00746883"/>
    <w:rsid w:val="00747382"/>
    <w:rsid w:val="00750A43"/>
    <w:rsid w:val="007569FA"/>
    <w:rsid w:val="007679D4"/>
    <w:rsid w:val="00784719"/>
    <w:rsid w:val="00796884"/>
    <w:rsid w:val="007A2345"/>
    <w:rsid w:val="007A34D4"/>
    <w:rsid w:val="007B3907"/>
    <w:rsid w:val="007C361D"/>
    <w:rsid w:val="007D3B8C"/>
    <w:rsid w:val="007E19E6"/>
    <w:rsid w:val="007E39AC"/>
    <w:rsid w:val="007E4AA1"/>
    <w:rsid w:val="007F6068"/>
    <w:rsid w:val="007F6F0B"/>
    <w:rsid w:val="007F6F91"/>
    <w:rsid w:val="00803419"/>
    <w:rsid w:val="008058D2"/>
    <w:rsid w:val="008144F1"/>
    <w:rsid w:val="00821963"/>
    <w:rsid w:val="00822EDC"/>
    <w:rsid w:val="008261AE"/>
    <w:rsid w:val="00831E30"/>
    <w:rsid w:val="0086562E"/>
    <w:rsid w:val="00870B98"/>
    <w:rsid w:val="00870F1A"/>
    <w:rsid w:val="00872CF8"/>
    <w:rsid w:val="008754B1"/>
    <w:rsid w:val="00880D1D"/>
    <w:rsid w:val="0088595C"/>
    <w:rsid w:val="00885DE3"/>
    <w:rsid w:val="008868FF"/>
    <w:rsid w:val="0089175C"/>
    <w:rsid w:val="00894D63"/>
    <w:rsid w:val="00897439"/>
    <w:rsid w:val="008976A6"/>
    <w:rsid w:val="008B5828"/>
    <w:rsid w:val="008B6650"/>
    <w:rsid w:val="008C044F"/>
    <w:rsid w:val="008C0EC8"/>
    <w:rsid w:val="008E0F52"/>
    <w:rsid w:val="00900987"/>
    <w:rsid w:val="00903F29"/>
    <w:rsid w:val="00905070"/>
    <w:rsid w:val="009071F4"/>
    <w:rsid w:val="0091347C"/>
    <w:rsid w:val="00921F14"/>
    <w:rsid w:val="00923C55"/>
    <w:rsid w:val="00924C2A"/>
    <w:rsid w:val="0092566A"/>
    <w:rsid w:val="00926229"/>
    <w:rsid w:val="009276B4"/>
    <w:rsid w:val="0093147F"/>
    <w:rsid w:val="00933B9F"/>
    <w:rsid w:val="00943546"/>
    <w:rsid w:val="009439FC"/>
    <w:rsid w:val="009443B8"/>
    <w:rsid w:val="00952FFE"/>
    <w:rsid w:val="009536D7"/>
    <w:rsid w:val="00957ECD"/>
    <w:rsid w:val="00963487"/>
    <w:rsid w:val="00963691"/>
    <w:rsid w:val="00966530"/>
    <w:rsid w:val="0097392C"/>
    <w:rsid w:val="00982816"/>
    <w:rsid w:val="00986444"/>
    <w:rsid w:val="00987BA3"/>
    <w:rsid w:val="009A56AD"/>
    <w:rsid w:val="009A6D84"/>
    <w:rsid w:val="009C699D"/>
    <w:rsid w:val="009E599C"/>
    <w:rsid w:val="009E7F40"/>
    <w:rsid w:val="009F1024"/>
    <w:rsid w:val="009F1BE3"/>
    <w:rsid w:val="00A06AA6"/>
    <w:rsid w:val="00A11FBA"/>
    <w:rsid w:val="00A2497A"/>
    <w:rsid w:val="00A4025A"/>
    <w:rsid w:val="00A521FD"/>
    <w:rsid w:val="00A77FB0"/>
    <w:rsid w:val="00A91C09"/>
    <w:rsid w:val="00AA1FA8"/>
    <w:rsid w:val="00AB4723"/>
    <w:rsid w:val="00AC2A5F"/>
    <w:rsid w:val="00AC3DC7"/>
    <w:rsid w:val="00AD1EAD"/>
    <w:rsid w:val="00AE0390"/>
    <w:rsid w:val="00AE0C78"/>
    <w:rsid w:val="00AE0D83"/>
    <w:rsid w:val="00AF3A42"/>
    <w:rsid w:val="00AF41C1"/>
    <w:rsid w:val="00AF7E31"/>
    <w:rsid w:val="00B01E18"/>
    <w:rsid w:val="00B14397"/>
    <w:rsid w:val="00B16643"/>
    <w:rsid w:val="00B21326"/>
    <w:rsid w:val="00B218DE"/>
    <w:rsid w:val="00B4709D"/>
    <w:rsid w:val="00B539B2"/>
    <w:rsid w:val="00B55316"/>
    <w:rsid w:val="00B60027"/>
    <w:rsid w:val="00B70D25"/>
    <w:rsid w:val="00B74D3F"/>
    <w:rsid w:val="00B76945"/>
    <w:rsid w:val="00B82DA0"/>
    <w:rsid w:val="00B82E14"/>
    <w:rsid w:val="00B832C4"/>
    <w:rsid w:val="00B839D1"/>
    <w:rsid w:val="00B856E4"/>
    <w:rsid w:val="00B86342"/>
    <w:rsid w:val="00BA6DB2"/>
    <w:rsid w:val="00BC5866"/>
    <w:rsid w:val="00BC69F1"/>
    <w:rsid w:val="00BD0F7B"/>
    <w:rsid w:val="00BD13DB"/>
    <w:rsid w:val="00BD363B"/>
    <w:rsid w:val="00BE4B2A"/>
    <w:rsid w:val="00BF2CD4"/>
    <w:rsid w:val="00BF45FA"/>
    <w:rsid w:val="00C019BC"/>
    <w:rsid w:val="00C07820"/>
    <w:rsid w:val="00C129B5"/>
    <w:rsid w:val="00C13A0B"/>
    <w:rsid w:val="00C15F53"/>
    <w:rsid w:val="00C4452A"/>
    <w:rsid w:val="00C46EED"/>
    <w:rsid w:val="00C531BE"/>
    <w:rsid w:val="00C53379"/>
    <w:rsid w:val="00C54F0B"/>
    <w:rsid w:val="00C55177"/>
    <w:rsid w:val="00C611E0"/>
    <w:rsid w:val="00C6233C"/>
    <w:rsid w:val="00C71730"/>
    <w:rsid w:val="00C7655E"/>
    <w:rsid w:val="00C85D4E"/>
    <w:rsid w:val="00C87F59"/>
    <w:rsid w:val="00C90214"/>
    <w:rsid w:val="00C9602C"/>
    <w:rsid w:val="00CB04EE"/>
    <w:rsid w:val="00CB2192"/>
    <w:rsid w:val="00CB40E8"/>
    <w:rsid w:val="00CB4F97"/>
    <w:rsid w:val="00CB5FBE"/>
    <w:rsid w:val="00CB6E05"/>
    <w:rsid w:val="00CD1D85"/>
    <w:rsid w:val="00CD35B7"/>
    <w:rsid w:val="00CD47C5"/>
    <w:rsid w:val="00CD4C1E"/>
    <w:rsid w:val="00CE1823"/>
    <w:rsid w:val="00CF0B98"/>
    <w:rsid w:val="00CF4A9F"/>
    <w:rsid w:val="00CF4AED"/>
    <w:rsid w:val="00CF783F"/>
    <w:rsid w:val="00D00496"/>
    <w:rsid w:val="00D02F4D"/>
    <w:rsid w:val="00D06450"/>
    <w:rsid w:val="00D21D2A"/>
    <w:rsid w:val="00D25065"/>
    <w:rsid w:val="00D3546F"/>
    <w:rsid w:val="00D36A9B"/>
    <w:rsid w:val="00D37CAE"/>
    <w:rsid w:val="00D45033"/>
    <w:rsid w:val="00D6185E"/>
    <w:rsid w:val="00D65BE4"/>
    <w:rsid w:val="00D660FA"/>
    <w:rsid w:val="00D800C1"/>
    <w:rsid w:val="00D81372"/>
    <w:rsid w:val="00D82B84"/>
    <w:rsid w:val="00D86755"/>
    <w:rsid w:val="00D90169"/>
    <w:rsid w:val="00D95BCE"/>
    <w:rsid w:val="00D96BC4"/>
    <w:rsid w:val="00DA0E78"/>
    <w:rsid w:val="00DA71E5"/>
    <w:rsid w:val="00DB3FC8"/>
    <w:rsid w:val="00DB7DDA"/>
    <w:rsid w:val="00DC23B8"/>
    <w:rsid w:val="00DD378D"/>
    <w:rsid w:val="00DD51D3"/>
    <w:rsid w:val="00DE0794"/>
    <w:rsid w:val="00DE2B86"/>
    <w:rsid w:val="00DE4FCF"/>
    <w:rsid w:val="00DE5E9A"/>
    <w:rsid w:val="00DF21A9"/>
    <w:rsid w:val="00E029CB"/>
    <w:rsid w:val="00E05AFB"/>
    <w:rsid w:val="00E1130C"/>
    <w:rsid w:val="00E124DD"/>
    <w:rsid w:val="00E20DAE"/>
    <w:rsid w:val="00E231DD"/>
    <w:rsid w:val="00E27EE8"/>
    <w:rsid w:val="00E3283C"/>
    <w:rsid w:val="00E415E9"/>
    <w:rsid w:val="00E46E4E"/>
    <w:rsid w:val="00E512ED"/>
    <w:rsid w:val="00E53841"/>
    <w:rsid w:val="00E60707"/>
    <w:rsid w:val="00E61720"/>
    <w:rsid w:val="00E650A4"/>
    <w:rsid w:val="00E67C2E"/>
    <w:rsid w:val="00E774A8"/>
    <w:rsid w:val="00E8121D"/>
    <w:rsid w:val="00E92E3A"/>
    <w:rsid w:val="00E92F65"/>
    <w:rsid w:val="00E963A8"/>
    <w:rsid w:val="00E96999"/>
    <w:rsid w:val="00EA0CED"/>
    <w:rsid w:val="00EA27F7"/>
    <w:rsid w:val="00EA3499"/>
    <w:rsid w:val="00EB28FD"/>
    <w:rsid w:val="00EB4364"/>
    <w:rsid w:val="00EC6BED"/>
    <w:rsid w:val="00ED2910"/>
    <w:rsid w:val="00ED4AF4"/>
    <w:rsid w:val="00ED52D4"/>
    <w:rsid w:val="00EE59AE"/>
    <w:rsid w:val="00EF749B"/>
    <w:rsid w:val="00F03158"/>
    <w:rsid w:val="00F037D6"/>
    <w:rsid w:val="00F03C0E"/>
    <w:rsid w:val="00F04FB9"/>
    <w:rsid w:val="00F10F88"/>
    <w:rsid w:val="00F36F2B"/>
    <w:rsid w:val="00F37DAB"/>
    <w:rsid w:val="00F409A3"/>
    <w:rsid w:val="00F44512"/>
    <w:rsid w:val="00F446FA"/>
    <w:rsid w:val="00F44DE3"/>
    <w:rsid w:val="00F55996"/>
    <w:rsid w:val="00F55A47"/>
    <w:rsid w:val="00F55CCA"/>
    <w:rsid w:val="00F574B7"/>
    <w:rsid w:val="00F57508"/>
    <w:rsid w:val="00F81BEC"/>
    <w:rsid w:val="00F823E8"/>
    <w:rsid w:val="00F866C6"/>
    <w:rsid w:val="00F86E78"/>
    <w:rsid w:val="00F87155"/>
    <w:rsid w:val="00F970E6"/>
    <w:rsid w:val="00FA62DF"/>
    <w:rsid w:val="00FE45AD"/>
    <w:rsid w:val="00FF28AA"/>
    <w:rsid w:val="00FF3FF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B01E1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B01E18"/>
    <w:pPr>
      <w:jc w:val="both"/>
    </w:pPr>
    <w:rPr>
      <w:sz w:val="22"/>
    </w:rPr>
  </w:style>
  <w:style w:type="paragraph" w:styleId="BalloonText">
    <w:name w:val="Balloon Text"/>
    <w:basedOn w:val="Normal"/>
    <w:semiHidden/>
    <w:rsid w:val="002724DA"/>
    <w:rPr>
      <w:rFonts w:ascii="Tahoma" w:hAnsi="Tahoma" w:cs="Tahoma"/>
      <w:sz w:val="16"/>
      <w:szCs w:val="16"/>
    </w:rPr>
  </w:style>
  <w:style w:type="character" w:styleId="Hyperlink">
    <w:name w:val="Hyperlink"/>
    <w:rsid w:val="00E53841"/>
    <w:rPr>
      <w:color w:val="0000FF"/>
      <w:u w:val="single"/>
    </w:rPr>
  </w:style>
  <w:style w:type="character" w:customStyle="1" w:styleId="BodyTextChar">
    <w:name w:val="Body Text Char"/>
    <w:link w:val="BodyText"/>
    <w:rsid w:val="00C46EED"/>
    <w:rPr>
      <w:sz w:val="22"/>
    </w:rPr>
  </w:style>
  <w:style w:type="character" w:customStyle="1" w:styleId="Heading2Char">
    <w:name w:val="Heading 2 Char"/>
    <w:link w:val="Heading2"/>
    <w:rsid w:val="00EC6BED"/>
    <w:rPr>
      <w:sz w:val="24"/>
    </w:rPr>
  </w:style>
  <w:style w:type="character" w:styleId="Strong">
    <w:name w:val="Strong"/>
    <w:uiPriority w:val="22"/>
    <w:qFormat/>
    <w:rsid w:val="00BF45FA"/>
    <w:rPr>
      <w:b/>
      <w:bCs/>
    </w:rPr>
  </w:style>
  <w:style w:type="paragraph" w:styleId="FootnoteText">
    <w:name w:val="footnote text"/>
    <w:basedOn w:val="Normal"/>
    <w:link w:val="FootnoteTextChar"/>
    <w:rsid w:val="00CF783F"/>
    <w:rPr>
      <w:rFonts w:ascii="Calibri" w:hAnsi="Calibri"/>
    </w:rPr>
  </w:style>
  <w:style w:type="character" w:customStyle="1" w:styleId="FootnoteTextChar">
    <w:name w:val="Footnote Text Char"/>
    <w:link w:val="FootnoteText"/>
    <w:rsid w:val="00CF783F"/>
    <w:rPr>
      <w:rFonts w:ascii="Calibri" w:hAnsi="Calibri"/>
    </w:rPr>
  </w:style>
  <w:style w:type="character" w:styleId="FootnoteReference">
    <w:name w:val="footnote reference"/>
    <w:rsid w:val="00CF783F"/>
    <w:rPr>
      <w:rFonts w:cs="Times New Roman"/>
      <w:vertAlign w:val="superscript"/>
    </w:rPr>
  </w:style>
  <w:style w:type="character" w:styleId="CommentReference">
    <w:name w:val="annotation reference"/>
    <w:rsid w:val="000F376B"/>
    <w:rPr>
      <w:sz w:val="16"/>
      <w:szCs w:val="16"/>
    </w:rPr>
  </w:style>
  <w:style w:type="paragraph" w:styleId="CommentText">
    <w:name w:val="annotation text"/>
    <w:basedOn w:val="Normal"/>
    <w:link w:val="CommentTextChar"/>
    <w:rsid w:val="000F376B"/>
  </w:style>
  <w:style w:type="character" w:customStyle="1" w:styleId="CommentTextChar">
    <w:name w:val="Comment Text Char"/>
    <w:basedOn w:val="DefaultParagraphFont"/>
    <w:link w:val="CommentText"/>
    <w:rsid w:val="000F376B"/>
  </w:style>
  <w:style w:type="paragraph" w:styleId="CommentSubject">
    <w:name w:val="annotation subject"/>
    <w:basedOn w:val="CommentText"/>
    <w:next w:val="CommentText"/>
    <w:link w:val="CommentSubjectChar"/>
    <w:rsid w:val="000F376B"/>
    <w:rPr>
      <w:b/>
      <w:bCs/>
    </w:rPr>
  </w:style>
  <w:style w:type="character" w:customStyle="1" w:styleId="CommentSubjectChar">
    <w:name w:val="Comment Subject Char"/>
    <w:link w:val="CommentSubject"/>
    <w:rsid w:val="000F37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B01E1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B01E18"/>
    <w:pPr>
      <w:jc w:val="both"/>
    </w:pPr>
    <w:rPr>
      <w:sz w:val="22"/>
    </w:rPr>
  </w:style>
  <w:style w:type="paragraph" w:styleId="BalloonText">
    <w:name w:val="Balloon Text"/>
    <w:basedOn w:val="Normal"/>
    <w:semiHidden/>
    <w:rsid w:val="002724DA"/>
    <w:rPr>
      <w:rFonts w:ascii="Tahoma" w:hAnsi="Tahoma" w:cs="Tahoma"/>
      <w:sz w:val="16"/>
      <w:szCs w:val="16"/>
    </w:rPr>
  </w:style>
  <w:style w:type="character" w:styleId="Hyperlink">
    <w:name w:val="Hyperlink"/>
    <w:rsid w:val="00E53841"/>
    <w:rPr>
      <w:color w:val="0000FF"/>
      <w:u w:val="single"/>
    </w:rPr>
  </w:style>
  <w:style w:type="character" w:customStyle="1" w:styleId="BodyTextChar">
    <w:name w:val="Body Text Char"/>
    <w:link w:val="BodyText"/>
    <w:rsid w:val="00C46EED"/>
    <w:rPr>
      <w:sz w:val="22"/>
    </w:rPr>
  </w:style>
  <w:style w:type="character" w:customStyle="1" w:styleId="Heading2Char">
    <w:name w:val="Heading 2 Char"/>
    <w:link w:val="Heading2"/>
    <w:rsid w:val="00EC6BED"/>
    <w:rPr>
      <w:sz w:val="24"/>
    </w:rPr>
  </w:style>
  <w:style w:type="character" w:styleId="Strong">
    <w:name w:val="Strong"/>
    <w:uiPriority w:val="22"/>
    <w:qFormat/>
    <w:rsid w:val="00BF45FA"/>
    <w:rPr>
      <w:b/>
      <w:bCs/>
    </w:rPr>
  </w:style>
  <w:style w:type="paragraph" w:styleId="FootnoteText">
    <w:name w:val="footnote text"/>
    <w:basedOn w:val="Normal"/>
    <w:link w:val="FootnoteTextChar"/>
    <w:rsid w:val="00CF783F"/>
    <w:rPr>
      <w:rFonts w:ascii="Calibri" w:hAnsi="Calibri"/>
    </w:rPr>
  </w:style>
  <w:style w:type="character" w:customStyle="1" w:styleId="FootnoteTextChar">
    <w:name w:val="Footnote Text Char"/>
    <w:link w:val="FootnoteText"/>
    <w:rsid w:val="00CF783F"/>
    <w:rPr>
      <w:rFonts w:ascii="Calibri" w:hAnsi="Calibri"/>
    </w:rPr>
  </w:style>
  <w:style w:type="character" w:styleId="FootnoteReference">
    <w:name w:val="footnote reference"/>
    <w:rsid w:val="00CF783F"/>
    <w:rPr>
      <w:rFonts w:cs="Times New Roman"/>
      <w:vertAlign w:val="superscript"/>
    </w:rPr>
  </w:style>
  <w:style w:type="character" w:styleId="CommentReference">
    <w:name w:val="annotation reference"/>
    <w:rsid w:val="000F376B"/>
    <w:rPr>
      <w:sz w:val="16"/>
      <w:szCs w:val="16"/>
    </w:rPr>
  </w:style>
  <w:style w:type="paragraph" w:styleId="CommentText">
    <w:name w:val="annotation text"/>
    <w:basedOn w:val="Normal"/>
    <w:link w:val="CommentTextChar"/>
    <w:rsid w:val="000F376B"/>
  </w:style>
  <w:style w:type="character" w:customStyle="1" w:styleId="CommentTextChar">
    <w:name w:val="Comment Text Char"/>
    <w:basedOn w:val="DefaultParagraphFont"/>
    <w:link w:val="CommentText"/>
    <w:rsid w:val="000F376B"/>
  </w:style>
  <w:style w:type="paragraph" w:styleId="CommentSubject">
    <w:name w:val="annotation subject"/>
    <w:basedOn w:val="CommentText"/>
    <w:next w:val="CommentText"/>
    <w:link w:val="CommentSubjectChar"/>
    <w:rsid w:val="000F376B"/>
    <w:rPr>
      <w:b/>
      <w:bCs/>
    </w:rPr>
  </w:style>
  <w:style w:type="character" w:customStyle="1" w:styleId="CommentSubjectChar">
    <w:name w:val="Comment Subject Char"/>
    <w:link w:val="CommentSubject"/>
    <w:rsid w:val="000F3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2017-05-04T13:58:00Z</dcterms:created>
  <dcterms:modified xsi:type="dcterms:W3CDTF">2017-05-04T13:58:00Z</dcterms:modified>
  <cp:category> </cp:category>
  <cp:contentStatus> </cp:contentStatus>
</cp:coreProperties>
</file>