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CA" w:rsidRDefault="00C865CA">
      <w:pPr>
        <w:rPr>
          <w:sz w:val="23"/>
        </w:rPr>
        <w:sectPr w:rsidR="00C865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r>
        <w:rPr>
          <w:sz w:val="23"/>
        </w:rPr>
        <w:t xml:space="preserve"> </w:t>
      </w:r>
    </w:p>
    <w:p w:rsidR="00C865CA" w:rsidRDefault="009A060C">
      <w:pPr>
        <w:suppressAutoHyphens/>
        <w:jc w:val="right"/>
        <w:rPr>
          <w:b/>
        </w:rPr>
      </w:pPr>
      <w:r>
        <w:rPr>
          <w:b/>
        </w:rPr>
        <w:lastRenderedPageBreak/>
        <w:t>DA 17-</w:t>
      </w:r>
      <w:r w:rsidR="00C572CE">
        <w:rPr>
          <w:b/>
        </w:rPr>
        <w:t>426</w:t>
      </w:r>
    </w:p>
    <w:p w:rsidR="00C865CA" w:rsidRDefault="009A060C">
      <w:pPr>
        <w:tabs>
          <w:tab w:val="right" w:pos="9360"/>
        </w:tabs>
        <w:suppressAutoHyphens/>
        <w:spacing w:after="240"/>
        <w:jc w:val="left"/>
        <w:rPr>
          <w:b/>
        </w:rPr>
      </w:pPr>
      <w:r>
        <w:rPr>
          <w:b/>
        </w:rPr>
        <w:tab/>
        <w:t>Released:  May 5, 2017</w:t>
      </w:r>
    </w:p>
    <w:p w:rsidR="00C865CA" w:rsidRDefault="00C865CA">
      <w:pPr>
        <w:suppressAutoHyphens/>
        <w:spacing w:after="240"/>
        <w:jc w:val="center"/>
        <w:rPr>
          <w:b/>
        </w:rPr>
      </w:pPr>
      <w:bookmarkStart w:id="1" w:name="OLE_LINK1"/>
      <w:bookmarkStart w:id="2" w:name="OLE_LINK2"/>
      <w:r>
        <w:rPr>
          <w:b/>
        </w:rPr>
        <w:t>NOTICE OF NON-STREAMLINED DOMESTIC 214 APPLICATION GRANTED</w:t>
      </w:r>
    </w:p>
    <w:bookmarkEnd w:id="1"/>
    <w:bookmarkEnd w:id="2"/>
    <w:p w:rsidR="00C865CA" w:rsidRDefault="009A060C">
      <w:pPr>
        <w:suppressAutoHyphens/>
        <w:spacing w:after="240"/>
        <w:jc w:val="center"/>
        <w:rPr>
          <w:b/>
        </w:rPr>
      </w:pPr>
      <w:r>
        <w:rPr>
          <w:b/>
        </w:rPr>
        <w:t>WC Docket No. 17-71</w:t>
      </w:r>
    </w:p>
    <w:p w:rsidR="00C865CA" w:rsidRDefault="00833B94" w:rsidP="009A060C">
      <w:pPr>
        <w:widowControl/>
        <w:ind w:firstLine="720"/>
        <w:jc w:val="left"/>
        <w:rPr>
          <w:szCs w:val="24"/>
        </w:rPr>
      </w:pPr>
      <w:r>
        <w:rPr>
          <w:szCs w:val="24"/>
        </w:rPr>
        <w:t>Pursuant to S</w:t>
      </w:r>
      <w:r w:rsidR="00C865CA">
        <w:rPr>
          <w:szCs w:val="24"/>
        </w:rPr>
        <w:t>ection 214 of the Communications Act of 1934, as</w:t>
      </w:r>
      <w:r>
        <w:rPr>
          <w:szCs w:val="24"/>
        </w:rPr>
        <w:t xml:space="preserve"> amended, 47 U.S.C. § 214, and S</w:t>
      </w:r>
      <w:r w:rsidR="00C865CA">
        <w:rPr>
          <w:szCs w:val="24"/>
        </w:rPr>
        <w:t xml:space="preserve">ections 0.91, 0.291, and 63.03 </w:t>
      </w:r>
      <w:r w:rsidR="009A060C">
        <w:rPr>
          <w:szCs w:val="24"/>
        </w:rPr>
        <w:t>of the Commission’s rules, 47 CFR</w:t>
      </w:r>
      <w:r w:rsidR="00C865CA">
        <w:rPr>
          <w:szCs w:val="24"/>
        </w:rPr>
        <w:t xml:space="preserve"> §§ 0.91, 0.291, and 63.03, the Wireline Competition Bureau (Bureau) approves the application of </w:t>
      </w:r>
      <w:r w:rsidR="009A060C" w:rsidRPr="009A060C">
        <w:rPr>
          <w:snapToGrid/>
          <w:kern w:val="0"/>
          <w:szCs w:val="22"/>
        </w:rPr>
        <w:t>Ligonier Telephone Company, Inc. (LTC), LigTel Communications, Inc. (LCI), and Heartland Innovations, Inc. (Heartland)</w:t>
      </w:r>
      <w:r w:rsidR="0067789D">
        <w:rPr>
          <w:snapToGrid/>
          <w:kern w:val="0"/>
          <w:szCs w:val="22"/>
        </w:rPr>
        <w:t xml:space="preserve"> (collectively, Applicants)</w:t>
      </w:r>
      <w:r w:rsidR="009A060C">
        <w:rPr>
          <w:szCs w:val="24"/>
        </w:rPr>
        <w:t xml:space="preserve"> </w:t>
      </w:r>
      <w:r w:rsidR="00234704">
        <w:rPr>
          <w:szCs w:val="24"/>
        </w:rPr>
        <w:t xml:space="preserve">seeking approval of an </w:t>
      </w:r>
      <w:r w:rsidR="009A060C" w:rsidRPr="009A060C">
        <w:rPr>
          <w:snapToGrid/>
          <w:kern w:val="0"/>
          <w:szCs w:val="22"/>
        </w:rPr>
        <w:t xml:space="preserve">unauthorized transfer </w:t>
      </w:r>
      <w:r w:rsidR="0067789D">
        <w:rPr>
          <w:snapToGrid/>
          <w:kern w:val="0"/>
          <w:szCs w:val="22"/>
        </w:rPr>
        <w:t xml:space="preserve">of </w:t>
      </w:r>
      <w:r w:rsidR="009A060C" w:rsidRPr="009A060C">
        <w:rPr>
          <w:snapToGrid/>
          <w:kern w:val="0"/>
          <w:szCs w:val="22"/>
        </w:rPr>
        <w:t>control that occurred in January 2005 when shares of LTC, the then-parent company of LCI, were transferred to Meshell L. Schloss, thereby making her the majority owner</w:t>
      </w:r>
      <w:r w:rsidR="00190378">
        <w:rPr>
          <w:snapToGrid/>
          <w:kern w:val="0"/>
          <w:szCs w:val="22"/>
        </w:rPr>
        <w:t>.</w:t>
      </w:r>
      <w:r w:rsidR="0067789D">
        <w:rPr>
          <w:rStyle w:val="FootnoteReference"/>
          <w:snapToGrid/>
          <w:kern w:val="0"/>
          <w:szCs w:val="22"/>
        </w:rPr>
        <w:footnoteReference w:id="1"/>
      </w:r>
    </w:p>
    <w:p w:rsidR="00C865CA" w:rsidRDefault="00C865CA">
      <w:pPr>
        <w:widowControl/>
        <w:ind w:firstLine="720"/>
        <w:jc w:val="left"/>
        <w:rPr>
          <w:szCs w:val="24"/>
        </w:rPr>
      </w:pPr>
    </w:p>
    <w:p w:rsidR="00C865CA" w:rsidRDefault="00C865CA">
      <w:pPr>
        <w:widowControl/>
        <w:ind w:firstLine="720"/>
        <w:jc w:val="left"/>
        <w:rPr>
          <w:szCs w:val="22"/>
        </w:rPr>
      </w:pPr>
      <w:r>
        <w:rPr>
          <w:szCs w:val="24"/>
        </w:rPr>
        <w:t xml:space="preserve">The Bureau finds, upon consideration </w:t>
      </w:r>
      <w:r w:rsidR="00580E67">
        <w:rPr>
          <w:szCs w:val="24"/>
        </w:rPr>
        <w:t>of the record, that the transfer</w:t>
      </w:r>
      <w:r>
        <w:rPr>
          <w:szCs w:val="24"/>
        </w:rPr>
        <w:t xml:space="preserve"> serve</w:t>
      </w:r>
      <w:r w:rsidR="00580E67">
        <w:rPr>
          <w:szCs w:val="24"/>
        </w:rPr>
        <w:t>s</w:t>
      </w:r>
      <w:r>
        <w:rPr>
          <w:szCs w:val="24"/>
        </w:rPr>
        <w:t xml:space="preserve"> the public interest, convenience, and necessity, and therefore grants the requested authorization.</w:t>
      </w:r>
      <w:r>
        <w:rPr>
          <w:rStyle w:val="FootnoteReference"/>
        </w:rPr>
        <w:footnoteReference w:id="2"/>
      </w:r>
      <w:r w:rsidR="00833B94">
        <w:rPr>
          <w:szCs w:val="24"/>
        </w:rPr>
        <w:t xml:space="preserve">  Pursuant to S</w:t>
      </w:r>
      <w:r>
        <w:rPr>
          <w:szCs w:val="24"/>
        </w:rPr>
        <w:t xml:space="preserve">ection 1.103 </w:t>
      </w:r>
      <w:r w:rsidR="00580E67">
        <w:rPr>
          <w:szCs w:val="24"/>
        </w:rPr>
        <w:t>of the Commission’s rules, 47 CFR</w:t>
      </w:r>
      <w:r>
        <w:rPr>
          <w:szCs w:val="24"/>
        </w:rPr>
        <w:t xml:space="preserve"> § 1.103, the consent granted herein is effective upon the release of the Public Notice.  Petit</w:t>
      </w:r>
      <w:r w:rsidR="00833B94">
        <w:rPr>
          <w:szCs w:val="24"/>
        </w:rPr>
        <w:t>ions for reconsideration under S</w:t>
      </w:r>
      <w:r>
        <w:rPr>
          <w:szCs w:val="24"/>
        </w:rPr>
        <w:t>ection 1.106 or</w:t>
      </w:r>
      <w:r w:rsidR="00833B94">
        <w:rPr>
          <w:szCs w:val="24"/>
        </w:rPr>
        <w:t xml:space="preserve"> applications for review under S</w:t>
      </w:r>
      <w:r>
        <w:rPr>
          <w:szCs w:val="24"/>
        </w:rPr>
        <w:t>ection 1.115 of t</w:t>
      </w:r>
      <w:r w:rsidR="00580E67">
        <w:rPr>
          <w:szCs w:val="24"/>
        </w:rPr>
        <w:t>he Commission’s rules, 47 CFR</w:t>
      </w:r>
      <w:r>
        <w:rPr>
          <w:szCs w:val="24"/>
        </w:rPr>
        <w:t xml:space="preserve"> §§ 1.106, 1.115, may be filed within 30 days of the date of this Public Notice.</w:t>
      </w:r>
      <w:r w:rsidR="003961C7">
        <w:rPr>
          <w:szCs w:val="24"/>
        </w:rPr>
        <w:t xml:space="preserve">  </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p>
    <w:p w:rsidR="00C865CA" w:rsidRDefault="00C865CA">
      <w:pPr>
        <w:pStyle w:val="BodyText3"/>
        <w:rPr>
          <w:sz w:val="22"/>
        </w:rPr>
      </w:pPr>
      <w:r>
        <w:rPr>
          <w:sz w:val="22"/>
        </w:rPr>
        <w:tab/>
        <w:t>For further information, ple</w:t>
      </w:r>
      <w:r w:rsidR="00640425">
        <w:rPr>
          <w:sz w:val="22"/>
        </w:rPr>
        <w:t>ase contact Myrva Freeman at 202-418-1506</w:t>
      </w:r>
      <w:r w:rsidR="00580E67">
        <w:rPr>
          <w:sz w:val="22"/>
        </w:rPr>
        <w:t xml:space="preserve"> or Gregory Kwan at 202-418-1191</w:t>
      </w:r>
      <w:r>
        <w:rPr>
          <w:sz w:val="22"/>
        </w:rPr>
        <w:t>, Competition Policy Division, Wireline Competition Bureau.</w:t>
      </w:r>
    </w:p>
    <w:p w:rsidR="00C865CA" w:rsidRDefault="00C865CA">
      <w:pPr>
        <w:pStyle w:val="BodyText3"/>
        <w:rPr>
          <w:sz w:val="22"/>
        </w:rPr>
      </w:pPr>
    </w:p>
    <w:p w:rsidR="00C865CA" w:rsidRDefault="00C865CA">
      <w:pPr>
        <w:pStyle w:val="BodyText3"/>
        <w:jc w:val="center"/>
        <w:rPr>
          <w:sz w:val="22"/>
        </w:rPr>
      </w:pPr>
      <w:r>
        <w:rPr>
          <w:b/>
          <w:sz w:val="22"/>
        </w:rPr>
        <w:t>-FCC-</w:t>
      </w:r>
    </w:p>
    <w:p w:rsidR="00C865CA" w:rsidRDefault="00C865CA">
      <w:pPr>
        <w:widowControl/>
        <w:autoSpaceDE w:val="0"/>
        <w:autoSpaceDN w:val="0"/>
        <w:adjustRightInd w:val="0"/>
      </w:pPr>
      <w:r>
        <w:t xml:space="preserve">      </w:t>
      </w:r>
    </w:p>
    <w:sectPr w:rsidR="00C865CA">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56" w:rsidRDefault="00F95456">
      <w:pPr>
        <w:spacing w:line="20" w:lineRule="exact"/>
      </w:pPr>
    </w:p>
  </w:endnote>
  <w:endnote w:type="continuationSeparator" w:id="0">
    <w:p w:rsidR="00F95456" w:rsidRDefault="00F95456">
      <w:r>
        <w:t xml:space="preserve"> </w:t>
      </w:r>
    </w:p>
  </w:endnote>
  <w:endnote w:type="continuationNotice" w:id="1">
    <w:p w:rsidR="00F95456" w:rsidRDefault="00F954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65CA" w:rsidRDefault="00C86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6C5">
      <w:rPr>
        <w:rStyle w:val="PageNumber"/>
        <w:noProof/>
      </w:rPr>
      <w:t>2</w:t>
    </w:r>
    <w:r>
      <w:rPr>
        <w:rStyle w:val="PageNumber"/>
      </w:rPr>
      <w:fldChar w:fldCharType="end"/>
    </w:r>
  </w:p>
  <w:p w:rsidR="00C865CA" w:rsidRDefault="00C865CA">
    <w:pPr>
      <w:pStyle w:val="Footer"/>
    </w:pPr>
  </w:p>
  <w:p w:rsidR="00C865CA" w:rsidRDefault="00C86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56" w:rsidRDefault="00F95456">
      <w:r>
        <w:separator/>
      </w:r>
    </w:p>
  </w:footnote>
  <w:footnote w:type="continuationSeparator" w:id="0">
    <w:p w:rsidR="00F95456" w:rsidRDefault="00F95456">
      <w:r>
        <w:continuationSeparator/>
      </w:r>
    </w:p>
  </w:footnote>
  <w:footnote w:id="1">
    <w:p w:rsidR="0067789D" w:rsidRPr="0067789D" w:rsidRDefault="0067789D">
      <w:pPr>
        <w:pStyle w:val="FootnoteText"/>
      </w:pPr>
      <w:r>
        <w:rPr>
          <w:rStyle w:val="FootnoteReference"/>
        </w:rPr>
        <w:footnoteRef/>
      </w:r>
      <w:r>
        <w:t xml:space="preserve"> </w:t>
      </w:r>
      <w:r w:rsidRPr="0067789D">
        <w:t xml:space="preserve">On March 27, 2017, the Bureau granted Applicants’ request for special temporary authority to </w:t>
      </w:r>
      <w:r w:rsidRPr="00F95456">
        <w:rPr>
          <w:color w:val="000000"/>
        </w:rPr>
        <w:t xml:space="preserve">authorize Applicants to continue providing service while the Bureau reviews the domestic 214 application, effective for 60 days.  </w:t>
      </w:r>
      <w:r w:rsidRPr="00F95456">
        <w:rPr>
          <w:i/>
          <w:color w:val="000000"/>
        </w:rPr>
        <w:t xml:space="preserve">See </w:t>
      </w:r>
      <w:r w:rsidRPr="00F95456">
        <w:rPr>
          <w:color w:val="000000"/>
        </w:rPr>
        <w:t>Letter from Thomas J. Moorman, Counsel to Applicants, to Marlene H. Dortch, Secretary, FCC, WC Docket No. 17-71 (filed Mar. 21, 2017).  A grant of the application will be without</w:t>
      </w:r>
      <w:r w:rsidRPr="00F95456">
        <w:rPr>
          <w:rStyle w:val="apple-converted-space"/>
          <w:color w:val="000000"/>
        </w:rPr>
        <w:t xml:space="preserve"> </w:t>
      </w:r>
      <w:r w:rsidRPr="00F95456">
        <w:rPr>
          <w:rStyle w:val="cosearchterm"/>
          <w:bCs/>
          <w:color w:val="000000"/>
        </w:rPr>
        <w:t>prejudice</w:t>
      </w:r>
      <w:r w:rsidRPr="00F95456">
        <w:rPr>
          <w:rStyle w:val="apple-converted-space"/>
          <w:color w:val="000000"/>
        </w:rPr>
        <w:t> </w:t>
      </w:r>
      <w:r w:rsidRPr="00F95456">
        <w:rPr>
          <w:color w:val="000000"/>
        </w:rPr>
        <w:t>to any</w:t>
      </w:r>
      <w:r w:rsidRPr="00F95456">
        <w:rPr>
          <w:rStyle w:val="apple-converted-space"/>
          <w:color w:val="000000"/>
        </w:rPr>
        <w:t> </w:t>
      </w:r>
      <w:r w:rsidRPr="00F95456">
        <w:rPr>
          <w:rStyle w:val="cosearchterm"/>
          <w:bCs/>
          <w:color w:val="000000"/>
        </w:rPr>
        <w:t>enforcement</w:t>
      </w:r>
      <w:r w:rsidRPr="00F95456">
        <w:rPr>
          <w:rStyle w:val="apple-converted-space"/>
          <w:color w:val="000000"/>
        </w:rPr>
        <w:t> </w:t>
      </w:r>
      <w:r w:rsidRPr="00F95456">
        <w:rPr>
          <w:color w:val="000000"/>
        </w:rPr>
        <w:t>action by the Commission for non-</w:t>
      </w:r>
      <w:r w:rsidRPr="00F95456">
        <w:rPr>
          <w:rStyle w:val="cosearchterm"/>
          <w:bCs/>
          <w:color w:val="000000"/>
        </w:rPr>
        <w:t>compliance</w:t>
      </w:r>
      <w:r w:rsidRPr="00F95456">
        <w:rPr>
          <w:rStyle w:val="apple-converted-space"/>
          <w:color w:val="000000"/>
        </w:rPr>
        <w:t> </w:t>
      </w:r>
      <w:r w:rsidRPr="00F95456">
        <w:rPr>
          <w:color w:val="000000"/>
        </w:rPr>
        <w:t>with the Act or the Commission's rules.</w:t>
      </w:r>
    </w:p>
  </w:footnote>
  <w:footnote w:id="2">
    <w:p w:rsidR="00C865CA" w:rsidRDefault="00C865CA">
      <w:pPr>
        <w:pStyle w:val="FootnoteText"/>
        <w:rPr>
          <w:rFonts w:ascii="TimesNewRoman,Italic" w:hAnsi="TimesNewRoman,Italic" w:cs="TimesNewRoman,Italic"/>
          <w:i/>
          <w:iCs/>
        </w:rPr>
      </w:pPr>
      <w:r>
        <w:rPr>
          <w:rStyle w:val="FootnoteReference"/>
        </w:rPr>
        <w:footnoteRef/>
      </w:r>
      <w:r>
        <w:t xml:space="preserve"> </w:t>
      </w:r>
      <w:r>
        <w:rPr>
          <w:i/>
        </w:rPr>
        <w:t>See</w:t>
      </w:r>
      <w:r>
        <w:rPr>
          <w:rFonts w:ascii="TimesNewRoman,Italic" w:hAnsi="TimesNewRoman,Italic" w:cs="TimesNewRoman,Italic"/>
          <w:i/>
          <w:iCs/>
        </w:rPr>
        <w:t xml:space="preserve"> </w:t>
      </w:r>
      <w:r>
        <w:rPr>
          <w:i/>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t xml:space="preserve">, Memorandum Opinion and Order, 16 FCC Rcd 15293, 15298-99, para. 10 (CCB/WTB 2001) (granting transfer of control involving an incumbent local exchange carrier (LEC) and the transferee, Telephone and Data Systems, Inc. (TDS), where the wireless affiliate of TDS provides service in the area served by the incumbent LEC, and the merger would not harm competition).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49" w:rsidRDefault="00E34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49" w:rsidRDefault="00E34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0317CB">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25pt;height:47.25pt;visibility:visible">
          <v:imagedata r:id="rId1" o:title=""/>
        </v:shape>
      </w:pict>
    </w:r>
  </w:p>
  <w:p w:rsidR="00C865CA" w:rsidRDefault="00C865CA">
    <w:pPr>
      <w:suppressAutoHyphens/>
      <w:ind w:firstLine="1080"/>
      <w:rPr>
        <w:rFonts w:ascii="Arial Narrow" w:hAnsi="Arial Narrow"/>
      </w:rPr>
    </w:pPr>
    <w:r>
      <w:rPr>
        <w:rFonts w:ascii="News Gothic MT" w:hAnsi="News Gothic MT"/>
        <w:b/>
        <w:sz w:val="96"/>
      </w:rPr>
      <w:t>PUBLIC NOTICE</w:t>
    </w:r>
  </w:p>
  <w:p w:rsidR="00C865CA" w:rsidRDefault="00C865CA">
    <w:pPr>
      <w:suppressAutoHyphens/>
      <w:rPr>
        <w:rFonts w:ascii="Arial Narrow" w:hAnsi="Arial Narrow"/>
      </w:rPr>
    </w:pPr>
  </w:p>
  <w:p w:rsidR="00C865CA" w:rsidRDefault="000317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367.2pt;margin-top:.95pt;width:172.8pt;height:57.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v:textbox>
        </v:shape>
      </w:pict>
    </w:r>
    <w:r w:rsidR="00C865CA">
      <w:rPr>
        <w:rFonts w:ascii="Arial Narrow" w:hAnsi="Arial Narrow"/>
        <w:b/>
      </w:rPr>
      <w:tab/>
    </w:r>
    <w:r w:rsidR="00C865CA">
      <w:rPr>
        <w:rFonts w:ascii="Arial Narrow" w:hAnsi="Arial Narrow"/>
        <w:b/>
      </w:rPr>
      <w:tab/>
      <w:t>Federal Communications Commission</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865CA" w:rsidRDefault="00C865C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865CA" w:rsidRDefault="00C86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867871"/>
    <w:multiLevelType w:val="hybridMultilevel"/>
    <w:tmpl w:val="BF0CE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E2D6667"/>
    <w:multiLevelType w:val="hybridMultilevel"/>
    <w:tmpl w:val="55006EB2"/>
    <w:lvl w:ilvl="0" w:tplc="D2B2952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DF0DF6"/>
    <w:multiLevelType w:val="hybridMultilevel"/>
    <w:tmpl w:val="79902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4"/>
  </w:num>
  <w:num w:numId="31">
    <w:abstractNumId w:val="7"/>
  </w:num>
  <w:num w:numId="32">
    <w:abstractNumId w:val="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CF6"/>
    <w:rsid w:val="000317CB"/>
    <w:rsid w:val="000354C6"/>
    <w:rsid w:val="00086ADD"/>
    <w:rsid w:val="00190378"/>
    <w:rsid w:val="00234704"/>
    <w:rsid w:val="002D1698"/>
    <w:rsid w:val="003961C7"/>
    <w:rsid w:val="003F76C5"/>
    <w:rsid w:val="00432ED7"/>
    <w:rsid w:val="00451971"/>
    <w:rsid w:val="00485523"/>
    <w:rsid w:val="004B21C5"/>
    <w:rsid w:val="004C1864"/>
    <w:rsid w:val="00501EEB"/>
    <w:rsid w:val="00580E67"/>
    <w:rsid w:val="005A093E"/>
    <w:rsid w:val="005A7CBD"/>
    <w:rsid w:val="005C14C7"/>
    <w:rsid w:val="00635CF6"/>
    <w:rsid w:val="00640425"/>
    <w:rsid w:val="00664BE6"/>
    <w:rsid w:val="0067789D"/>
    <w:rsid w:val="00686E0D"/>
    <w:rsid w:val="006F2D73"/>
    <w:rsid w:val="00833B94"/>
    <w:rsid w:val="00895919"/>
    <w:rsid w:val="009A060C"/>
    <w:rsid w:val="009A321C"/>
    <w:rsid w:val="00A410C8"/>
    <w:rsid w:val="00A9211F"/>
    <w:rsid w:val="00A95185"/>
    <w:rsid w:val="00B3741C"/>
    <w:rsid w:val="00B614DF"/>
    <w:rsid w:val="00BD6C0E"/>
    <w:rsid w:val="00C572CE"/>
    <w:rsid w:val="00C865CA"/>
    <w:rsid w:val="00CE11C2"/>
    <w:rsid w:val="00D25BC7"/>
    <w:rsid w:val="00D41597"/>
    <w:rsid w:val="00DA199A"/>
    <w:rsid w:val="00E20308"/>
    <w:rsid w:val="00E243F9"/>
    <w:rsid w:val="00E34D49"/>
    <w:rsid w:val="00EC4347"/>
    <w:rsid w:val="00F34EE2"/>
    <w:rsid w:val="00F75E08"/>
    <w:rsid w:val="00F95456"/>
    <w:rsid w:val="00FA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 w:type="character" w:customStyle="1" w:styleId="apple-converted-space">
    <w:name w:val="apple-converted-space"/>
    <w:rsid w:val="0067789D"/>
  </w:style>
  <w:style w:type="character" w:customStyle="1" w:styleId="copinpointicon">
    <w:name w:val="co_pinpointicon"/>
    <w:rsid w:val="0067789D"/>
  </w:style>
  <w:style w:type="character" w:customStyle="1" w:styleId="cosearchterm">
    <w:name w:val="co_searchterm"/>
    <w:rsid w:val="0067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78084">
      <w:bodyDiv w:val="1"/>
      <w:marLeft w:val="0"/>
      <w:marRight w:val="0"/>
      <w:marTop w:val="0"/>
      <w:marBottom w:val="0"/>
      <w:divBdr>
        <w:top w:val="none" w:sz="0" w:space="0" w:color="auto"/>
        <w:left w:val="none" w:sz="0" w:space="0" w:color="auto"/>
        <w:bottom w:val="none" w:sz="0" w:space="0" w:color="auto"/>
        <w:right w:val="none" w:sz="0" w:space="0" w:color="auto"/>
      </w:divBdr>
      <w:divsChild>
        <w:div w:id="78332723">
          <w:marLeft w:val="0"/>
          <w:marRight w:val="0"/>
          <w:marTop w:val="0"/>
          <w:marBottom w:val="0"/>
          <w:divBdr>
            <w:top w:val="none" w:sz="0" w:space="0" w:color="auto"/>
            <w:left w:val="none" w:sz="0" w:space="0" w:color="auto"/>
            <w:bottom w:val="none" w:sz="0" w:space="0" w:color="auto"/>
            <w:right w:val="none" w:sz="0" w:space="0" w:color="auto"/>
          </w:divBdr>
        </w:div>
        <w:div w:id="588738417">
          <w:marLeft w:val="0"/>
          <w:marRight w:val="0"/>
          <w:marTop w:val="0"/>
          <w:marBottom w:val="0"/>
          <w:divBdr>
            <w:top w:val="none" w:sz="0" w:space="0" w:color="auto"/>
            <w:left w:val="none" w:sz="0" w:space="0" w:color="auto"/>
            <w:bottom w:val="none" w:sz="0" w:space="0" w:color="auto"/>
            <w:right w:val="none" w:sz="0" w:space="0" w:color="auto"/>
          </w:divBdr>
        </w:div>
        <w:div w:id="970475504">
          <w:marLeft w:val="0"/>
          <w:marRight w:val="0"/>
          <w:marTop w:val="0"/>
          <w:marBottom w:val="0"/>
          <w:divBdr>
            <w:top w:val="none" w:sz="0" w:space="0" w:color="auto"/>
            <w:left w:val="none" w:sz="0" w:space="0" w:color="auto"/>
            <w:bottom w:val="none" w:sz="0" w:space="0" w:color="auto"/>
            <w:right w:val="none" w:sz="0" w:space="0" w:color="auto"/>
          </w:divBdr>
        </w:div>
        <w:div w:id="1187602508">
          <w:marLeft w:val="0"/>
          <w:marRight w:val="0"/>
          <w:marTop w:val="0"/>
          <w:marBottom w:val="0"/>
          <w:divBdr>
            <w:top w:val="none" w:sz="0" w:space="0" w:color="auto"/>
            <w:left w:val="none" w:sz="0" w:space="0" w:color="auto"/>
            <w:bottom w:val="none" w:sz="0" w:space="0" w:color="auto"/>
            <w:right w:val="none" w:sz="0" w:space="0" w:color="auto"/>
          </w:divBdr>
        </w:div>
        <w:div w:id="1605648698">
          <w:marLeft w:val="0"/>
          <w:marRight w:val="0"/>
          <w:marTop w:val="0"/>
          <w:marBottom w:val="0"/>
          <w:divBdr>
            <w:top w:val="none" w:sz="0" w:space="0" w:color="auto"/>
            <w:left w:val="none" w:sz="0" w:space="0" w:color="auto"/>
            <w:bottom w:val="none" w:sz="0" w:space="0" w:color="auto"/>
            <w:right w:val="none" w:sz="0" w:space="0" w:color="auto"/>
          </w:divBdr>
        </w:div>
        <w:div w:id="1624536514">
          <w:marLeft w:val="0"/>
          <w:marRight w:val="0"/>
          <w:marTop w:val="0"/>
          <w:marBottom w:val="0"/>
          <w:divBdr>
            <w:top w:val="none" w:sz="0" w:space="0" w:color="auto"/>
            <w:left w:val="none" w:sz="0" w:space="0" w:color="auto"/>
            <w:bottom w:val="none" w:sz="0" w:space="0" w:color="auto"/>
            <w:right w:val="none" w:sz="0" w:space="0" w:color="auto"/>
          </w:divBdr>
        </w:div>
        <w:div w:id="1683388553">
          <w:marLeft w:val="0"/>
          <w:marRight w:val="0"/>
          <w:marTop w:val="0"/>
          <w:marBottom w:val="0"/>
          <w:divBdr>
            <w:top w:val="none" w:sz="0" w:space="0" w:color="auto"/>
            <w:left w:val="none" w:sz="0" w:space="0" w:color="auto"/>
            <w:bottom w:val="none" w:sz="0" w:space="0" w:color="auto"/>
            <w:right w:val="none" w:sz="0" w:space="0" w:color="auto"/>
          </w:divBdr>
        </w:div>
        <w:div w:id="177466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214</Words>
  <Characters>1218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2010-09-23T17:07:00Z</cp:lastPrinted>
  <dcterms:created xsi:type="dcterms:W3CDTF">2017-05-05T12:28:00Z</dcterms:created>
  <dcterms:modified xsi:type="dcterms:W3CDTF">2017-05-05T12:28:00Z</dcterms:modified>
  <cp:category> </cp:category>
  <cp:contentStatus> </cp:contentStatus>
</cp:coreProperties>
</file>