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r w:rsidR="00105057">
              <w:rPr>
                <w:spacing w:val="-2"/>
              </w:rPr>
              <w:t xml:space="preserve"> the Applications of</w:t>
            </w:r>
          </w:p>
          <w:p w:rsidR="004C2EE3" w:rsidRDefault="004C2EE3">
            <w:pPr>
              <w:tabs>
                <w:tab w:val="center" w:pos="4680"/>
              </w:tabs>
              <w:suppressAutoHyphens/>
              <w:rPr>
                <w:spacing w:val="-2"/>
              </w:rPr>
            </w:pPr>
          </w:p>
          <w:p w:rsidR="00105057" w:rsidRPr="00105057" w:rsidRDefault="00CF76A1" w:rsidP="00105057">
            <w:pPr>
              <w:widowControl/>
              <w:autoSpaceDE w:val="0"/>
              <w:autoSpaceDN w:val="0"/>
              <w:adjustRightInd w:val="0"/>
              <w:rPr>
                <w:spacing w:val="-2"/>
              </w:rPr>
            </w:pPr>
            <w:r>
              <w:rPr>
                <w:spacing w:val="-2"/>
              </w:rPr>
              <w:t>CHANNEL 61 ASSOCIATES, LLC</w:t>
            </w:r>
          </w:p>
          <w:p w:rsidR="00105057" w:rsidRDefault="00105057" w:rsidP="00105057">
            <w:pPr>
              <w:widowControl/>
              <w:autoSpaceDE w:val="0"/>
              <w:autoSpaceDN w:val="0"/>
              <w:adjustRightInd w:val="0"/>
              <w:rPr>
                <w:spacing w:val="-2"/>
              </w:rPr>
            </w:pPr>
            <w:r w:rsidRPr="00105057">
              <w:rPr>
                <w:spacing w:val="-2"/>
              </w:rPr>
              <w:t xml:space="preserve">(Assignor) </w:t>
            </w:r>
          </w:p>
          <w:p w:rsidR="00105057" w:rsidRPr="00105057" w:rsidRDefault="00105057" w:rsidP="00105057">
            <w:pPr>
              <w:widowControl/>
              <w:autoSpaceDE w:val="0"/>
              <w:autoSpaceDN w:val="0"/>
              <w:adjustRightInd w:val="0"/>
              <w:rPr>
                <w:spacing w:val="-2"/>
              </w:rPr>
            </w:pPr>
            <w:r w:rsidRPr="00105057">
              <w:rPr>
                <w:spacing w:val="-2"/>
              </w:rPr>
              <w:t xml:space="preserve"> </w:t>
            </w:r>
          </w:p>
          <w:p w:rsidR="00105057" w:rsidRDefault="00105057" w:rsidP="00105057">
            <w:pPr>
              <w:widowControl/>
              <w:autoSpaceDE w:val="0"/>
              <w:autoSpaceDN w:val="0"/>
              <w:adjustRightInd w:val="0"/>
              <w:rPr>
                <w:spacing w:val="-2"/>
              </w:rPr>
            </w:pPr>
            <w:r w:rsidRPr="00105057">
              <w:rPr>
                <w:spacing w:val="-2"/>
              </w:rPr>
              <w:t xml:space="preserve">and </w:t>
            </w:r>
          </w:p>
          <w:p w:rsidR="00105057" w:rsidRPr="00105057" w:rsidRDefault="00105057" w:rsidP="00105057">
            <w:pPr>
              <w:widowControl/>
              <w:autoSpaceDE w:val="0"/>
              <w:autoSpaceDN w:val="0"/>
              <w:adjustRightInd w:val="0"/>
              <w:rPr>
                <w:spacing w:val="-2"/>
              </w:rPr>
            </w:pPr>
          </w:p>
          <w:p w:rsidR="00105057" w:rsidRPr="00105057" w:rsidRDefault="00105057" w:rsidP="00105057">
            <w:pPr>
              <w:widowControl/>
              <w:autoSpaceDE w:val="0"/>
              <w:autoSpaceDN w:val="0"/>
              <w:adjustRightInd w:val="0"/>
              <w:rPr>
                <w:spacing w:val="-2"/>
              </w:rPr>
            </w:pPr>
            <w:r w:rsidRPr="00105057">
              <w:rPr>
                <w:spacing w:val="-2"/>
              </w:rPr>
              <w:t>CROSS HILL COMMUNICATIONS, LLC</w:t>
            </w:r>
          </w:p>
          <w:p w:rsidR="00105057" w:rsidRPr="00105057" w:rsidRDefault="00105057" w:rsidP="00105057">
            <w:pPr>
              <w:widowControl/>
              <w:autoSpaceDE w:val="0"/>
              <w:autoSpaceDN w:val="0"/>
              <w:adjustRightInd w:val="0"/>
              <w:rPr>
                <w:spacing w:val="-2"/>
              </w:rPr>
            </w:pPr>
            <w:r w:rsidRPr="00105057">
              <w:rPr>
                <w:spacing w:val="-2"/>
              </w:rPr>
              <w:t xml:space="preserve">(Assignee) </w:t>
            </w:r>
          </w:p>
          <w:p w:rsidR="00105057" w:rsidRPr="00105057" w:rsidRDefault="00105057" w:rsidP="00105057">
            <w:pPr>
              <w:widowControl/>
              <w:autoSpaceDE w:val="0"/>
              <w:autoSpaceDN w:val="0"/>
              <w:adjustRightInd w:val="0"/>
              <w:rPr>
                <w:spacing w:val="-2"/>
              </w:rPr>
            </w:pPr>
          </w:p>
          <w:p w:rsidR="00105057" w:rsidRPr="00105057" w:rsidRDefault="00105057" w:rsidP="00105057">
            <w:pPr>
              <w:widowControl/>
              <w:autoSpaceDE w:val="0"/>
              <w:autoSpaceDN w:val="0"/>
              <w:adjustRightInd w:val="0"/>
              <w:rPr>
                <w:spacing w:val="-2"/>
              </w:rPr>
            </w:pPr>
            <w:r w:rsidRPr="00105057">
              <w:rPr>
                <w:spacing w:val="-2"/>
              </w:rPr>
              <w:t xml:space="preserve">For Consent to Assignment of License of </w:t>
            </w:r>
          </w:p>
          <w:p w:rsidR="004C2EE3" w:rsidRPr="007115F7" w:rsidRDefault="008210B7" w:rsidP="00105057">
            <w:pPr>
              <w:tabs>
                <w:tab w:val="center" w:pos="4680"/>
              </w:tabs>
              <w:suppressAutoHyphens/>
              <w:rPr>
                <w:spacing w:val="-2"/>
              </w:rPr>
            </w:pPr>
            <w:r>
              <w:rPr>
                <w:spacing w:val="-2"/>
              </w:rPr>
              <w:t>Television Station WNMN(</w:t>
            </w:r>
            <w:r w:rsidR="00105057" w:rsidRPr="00105057">
              <w:rPr>
                <w:spacing w:val="-2"/>
              </w:rPr>
              <w:t>T</w:t>
            </w:r>
            <w:r>
              <w:rPr>
                <w:spacing w:val="-2"/>
              </w:rPr>
              <w:t>V</w:t>
            </w:r>
            <w:r w:rsidR="00105057" w:rsidRPr="00105057">
              <w:rPr>
                <w:spacing w:val="-2"/>
              </w:rPr>
              <w:t>),</w:t>
            </w:r>
            <w:r w:rsidR="00844DE1">
              <w:rPr>
                <w:rStyle w:val="FootnoteReference"/>
                <w:spacing w:val="-2"/>
              </w:rPr>
              <w:footnoteReference w:id="2"/>
            </w:r>
            <w:r w:rsidR="00105057" w:rsidRPr="00105057">
              <w:rPr>
                <w:spacing w:val="-2"/>
              </w:rPr>
              <w:t xml:space="preserve"> Saranac Lake, NY</w:t>
            </w:r>
          </w:p>
        </w:tc>
        <w:tc>
          <w:tcPr>
            <w:tcW w:w="630" w:type="dxa"/>
          </w:tcPr>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4C2EE3" w:rsidRPr="00105057" w:rsidRDefault="004C2EE3">
            <w:pPr>
              <w:tabs>
                <w:tab w:val="center" w:pos="4680"/>
              </w:tabs>
              <w:suppressAutoHyphens/>
              <w:rPr>
                <w:spacing w:val="-2"/>
              </w:rPr>
            </w:pPr>
            <w:r w:rsidRPr="00105057">
              <w:rPr>
                <w:spacing w:val="-2"/>
              </w:rPr>
              <w:t>)</w:t>
            </w:r>
          </w:p>
          <w:p w:rsidR="00105057" w:rsidRPr="00105057" w:rsidRDefault="00105057" w:rsidP="00105057">
            <w:pPr>
              <w:tabs>
                <w:tab w:val="center" w:pos="4680"/>
              </w:tabs>
              <w:suppressAutoHyphens/>
              <w:rPr>
                <w:spacing w:val="-2"/>
              </w:rPr>
            </w:pPr>
            <w:r w:rsidRPr="00105057">
              <w:rPr>
                <w:spacing w:val="-2"/>
              </w:rPr>
              <w:t>)</w:t>
            </w:r>
          </w:p>
          <w:p w:rsidR="00105057" w:rsidRPr="00105057" w:rsidRDefault="00105057" w:rsidP="00105057">
            <w:pPr>
              <w:tabs>
                <w:tab w:val="center" w:pos="4680"/>
              </w:tabs>
              <w:suppressAutoHyphens/>
              <w:rPr>
                <w:spacing w:val="-2"/>
              </w:rPr>
            </w:pPr>
            <w:r w:rsidRPr="00105057">
              <w:rPr>
                <w:spacing w:val="-2"/>
              </w:rPr>
              <w:t>)</w:t>
            </w:r>
          </w:p>
          <w:p w:rsidR="00105057" w:rsidRPr="00105057" w:rsidRDefault="00105057" w:rsidP="00105057">
            <w:pPr>
              <w:tabs>
                <w:tab w:val="center" w:pos="4680"/>
              </w:tabs>
              <w:suppressAutoHyphens/>
              <w:rPr>
                <w:spacing w:val="-2"/>
              </w:rPr>
            </w:pPr>
            <w:r w:rsidRPr="00105057">
              <w:rPr>
                <w:spacing w:val="-2"/>
              </w:rPr>
              <w:t>)</w:t>
            </w:r>
          </w:p>
          <w:p w:rsidR="008210B7" w:rsidRPr="00105057" w:rsidRDefault="008210B7" w:rsidP="008210B7">
            <w:pPr>
              <w:tabs>
                <w:tab w:val="center" w:pos="4680"/>
              </w:tabs>
              <w:suppressAutoHyphens/>
              <w:rPr>
                <w:spacing w:val="-2"/>
              </w:rPr>
            </w:pPr>
            <w:r w:rsidRPr="00105057">
              <w:rPr>
                <w:spacing w:val="-2"/>
              </w:rPr>
              <w:t>)</w:t>
            </w:r>
          </w:p>
          <w:p w:rsidR="004C2EE3" w:rsidRDefault="00105057">
            <w:pPr>
              <w:tabs>
                <w:tab w:val="center" w:pos="4680"/>
              </w:tabs>
              <w:suppressAutoHyphens/>
              <w:rPr>
                <w:spacing w:val="-2"/>
              </w:rPr>
            </w:pPr>
            <w:r w:rsidRPr="00105057">
              <w:rPr>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05057">
            <w:pPr>
              <w:tabs>
                <w:tab w:val="center" w:pos="4680"/>
              </w:tabs>
              <w:suppressAutoHyphens/>
              <w:rPr>
                <w:spacing w:val="-2"/>
              </w:rPr>
            </w:pPr>
            <w:r w:rsidRPr="00105057">
              <w:rPr>
                <w:spacing w:val="-2"/>
              </w:rPr>
              <w:t>File No. BALCDT-20131115BDM</w:t>
            </w:r>
          </w:p>
          <w:p w:rsidR="00105057" w:rsidRPr="00105057" w:rsidRDefault="00105057" w:rsidP="00105057">
            <w:pPr>
              <w:widowControl/>
              <w:autoSpaceDE w:val="0"/>
              <w:autoSpaceDN w:val="0"/>
              <w:adjustRightInd w:val="0"/>
              <w:rPr>
                <w:spacing w:val="-2"/>
              </w:rPr>
            </w:pPr>
            <w:r w:rsidRPr="00105057">
              <w:rPr>
                <w:spacing w:val="-2"/>
              </w:rPr>
              <w:t>Facility ID No. 77515</w:t>
            </w:r>
          </w:p>
          <w:p w:rsidR="00105057" w:rsidRDefault="00105057">
            <w:pPr>
              <w:tabs>
                <w:tab w:val="center" w:pos="4680"/>
              </w:tabs>
              <w:suppressAutoHyphens/>
              <w:rPr>
                <w:spacing w:val="-2"/>
              </w:rPr>
            </w:pPr>
          </w:p>
        </w:tc>
      </w:tr>
    </w:tbl>
    <w:p w:rsidR="004C2EE3" w:rsidRDefault="004C2EE3" w:rsidP="0070224F"/>
    <w:p w:rsidR="00841AB1" w:rsidRDefault="0010505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B2D18">
        <w:rPr>
          <w:b/>
          <w:spacing w:val="-2"/>
        </w:rPr>
        <w:t>May 5, 2017</w:t>
      </w:r>
      <w:r w:rsidR="00DB2D18">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2D18">
        <w:rPr>
          <w:b/>
          <w:spacing w:val="-2"/>
        </w:rPr>
        <w:t>May 5, 2017</w:t>
      </w:r>
    </w:p>
    <w:p w:rsidR="00822CE0" w:rsidRDefault="00822CE0"/>
    <w:p w:rsidR="004C2EE3" w:rsidRDefault="004C2EE3">
      <w:pPr>
        <w:rPr>
          <w:spacing w:val="-2"/>
        </w:rPr>
      </w:pPr>
      <w:r>
        <w:t xml:space="preserve">By </w:t>
      </w:r>
      <w:r w:rsidR="004E4A22">
        <w:t>the</w:t>
      </w:r>
      <w:r w:rsidR="002A2D2E">
        <w:t xml:space="preserve"> </w:t>
      </w:r>
      <w:r w:rsidR="003F47A5">
        <w:t xml:space="preserve">Chief, Video Division, </w:t>
      </w:r>
      <w:r w:rsidR="00105057">
        <w:t>Media Bureau</w:t>
      </w:r>
      <w:r>
        <w:rPr>
          <w:spacing w:val="-2"/>
        </w:rPr>
        <w:t>:</w:t>
      </w:r>
    </w:p>
    <w:p w:rsidR="00412FC5" w:rsidRDefault="00412FC5" w:rsidP="00412FC5"/>
    <w:p w:rsidR="00035133" w:rsidRDefault="00114231" w:rsidP="00035133">
      <w:pPr>
        <w:pStyle w:val="ParaNum"/>
      </w:pPr>
      <w:r>
        <w:t xml:space="preserve">The Media Bureau (“Bureau”) has before it </w:t>
      </w:r>
      <w:r w:rsidR="00EB061E">
        <w:t>a Petition for Reconsideration filed by Convergence Entertainment and Communications, LLC (</w:t>
      </w:r>
      <w:r w:rsidR="00BD68FD">
        <w:t xml:space="preserve">the </w:t>
      </w:r>
      <w:r w:rsidR="00EB061E">
        <w:t>“Petitioner”</w:t>
      </w:r>
      <w:r w:rsidR="00666050">
        <w:t>),</w:t>
      </w:r>
      <w:r w:rsidR="008451BE">
        <w:t xml:space="preserve"> seeking reconsideration of the decision by the Video Division (“Division”) to grant the application to assign the license of WNMN(TV), Saranac</w:t>
      </w:r>
      <w:r w:rsidR="003B7F5E">
        <w:t xml:space="preserve"> </w:t>
      </w:r>
      <w:r w:rsidR="008451BE">
        <w:t>Lake</w:t>
      </w:r>
      <w:r w:rsidR="003B7F5E">
        <w:t>, New York (“WMNM</w:t>
      </w:r>
      <w:r w:rsidR="008451BE">
        <w:t>”</w:t>
      </w:r>
      <w:r w:rsidR="003B7F5E">
        <w:t xml:space="preserve"> or the “Station”)</w:t>
      </w:r>
      <w:r w:rsidR="008451BE">
        <w:t xml:space="preserve"> from Channel 61 Associates, LLC (“Channel 61”) to Cross Hill Communications, LLC (“Cross Hill”)</w:t>
      </w:r>
      <w:r w:rsidR="00CB475F">
        <w:t xml:space="preserve"> (collectively, the “Applicants”)</w:t>
      </w:r>
      <w:r w:rsidR="008451BE">
        <w:t>.</w:t>
      </w:r>
      <w:r w:rsidR="008451BE">
        <w:rPr>
          <w:rStyle w:val="FootnoteReference"/>
        </w:rPr>
        <w:footnoteReference w:id="3"/>
      </w:r>
      <w:r w:rsidR="00BD68FD">
        <w:t xml:space="preserve">  </w:t>
      </w:r>
      <w:r w:rsidR="007A434A">
        <w:t>We find that the Petition was untimely filed, and dismiss it accordingly.</w:t>
      </w:r>
      <w:r w:rsidR="003B7F5E">
        <w:t xml:space="preserve"> </w:t>
      </w:r>
    </w:p>
    <w:p w:rsidR="002C00E8" w:rsidRDefault="007A434A" w:rsidP="002C00E8">
      <w:pPr>
        <w:pStyle w:val="Heading1"/>
      </w:pPr>
      <w:r>
        <w:t>BACKGROUND</w:t>
      </w:r>
    </w:p>
    <w:p w:rsidR="00E011BB" w:rsidRDefault="007A434A" w:rsidP="00810859">
      <w:pPr>
        <w:pStyle w:val="ParaNum"/>
        <w:widowControl/>
      </w:pPr>
      <w:r>
        <w:t xml:space="preserve">In the </w:t>
      </w:r>
      <w:r>
        <w:rPr>
          <w:i/>
        </w:rPr>
        <w:t>Assignment Order</w:t>
      </w:r>
      <w:r>
        <w:t xml:space="preserve">, the Division </w:t>
      </w:r>
      <w:r w:rsidR="003B7F5E">
        <w:t>granted an application to assign WNMN(TV) from Channel 61 to Cross Hill</w:t>
      </w:r>
      <w:r w:rsidR="000C0A47">
        <w:t xml:space="preserve"> (the “Application”)</w:t>
      </w:r>
      <w:r w:rsidR="003B7F5E">
        <w:t>, and denied an informal objection filed by Convergence opposing the assignment.  Convergence</w:t>
      </w:r>
      <w:r w:rsidR="009B6152">
        <w:t>, a competing broadcaster,</w:t>
      </w:r>
      <w:r w:rsidR="009B6152">
        <w:rPr>
          <w:rStyle w:val="FootnoteReference"/>
        </w:rPr>
        <w:footnoteReference w:id="4"/>
      </w:r>
      <w:r w:rsidR="003B7F5E">
        <w:t xml:space="preserve"> had sought a deferral of the review of the application until a New York state court had an opportunity to review a contractual dispute between Channel 61 and Convergence.  Convergence also stated that Channel 61 may not be qualified to hold a license because Channel 61 knowingly misrepresented facts to the Commission in its 2007 analog license to cover a new construction permit application.</w:t>
      </w:r>
      <w:r w:rsidR="003B7F5E">
        <w:rPr>
          <w:rStyle w:val="FootnoteReference"/>
        </w:rPr>
        <w:footnoteReference w:id="5"/>
      </w:r>
      <w:r w:rsidR="00FE499B">
        <w:t xml:space="preserve">  </w:t>
      </w:r>
    </w:p>
    <w:p w:rsidR="00035133" w:rsidRDefault="0079037A" w:rsidP="00810859">
      <w:pPr>
        <w:pStyle w:val="ParaNum"/>
        <w:widowControl/>
      </w:pPr>
      <w:r>
        <w:t xml:space="preserve">The </w:t>
      </w:r>
      <w:r w:rsidR="00E011BB" w:rsidRPr="00570D70">
        <w:rPr>
          <w:i/>
        </w:rPr>
        <w:t>Assignment Order</w:t>
      </w:r>
      <w:r w:rsidR="00E011BB">
        <w:t xml:space="preserve"> concluded that Convergence did not raise a substantial and material question of fact warranting further inquiry,</w:t>
      </w:r>
      <w:r w:rsidR="00E011BB">
        <w:rPr>
          <w:rStyle w:val="FootnoteReference"/>
        </w:rPr>
        <w:footnoteReference w:id="6"/>
      </w:r>
      <w:r w:rsidR="00E011BB">
        <w:t xml:space="preserve"> specifically rejecting both of Convergence’s </w:t>
      </w:r>
      <w:r w:rsidR="00C2257C">
        <w:t>argument</w:t>
      </w:r>
      <w:r w:rsidR="00E011BB">
        <w:t xml:space="preserve">s. </w:t>
      </w:r>
      <w:r w:rsidR="00570D70">
        <w:t>First, the</w:t>
      </w:r>
      <w:r w:rsidR="004B1FF1">
        <w:t xml:space="preserve"> </w:t>
      </w:r>
      <w:r w:rsidR="004B1FF1" w:rsidRPr="00570D70">
        <w:rPr>
          <w:i/>
        </w:rPr>
        <w:t>Assignment Order</w:t>
      </w:r>
      <w:r w:rsidR="004B1FF1">
        <w:t xml:space="preserve"> held that the existence of a contractual dispute between Convergence and Channel </w:t>
      </w:r>
      <w:r w:rsidR="004B1FF1">
        <w:lastRenderedPageBreak/>
        <w:t>61 in a state court does not compel the Commission to stop processing a</w:t>
      </w:r>
      <w:r w:rsidR="00C2257C">
        <w:t>n assignment application</w:t>
      </w:r>
      <w:r w:rsidR="004B1FF1">
        <w:t xml:space="preserve"> pending judicial resolution, and does not prejudice any relief to which the parties may ultimately be entitled pursuant to a subsequent ruling by a state court.</w:t>
      </w:r>
      <w:r w:rsidR="00570D70">
        <w:rPr>
          <w:rStyle w:val="FootnoteReference"/>
        </w:rPr>
        <w:footnoteReference w:id="7"/>
      </w:r>
      <w:r w:rsidR="00570D70">
        <w:t xml:space="preserve">  Second, </w:t>
      </w:r>
      <w:r w:rsidR="00E011BB">
        <w:t xml:space="preserve">the Division </w:t>
      </w:r>
      <w:r w:rsidR="00570D70">
        <w:t xml:space="preserve">noted that </w:t>
      </w:r>
      <w:r w:rsidR="00E011BB">
        <w:t>the Bureau and Channel 61 entered into</w:t>
      </w:r>
      <w:r w:rsidR="00570D70">
        <w:t xml:space="preserve"> a Consent Decree on November 4, </w:t>
      </w:r>
      <w:r w:rsidR="00E011BB">
        <w:t xml:space="preserve">2015, </w:t>
      </w:r>
      <w:r w:rsidR="00866C6D">
        <w:t>that terminated the investigation into violations of the Commission’s rules, including the construction of an analog facility at an unauthorized location.</w:t>
      </w:r>
      <w:r w:rsidR="00866C6D">
        <w:rPr>
          <w:rStyle w:val="FootnoteReference"/>
        </w:rPr>
        <w:footnoteReference w:id="8"/>
      </w:r>
      <w:r w:rsidR="00866C6D">
        <w:t xml:space="preserve">  </w:t>
      </w:r>
      <w:r w:rsidR="00570D70">
        <w:t>Third, the</w:t>
      </w:r>
      <w:r w:rsidR="00FE499B">
        <w:t xml:space="preserve"> Division concl</w:t>
      </w:r>
      <w:r w:rsidR="00D52899">
        <w:t>ud</w:t>
      </w:r>
      <w:r w:rsidR="00FE499B">
        <w:t>ed that Converge</w:t>
      </w:r>
      <w:r w:rsidR="00570D70">
        <w:t xml:space="preserve">nce </w:t>
      </w:r>
      <w:r w:rsidR="00FE499B">
        <w:t xml:space="preserve">failed to demonstrate the elements of intent to deceive the Commission, which is the </w:t>
      </w:r>
      <w:r w:rsidR="00FE499B" w:rsidRPr="00570D70">
        <w:rPr>
          <w:i/>
        </w:rPr>
        <w:t>sine qua non</w:t>
      </w:r>
      <w:r w:rsidR="00FE499B">
        <w:t xml:space="preserve"> of misrepresentation or lack of candor.</w:t>
      </w:r>
      <w:r w:rsidR="00FE499B">
        <w:rPr>
          <w:rStyle w:val="FootnoteReference"/>
        </w:rPr>
        <w:footnoteReference w:id="9"/>
      </w:r>
    </w:p>
    <w:p w:rsidR="007A434A" w:rsidRDefault="007A434A" w:rsidP="00810859">
      <w:pPr>
        <w:pStyle w:val="ParaNum"/>
        <w:widowControl/>
      </w:pPr>
      <w:r>
        <w:t xml:space="preserve">The </w:t>
      </w:r>
      <w:r w:rsidR="0079037A" w:rsidRPr="00570D70">
        <w:rPr>
          <w:i/>
        </w:rPr>
        <w:t>Assignment Order</w:t>
      </w:r>
      <w:r w:rsidR="0079037A">
        <w:t xml:space="preserve"> was dated, signed, and released on February 26, 2016, and the Commission’s Daily Digest published its release on February 29, 2016.</w:t>
      </w:r>
      <w:r w:rsidR="0079037A">
        <w:rPr>
          <w:rStyle w:val="FootnoteReference"/>
        </w:rPr>
        <w:footnoteReference w:id="10"/>
      </w:r>
      <w:r w:rsidR="004068A0">
        <w:t xml:space="preserve">  </w:t>
      </w:r>
      <w:r w:rsidR="00133461">
        <w:t xml:space="preserve">In an addendum, this Daily Digest </w:t>
      </w:r>
      <w:r w:rsidR="000C0A47">
        <w:t>announced</w:t>
      </w:r>
      <w:r w:rsidR="00133461">
        <w:t xml:space="preserve"> the release of the text of the </w:t>
      </w:r>
      <w:r w:rsidR="00133461" w:rsidRPr="00570D70">
        <w:rPr>
          <w:i/>
        </w:rPr>
        <w:t>Assignment Order</w:t>
      </w:r>
      <w:r w:rsidR="00133461">
        <w:t xml:space="preserve">, and expressly specified that it was one of the items that was released on February 26, 2016, but did not appear in the preceding Daily Digest.  The published electronic version of the Daily Digest included a hyperlink to the text of the </w:t>
      </w:r>
      <w:r w:rsidR="00133461" w:rsidRPr="00570D70">
        <w:rPr>
          <w:i/>
        </w:rPr>
        <w:t>Assignment Order</w:t>
      </w:r>
      <w:r w:rsidR="00133461">
        <w:t xml:space="preserve"> itself.</w:t>
      </w:r>
      <w:r w:rsidR="00133461">
        <w:rPr>
          <w:rStyle w:val="FootnoteReference"/>
        </w:rPr>
        <w:footnoteReference w:id="11"/>
      </w:r>
      <w:r w:rsidR="00133461">
        <w:t xml:space="preserve">  On March 2,</w:t>
      </w:r>
      <w:r w:rsidR="00C2257C">
        <w:t xml:space="preserve"> 2016,</w:t>
      </w:r>
      <w:r w:rsidR="00133461">
        <w:t xml:space="preserve"> the Commission published a</w:t>
      </w:r>
      <w:r w:rsidR="00932D93">
        <w:t>nother</w:t>
      </w:r>
      <w:r w:rsidR="00133461">
        <w:t xml:space="preserve"> public notice, reiterating that the above</w:t>
      </w:r>
      <w:r w:rsidR="00570D70">
        <w:noBreakHyphen/>
        <w:t>c</w:t>
      </w:r>
      <w:r w:rsidR="00133461">
        <w:t>aptioned application for assignment was granted with an action date of February 26, 201</w:t>
      </w:r>
      <w:r w:rsidR="00570D70">
        <w:t>6</w:t>
      </w:r>
      <w:r w:rsidR="00133461">
        <w:t>.</w:t>
      </w:r>
      <w:r w:rsidR="00133461">
        <w:rPr>
          <w:rStyle w:val="FootnoteReference"/>
        </w:rPr>
        <w:footnoteReference w:id="12"/>
      </w:r>
    </w:p>
    <w:p w:rsidR="00035133" w:rsidRDefault="007A434A" w:rsidP="00810859">
      <w:pPr>
        <w:pStyle w:val="ParaNum"/>
        <w:widowControl/>
      </w:pPr>
      <w:r>
        <w:t>On April 1, 2016, the Petitioner filed the Petition, seeking reconsideration on several grounds, including changed circumstances and “reversible errors &amp; omissions of fact &amp; law</w:t>
      </w:r>
      <w:r w:rsidR="00570D70">
        <w:t>.”</w:t>
      </w:r>
      <w:r>
        <w:rPr>
          <w:rStyle w:val="FootnoteReference"/>
        </w:rPr>
        <w:footnoteReference w:id="13"/>
      </w:r>
      <w:r w:rsidR="00282E92">
        <w:t xml:space="preserve">  Among other contentions, the Petitioner alleges that the Licensee never built the tower authorized under its construction permit.</w:t>
      </w:r>
      <w:r w:rsidR="00282E92">
        <w:rPr>
          <w:rStyle w:val="FootnoteReference"/>
        </w:rPr>
        <w:footnoteReference w:id="14"/>
      </w:r>
    </w:p>
    <w:p w:rsidR="00CB475F" w:rsidRDefault="00CB475F" w:rsidP="00810859">
      <w:pPr>
        <w:pStyle w:val="ParaNum"/>
        <w:widowControl/>
      </w:pPr>
      <w:r>
        <w:t>On April 14, 2016, the Applicants filed a Joint Opposition, arguing that the Petition must be dismissed because it was filed late and because it is otherwise procedurally defective and without merit.</w:t>
      </w:r>
      <w:r>
        <w:rPr>
          <w:rStyle w:val="FootnoteReference"/>
        </w:rPr>
        <w:footnoteReference w:id="15"/>
      </w:r>
      <w:r>
        <w:t xml:space="preserve">  They argue that </w:t>
      </w:r>
      <w:r w:rsidR="00DE3592">
        <w:t xml:space="preserve">pursuant to the 30-day window for filing </w:t>
      </w:r>
      <w:r w:rsidR="00C2257C">
        <w:t xml:space="preserve">petitions for </w:t>
      </w:r>
      <w:r w:rsidR="00DE3592">
        <w:t xml:space="preserve">reconsideration </w:t>
      </w:r>
      <w:r w:rsidR="004A2BF9">
        <w:t>set forth in</w:t>
      </w:r>
      <w:r w:rsidR="00DE3592">
        <w:t xml:space="preserve"> section 405(a) of the Communications Act of 1934</w:t>
      </w:r>
      <w:r w:rsidR="005D14A6">
        <w:t>, as amended (the “Act”)</w:t>
      </w:r>
      <w:r w:rsidR="00DE3592">
        <w:t>,</w:t>
      </w:r>
      <w:r w:rsidR="00DE3592">
        <w:rPr>
          <w:rStyle w:val="FootnoteReference"/>
        </w:rPr>
        <w:footnoteReference w:id="16"/>
      </w:r>
      <w:r w:rsidR="00DE3592">
        <w:t xml:space="preserve"> </w:t>
      </w:r>
      <w:r>
        <w:t xml:space="preserve">the public release of the </w:t>
      </w:r>
      <w:r>
        <w:rPr>
          <w:i/>
        </w:rPr>
        <w:t>Assignment Order</w:t>
      </w:r>
      <w:r>
        <w:t xml:space="preserve"> on Febr</w:t>
      </w:r>
      <w:r w:rsidR="005D14A6">
        <w:t>u</w:t>
      </w:r>
      <w:r>
        <w:t>ary 26, 2016</w:t>
      </w:r>
      <w:r w:rsidR="00C2257C">
        <w:t>,</w:t>
      </w:r>
      <w:r>
        <w:t xml:space="preserve"> </w:t>
      </w:r>
      <w:r w:rsidR="00DE3592">
        <w:t>established a deadline for petitions of March 28, 2016.</w:t>
      </w:r>
      <w:r w:rsidR="00DE3592">
        <w:rPr>
          <w:rStyle w:val="FootnoteReference"/>
        </w:rPr>
        <w:footnoteReference w:id="17"/>
      </w:r>
      <w:r w:rsidR="000C0A47">
        <w:t xml:space="preserve">  They further argue that the issuance of the </w:t>
      </w:r>
      <w:r w:rsidR="000C0A47">
        <w:rPr>
          <w:i/>
        </w:rPr>
        <w:t>Broadcast Report No. 48462 Public Notice</w:t>
      </w:r>
      <w:r w:rsidR="000C0A47">
        <w:t xml:space="preserve"> is irrelevant to and does not affect the deadline for petitions for reconsideration.</w:t>
      </w:r>
      <w:r w:rsidR="000C0A47">
        <w:rPr>
          <w:rStyle w:val="FootnoteReference"/>
        </w:rPr>
        <w:footnoteReference w:id="18"/>
      </w:r>
      <w:r w:rsidR="004A2BF9">
        <w:t xml:space="preserve">  According</w:t>
      </w:r>
      <w:r w:rsidR="00133461">
        <w:t xml:space="preserve"> to the Applicants</w:t>
      </w:r>
      <w:r w:rsidR="004A2BF9">
        <w:t>, the filing of the Petition on April 1, 2016 was untimely and</w:t>
      </w:r>
      <w:r w:rsidR="00C2257C">
        <w:t>,</w:t>
      </w:r>
      <w:r w:rsidR="004A2BF9">
        <w:t xml:space="preserve"> </w:t>
      </w:r>
      <w:r w:rsidR="00133461">
        <w:t>therefore</w:t>
      </w:r>
      <w:r w:rsidR="00C2257C">
        <w:t>,</w:t>
      </w:r>
      <w:r w:rsidR="00133461">
        <w:t xml:space="preserve"> </w:t>
      </w:r>
      <w:r w:rsidR="004A2BF9">
        <w:t xml:space="preserve">statutorily barred. </w:t>
      </w:r>
    </w:p>
    <w:p w:rsidR="004A2BF9" w:rsidRDefault="00133461" w:rsidP="00045C74">
      <w:pPr>
        <w:pStyle w:val="ParaNum"/>
        <w:widowControl/>
      </w:pPr>
      <w:r>
        <w:t>On April 28, 2016, the Petitioner filed a Reply to the Joint Opposition</w:t>
      </w:r>
      <w:r w:rsidR="0042656F">
        <w:t xml:space="preserve"> (“Reply”)</w:t>
      </w:r>
      <w:r>
        <w:t>, and avers that the Petition was indeed timely filed.</w:t>
      </w:r>
      <w:r>
        <w:rPr>
          <w:rStyle w:val="FootnoteReference"/>
        </w:rPr>
        <w:footnoteReference w:id="19"/>
      </w:r>
      <w:r>
        <w:t xml:space="preserve"> </w:t>
      </w:r>
      <w:r w:rsidR="000D509C">
        <w:t xml:space="preserve"> </w:t>
      </w:r>
      <w:r w:rsidR="000D509C" w:rsidRPr="000D509C">
        <w:t xml:space="preserve">The Petitioner asserts that it received notice of the Assignment </w:t>
      </w:r>
      <w:r w:rsidR="000D509C" w:rsidRPr="000D509C">
        <w:lastRenderedPageBreak/>
        <w:t>Order “in early March 2016,”</w:t>
      </w:r>
      <w:r w:rsidR="000D509C">
        <w:rPr>
          <w:rStyle w:val="FootnoteReference"/>
        </w:rPr>
        <w:footnoteReference w:id="20"/>
      </w:r>
      <w:r w:rsidR="000D509C" w:rsidRPr="000D509C">
        <w:t xml:space="preserve"> and goes on to allege that in response to its inquiry to Commission staff as to the “official date of public notice,” it was directed to the Commission’s CDBS system.</w:t>
      </w:r>
      <w:r w:rsidR="000D509C">
        <w:rPr>
          <w:rStyle w:val="FootnoteReference"/>
        </w:rPr>
        <w:footnoteReference w:id="21"/>
      </w:r>
      <w:r w:rsidR="000D509C" w:rsidRPr="000D509C">
        <w:t xml:space="preserve">  The Reply states that CDBS “presented the last Public Notice date as March 2</w:t>
      </w:r>
      <w:r w:rsidR="000D509C">
        <w:t>, 2016</w:t>
      </w:r>
      <w:r w:rsidR="005517BB">
        <w:t xml:space="preserve"> </w:t>
      </w:r>
      <w:r w:rsidR="000D509C">
        <w:t>.</w:t>
      </w:r>
      <w:r w:rsidR="005517BB">
        <w:t xml:space="preserve"> </w:t>
      </w:r>
      <w:r w:rsidR="000D509C">
        <w:t>.</w:t>
      </w:r>
      <w:r w:rsidR="005517BB">
        <w:t xml:space="preserve"> </w:t>
      </w:r>
      <w:r w:rsidR="000D509C" w:rsidRPr="000D509C">
        <w:t>.</w:t>
      </w:r>
      <w:r w:rsidR="005517BB">
        <w:t xml:space="preserve"> .</w:t>
      </w:r>
      <w:r w:rsidR="000D509C" w:rsidRPr="000D509C">
        <w:t>”</w:t>
      </w:r>
      <w:r w:rsidR="000D509C">
        <w:rPr>
          <w:rStyle w:val="FootnoteReference"/>
        </w:rPr>
        <w:footnoteReference w:id="22"/>
      </w:r>
      <w:r w:rsidR="000D509C" w:rsidRPr="000D509C">
        <w:t xml:space="preserve">  </w:t>
      </w:r>
      <w:r w:rsidR="000D509C">
        <w:t>I</w:t>
      </w:r>
      <w:r w:rsidR="000D509C" w:rsidRPr="000D509C">
        <w:t>t “avers that the only reasonable, plain language interpretation is that the date given as the Last Public Notice is the effective date of the Public Notice for whatever was noticed in the most recent public notice.”</w:t>
      </w:r>
      <w:r w:rsidR="00213726">
        <w:rPr>
          <w:rStyle w:val="FootnoteReference"/>
        </w:rPr>
        <w:footnoteReference w:id="23"/>
      </w:r>
      <w:r w:rsidR="000D509C" w:rsidRPr="000D509C">
        <w:t xml:space="preserve">  </w:t>
      </w:r>
    </w:p>
    <w:p w:rsidR="0097100D" w:rsidRDefault="0097100D" w:rsidP="0097100D">
      <w:pPr>
        <w:pStyle w:val="Heading1"/>
      </w:pPr>
      <w:r>
        <w:t>Discussion</w:t>
      </w:r>
    </w:p>
    <w:p w:rsidR="00A16DBC" w:rsidRDefault="005D14A6" w:rsidP="00810859">
      <w:pPr>
        <w:pStyle w:val="ParaNum"/>
        <w:widowControl/>
        <w:tabs>
          <w:tab w:val="clear" w:pos="1080"/>
          <w:tab w:val="num" w:pos="1440"/>
        </w:tabs>
      </w:pPr>
      <w:r>
        <w:t>Under the Act and the Commission’s rules, a petition for reconsideration must be filed within 30 days after the date on which public notice is given of an action or decision to be reconsidered.</w:t>
      </w:r>
      <w:r>
        <w:rPr>
          <w:rStyle w:val="FootnoteReference"/>
        </w:rPr>
        <w:footnoteReference w:id="24"/>
      </w:r>
      <w:r w:rsidR="008E1E5D">
        <w:t xml:space="preserve">  Section 1.4(b)(2)</w:t>
      </w:r>
      <w:r w:rsidR="006F3838">
        <w:t xml:space="preserve"> of the Commission’s rules provide that the date of public notice of a non-rulemaking document is the date of the document’s release.</w:t>
      </w:r>
      <w:r w:rsidR="006F3838">
        <w:rPr>
          <w:rStyle w:val="FootnoteReference"/>
        </w:rPr>
        <w:footnoteReference w:id="25"/>
      </w:r>
      <w:r w:rsidR="00C63CAC">
        <w:t xml:space="preserve">  </w:t>
      </w:r>
      <w:r w:rsidR="00DE119E">
        <w:t xml:space="preserve">Here, the release of the </w:t>
      </w:r>
      <w:r w:rsidR="00DE119E" w:rsidRPr="00BD425A">
        <w:rPr>
          <w:i/>
        </w:rPr>
        <w:t>Assignment Order</w:t>
      </w:r>
      <w:r w:rsidR="00DE119E">
        <w:t xml:space="preserve"> on Friday, February 26, 2016</w:t>
      </w:r>
      <w:r w:rsidR="00BC198C">
        <w:t>,</w:t>
      </w:r>
      <w:r w:rsidR="00DE119E">
        <w:t xml:space="preserve"> established public notice as of that date.  Since 30 days after that date </w:t>
      </w:r>
      <w:r w:rsidR="008B74AE">
        <w:t>was</w:t>
      </w:r>
      <w:r w:rsidR="00DE119E">
        <w:t xml:space="preserve"> Sunday, March 27, 2016, pursuant to the Commission’s </w:t>
      </w:r>
      <w:r w:rsidR="000C0A47">
        <w:t>time computation rules for holidays</w:t>
      </w:r>
      <w:r w:rsidR="00DE119E">
        <w:t>,</w:t>
      </w:r>
      <w:r w:rsidR="000C0A47">
        <w:rPr>
          <w:rStyle w:val="FootnoteReference"/>
        </w:rPr>
        <w:footnoteReference w:id="26"/>
      </w:r>
      <w:r w:rsidR="00DE119E">
        <w:t xml:space="preserve"> the deadline for filing a petition for reconsideration </w:t>
      </w:r>
      <w:r w:rsidR="008B74AE">
        <w:t xml:space="preserve">of the </w:t>
      </w:r>
      <w:r w:rsidR="008B74AE" w:rsidRPr="00BD425A">
        <w:rPr>
          <w:i/>
        </w:rPr>
        <w:t>Assignment Order</w:t>
      </w:r>
      <w:r w:rsidR="008B74AE">
        <w:t xml:space="preserve"> </w:t>
      </w:r>
      <w:r w:rsidR="00DE119E">
        <w:t>fell on Monday, March 28, 2016</w:t>
      </w:r>
      <w:r w:rsidR="008B74AE">
        <w:t xml:space="preserve"> – four days prior to the Petitioner’s filing of the Petition.  </w:t>
      </w:r>
      <w:r w:rsidR="00BD425A">
        <w:t>The Commission lacks authority to waive or extend the statutory 30-day filing period for reconsideration unless the petitioner can show that its failure to file in a timely manner resulted from “extraordinary circumstances.”</w:t>
      </w:r>
      <w:r w:rsidR="00BD425A">
        <w:rPr>
          <w:rStyle w:val="FootnoteReference"/>
        </w:rPr>
        <w:footnoteReference w:id="27"/>
      </w:r>
      <w:r w:rsidR="00BD425A">
        <w:t xml:space="preserve">  The Petitioner does not allege, much less demonstrate, that such circumstances exist here.  </w:t>
      </w:r>
      <w:r w:rsidR="008B74AE">
        <w:t>Accordingly, we find the Petition to be untimely, and hereby dismiss it.</w:t>
      </w:r>
    </w:p>
    <w:p w:rsidR="00093FAF" w:rsidRDefault="00BC198C" w:rsidP="00810859">
      <w:pPr>
        <w:pStyle w:val="ParaNum"/>
        <w:widowControl/>
        <w:tabs>
          <w:tab w:val="clear" w:pos="1080"/>
          <w:tab w:val="num" w:pos="1440"/>
        </w:tabs>
      </w:pPr>
      <w:r>
        <w:t>With respect to the Petitioner’s arguments for why it filed late,</w:t>
      </w:r>
      <w:r w:rsidR="00FE0F59">
        <w:t xml:space="preserve"> Section 405 contains no requirement of personal notice and no provision for the delay of the 30-day deadline</w:t>
      </w:r>
      <w:r w:rsidR="00C2553B">
        <w:t>,</w:t>
      </w:r>
      <w:r w:rsidR="00FE0F59">
        <w:rPr>
          <w:rStyle w:val="FootnoteReference"/>
        </w:rPr>
        <w:footnoteReference w:id="28"/>
      </w:r>
      <w:r w:rsidR="00FE0F59">
        <w:t xml:space="preserve"> </w:t>
      </w:r>
      <w:r w:rsidR="00C2553B">
        <w:t>and</w:t>
      </w:r>
      <w:r>
        <w:t>,</w:t>
      </w:r>
      <w:r w:rsidR="00C2553B">
        <w:t xml:space="preserve"> therefore</w:t>
      </w:r>
      <w:r>
        <w:t>,</w:t>
      </w:r>
      <w:r w:rsidR="00C2553B">
        <w:t xml:space="preserve"> February 26, 2016</w:t>
      </w:r>
      <w:r w:rsidR="00C2257C">
        <w:t>,</w:t>
      </w:r>
      <w:r w:rsidR="00C2553B">
        <w:t xml:space="preserve"> remains the date of the public notice that started the 30-day filing window.</w:t>
      </w:r>
      <w:r w:rsidR="00087084">
        <w:t xml:space="preserve">  </w:t>
      </w:r>
      <w:r w:rsidR="00093FAF">
        <w:t>Moreover</w:t>
      </w:r>
      <w:r w:rsidR="00087084">
        <w:t xml:space="preserve">, </w:t>
      </w:r>
      <w:r w:rsidR="00093FAF">
        <w:t>the record that Petitioner submits in support of its Petition undercuts its own theory, and demonstrates that it did or should have had knowledge of the February 26, 2017</w:t>
      </w:r>
      <w:r w:rsidR="00C2257C">
        <w:t>,</w:t>
      </w:r>
      <w:r w:rsidR="00093FAF">
        <w:t xml:space="preserve"> publication date.  Specifically, the WYCI Application Search Details page states that status of the Application was “GRANTED,” with a “Status Date” of February 26, 2017.</w:t>
      </w:r>
    </w:p>
    <w:p w:rsidR="00ED7C28" w:rsidRDefault="00336C14" w:rsidP="00810859">
      <w:pPr>
        <w:pStyle w:val="ParaNum"/>
        <w:widowControl/>
        <w:tabs>
          <w:tab w:val="clear" w:pos="1080"/>
          <w:tab w:val="num" w:pos="1440"/>
        </w:tabs>
      </w:pPr>
      <w:r>
        <w:t>W</w:t>
      </w:r>
      <w:r w:rsidR="00BC198C">
        <w:t xml:space="preserve">e </w:t>
      </w:r>
      <w:r>
        <w:t xml:space="preserve">further reject </w:t>
      </w:r>
      <w:r w:rsidR="00BC198C">
        <w:t>the argument that subsequent publication of the release re-starts the clock for a petition for reconsideration.</w:t>
      </w:r>
      <w:r w:rsidR="00ED7C28">
        <w:t xml:space="preserve">  Convergence provides no case precedent in support for this theory, which runs counter to t</w:t>
      </w:r>
      <w:r w:rsidR="00282E92">
        <w:t>he example</w:t>
      </w:r>
      <w:r w:rsidR="00ED7C28">
        <w:t xml:space="preserve"> that the Commission provided in the rules for when public notice begins,</w:t>
      </w:r>
      <w:r w:rsidR="00282E92">
        <w:rPr>
          <w:rStyle w:val="FootnoteReference"/>
        </w:rPr>
        <w:footnoteReference w:id="29"/>
      </w:r>
      <w:r w:rsidR="00ED7C28">
        <w:t xml:space="preserve"> and which is patently inconsistent with the notion of “public notice” itself.  </w:t>
      </w:r>
    </w:p>
    <w:p w:rsidR="0097100D" w:rsidRDefault="009B2385" w:rsidP="0097100D">
      <w:pPr>
        <w:pStyle w:val="Heading1"/>
      </w:pPr>
      <w:r>
        <w:t>Ordering Clause</w:t>
      </w:r>
    </w:p>
    <w:p w:rsidR="0097100D" w:rsidRDefault="0097100D" w:rsidP="0097100D">
      <w:pPr>
        <w:pStyle w:val="ParaNum"/>
      </w:pPr>
      <w:r>
        <w:t>Accordingly, IT IS ORDERED, pursuant to section</w:t>
      </w:r>
      <w:r w:rsidR="009B2385">
        <w:t>s</w:t>
      </w:r>
      <w:r>
        <w:t xml:space="preserve"> 4(i) and 405(a) of the Communications Act of 1934, as amended, 47 U.S.C. §§ 154(i) and 405(a), and section 1.106 of the Commission’s Rules, 47 C.F.R. 1.106, that the Petition for Reconsideration of the </w:t>
      </w:r>
      <w:r>
        <w:rPr>
          <w:i/>
        </w:rPr>
        <w:t>Assignment Order</w:t>
      </w:r>
      <w:r>
        <w:t xml:space="preserve"> IS DISMISSED.</w:t>
      </w:r>
    </w:p>
    <w:p w:rsidR="00932D93" w:rsidRDefault="00932D93" w:rsidP="00932D93">
      <w:pPr>
        <w:pStyle w:val="Paranum0"/>
        <w:keepNext/>
        <w:numPr>
          <w:ilvl w:val="0"/>
          <w:numId w:val="0"/>
        </w:numPr>
        <w:tabs>
          <w:tab w:val="clear" w:pos="1440"/>
        </w:tabs>
        <w:spacing w:after="220"/>
        <w:ind w:left="720"/>
        <w:rPr>
          <w:szCs w:val="22"/>
        </w:rPr>
      </w:pPr>
    </w:p>
    <w:p w:rsidR="00932D93" w:rsidRDefault="00932D93" w:rsidP="00932D93">
      <w:pPr>
        <w:keepNext/>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pacing w:val="-2"/>
          <w:szCs w:val="22"/>
        </w:rPr>
        <w:t>FEDERAL COMMUNICATIONS COMMISSION</w:t>
      </w:r>
    </w:p>
    <w:p w:rsidR="00932D93" w:rsidRDefault="00932D93" w:rsidP="00932D93">
      <w:pPr>
        <w:keepNext/>
        <w:tabs>
          <w:tab w:val="left" w:pos="0"/>
        </w:tabs>
        <w:suppressAutoHyphens/>
        <w:spacing w:line="240" w:lineRule="atLeast"/>
        <w:jc w:val="both"/>
        <w:rPr>
          <w:spacing w:val="-2"/>
          <w:szCs w:val="22"/>
        </w:rPr>
      </w:pPr>
    </w:p>
    <w:p w:rsidR="00932D93" w:rsidRDefault="00932D93" w:rsidP="00932D93">
      <w:pPr>
        <w:keepNext/>
        <w:tabs>
          <w:tab w:val="left" w:pos="0"/>
        </w:tabs>
        <w:suppressAutoHyphens/>
        <w:spacing w:line="240" w:lineRule="atLeast"/>
        <w:jc w:val="both"/>
        <w:rPr>
          <w:spacing w:val="-2"/>
          <w:szCs w:val="22"/>
        </w:rPr>
      </w:pPr>
    </w:p>
    <w:p w:rsidR="00932D93" w:rsidRDefault="00932D93" w:rsidP="00932D93">
      <w:pPr>
        <w:keepNext/>
        <w:tabs>
          <w:tab w:val="left" w:pos="0"/>
        </w:tabs>
        <w:suppressAutoHyphens/>
        <w:spacing w:line="240" w:lineRule="atLeast"/>
        <w:jc w:val="both"/>
        <w:rPr>
          <w:spacing w:val="-2"/>
          <w:szCs w:val="22"/>
        </w:rPr>
      </w:pPr>
    </w:p>
    <w:p w:rsidR="00932D93" w:rsidRDefault="00932D93" w:rsidP="00932D93">
      <w:pPr>
        <w:keepNext/>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rsidR="00B87A8E" w:rsidRDefault="00B87A8E" w:rsidP="00932D93">
      <w:pPr>
        <w:keepNext/>
        <w:widowControl/>
        <w:ind w:left="3600"/>
        <w:rPr>
          <w:szCs w:val="22"/>
        </w:rPr>
      </w:pPr>
      <w:r>
        <w:rPr>
          <w:szCs w:val="22"/>
        </w:rPr>
        <w:t>Barbara A. Kreisman</w:t>
      </w:r>
      <w:r w:rsidR="00932D93">
        <w:rPr>
          <w:szCs w:val="22"/>
        </w:rPr>
        <w:br/>
        <w:t xml:space="preserve">Chief, </w:t>
      </w:r>
      <w:r>
        <w:rPr>
          <w:szCs w:val="22"/>
        </w:rPr>
        <w:t>Video Division</w:t>
      </w:r>
    </w:p>
    <w:p w:rsidR="00932D93" w:rsidRDefault="00932D93" w:rsidP="00932D93">
      <w:pPr>
        <w:keepNext/>
        <w:widowControl/>
        <w:ind w:left="3600"/>
      </w:pPr>
      <w:r>
        <w:rPr>
          <w:szCs w:val="22"/>
        </w:rPr>
        <w:t>Media Bureau</w:t>
      </w:r>
    </w:p>
    <w:sectPr w:rsidR="00932D9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16" w:rsidRDefault="00CF7116">
      <w:pPr>
        <w:spacing w:line="20" w:lineRule="exact"/>
      </w:pPr>
    </w:p>
  </w:endnote>
  <w:endnote w:type="continuationSeparator" w:id="0">
    <w:p w:rsidR="00CF7116" w:rsidRDefault="00CF7116">
      <w:r>
        <w:t xml:space="preserve"> </w:t>
      </w:r>
    </w:p>
  </w:endnote>
  <w:endnote w:type="continuationNotice" w:id="1">
    <w:p w:rsidR="00CF7116" w:rsidRDefault="00CF7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2668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16" w:rsidRDefault="00CF7116">
      <w:r>
        <w:separator/>
      </w:r>
    </w:p>
  </w:footnote>
  <w:footnote w:type="continuationSeparator" w:id="0">
    <w:p w:rsidR="00CF7116" w:rsidRDefault="00CF7116" w:rsidP="00C721AC">
      <w:pPr>
        <w:spacing w:before="120"/>
        <w:rPr>
          <w:sz w:val="20"/>
        </w:rPr>
      </w:pPr>
      <w:r>
        <w:rPr>
          <w:sz w:val="20"/>
        </w:rPr>
        <w:t xml:space="preserve">(Continued from previous page)  </w:t>
      </w:r>
      <w:r>
        <w:rPr>
          <w:sz w:val="20"/>
        </w:rPr>
        <w:separator/>
      </w:r>
    </w:p>
  </w:footnote>
  <w:footnote w:type="continuationNotice" w:id="1">
    <w:p w:rsidR="00CF7116" w:rsidRDefault="00CF7116" w:rsidP="00C721AC">
      <w:pPr>
        <w:jc w:val="right"/>
        <w:rPr>
          <w:sz w:val="20"/>
        </w:rPr>
      </w:pPr>
      <w:r>
        <w:rPr>
          <w:sz w:val="20"/>
        </w:rPr>
        <w:t>(continued….)</w:t>
      </w:r>
    </w:p>
  </w:footnote>
  <w:footnote w:id="2">
    <w:p w:rsidR="00844DE1" w:rsidRDefault="00844DE1">
      <w:pPr>
        <w:pStyle w:val="FootnoteText"/>
      </w:pPr>
      <w:r>
        <w:rPr>
          <w:rStyle w:val="FootnoteReference"/>
        </w:rPr>
        <w:footnoteRef/>
      </w:r>
      <w:r>
        <w:t xml:space="preserve"> On March 9, 2016, WNMN(TV) changed its call sign to WYCI.</w:t>
      </w:r>
    </w:p>
  </w:footnote>
  <w:footnote w:id="3">
    <w:p w:rsidR="008451BE" w:rsidRPr="008451BE" w:rsidRDefault="008451BE">
      <w:pPr>
        <w:pStyle w:val="FootnoteText"/>
      </w:pPr>
      <w:r>
        <w:rPr>
          <w:rStyle w:val="FootnoteReference"/>
        </w:rPr>
        <w:footnoteRef/>
      </w:r>
      <w:r>
        <w:t xml:space="preserve"> </w:t>
      </w:r>
      <w:r>
        <w:rPr>
          <w:i/>
        </w:rPr>
        <w:t>Channel 61 Associates, LLC</w:t>
      </w:r>
      <w:r>
        <w:t xml:space="preserve">, Letter Order, </w:t>
      </w:r>
      <w:r w:rsidR="00BD68FD">
        <w:t>31 FCC Rcd 1340 (MB Vid. Div. 2016) (“</w:t>
      </w:r>
      <w:r w:rsidR="00BD68FD">
        <w:rPr>
          <w:i/>
        </w:rPr>
        <w:t>Assignment Order</w:t>
      </w:r>
      <w:r w:rsidR="00BD68FD">
        <w:t>”).</w:t>
      </w:r>
    </w:p>
  </w:footnote>
  <w:footnote w:id="4">
    <w:p w:rsidR="009B6152" w:rsidRPr="009B6152" w:rsidRDefault="009B6152">
      <w:pPr>
        <w:pStyle w:val="FootnoteText"/>
      </w:pPr>
      <w:r>
        <w:rPr>
          <w:rStyle w:val="FootnoteReference"/>
        </w:rPr>
        <w:footnoteRef/>
      </w:r>
      <w:r>
        <w:t xml:space="preserve"> Co</w:t>
      </w:r>
      <w:r w:rsidR="0097100D">
        <w:t>n</w:t>
      </w:r>
      <w:r>
        <w:t xml:space="preserve">vergence is the licensee of WGMU-LP, Burlington, Vermont, which is located in the same Designated Market Area, Burlington-Plattsburgh, as the Station.  </w:t>
      </w:r>
      <w:r>
        <w:rPr>
          <w:i/>
        </w:rPr>
        <w:t>Id.</w:t>
      </w:r>
      <w:r>
        <w:t xml:space="preserve"> at 1342.</w:t>
      </w:r>
    </w:p>
  </w:footnote>
  <w:footnote w:id="5">
    <w:p w:rsidR="003B7F5E" w:rsidRPr="003B7F5E" w:rsidRDefault="003B7F5E">
      <w:pPr>
        <w:pStyle w:val="FootnoteText"/>
      </w:pPr>
      <w:r>
        <w:rPr>
          <w:rStyle w:val="FootnoteReference"/>
        </w:rPr>
        <w:footnoteRef/>
      </w:r>
      <w:r>
        <w:t xml:space="preserve"> </w:t>
      </w:r>
      <w:r>
        <w:rPr>
          <w:i/>
        </w:rPr>
        <w:t>Id</w:t>
      </w:r>
      <w:r w:rsidR="009B6152">
        <w:t>. at 1341</w:t>
      </w:r>
      <w:r>
        <w:t>.</w:t>
      </w:r>
      <w:r w:rsidR="0079037A">
        <w:t xml:space="preserve"> </w:t>
      </w:r>
    </w:p>
  </w:footnote>
  <w:footnote w:id="6">
    <w:p w:rsidR="00E011BB" w:rsidRPr="00E011BB" w:rsidRDefault="00E011BB">
      <w:pPr>
        <w:pStyle w:val="FootnoteText"/>
      </w:pPr>
      <w:r>
        <w:rPr>
          <w:rStyle w:val="FootnoteReference"/>
        </w:rPr>
        <w:footnoteRef/>
      </w:r>
      <w:r>
        <w:t xml:space="preserve"> </w:t>
      </w:r>
      <w:r>
        <w:rPr>
          <w:i/>
        </w:rPr>
        <w:t>Id</w:t>
      </w:r>
      <w:r>
        <w:t>. at 1343.</w:t>
      </w:r>
    </w:p>
  </w:footnote>
  <w:footnote w:id="7">
    <w:p w:rsidR="00570D70" w:rsidRDefault="00570D70">
      <w:pPr>
        <w:pStyle w:val="FootnoteText"/>
      </w:pPr>
      <w:r>
        <w:rPr>
          <w:rStyle w:val="FootnoteReference"/>
        </w:rPr>
        <w:footnoteRef/>
      </w:r>
      <w:r>
        <w:t xml:space="preserve"> </w:t>
      </w:r>
      <w:r>
        <w:rPr>
          <w:i/>
        </w:rPr>
        <w:t>Id</w:t>
      </w:r>
      <w:r>
        <w:t>. (citations omitted).</w:t>
      </w:r>
    </w:p>
  </w:footnote>
  <w:footnote w:id="8">
    <w:p w:rsidR="00866C6D" w:rsidRPr="006E4B32" w:rsidRDefault="00866C6D">
      <w:pPr>
        <w:pStyle w:val="FootnoteText"/>
      </w:pPr>
      <w:r>
        <w:rPr>
          <w:rStyle w:val="FootnoteReference"/>
        </w:rPr>
        <w:footnoteRef/>
      </w:r>
      <w:r>
        <w:t xml:space="preserve"> </w:t>
      </w:r>
      <w:r>
        <w:rPr>
          <w:i/>
        </w:rPr>
        <w:t>Id</w:t>
      </w:r>
      <w:r>
        <w:t xml:space="preserve">. at 1343-1344 (citing </w:t>
      </w:r>
      <w:r>
        <w:rPr>
          <w:i/>
        </w:rPr>
        <w:t>Consent Decree</w:t>
      </w:r>
      <w:r>
        <w:t>, 30 FCC Rcd. 12326, 12329, para. 11 (MB 2015)</w:t>
      </w:r>
      <w:r w:rsidR="006E4B32">
        <w:t xml:space="preserve"> (“</w:t>
      </w:r>
      <w:r w:rsidR="006E4B32">
        <w:rPr>
          <w:i/>
        </w:rPr>
        <w:t>Consent Decree</w:t>
      </w:r>
      <w:r w:rsidR="006E4B32">
        <w:t>”)</w:t>
      </w:r>
      <w:r>
        <w:t xml:space="preserve">). </w:t>
      </w:r>
      <w:r w:rsidR="006E4B32">
        <w:t xml:space="preserve"> </w:t>
      </w:r>
    </w:p>
  </w:footnote>
  <w:footnote w:id="9">
    <w:p w:rsidR="00FE499B" w:rsidRPr="00FE499B" w:rsidRDefault="00FE499B" w:rsidP="00FE499B">
      <w:pPr>
        <w:pStyle w:val="FootnoteText"/>
      </w:pPr>
      <w:r>
        <w:rPr>
          <w:rStyle w:val="FootnoteReference"/>
        </w:rPr>
        <w:footnoteRef/>
      </w:r>
      <w:r>
        <w:t xml:space="preserve"> </w:t>
      </w:r>
      <w:r>
        <w:rPr>
          <w:i/>
        </w:rPr>
        <w:t>Id</w:t>
      </w:r>
      <w:r>
        <w:t xml:space="preserve">. at 1343-44 (citing </w:t>
      </w:r>
      <w:r>
        <w:rPr>
          <w:i/>
        </w:rPr>
        <w:t>Fox River Broadcasting, Inc</w:t>
      </w:r>
      <w:r>
        <w:t>., Memorandum Opinion and Order, 83 FCC 2d 127, 129 (1983)).</w:t>
      </w:r>
    </w:p>
  </w:footnote>
  <w:footnote w:id="10">
    <w:p w:rsidR="0079037A" w:rsidRPr="0079037A" w:rsidRDefault="0079037A">
      <w:pPr>
        <w:pStyle w:val="FootnoteText"/>
      </w:pPr>
      <w:r>
        <w:rPr>
          <w:rStyle w:val="FootnoteReference"/>
        </w:rPr>
        <w:footnoteRef/>
      </w:r>
      <w:r>
        <w:t xml:space="preserve"> </w:t>
      </w:r>
      <w:r w:rsidR="00552577">
        <w:t>Daily Digest, Vol. 35, No. 37 (rel. Feb. 29, 2016</w:t>
      </w:r>
      <w:r w:rsidR="00133461">
        <w:t>).</w:t>
      </w:r>
      <w:r>
        <w:t xml:space="preserve"> </w:t>
      </w:r>
    </w:p>
  </w:footnote>
  <w:footnote w:id="11">
    <w:p w:rsidR="00133461" w:rsidRPr="00133461" w:rsidRDefault="00133461">
      <w:pPr>
        <w:pStyle w:val="FootnoteText"/>
      </w:pPr>
      <w:r>
        <w:rPr>
          <w:rStyle w:val="FootnoteReference"/>
        </w:rPr>
        <w:footnoteRef/>
      </w:r>
      <w:r>
        <w:t xml:space="preserve"> </w:t>
      </w:r>
      <w:r>
        <w:rPr>
          <w:i/>
        </w:rPr>
        <w:t>See id</w:t>
      </w:r>
      <w:r>
        <w:t xml:space="preserve">. (citing </w:t>
      </w:r>
      <w:hyperlink r:id="rId1" w:history="1">
        <w:r w:rsidRPr="00DF012D">
          <w:rPr>
            <w:rStyle w:val="Hyperlink"/>
          </w:rPr>
          <w:t>https://transition.fcc.gov/Daily_Releases/Daily_Digest/2016/dd160229.html</w:t>
        </w:r>
      </w:hyperlink>
      <w:r w:rsidRPr="00133461">
        <w:rPr>
          <w:rStyle w:val="Hyperlink"/>
          <w:u w:val="none"/>
        </w:rPr>
        <w:t>)</w:t>
      </w:r>
      <w:r w:rsidRPr="00133461">
        <w:t>.</w:t>
      </w:r>
    </w:p>
  </w:footnote>
  <w:footnote w:id="12">
    <w:p w:rsidR="00133461" w:rsidRDefault="00133461">
      <w:pPr>
        <w:pStyle w:val="FootnoteText"/>
      </w:pPr>
      <w:r>
        <w:rPr>
          <w:rStyle w:val="FootnoteReference"/>
        </w:rPr>
        <w:footnoteRef/>
      </w:r>
      <w:r>
        <w:t xml:space="preserve"> </w:t>
      </w:r>
      <w:r w:rsidRPr="00133461">
        <w:rPr>
          <w:i/>
        </w:rPr>
        <w:t>Broadcast Actions</w:t>
      </w:r>
      <w:r>
        <w:t>, Public Notice, Report No. 48462 at 3 (rel. Mar. 2, 2017) (“</w:t>
      </w:r>
      <w:r>
        <w:rPr>
          <w:i/>
        </w:rPr>
        <w:t>Broadcast Report No. 48462</w:t>
      </w:r>
      <w:r w:rsidR="00C2553B">
        <w:rPr>
          <w:i/>
        </w:rPr>
        <w:t xml:space="preserve"> Public Notice</w:t>
      </w:r>
      <w:r>
        <w:t>”).</w:t>
      </w:r>
    </w:p>
  </w:footnote>
  <w:footnote w:id="13">
    <w:p w:rsidR="007A434A" w:rsidRPr="0097100D" w:rsidRDefault="007A434A">
      <w:pPr>
        <w:pStyle w:val="FootnoteText"/>
      </w:pPr>
      <w:r>
        <w:rPr>
          <w:rStyle w:val="FootnoteReference"/>
        </w:rPr>
        <w:footnoteRef/>
      </w:r>
      <w:r>
        <w:t xml:space="preserve"> Petition at 1</w:t>
      </w:r>
      <w:r w:rsidR="00CF76A1">
        <w:t xml:space="preserve"> in 201</w:t>
      </w:r>
      <w:r w:rsidR="00640B5C">
        <w:t>6</w:t>
      </w:r>
      <w:r>
        <w:t>.</w:t>
      </w:r>
      <w:r w:rsidR="0097100D">
        <w:t xml:space="preserve">  On that same date</w:t>
      </w:r>
      <w:r w:rsidR="00640B5C">
        <w:t xml:space="preserve"> in 2015</w:t>
      </w:r>
      <w:r w:rsidR="0097100D">
        <w:t xml:space="preserve">, Convergence also filed an Application for Review of the </w:t>
      </w:r>
      <w:r w:rsidR="0097100D">
        <w:rPr>
          <w:i/>
        </w:rPr>
        <w:t>Assignment Order</w:t>
      </w:r>
      <w:r w:rsidR="0097100D">
        <w:t xml:space="preserve"> and of the Sta</w:t>
      </w:r>
      <w:r w:rsidR="00640B5C">
        <w:t>ff’s renewal of WNMN(DT)</w:t>
      </w:r>
      <w:r w:rsidR="0097100D">
        <w:t xml:space="preserve">.  </w:t>
      </w:r>
      <w:r w:rsidR="0097100D">
        <w:rPr>
          <w:i/>
        </w:rPr>
        <w:t>See</w:t>
      </w:r>
      <w:r w:rsidR="0097100D">
        <w:t xml:space="preserve"> File Nos. BALCDT-20131115BDM, BRCDT</w:t>
      </w:r>
      <w:r w:rsidR="0097100D">
        <w:noBreakHyphen/>
        <w:t xml:space="preserve">201150202ABE.  </w:t>
      </w:r>
    </w:p>
  </w:footnote>
  <w:footnote w:id="14">
    <w:p w:rsidR="00282E92" w:rsidRDefault="00282E92">
      <w:pPr>
        <w:pStyle w:val="FootnoteText"/>
      </w:pPr>
      <w:r>
        <w:rPr>
          <w:rStyle w:val="FootnoteReference"/>
        </w:rPr>
        <w:footnoteRef/>
      </w:r>
      <w:r>
        <w:t xml:space="preserve"> Petition at 5.</w:t>
      </w:r>
    </w:p>
  </w:footnote>
  <w:footnote w:id="15">
    <w:p w:rsidR="00CB475F" w:rsidRDefault="00CB475F">
      <w:pPr>
        <w:pStyle w:val="FootnoteText"/>
      </w:pPr>
      <w:r>
        <w:rPr>
          <w:rStyle w:val="FootnoteReference"/>
        </w:rPr>
        <w:footnoteRef/>
      </w:r>
      <w:r>
        <w:t xml:space="preserve"> Joint Opposition to Petition for Reconsideration, File No. BALCDT-20131115BDM (“Joint Opposition”).  </w:t>
      </w:r>
    </w:p>
  </w:footnote>
  <w:footnote w:id="16">
    <w:p w:rsidR="00DE3592" w:rsidRDefault="00DE3592">
      <w:pPr>
        <w:pStyle w:val="FootnoteText"/>
      </w:pPr>
      <w:r>
        <w:rPr>
          <w:rStyle w:val="FootnoteReference"/>
        </w:rPr>
        <w:footnoteRef/>
      </w:r>
      <w:r>
        <w:t xml:space="preserve"> 47 U.S.C. § 405(a).</w:t>
      </w:r>
    </w:p>
  </w:footnote>
  <w:footnote w:id="17">
    <w:p w:rsidR="00DE3592" w:rsidRDefault="00DE3592">
      <w:pPr>
        <w:pStyle w:val="FootnoteText"/>
      </w:pPr>
      <w:r>
        <w:rPr>
          <w:rStyle w:val="FootnoteReference"/>
        </w:rPr>
        <w:footnoteRef/>
      </w:r>
      <w:r>
        <w:t xml:space="preserve"> Joint Opposition at 2.</w:t>
      </w:r>
    </w:p>
  </w:footnote>
  <w:footnote w:id="18">
    <w:p w:rsidR="000C0A47" w:rsidRPr="000C0A47" w:rsidRDefault="000C0A47">
      <w:pPr>
        <w:pStyle w:val="FootnoteText"/>
      </w:pPr>
      <w:r>
        <w:rPr>
          <w:rStyle w:val="FootnoteReference"/>
        </w:rPr>
        <w:footnoteRef/>
      </w:r>
      <w:r>
        <w:t xml:space="preserve"> </w:t>
      </w:r>
      <w:r>
        <w:rPr>
          <w:i/>
        </w:rPr>
        <w:t>Id</w:t>
      </w:r>
      <w:r>
        <w:t>.</w:t>
      </w:r>
    </w:p>
  </w:footnote>
  <w:footnote w:id="19">
    <w:p w:rsidR="00133461" w:rsidRDefault="00133461">
      <w:pPr>
        <w:pStyle w:val="FootnoteText"/>
      </w:pPr>
      <w:r>
        <w:rPr>
          <w:rStyle w:val="FootnoteReference"/>
        </w:rPr>
        <w:footnoteRef/>
      </w:r>
      <w:r>
        <w:t xml:space="preserve"> Reply at 5-6.</w:t>
      </w:r>
      <w:r w:rsidR="008325C0">
        <w:t xml:space="preserve">  </w:t>
      </w:r>
    </w:p>
  </w:footnote>
  <w:footnote w:id="20">
    <w:p w:rsidR="000D509C" w:rsidRPr="000D509C" w:rsidRDefault="000D509C">
      <w:pPr>
        <w:pStyle w:val="FootnoteText"/>
      </w:pPr>
      <w:r>
        <w:rPr>
          <w:rStyle w:val="FootnoteReference"/>
        </w:rPr>
        <w:footnoteRef/>
      </w:r>
      <w:r>
        <w:t xml:space="preserve"> </w:t>
      </w:r>
      <w:r>
        <w:rPr>
          <w:i/>
        </w:rPr>
        <w:t>Id</w:t>
      </w:r>
      <w:r w:rsidRPr="0042656F">
        <w:t>.</w:t>
      </w:r>
      <w:r w:rsidR="0042656F" w:rsidRPr="0042656F">
        <w:t xml:space="preserve"> </w:t>
      </w:r>
      <w:r w:rsidR="0042656F">
        <w:t>a</w:t>
      </w:r>
      <w:r>
        <w:t>t 5.</w:t>
      </w:r>
    </w:p>
  </w:footnote>
  <w:footnote w:id="21">
    <w:p w:rsidR="000D509C" w:rsidRDefault="000D509C">
      <w:pPr>
        <w:pStyle w:val="FootnoteText"/>
      </w:pPr>
      <w:r>
        <w:rPr>
          <w:rStyle w:val="FootnoteReference"/>
        </w:rPr>
        <w:footnoteRef/>
      </w:r>
      <w:r>
        <w:t xml:space="preserve"> </w:t>
      </w:r>
      <w:r w:rsidRPr="000D509C">
        <w:t xml:space="preserve">The purported staff response is not controlling and in any event could not supersede the Commission’s time computation rules, and Commission precedent has established that parties relying on informal discussions with Commission staff do so at their own risk.  </w:t>
      </w:r>
      <w:r w:rsidRPr="0042656F">
        <w:rPr>
          <w:i/>
        </w:rPr>
        <w:t>See</w:t>
      </w:r>
      <w:r w:rsidRPr="000D509C">
        <w:t xml:space="preserve">, </w:t>
      </w:r>
      <w:r w:rsidRPr="0042656F">
        <w:rPr>
          <w:i/>
        </w:rPr>
        <w:t>e.g.</w:t>
      </w:r>
      <w:r w:rsidRPr="000D509C">
        <w:t xml:space="preserve">, </w:t>
      </w:r>
      <w:r w:rsidRPr="00213726">
        <w:rPr>
          <w:i/>
        </w:rPr>
        <w:t>Applications of Mary Ann Salvatoriello</w:t>
      </w:r>
      <w:r w:rsidRPr="000D509C">
        <w:t xml:space="preserve">, Memorandum Opinion and Order, 6 FCC Rcd 4705 (1991) (citations and subsequent history omitted).  </w:t>
      </w:r>
    </w:p>
  </w:footnote>
  <w:footnote w:id="22">
    <w:p w:rsidR="000D509C" w:rsidRDefault="000D509C">
      <w:pPr>
        <w:pStyle w:val="FootnoteText"/>
      </w:pPr>
      <w:r>
        <w:rPr>
          <w:rStyle w:val="FootnoteReference"/>
        </w:rPr>
        <w:footnoteRef/>
      </w:r>
      <w:r>
        <w:t xml:space="preserve"> We note that the release date as reflected in the Daily Digest, and not CDBS, provides official public notice.</w:t>
      </w:r>
      <w:r w:rsidR="00213726">
        <w:t xml:space="preserve">  We assume here that Convergence</w:t>
      </w:r>
      <w:r>
        <w:t xml:space="preserve"> intended to refer to the Daily Digest as providing public notice on March 2, 2016.</w:t>
      </w:r>
      <w:r w:rsidR="00213726">
        <w:t xml:space="preserve">  As noted below, this does not change our legal conclusion.</w:t>
      </w:r>
    </w:p>
  </w:footnote>
  <w:footnote w:id="23">
    <w:p w:rsidR="00213726" w:rsidRDefault="00213726">
      <w:pPr>
        <w:pStyle w:val="FootnoteText"/>
      </w:pPr>
      <w:r>
        <w:rPr>
          <w:rStyle w:val="FootnoteReference"/>
        </w:rPr>
        <w:footnoteRef/>
      </w:r>
      <w:r>
        <w:t xml:space="preserve"> </w:t>
      </w:r>
      <w:r w:rsidRPr="00213726">
        <w:t>Reply at 6 (emphasis in original).</w:t>
      </w:r>
    </w:p>
  </w:footnote>
  <w:footnote w:id="24">
    <w:p w:rsidR="005D14A6" w:rsidRDefault="005D14A6" w:rsidP="005D14A6">
      <w:pPr>
        <w:pStyle w:val="FootnoteText"/>
      </w:pPr>
      <w:r>
        <w:rPr>
          <w:rStyle w:val="FootnoteReference"/>
        </w:rPr>
        <w:footnoteRef/>
      </w:r>
      <w:r>
        <w:t xml:space="preserve"> Section 405(a) of the Act provides that a “petition for reconsideration must be filed within thirty days from the date upon which public notice is given of the order, decision, report, or action complained of.”  47 U.S.C. § 405(a).  Section 1.106(f) of the Commission’s rules implements section 405(a) and provides that the “petition for reconsideration and any supplement thereto shall be filed within 30 days from the date of public notice of the final Commission action.” 47 C.F.R. § 1.106(f).</w:t>
      </w:r>
    </w:p>
  </w:footnote>
  <w:footnote w:id="25">
    <w:p w:rsidR="006F3838" w:rsidRDefault="006F3838">
      <w:pPr>
        <w:pStyle w:val="FootnoteText"/>
      </w:pPr>
      <w:r>
        <w:rPr>
          <w:rStyle w:val="FootnoteReference"/>
        </w:rPr>
        <w:footnoteRef/>
      </w:r>
      <w:r>
        <w:t xml:space="preserve"> 47 C.F.R. § 1.4(b)(2).</w:t>
      </w:r>
    </w:p>
  </w:footnote>
  <w:footnote w:id="26">
    <w:p w:rsidR="000C0A47" w:rsidRDefault="000C0A47">
      <w:pPr>
        <w:pStyle w:val="FootnoteText"/>
      </w:pPr>
      <w:r>
        <w:rPr>
          <w:rStyle w:val="FootnoteReference"/>
        </w:rPr>
        <w:footnoteRef/>
      </w:r>
      <w:r>
        <w:t xml:space="preserve"> </w:t>
      </w:r>
      <w:r>
        <w:rPr>
          <w:i/>
        </w:rPr>
        <w:t>See</w:t>
      </w:r>
      <w:r>
        <w:t xml:space="preserve"> 47 C.F.R. §</w:t>
      </w:r>
      <w:r w:rsidR="00BC198C">
        <w:t>§</w:t>
      </w:r>
      <w:r>
        <w:t> 1.4(e), (j).</w:t>
      </w:r>
    </w:p>
  </w:footnote>
  <w:footnote w:id="27">
    <w:p w:rsidR="00BD425A" w:rsidRPr="008E1E5D" w:rsidRDefault="00BD425A" w:rsidP="00BD425A">
      <w:pPr>
        <w:pStyle w:val="FootnoteText"/>
      </w:pPr>
      <w:r>
        <w:rPr>
          <w:rStyle w:val="FootnoteReference"/>
        </w:rPr>
        <w:footnoteRef/>
      </w:r>
      <w:r>
        <w:t xml:space="preserve"> </w:t>
      </w:r>
      <w:r>
        <w:rPr>
          <w:i/>
        </w:rPr>
        <w:t>See Gardner v. FCC</w:t>
      </w:r>
      <w:r>
        <w:t>, 530 F.3d 1086, 1091-92 (D.C. Cir. 1976).</w:t>
      </w:r>
    </w:p>
  </w:footnote>
  <w:footnote w:id="28">
    <w:p w:rsidR="00FE0F59" w:rsidRPr="00FE0F59" w:rsidRDefault="00FE0F59">
      <w:pPr>
        <w:pStyle w:val="FootnoteText"/>
      </w:pPr>
      <w:r>
        <w:rPr>
          <w:rStyle w:val="FootnoteReference"/>
        </w:rPr>
        <w:footnoteRef/>
      </w:r>
      <w:r>
        <w:t xml:space="preserve"> </w:t>
      </w:r>
      <w:r>
        <w:rPr>
          <w:i/>
        </w:rPr>
        <w:t>Applications for Review of a Decision of the Wireline Competition Bureau by Yakutat School District, Yakutak, Alaska</w:t>
      </w:r>
      <w:r>
        <w:t>, Order, 29 FCC Rcd</w:t>
      </w:r>
      <w:r w:rsidR="009B2385">
        <w:t>. 10746, 10751, para. 11 (2014).</w:t>
      </w:r>
    </w:p>
  </w:footnote>
  <w:footnote w:id="29">
    <w:p w:rsidR="00282E92" w:rsidRPr="00282E92" w:rsidRDefault="00282E92">
      <w:pPr>
        <w:pStyle w:val="FootnoteText"/>
      </w:pPr>
      <w:r>
        <w:rPr>
          <w:rStyle w:val="FootnoteReference"/>
        </w:rPr>
        <w:footnoteRef/>
      </w:r>
      <w:r>
        <w:t xml:space="preserve"> </w:t>
      </w:r>
      <w:r>
        <w:rPr>
          <w:i/>
        </w:rPr>
        <w:t>See</w:t>
      </w:r>
      <w:r>
        <w:t xml:space="preserve"> 47 C.F.R. § 1.4(b)(2).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99" w:rsidRDefault="000A0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534B2">
      <w:t xml:space="preserve">DA </w:t>
    </w:r>
    <w:r w:rsidR="00810859">
      <w:t>17</w:t>
    </w:r>
    <w:r w:rsidR="004534B2">
      <w:t>-</w:t>
    </w:r>
    <w:r w:rsidR="00DB2D18">
      <w:t>427</w:t>
    </w:r>
  </w:p>
  <w:p w:rsidR="00D25FB5" w:rsidRDefault="0021372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4E87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13726"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1511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534B2">
      <w:t xml:space="preserve">DA </w:t>
    </w:r>
    <w:r w:rsidR="00810859">
      <w:t>17</w:t>
    </w:r>
    <w:r w:rsidR="004534B2">
      <w:t>-</w:t>
    </w:r>
    <w:r w:rsidR="00DB2D18">
      <w:t>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572F17"/>
    <w:multiLevelType w:val="hybridMultilevel"/>
    <w:tmpl w:val="478651C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numFmt w:val="decimal"/>
      <w:pStyle w:val="Paranum0"/>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num>
  <w:num w:numId="10">
    <w:abstractNumId w:val="7"/>
    <w:lvlOverride w:ilvl="0">
      <w:startOverride w:val="1"/>
    </w:lvlOverride>
  </w:num>
  <w:num w:numId="11">
    <w:abstractNumId w:val="7"/>
  </w:num>
  <w:num w:numId="12">
    <w:abstractNumId w:val="8"/>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57"/>
    <w:rsid w:val="0002538E"/>
    <w:rsid w:val="00035133"/>
    <w:rsid w:val="00036039"/>
    <w:rsid w:val="00036115"/>
    <w:rsid w:val="00037F90"/>
    <w:rsid w:val="00045C74"/>
    <w:rsid w:val="00082BB8"/>
    <w:rsid w:val="00087084"/>
    <w:rsid w:val="000875BF"/>
    <w:rsid w:val="00093FAF"/>
    <w:rsid w:val="0009457D"/>
    <w:rsid w:val="00096D8C"/>
    <w:rsid w:val="000A0099"/>
    <w:rsid w:val="000C0A47"/>
    <w:rsid w:val="000C0B65"/>
    <w:rsid w:val="000D509C"/>
    <w:rsid w:val="000E05FE"/>
    <w:rsid w:val="000E3D42"/>
    <w:rsid w:val="00105057"/>
    <w:rsid w:val="00111429"/>
    <w:rsid w:val="00114231"/>
    <w:rsid w:val="00122BD5"/>
    <w:rsid w:val="00133461"/>
    <w:rsid w:val="00133F79"/>
    <w:rsid w:val="001627E1"/>
    <w:rsid w:val="00194A66"/>
    <w:rsid w:val="001D6BCF"/>
    <w:rsid w:val="001E0155"/>
    <w:rsid w:val="001E01CA"/>
    <w:rsid w:val="00213726"/>
    <w:rsid w:val="002427BA"/>
    <w:rsid w:val="00275CF5"/>
    <w:rsid w:val="00282E92"/>
    <w:rsid w:val="0028301F"/>
    <w:rsid w:val="00285017"/>
    <w:rsid w:val="002A2D2E"/>
    <w:rsid w:val="002C00E8"/>
    <w:rsid w:val="00326680"/>
    <w:rsid w:val="00336C14"/>
    <w:rsid w:val="00343749"/>
    <w:rsid w:val="003660ED"/>
    <w:rsid w:val="00376551"/>
    <w:rsid w:val="00386C3A"/>
    <w:rsid w:val="003B0550"/>
    <w:rsid w:val="003B694F"/>
    <w:rsid w:val="003B7F5E"/>
    <w:rsid w:val="003F171C"/>
    <w:rsid w:val="003F47A5"/>
    <w:rsid w:val="004068A0"/>
    <w:rsid w:val="00412FC5"/>
    <w:rsid w:val="00422276"/>
    <w:rsid w:val="004242F1"/>
    <w:rsid w:val="0042656F"/>
    <w:rsid w:val="00430B23"/>
    <w:rsid w:val="00445A00"/>
    <w:rsid w:val="00451B0F"/>
    <w:rsid w:val="004534B2"/>
    <w:rsid w:val="004A2BF9"/>
    <w:rsid w:val="004B161A"/>
    <w:rsid w:val="004B1FF1"/>
    <w:rsid w:val="004C2EE3"/>
    <w:rsid w:val="004E4A22"/>
    <w:rsid w:val="00511968"/>
    <w:rsid w:val="005448B8"/>
    <w:rsid w:val="00550A38"/>
    <w:rsid w:val="005517BB"/>
    <w:rsid w:val="00552577"/>
    <w:rsid w:val="0055614C"/>
    <w:rsid w:val="00570D70"/>
    <w:rsid w:val="00580E19"/>
    <w:rsid w:val="005942EA"/>
    <w:rsid w:val="005D14A6"/>
    <w:rsid w:val="005D71EF"/>
    <w:rsid w:val="005E14C2"/>
    <w:rsid w:val="005E1F53"/>
    <w:rsid w:val="006018F8"/>
    <w:rsid w:val="00607BA5"/>
    <w:rsid w:val="0061180A"/>
    <w:rsid w:val="00624660"/>
    <w:rsid w:val="00626EB6"/>
    <w:rsid w:val="00640B5C"/>
    <w:rsid w:val="00655D03"/>
    <w:rsid w:val="00666050"/>
    <w:rsid w:val="00683388"/>
    <w:rsid w:val="00683F84"/>
    <w:rsid w:val="006A6A81"/>
    <w:rsid w:val="006E4B32"/>
    <w:rsid w:val="006F3838"/>
    <w:rsid w:val="006F7393"/>
    <w:rsid w:val="0070224F"/>
    <w:rsid w:val="007115F7"/>
    <w:rsid w:val="007327C8"/>
    <w:rsid w:val="00785689"/>
    <w:rsid w:val="0079037A"/>
    <w:rsid w:val="0079754B"/>
    <w:rsid w:val="007A1E6D"/>
    <w:rsid w:val="007A434A"/>
    <w:rsid w:val="007B0EB2"/>
    <w:rsid w:val="007E370E"/>
    <w:rsid w:val="00810859"/>
    <w:rsid w:val="00810B6F"/>
    <w:rsid w:val="008210B7"/>
    <w:rsid w:val="00822CE0"/>
    <w:rsid w:val="008325C0"/>
    <w:rsid w:val="00841AB1"/>
    <w:rsid w:val="00844DE1"/>
    <w:rsid w:val="008451BE"/>
    <w:rsid w:val="00866C6D"/>
    <w:rsid w:val="008B5484"/>
    <w:rsid w:val="008B74AE"/>
    <w:rsid w:val="008C68F1"/>
    <w:rsid w:val="008E1E5D"/>
    <w:rsid w:val="00907913"/>
    <w:rsid w:val="0092094D"/>
    <w:rsid w:val="0092167B"/>
    <w:rsid w:val="00921803"/>
    <w:rsid w:val="00926503"/>
    <w:rsid w:val="00932D93"/>
    <w:rsid w:val="00942EA3"/>
    <w:rsid w:val="0097100D"/>
    <w:rsid w:val="009726D8"/>
    <w:rsid w:val="0099056F"/>
    <w:rsid w:val="009979C9"/>
    <w:rsid w:val="009B2385"/>
    <w:rsid w:val="009B6152"/>
    <w:rsid w:val="009B6D5A"/>
    <w:rsid w:val="009F58D4"/>
    <w:rsid w:val="009F76DB"/>
    <w:rsid w:val="00A16DBC"/>
    <w:rsid w:val="00A32C3B"/>
    <w:rsid w:val="00A45F4F"/>
    <w:rsid w:val="00A600A9"/>
    <w:rsid w:val="00AA55B7"/>
    <w:rsid w:val="00AA5B9E"/>
    <w:rsid w:val="00AB2407"/>
    <w:rsid w:val="00AB53DF"/>
    <w:rsid w:val="00AB7938"/>
    <w:rsid w:val="00AD1309"/>
    <w:rsid w:val="00B07E5C"/>
    <w:rsid w:val="00B811F7"/>
    <w:rsid w:val="00B826B7"/>
    <w:rsid w:val="00B87A8E"/>
    <w:rsid w:val="00BA5DC6"/>
    <w:rsid w:val="00BA6196"/>
    <w:rsid w:val="00BC198C"/>
    <w:rsid w:val="00BC6D8C"/>
    <w:rsid w:val="00BD425A"/>
    <w:rsid w:val="00BD68FD"/>
    <w:rsid w:val="00BF3A30"/>
    <w:rsid w:val="00C21E29"/>
    <w:rsid w:val="00C2257C"/>
    <w:rsid w:val="00C2553B"/>
    <w:rsid w:val="00C34006"/>
    <w:rsid w:val="00C426B1"/>
    <w:rsid w:val="00C63CAC"/>
    <w:rsid w:val="00C66160"/>
    <w:rsid w:val="00C721AC"/>
    <w:rsid w:val="00C816F7"/>
    <w:rsid w:val="00C90D6A"/>
    <w:rsid w:val="00CA247E"/>
    <w:rsid w:val="00CB475F"/>
    <w:rsid w:val="00CC72B6"/>
    <w:rsid w:val="00CF7116"/>
    <w:rsid w:val="00CF76A1"/>
    <w:rsid w:val="00D0218D"/>
    <w:rsid w:val="00D25FB5"/>
    <w:rsid w:val="00D44223"/>
    <w:rsid w:val="00D52899"/>
    <w:rsid w:val="00DA2529"/>
    <w:rsid w:val="00DB130A"/>
    <w:rsid w:val="00DB2D18"/>
    <w:rsid w:val="00DB2EBB"/>
    <w:rsid w:val="00DC10A1"/>
    <w:rsid w:val="00DC655F"/>
    <w:rsid w:val="00DD0836"/>
    <w:rsid w:val="00DD0B59"/>
    <w:rsid w:val="00DD7EBD"/>
    <w:rsid w:val="00DE119E"/>
    <w:rsid w:val="00DE3592"/>
    <w:rsid w:val="00DF62B6"/>
    <w:rsid w:val="00E011BB"/>
    <w:rsid w:val="00E07225"/>
    <w:rsid w:val="00E5409F"/>
    <w:rsid w:val="00EB061E"/>
    <w:rsid w:val="00EB275F"/>
    <w:rsid w:val="00EC6CDF"/>
    <w:rsid w:val="00ED7C28"/>
    <w:rsid w:val="00EE6488"/>
    <w:rsid w:val="00F021FA"/>
    <w:rsid w:val="00F36CBE"/>
    <w:rsid w:val="00F62E97"/>
    <w:rsid w:val="00F64209"/>
    <w:rsid w:val="00F93BF5"/>
    <w:rsid w:val="00FE0F59"/>
    <w:rsid w:val="00FE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fn Char Char"/>
    <w:link w:val="FootnoteTextChar"/>
    <w:rsid w:val="000E3D42"/>
    <w:pPr>
      <w:spacing w:after="120"/>
    </w:pPr>
  </w:style>
  <w:style w:type="character" w:styleId="FootnoteReference">
    <w:name w:val="footnote reference"/>
    <w:aliases w:val="Style 4,Style 12,(NECG) Footnote Reference,Appel note de bas de p,Style 124,Style 13,o,fr,Style 3,Style 17,FR,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fn Char Char"/>
    <w:link w:val="FootnoteTextChar"/>
    <w:rsid w:val="000E3D42"/>
    <w:pPr>
      <w:spacing w:after="120"/>
    </w:pPr>
  </w:style>
  <w:style w:type="character" w:styleId="FootnoteReference">
    <w:name w:val="footnote reference"/>
    <w:aliases w:val="Style 4,Style 12,(NECG) Footnote Reference,Appel note de bas de p,Style 124,Style 13,o,fr,Style 3,Style 17,FR,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0033">
      <w:bodyDiv w:val="1"/>
      <w:marLeft w:val="0"/>
      <w:marRight w:val="0"/>
      <w:marTop w:val="0"/>
      <w:marBottom w:val="0"/>
      <w:divBdr>
        <w:top w:val="none" w:sz="0" w:space="0" w:color="auto"/>
        <w:left w:val="none" w:sz="0" w:space="0" w:color="auto"/>
        <w:bottom w:val="none" w:sz="0" w:space="0" w:color="auto"/>
        <w:right w:val="none" w:sz="0" w:space="0" w:color="auto"/>
      </w:divBdr>
      <w:divsChild>
        <w:div w:id="2022656370">
          <w:marLeft w:val="0"/>
          <w:marRight w:val="0"/>
          <w:marTop w:val="0"/>
          <w:marBottom w:val="0"/>
          <w:divBdr>
            <w:top w:val="none" w:sz="0" w:space="0" w:color="auto"/>
            <w:left w:val="single" w:sz="6" w:space="0" w:color="BBBBBB"/>
            <w:bottom w:val="single" w:sz="6" w:space="0" w:color="BBBBBB"/>
            <w:right w:val="single" w:sz="6" w:space="0" w:color="BBBBBB"/>
          </w:divBdr>
          <w:divsChild>
            <w:div w:id="1477838388">
              <w:marLeft w:val="0"/>
              <w:marRight w:val="0"/>
              <w:marTop w:val="0"/>
              <w:marBottom w:val="0"/>
              <w:divBdr>
                <w:top w:val="none" w:sz="0" w:space="0" w:color="auto"/>
                <w:left w:val="none" w:sz="0" w:space="0" w:color="auto"/>
                <w:bottom w:val="none" w:sz="0" w:space="0" w:color="auto"/>
                <w:right w:val="none" w:sz="0" w:space="0" w:color="auto"/>
              </w:divBdr>
              <w:divsChild>
                <w:div w:id="24255355">
                  <w:marLeft w:val="0"/>
                  <w:marRight w:val="0"/>
                  <w:marTop w:val="75"/>
                  <w:marBottom w:val="0"/>
                  <w:divBdr>
                    <w:top w:val="none" w:sz="0" w:space="0" w:color="auto"/>
                    <w:left w:val="none" w:sz="0" w:space="0" w:color="auto"/>
                    <w:bottom w:val="none" w:sz="0" w:space="0" w:color="auto"/>
                    <w:right w:val="none" w:sz="0" w:space="0" w:color="auto"/>
                  </w:divBdr>
                  <w:divsChild>
                    <w:div w:id="1257444246">
                      <w:marLeft w:val="0"/>
                      <w:marRight w:val="0"/>
                      <w:marTop w:val="0"/>
                      <w:marBottom w:val="0"/>
                      <w:divBdr>
                        <w:top w:val="none" w:sz="0" w:space="0" w:color="auto"/>
                        <w:left w:val="none" w:sz="0" w:space="0" w:color="auto"/>
                        <w:bottom w:val="none" w:sz="0" w:space="0" w:color="auto"/>
                        <w:right w:val="none" w:sz="0" w:space="0" w:color="auto"/>
                      </w:divBdr>
                      <w:divsChild>
                        <w:div w:id="848568474">
                          <w:marLeft w:val="0"/>
                          <w:marRight w:val="0"/>
                          <w:marTop w:val="0"/>
                          <w:marBottom w:val="0"/>
                          <w:divBdr>
                            <w:top w:val="none" w:sz="0" w:space="0" w:color="auto"/>
                            <w:left w:val="none" w:sz="0" w:space="0" w:color="auto"/>
                            <w:bottom w:val="none" w:sz="0" w:space="0" w:color="auto"/>
                            <w:right w:val="none" w:sz="0" w:space="0" w:color="auto"/>
                          </w:divBdr>
                          <w:divsChild>
                            <w:div w:id="1030297756">
                              <w:marLeft w:val="0"/>
                              <w:marRight w:val="0"/>
                              <w:marTop w:val="0"/>
                              <w:marBottom w:val="0"/>
                              <w:divBdr>
                                <w:top w:val="none" w:sz="0" w:space="0" w:color="auto"/>
                                <w:left w:val="none" w:sz="0" w:space="0" w:color="auto"/>
                                <w:bottom w:val="none" w:sz="0" w:space="0" w:color="auto"/>
                                <w:right w:val="none" w:sz="0" w:space="0" w:color="auto"/>
                              </w:divBdr>
                              <w:divsChild>
                                <w:div w:id="949967016">
                                  <w:marLeft w:val="0"/>
                                  <w:marRight w:val="0"/>
                                  <w:marTop w:val="0"/>
                                  <w:marBottom w:val="0"/>
                                  <w:divBdr>
                                    <w:top w:val="none" w:sz="0" w:space="0" w:color="auto"/>
                                    <w:left w:val="none" w:sz="0" w:space="0" w:color="auto"/>
                                    <w:bottom w:val="none" w:sz="0" w:space="0" w:color="auto"/>
                                    <w:right w:val="none" w:sz="0" w:space="0" w:color="auto"/>
                                  </w:divBdr>
                                  <w:divsChild>
                                    <w:div w:id="110710944">
                                      <w:marLeft w:val="0"/>
                                      <w:marRight w:val="0"/>
                                      <w:marTop w:val="0"/>
                                      <w:marBottom w:val="0"/>
                                      <w:divBdr>
                                        <w:top w:val="none" w:sz="0" w:space="0" w:color="auto"/>
                                        <w:left w:val="none" w:sz="0" w:space="0" w:color="auto"/>
                                        <w:bottom w:val="none" w:sz="0" w:space="0" w:color="auto"/>
                                        <w:right w:val="none" w:sz="0" w:space="0" w:color="auto"/>
                                      </w:divBdr>
                                      <w:divsChild>
                                        <w:div w:id="992562992">
                                          <w:marLeft w:val="1200"/>
                                          <w:marRight w:val="1200"/>
                                          <w:marTop w:val="0"/>
                                          <w:marBottom w:val="0"/>
                                          <w:divBdr>
                                            <w:top w:val="none" w:sz="0" w:space="0" w:color="auto"/>
                                            <w:left w:val="none" w:sz="0" w:space="0" w:color="auto"/>
                                            <w:bottom w:val="none" w:sz="0" w:space="0" w:color="auto"/>
                                            <w:right w:val="none" w:sz="0" w:space="0" w:color="auto"/>
                                          </w:divBdr>
                                          <w:divsChild>
                                            <w:div w:id="893471711">
                                              <w:marLeft w:val="0"/>
                                              <w:marRight w:val="0"/>
                                              <w:marTop w:val="0"/>
                                              <w:marBottom w:val="0"/>
                                              <w:divBdr>
                                                <w:top w:val="none" w:sz="0" w:space="0" w:color="auto"/>
                                                <w:left w:val="none" w:sz="0" w:space="0" w:color="auto"/>
                                                <w:bottom w:val="none" w:sz="0" w:space="0" w:color="auto"/>
                                                <w:right w:val="none" w:sz="0" w:space="0" w:color="auto"/>
                                              </w:divBdr>
                                              <w:divsChild>
                                                <w:div w:id="23021377">
                                                  <w:marLeft w:val="0"/>
                                                  <w:marRight w:val="0"/>
                                                  <w:marTop w:val="240"/>
                                                  <w:marBottom w:val="0"/>
                                                  <w:divBdr>
                                                    <w:top w:val="none" w:sz="0" w:space="0" w:color="auto"/>
                                                    <w:left w:val="none" w:sz="0" w:space="0" w:color="auto"/>
                                                    <w:bottom w:val="none" w:sz="0" w:space="0" w:color="auto"/>
                                                    <w:right w:val="none" w:sz="0" w:space="0" w:color="auto"/>
                                                  </w:divBdr>
                                                  <w:divsChild>
                                                    <w:div w:id="162211562">
                                                      <w:marLeft w:val="0"/>
                                                      <w:marRight w:val="0"/>
                                                      <w:marTop w:val="0"/>
                                                      <w:marBottom w:val="0"/>
                                                      <w:divBdr>
                                                        <w:top w:val="none" w:sz="0" w:space="0" w:color="auto"/>
                                                        <w:left w:val="none" w:sz="0" w:space="0" w:color="auto"/>
                                                        <w:bottom w:val="none" w:sz="0" w:space="0" w:color="auto"/>
                                                        <w:right w:val="none" w:sz="0" w:space="0" w:color="auto"/>
                                                      </w:divBdr>
                                                      <w:divsChild>
                                                        <w:div w:id="768349983">
                                                          <w:marLeft w:val="1275"/>
                                                          <w:marRight w:val="0"/>
                                                          <w:marTop w:val="0"/>
                                                          <w:marBottom w:val="0"/>
                                                          <w:divBdr>
                                                            <w:top w:val="none" w:sz="0" w:space="0" w:color="auto"/>
                                                            <w:left w:val="none" w:sz="0" w:space="0" w:color="auto"/>
                                                            <w:bottom w:val="none" w:sz="0" w:space="0" w:color="auto"/>
                                                            <w:right w:val="none" w:sz="0" w:space="0" w:color="auto"/>
                                                          </w:divBdr>
                                                          <w:divsChild>
                                                            <w:div w:id="907961506">
                                                              <w:marLeft w:val="0"/>
                                                              <w:marRight w:val="0"/>
                                                              <w:marTop w:val="0"/>
                                                              <w:marBottom w:val="0"/>
                                                              <w:divBdr>
                                                                <w:top w:val="none" w:sz="0" w:space="0" w:color="auto"/>
                                                                <w:left w:val="none" w:sz="0" w:space="0" w:color="auto"/>
                                                                <w:bottom w:val="none" w:sz="0" w:space="0" w:color="auto"/>
                                                                <w:right w:val="none" w:sz="0" w:space="0" w:color="auto"/>
                                                              </w:divBdr>
                                                              <w:divsChild>
                                                                <w:div w:id="9560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087984">
      <w:bodyDiv w:val="1"/>
      <w:marLeft w:val="0"/>
      <w:marRight w:val="0"/>
      <w:marTop w:val="0"/>
      <w:marBottom w:val="0"/>
      <w:divBdr>
        <w:top w:val="none" w:sz="0" w:space="0" w:color="auto"/>
        <w:left w:val="none" w:sz="0" w:space="0" w:color="auto"/>
        <w:bottom w:val="none" w:sz="0" w:space="0" w:color="auto"/>
        <w:right w:val="none" w:sz="0" w:space="0" w:color="auto"/>
      </w:divBdr>
      <w:divsChild>
        <w:div w:id="1377464169">
          <w:marLeft w:val="0"/>
          <w:marRight w:val="0"/>
          <w:marTop w:val="0"/>
          <w:marBottom w:val="0"/>
          <w:divBdr>
            <w:top w:val="none" w:sz="0" w:space="0" w:color="auto"/>
            <w:left w:val="single" w:sz="6" w:space="0" w:color="BBBBBB"/>
            <w:bottom w:val="single" w:sz="6" w:space="0" w:color="BBBBBB"/>
            <w:right w:val="single" w:sz="6" w:space="0" w:color="BBBBBB"/>
          </w:divBdr>
          <w:divsChild>
            <w:div w:id="44136118">
              <w:marLeft w:val="0"/>
              <w:marRight w:val="0"/>
              <w:marTop w:val="0"/>
              <w:marBottom w:val="0"/>
              <w:divBdr>
                <w:top w:val="none" w:sz="0" w:space="0" w:color="auto"/>
                <w:left w:val="none" w:sz="0" w:space="0" w:color="auto"/>
                <w:bottom w:val="none" w:sz="0" w:space="0" w:color="auto"/>
                <w:right w:val="none" w:sz="0" w:space="0" w:color="auto"/>
              </w:divBdr>
              <w:divsChild>
                <w:div w:id="297035913">
                  <w:marLeft w:val="0"/>
                  <w:marRight w:val="0"/>
                  <w:marTop w:val="75"/>
                  <w:marBottom w:val="0"/>
                  <w:divBdr>
                    <w:top w:val="none" w:sz="0" w:space="0" w:color="auto"/>
                    <w:left w:val="none" w:sz="0" w:space="0" w:color="auto"/>
                    <w:bottom w:val="none" w:sz="0" w:space="0" w:color="auto"/>
                    <w:right w:val="none" w:sz="0" w:space="0" w:color="auto"/>
                  </w:divBdr>
                  <w:divsChild>
                    <w:div w:id="1656639474">
                      <w:marLeft w:val="0"/>
                      <w:marRight w:val="0"/>
                      <w:marTop w:val="0"/>
                      <w:marBottom w:val="0"/>
                      <w:divBdr>
                        <w:top w:val="none" w:sz="0" w:space="0" w:color="auto"/>
                        <w:left w:val="none" w:sz="0" w:space="0" w:color="auto"/>
                        <w:bottom w:val="none" w:sz="0" w:space="0" w:color="auto"/>
                        <w:right w:val="none" w:sz="0" w:space="0" w:color="auto"/>
                      </w:divBdr>
                      <w:divsChild>
                        <w:div w:id="832188649">
                          <w:marLeft w:val="0"/>
                          <w:marRight w:val="0"/>
                          <w:marTop w:val="0"/>
                          <w:marBottom w:val="0"/>
                          <w:divBdr>
                            <w:top w:val="none" w:sz="0" w:space="0" w:color="auto"/>
                            <w:left w:val="none" w:sz="0" w:space="0" w:color="auto"/>
                            <w:bottom w:val="none" w:sz="0" w:space="0" w:color="auto"/>
                            <w:right w:val="none" w:sz="0" w:space="0" w:color="auto"/>
                          </w:divBdr>
                          <w:divsChild>
                            <w:div w:id="131020431">
                              <w:marLeft w:val="0"/>
                              <w:marRight w:val="0"/>
                              <w:marTop w:val="0"/>
                              <w:marBottom w:val="0"/>
                              <w:divBdr>
                                <w:top w:val="none" w:sz="0" w:space="0" w:color="auto"/>
                                <w:left w:val="none" w:sz="0" w:space="0" w:color="auto"/>
                                <w:bottom w:val="none" w:sz="0" w:space="0" w:color="auto"/>
                                <w:right w:val="none" w:sz="0" w:space="0" w:color="auto"/>
                              </w:divBdr>
                              <w:divsChild>
                                <w:div w:id="339888804">
                                  <w:marLeft w:val="0"/>
                                  <w:marRight w:val="0"/>
                                  <w:marTop w:val="0"/>
                                  <w:marBottom w:val="0"/>
                                  <w:divBdr>
                                    <w:top w:val="none" w:sz="0" w:space="0" w:color="auto"/>
                                    <w:left w:val="none" w:sz="0" w:space="0" w:color="auto"/>
                                    <w:bottom w:val="none" w:sz="0" w:space="0" w:color="auto"/>
                                    <w:right w:val="none" w:sz="0" w:space="0" w:color="auto"/>
                                  </w:divBdr>
                                  <w:divsChild>
                                    <w:div w:id="772091457">
                                      <w:marLeft w:val="0"/>
                                      <w:marRight w:val="0"/>
                                      <w:marTop w:val="0"/>
                                      <w:marBottom w:val="0"/>
                                      <w:divBdr>
                                        <w:top w:val="none" w:sz="0" w:space="0" w:color="auto"/>
                                        <w:left w:val="none" w:sz="0" w:space="0" w:color="auto"/>
                                        <w:bottom w:val="none" w:sz="0" w:space="0" w:color="auto"/>
                                        <w:right w:val="none" w:sz="0" w:space="0" w:color="auto"/>
                                      </w:divBdr>
                                      <w:divsChild>
                                        <w:div w:id="672948899">
                                          <w:marLeft w:val="1200"/>
                                          <w:marRight w:val="1200"/>
                                          <w:marTop w:val="0"/>
                                          <w:marBottom w:val="0"/>
                                          <w:divBdr>
                                            <w:top w:val="none" w:sz="0" w:space="0" w:color="auto"/>
                                            <w:left w:val="none" w:sz="0" w:space="0" w:color="auto"/>
                                            <w:bottom w:val="none" w:sz="0" w:space="0" w:color="auto"/>
                                            <w:right w:val="none" w:sz="0" w:space="0" w:color="auto"/>
                                          </w:divBdr>
                                          <w:divsChild>
                                            <w:div w:id="344022437">
                                              <w:marLeft w:val="0"/>
                                              <w:marRight w:val="0"/>
                                              <w:marTop w:val="0"/>
                                              <w:marBottom w:val="0"/>
                                              <w:divBdr>
                                                <w:top w:val="none" w:sz="0" w:space="0" w:color="auto"/>
                                                <w:left w:val="none" w:sz="0" w:space="0" w:color="auto"/>
                                                <w:bottom w:val="none" w:sz="0" w:space="0" w:color="auto"/>
                                                <w:right w:val="none" w:sz="0" w:space="0" w:color="auto"/>
                                              </w:divBdr>
                                              <w:divsChild>
                                                <w:div w:id="106390782">
                                                  <w:marLeft w:val="0"/>
                                                  <w:marRight w:val="0"/>
                                                  <w:marTop w:val="240"/>
                                                  <w:marBottom w:val="0"/>
                                                  <w:divBdr>
                                                    <w:top w:val="none" w:sz="0" w:space="0" w:color="auto"/>
                                                    <w:left w:val="none" w:sz="0" w:space="0" w:color="auto"/>
                                                    <w:bottom w:val="none" w:sz="0" w:space="0" w:color="auto"/>
                                                    <w:right w:val="none" w:sz="0" w:space="0" w:color="auto"/>
                                                  </w:divBdr>
                                                  <w:divsChild>
                                                    <w:div w:id="884374313">
                                                      <w:marLeft w:val="0"/>
                                                      <w:marRight w:val="0"/>
                                                      <w:marTop w:val="0"/>
                                                      <w:marBottom w:val="0"/>
                                                      <w:divBdr>
                                                        <w:top w:val="none" w:sz="0" w:space="0" w:color="auto"/>
                                                        <w:left w:val="none" w:sz="0" w:space="0" w:color="auto"/>
                                                        <w:bottom w:val="none" w:sz="0" w:space="0" w:color="auto"/>
                                                        <w:right w:val="none" w:sz="0" w:space="0" w:color="auto"/>
                                                      </w:divBdr>
                                                      <w:divsChild>
                                                        <w:div w:id="1872569438">
                                                          <w:marLeft w:val="1275"/>
                                                          <w:marRight w:val="0"/>
                                                          <w:marTop w:val="0"/>
                                                          <w:marBottom w:val="0"/>
                                                          <w:divBdr>
                                                            <w:top w:val="none" w:sz="0" w:space="0" w:color="auto"/>
                                                            <w:left w:val="none" w:sz="0" w:space="0" w:color="auto"/>
                                                            <w:bottom w:val="none" w:sz="0" w:space="0" w:color="auto"/>
                                                            <w:right w:val="none" w:sz="0" w:space="0" w:color="auto"/>
                                                          </w:divBdr>
                                                          <w:divsChild>
                                                            <w:div w:id="1749381161">
                                                              <w:marLeft w:val="0"/>
                                                              <w:marRight w:val="0"/>
                                                              <w:marTop w:val="0"/>
                                                              <w:marBottom w:val="0"/>
                                                              <w:divBdr>
                                                                <w:top w:val="none" w:sz="0" w:space="0" w:color="auto"/>
                                                                <w:left w:val="none" w:sz="0" w:space="0" w:color="auto"/>
                                                                <w:bottom w:val="none" w:sz="0" w:space="0" w:color="auto"/>
                                                                <w:right w:val="none" w:sz="0" w:space="0" w:color="auto"/>
                                                              </w:divBdr>
                                                              <w:divsChild>
                                                                <w:div w:id="1470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Daily_Releases/Daily_Digest/2016/dd1602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1230</Words>
  <Characters>6567</Characters>
  <Application>Microsoft Office Word</Application>
  <DocSecurity>0</DocSecurity>
  <Lines>130</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2017-05-05T14:30:00Z</cp:lastPrinted>
  <dcterms:created xsi:type="dcterms:W3CDTF">2017-05-05T14:37:00Z</dcterms:created>
  <dcterms:modified xsi:type="dcterms:W3CDTF">2017-05-05T14:37:00Z</dcterms:modified>
  <cp:category> </cp:category>
  <cp:contentStatus> </cp:contentStatus>
</cp:coreProperties>
</file>