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5D" w:rsidRDefault="008B555D">
      <w:pPr>
        <w:rPr>
          <w:szCs w:val="22"/>
        </w:rPr>
        <w:sectPr w:rsidR="008B555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8B555D" w:rsidRDefault="008B555D">
      <w:pPr>
        <w:rPr>
          <w:b/>
          <w:szCs w:val="22"/>
        </w:rPr>
      </w:pPr>
      <w:r>
        <w:rPr>
          <w:szCs w:val="22"/>
        </w:rPr>
        <w:lastRenderedPageBreak/>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006C2704">
        <w:rPr>
          <w:b/>
          <w:szCs w:val="22"/>
        </w:rPr>
        <w:t>DA 1</w:t>
      </w:r>
      <w:r w:rsidR="00766CFC">
        <w:rPr>
          <w:b/>
          <w:szCs w:val="22"/>
        </w:rPr>
        <w:t>7</w:t>
      </w:r>
      <w:r>
        <w:rPr>
          <w:b/>
          <w:szCs w:val="22"/>
        </w:rPr>
        <w:t>-</w:t>
      </w:r>
      <w:r w:rsidR="00925B86">
        <w:rPr>
          <w:b/>
          <w:szCs w:val="22"/>
        </w:rPr>
        <w:t>435</w:t>
      </w:r>
    </w:p>
    <w:p w:rsidR="005D2B63" w:rsidRPr="005D2B63" w:rsidRDefault="008B555D" w:rsidP="005D2B63">
      <w:pPr>
        <w:spacing w:before="60"/>
        <w:jc w:val="right"/>
        <w:rPr>
          <w:sz w:val="24"/>
        </w:rPr>
      </w:pPr>
      <w:r>
        <w:rPr>
          <w:b/>
          <w:szCs w:val="22"/>
        </w:rPr>
        <w:t xml:space="preserve">Released:  </w:t>
      </w:r>
      <w:r w:rsidR="00604D6A">
        <w:rPr>
          <w:b/>
          <w:szCs w:val="22"/>
        </w:rPr>
        <w:t>May 9</w:t>
      </w:r>
      <w:r>
        <w:rPr>
          <w:b/>
          <w:szCs w:val="22"/>
        </w:rPr>
        <w:t xml:space="preserve">, </w:t>
      </w:r>
      <w:r w:rsidR="00034310">
        <w:rPr>
          <w:b/>
          <w:szCs w:val="22"/>
        </w:rPr>
        <w:t>201</w:t>
      </w:r>
      <w:r w:rsidR="00766CFC">
        <w:rPr>
          <w:b/>
          <w:szCs w:val="22"/>
        </w:rPr>
        <w:t>7</w:t>
      </w:r>
    </w:p>
    <w:p w:rsidR="005D2B63" w:rsidRPr="005D2B63" w:rsidRDefault="005D2B63" w:rsidP="005D2B63">
      <w:pPr>
        <w:jc w:val="right"/>
        <w:rPr>
          <w:sz w:val="24"/>
        </w:rPr>
      </w:pPr>
    </w:p>
    <w:p w:rsidR="005D2B63" w:rsidRDefault="005D2B63" w:rsidP="005D2B63">
      <w:pPr>
        <w:widowControl w:val="0"/>
        <w:jc w:val="center"/>
        <w:rPr>
          <w:b/>
          <w:snapToGrid w:val="0"/>
          <w:szCs w:val="22"/>
        </w:rPr>
      </w:pPr>
      <w:r w:rsidRPr="005D2B63">
        <w:rPr>
          <w:b/>
          <w:snapToGrid w:val="0"/>
          <w:szCs w:val="22"/>
        </w:rPr>
        <w:t xml:space="preserve">WIRELESS TELECOMMUNICATIONS BUREAU SEEKS COMMENT ON </w:t>
      </w:r>
      <w:r w:rsidR="00F830D9">
        <w:rPr>
          <w:b/>
          <w:snapToGrid w:val="0"/>
          <w:szCs w:val="22"/>
        </w:rPr>
        <w:t xml:space="preserve">ICOM </w:t>
      </w:r>
      <w:r w:rsidR="00592C0E">
        <w:rPr>
          <w:b/>
          <w:snapToGrid w:val="0"/>
          <w:szCs w:val="22"/>
        </w:rPr>
        <w:t>AMERICA</w:t>
      </w:r>
      <w:r w:rsidR="00B769EF">
        <w:rPr>
          <w:b/>
          <w:snapToGrid w:val="0"/>
          <w:szCs w:val="22"/>
        </w:rPr>
        <w:t xml:space="preserve"> INC. </w:t>
      </w:r>
      <w:r w:rsidRPr="005D2B63">
        <w:rPr>
          <w:b/>
          <w:snapToGrid w:val="0"/>
          <w:szCs w:val="22"/>
        </w:rPr>
        <w:t xml:space="preserve">REQUEST FOR WAIVER TO PERMIT </w:t>
      </w:r>
      <w:r w:rsidR="004077A6">
        <w:rPr>
          <w:b/>
          <w:snapToGrid w:val="0"/>
          <w:szCs w:val="22"/>
        </w:rPr>
        <w:t>MANUFACTURE, IMPORTATION, SALE, AND INSTALLATION</w:t>
      </w:r>
      <w:r w:rsidR="00040C54">
        <w:rPr>
          <w:b/>
          <w:snapToGrid w:val="0"/>
          <w:szCs w:val="22"/>
        </w:rPr>
        <w:t xml:space="preserve"> </w:t>
      </w:r>
      <w:r w:rsidRPr="005D2B63">
        <w:rPr>
          <w:b/>
          <w:snapToGrid w:val="0"/>
          <w:szCs w:val="22"/>
        </w:rPr>
        <w:t xml:space="preserve">OF </w:t>
      </w:r>
      <w:r w:rsidR="00B769EF">
        <w:rPr>
          <w:b/>
          <w:snapToGrid w:val="0"/>
          <w:szCs w:val="22"/>
        </w:rPr>
        <w:t xml:space="preserve">CLASS E </w:t>
      </w:r>
      <w:r w:rsidR="004077A6">
        <w:rPr>
          <w:b/>
          <w:snapToGrid w:val="0"/>
          <w:szCs w:val="22"/>
        </w:rPr>
        <w:t>DIGITAL SELECTIVE CALLING</w:t>
      </w:r>
      <w:r w:rsidR="00B769EF">
        <w:rPr>
          <w:b/>
          <w:snapToGrid w:val="0"/>
          <w:szCs w:val="22"/>
        </w:rPr>
        <w:t xml:space="preserve"> RADIO</w:t>
      </w:r>
    </w:p>
    <w:p w:rsidR="00B769EF" w:rsidRPr="005D2B63" w:rsidRDefault="00B769EF" w:rsidP="005D2B63">
      <w:pPr>
        <w:widowControl w:val="0"/>
        <w:jc w:val="center"/>
        <w:rPr>
          <w:b/>
          <w:snapToGrid w:val="0"/>
          <w:szCs w:val="22"/>
        </w:rPr>
      </w:pPr>
    </w:p>
    <w:p w:rsidR="005D2B63" w:rsidRPr="005D2B63" w:rsidRDefault="005D2B63" w:rsidP="005D2B63">
      <w:pPr>
        <w:widowControl w:val="0"/>
        <w:jc w:val="center"/>
        <w:rPr>
          <w:b/>
          <w:snapToGrid w:val="0"/>
          <w:szCs w:val="22"/>
        </w:rPr>
      </w:pPr>
      <w:r w:rsidRPr="005D2B63">
        <w:rPr>
          <w:b/>
          <w:snapToGrid w:val="0"/>
          <w:szCs w:val="22"/>
        </w:rPr>
        <w:t xml:space="preserve">WT Docket No. </w:t>
      </w:r>
      <w:r w:rsidR="00E9617D">
        <w:rPr>
          <w:b/>
          <w:snapToGrid w:val="0"/>
          <w:szCs w:val="22"/>
        </w:rPr>
        <w:t>1</w:t>
      </w:r>
      <w:r w:rsidR="00766CFC">
        <w:rPr>
          <w:b/>
          <w:snapToGrid w:val="0"/>
          <w:szCs w:val="22"/>
        </w:rPr>
        <w:t>7</w:t>
      </w:r>
      <w:r w:rsidR="00E9617D">
        <w:rPr>
          <w:b/>
          <w:snapToGrid w:val="0"/>
          <w:szCs w:val="22"/>
        </w:rPr>
        <w:t>-</w:t>
      </w:r>
      <w:r w:rsidR="00925B86">
        <w:rPr>
          <w:b/>
          <w:snapToGrid w:val="0"/>
          <w:szCs w:val="22"/>
        </w:rPr>
        <w:t>122</w:t>
      </w:r>
    </w:p>
    <w:p w:rsidR="005D2B63" w:rsidRPr="005D2B63" w:rsidRDefault="005D2B63" w:rsidP="005D2B63">
      <w:pPr>
        <w:widowControl w:val="0"/>
        <w:jc w:val="center"/>
        <w:rPr>
          <w:b/>
          <w:snapToGrid w:val="0"/>
          <w:szCs w:val="22"/>
        </w:rPr>
      </w:pPr>
    </w:p>
    <w:p w:rsidR="005D2B63" w:rsidRPr="005D2B63" w:rsidRDefault="005D2B63" w:rsidP="005D2B63">
      <w:pPr>
        <w:widowControl w:val="0"/>
        <w:rPr>
          <w:b/>
          <w:snapToGrid w:val="0"/>
          <w:szCs w:val="22"/>
        </w:rPr>
      </w:pPr>
      <w:r w:rsidRPr="005D2B63">
        <w:rPr>
          <w:b/>
          <w:snapToGrid w:val="0"/>
          <w:szCs w:val="22"/>
        </w:rPr>
        <w:t xml:space="preserve">Comment Date:  </w:t>
      </w:r>
      <w:r w:rsidR="00604D6A">
        <w:rPr>
          <w:b/>
          <w:snapToGrid w:val="0"/>
          <w:szCs w:val="22"/>
        </w:rPr>
        <w:t>June 8</w:t>
      </w:r>
      <w:r w:rsidRPr="005D2B63">
        <w:rPr>
          <w:b/>
          <w:snapToGrid w:val="0"/>
          <w:szCs w:val="22"/>
        </w:rPr>
        <w:t>, 201</w:t>
      </w:r>
      <w:r>
        <w:rPr>
          <w:b/>
          <w:snapToGrid w:val="0"/>
          <w:szCs w:val="22"/>
        </w:rPr>
        <w:t>7</w:t>
      </w:r>
      <w:r w:rsidRPr="005D2B63">
        <w:rPr>
          <w:b/>
          <w:snapToGrid w:val="0"/>
          <w:szCs w:val="22"/>
        </w:rPr>
        <w:tab/>
      </w:r>
      <w:r w:rsidRPr="005D2B63">
        <w:rPr>
          <w:b/>
          <w:snapToGrid w:val="0"/>
          <w:szCs w:val="22"/>
        </w:rPr>
        <w:tab/>
      </w:r>
      <w:r w:rsidRPr="005D2B63">
        <w:rPr>
          <w:b/>
          <w:snapToGrid w:val="0"/>
          <w:szCs w:val="22"/>
        </w:rPr>
        <w:tab/>
      </w:r>
      <w:r w:rsidRPr="005D2B63">
        <w:rPr>
          <w:b/>
          <w:snapToGrid w:val="0"/>
          <w:szCs w:val="22"/>
        </w:rPr>
        <w:tab/>
      </w:r>
      <w:r w:rsidR="00AB2E77">
        <w:rPr>
          <w:b/>
          <w:snapToGrid w:val="0"/>
          <w:szCs w:val="22"/>
        </w:rPr>
        <w:tab/>
      </w:r>
      <w:r w:rsidR="00AB2E77">
        <w:rPr>
          <w:b/>
          <w:snapToGrid w:val="0"/>
          <w:szCs w:val="22"/>
        </w:rPr>
        <w:tab/>
      </w:r>
      <w:r w:rsidRPr="005D2B63">
        <w:rPr>
          <w:b/>
          <w:snapToGrid w:val="0"/>
          <w:szCs w:val="22"/>
        </w:rPr>
        <w:t xml:space="preserve">Reply Date:  </w:t>
      </w:r>
      <w:r w:rsidR="00604D6A">
        <w:rPr>
          <w:b/>
          <w:snapToGrid w:val="0"/>
          <w:szCs w:val="22"/>
        </w:rPr>
        <w:t>June 23</w:t>
      </w:r>
      <w:r w:rsidRPr="005D2B63">
        <w:rPr>
          <w:b/>
          <w:snapToGrid w:val="0"/>
          <w:szCs w:val="22"/>
        </w:rPr>
        <w:t>, 201</w:t>
      </w:r>
      <w:r>
        <w:rPr>
          <w:b/>
          <w:snapToGrid w:val="0"/>
          <w:szCs w:val="22"/>
        </w:rPr>
        <w:t>7</w:t>
      </w:r>
    </w:p>
    <w:p w:rsidR="0001632C" w:rsidRPr="00C20DAB" w:rsidRDefault="005D2B63" w:rsidP="005D2B63">
      <w:pPr>
        <w:spacing w:before="120" w:after="240"/>
        <w:ind w:firstLine="720"/>
        <w:rPr>
          <w:szCs w:val="22"/>
        </w:rPr>
      </w:pPr>
      <w:r w:rsidRPr="00C20DAB">
        <w:rPr>
          <w:szCs w:val="22"/>
        </w:rPr>
        <w:t xml:space="preserve">By this </w:t>
      </w:r>
      <w:r w:rsidRPr="00C20DAB">
        <w:rPr>
          <w:i/>
          <w:szCs w:val="22"/>
        </w:rPr>
        <w:t>Public Notice</w:t>
      </w:r>
      <w:r w:rsidRPr="00C20DAB">
        <w:rPr>
          <w:szCs w:val="22"/>
        </w:rPr>
        <w:t xml:space="preserve">, we seek comment on a request for waiver filed by </w:t>
      </w:r>
      <w:r w:rsidR="00F830D9" w:rsidRPr="00C20DAB">
        <w:rPr>
          <w:szCs w:val="22"/>
        </w:rPr>
        <w:t>Icom</w:t>
      </w:r>
      <w:r w:rsidR="00766CFC" w:rsidRPr="00C20DAB">
        <w:rPr>
          <w:szCs w:val="22"/>
        </w:rPr>
        <w:t xml:space="preserve"> </w:t>
      </w:r>
      <w:r w:rsidR="00B769EF" w:rsidRPr="00C20DAB">
        <w:rPr>
          <w:szCs w:val="22"/>
        </w:rPr>
        <w:t xml:space="preserve">America Inc. </w:t>
      </w:r>
      <w:r w:rsidR="00766CFC" w:rsidRPr="00C20DAB">
        <w:rPr>
          <w:szCs w:val="22"/>
        </w:rPr>
        <w:t>(</w:t>
      </w:r>
      <w:r w:rsidR="00F830D9" w:rsidRPr="00C20DAB">
        <w:rPr>
          <w:szCs w:val="22"/>
        </w:rPr>
        <w:t>Icom</w:t>
      </w:r>
      <w:r w:rsidR="00766CFC" w:rsidRPr="00C20DAB">
        <w:rPr>
          <w:szCs w:val="22"/>
        </w:rPr>
        <w:t>)</w:t>
      </w:r>
      <w:r w:rsidRPr="00C20DAB">
        <w:rPr>
          <w:spacing w:val="-2"/>
          <w:szCs w:val="22"/>
        </w:rPr>
        <w:t xml:space="preserve"> </w:t>
      </w:r>
      <w:r w:rsidRPr="00C20DAB">
        <w:rPr>
          <w:szCs w:val="22"/>
        </w:rPr>
        <w:t xml:space="preserve">to permit </w:t>
      </w:r>
      <w:r w:rsidR="00AB2E77">
        <w:rPr>
          <w:szCs w:val="22"/>
        </w:rPr>
        <w:t>the manufacture, importation, sale, and installation</w:t>
      </w:r>
      <w:r w:rsidR="00040C54" w:rsidRPr="00C20DAB">
        <w:rPr>
          <w:szCs w:val="22"/>
        </w:rPr>
        <w:t xml:space="preserve"> </w:t>
      </w:r>
      <w:r w:rsidRPr="00C20DAB">
        <w:rPr>
          <w:szCs w:val="22"/>
        </w:rPr>
        <w:t xml:space="preserve">of </w:t>
      </w:r>
      <w:r w:rsidR="007B0FBB" w:rsidRPr="00C20DAB">
        <w:rPr>
          <w:szCs w:val="22"/>
        </w:rPr>
        <w:t xml:space="preserve">its </w:t>
      </w:r>
      <w:r w:rsidR="0067784E" w:rsidRPr="00C20DAB">
        <w:rPr>
          <w:szCs w:val="22"/>
        </w:rPr>
        <w:t xml:space="preserve">medium frequency/high frequency (MF/HF) </w:t>
      </w:r>
      <w:r w:rsidR="006B1536">
        <w:rPr>
          <w:szCs w:val="22"/>
        </w:rPr>
        <w:t xml:space="preserve">Digital Selective Calling (DSC) </w:t>
      </w:r>
      <w:r w:rsidR="004E7A7B" w:rsidRPr="00C20DAB">
        <w:rPr>
          <w:szCs w:val="22"/>
        </w:rPr>
        <w:t>radio M</w:t>
      </w:r>
      <w:r w:rsidR="00B769EF" w:rsidRPr="00C20DAB">
        <w:rPr>
          <w:szCs w:val="22"/>
        </w:rPr>
        <w:t>odel IC-M802</w:t>
      </w:r>
      <w:r w:rsidR="00BE1A51">
        <w:rPr>
          <w:szCs w:val="22"/>
        </w:rPr>
        <w:t xml:space="preserve"> (M802)</w:t>
      </w:r>
      <w:r w:rsidR="00B769EF" w:rsidRPr="00C20DAB">
        <w:rPr>
          <w:szCs w:val="22"/>
        </w:rPr>
        <w:t>.</w:t>
      </w:r>
      <w:r w:rsidR="00873822">
        <w:rPr>
          <w:rStyle w:val="FootnoteReference"/>
          <w:szCs w:val="22"/>
        </w:rPr>
        <w:footnoteReference w:id="1"/>
      </w:r>
      <w:r w:rsidR="009D2AED" w:rsidRPr="00C20DAB">
        <w:rPr>
          <w:szCs w:val="22"/>
        </w:rPr>
        <w:t xml:space="preserve">  </w:t>
      </w:r>
      <w:r w:rsidR="00466216">
        <w:rPr>
          <w:szCs w:val="22"/>
        </w:rPr>
        <w:t>MF/HF radios</w:t>
      </w:r>
      <w:r w:rsidR="00AB2E77">
        <w:rPr>
          <w:szCs w:val="22"/>
        </w:rPr>
        <w:t xml:space="preserve">, which </w:t>
      </w:r>
      <w:r w:rsidR="00AB2E77" w:rsidRPr="00C20DAB">
        <w:rPr>
          <w:szCs w:val="22"/>
        </w:rPr>
        <w:t xml:space="preserve">operate in the maritime mobile portions of the </w:t>
      </w:r>
      <w:r w:rsidR="00221C93">
        <w:rPr>
          <w:szCs w:val="22"/>
        </w:rPr>
        <w:t>1</w:t>
      </w:r>
      <w:r w:rsidR="00AB2E77" w:rsidRPr="00C20DAB">
        <w:rPr>
          <w:szCs w:val="22"/>
        </w:rPr>
        <w:t>.6</w:t>
      </w:r>
      <w:r w:rsidR="00AB2E77">
        <w:rPr>
          <w:szCs w:val="22"/>
        </w:rPr>
        <w:t>-</w:t>
      </w:r>
      <w:r w:rsidR="00AB2E77" w:rsidRPr="00C20DAB">
        <w:rPr>
          <w:szCs w:val="22"/>
        </w:rPr>
        <w:t>27.5 MHz band</w:t>
      </w:r>
      <w:r w:rsidR="00AB2E77">
        <w:rPr>
          <w:szCs w:val="22"/>
        </w:rPr>
        <w:t>,</w:t>
      </w:r>
      <w:r w:rsidR="00466216">
        <w:rPr>
          <w:szCs w:val="22"/>
        </w:rPr>
        <w:t xml:space="preserve"> are used by s</w:t>
      </w:r>
      <w:r w:rsidR="00345C6A" w:rsidRPr="00C20DAB">
        <w:rPr>
          <w:szCs w:val="22"/>
        </w:rPr>
        <w:t xml:space="preserve">hip stations </w:t>
      </w:r>
      <w:r w:rsidR="00221C93">
        <w:rPr>
          <w:szCs w:val="22"/>
        </w:rPr>
        <w:t xml:space="preserve">to </w:t>
      </w:r>
      <w:r w:rsidR="00345C6A" w:rsidRPr="00C20DAB">
        <w:rPr>
          <w:szCs w:val="22"/>
        </w:rPr>
        <w:t>communicate with other ship stations or coast stations for safety, navigation</w:t>
      </w:r>
      <w:r w:rsidR="00941DA4">
        <w:rPr>
          <w:szCs w:val="22"/>
        </w:rPr>
        <w:t>,</w:t>
      </w:r>
      <w:r w:rsidR="00345C6A" w:rsidRPr="00C20DAB">
        <w:rPr>
          <w:szCs w:val="22"/>
        </w:rPr>
        <w:t xml:space="preserve"> and weather information.</w:t>
      </w:r>
      <w:r w:rsidR="00194F6D" w:rsidRPr="00C20DAB">
        <w:rPr>
          <w:szCs w:val="22"/>
        </w:rPr>
        <w:t xml:space="preserve"> </w:t>
      </w:r>
      <w:r w:rsidR="00AB2E77">
        <w:rPr>
          <w:szCs w:val="22"/>
        </w:rPr>
        <w:t xml:space="preserve"> A waiver is required because the M802 does not comply with the relevant technical standard now incorporated by reference in the Commission’s rules.</w:t>
      </w:r>
    </w:p>
    <w:p w:rsidR="00141811" w:rsidRDefault="00265F6A" w:rsidP="002A1DB7">
      <w:pPr>
        <w:spacing w:before="120" w:after="240"/>
        <w:ind w:firstLine="720"/>
        <w:rPr>
          <w:szCs w:val="22"/>
        </w:rPr>
      </w:pPr>
      <w:r>
        <w:rPr>
          <w:szCs w:val="22"/>
        </w:rPr>
        <w:t>Equipment certification for t</w:t>
      </w:r>
      <w:r w:rsidR="00C20DAB" w:rsidRPr="00C20DAB">
        <w:rPr>
          <w:szCs w:val="22"/>
        </w:rPr>
        <w:t xml:space="preserve">he </w:t>
      </w:r>
      <w:r w:rsidR="00A117DA" w:rsidRPr="00C20DAB">
        <w:rPr>
          <w:szCs w:val="22"/>
        </w:rPr>
        <w:t>M802 was</w:t>
      </w:r>
      <w:r w:rsidR="00B4489C" w:rsidRPr="00C20DAB">
        <w:rPr>
          <w:szCs w:val="22"/>
        </w:rPr>
        <w:t xml:space="preserve"> </w:t>
      </w:r>
      <w:r w:rsidR="00C20DAB" w:rsidRPr="00C20DAB">
        <w:rPr>
          <w:szCs w:val="22"/>
        </w:rPr>
        <w:t xml:space="preserve">granted </w:t>
      </w:r>
      <w:r>
        <w:rPr>
          <w:szCs w:val="22"/>
        </w:rPr>
        <w:t>i</w:t>
      </w:r>
      <w:r w:rsidR="00C20DAB" w:rsidRPr="00C20DAB">
        <w:rPr>
          <w:szCs w:val="22"/>
        </w:rPr>
        <w:t>n 2002.</w:t>
      </w:r>
      <w:r>
        <w:rPr>
          <w:rStyle w:val="FootnoteReference"/>
          <w:szCs w:val="22"/>
        </w:rPr>
        <w:footnoteReference w:id="2"/>
      </w:r>
      <w:r w:rsidR="00C20DAB" w:rsidRPr="00C20DAB">
        <w:rPr>
          <w:szCs w:val="22"/>
        </w:rPr>
        <w:t xml:space="preserve">  At </w:t>
      </w:r>
      <w:r w:rsidR="009F4B3A">
        <w:rPr>
          <w:szCs w:val="22"/>
        </w:rPr>
        <w:t>th</w:t>
      </w:r>
      <w:r>
        <w:rPr>
          <w:szCs w:val="22"/>
        </w:rPr>
        <w:t xml:space="preserve">at </w:t>
      </w:r>
      <w:r w:rsidR="009F4B3A">
        <w:rPr>
          <w:szCs w:val="22"/>
        </w:rPr>
        <w:t>time</w:t>
      </w:r>
      <w:r w:rsidR="00C20DAB">
        <w:rPr>
          <w:szCs w:val="22"/>
        </w:rPr>
        <w:t xml:space="preserve">, </w:t>
      </w:r>
      <w:r>
        <w:rPr>
          <w:szCs w:val="22"/>
        </w:rPr>
        <w:t>the Commission’s rules</w:t>
      </w:r>
      <w:r w:rsidR="00210040">
        <w:rPr>
          <w:szCs w:val="22"/>
        </w:rPr>
        <w:t xml:space="preserve"> incorporated technical standard CCIR Recommendation 493</w:t>
      </w:r>
      <w:r w:rsidR="00210040">
        <w:rPr>
          <w:rStyle w:val="FootnoteReference"/>
          <w:szCs w:val="22"/>
        </w:rPr>
        <w:footnoteReference w:id="3"/>
      </w:r>
      <w:r w:rsidR="00210040">
        <w:rPr>
          <w:szCs w:val="22"/>
        </w:rPr>
        <w:t xml:space="preserve"> for DSC equipment</w:t>
      </w:r>
      <w:r w:rsidR="009F4B3A">
        <w:rPr>
          <w:szCs w:val="22"/>
        </w:rPr>
        <w:t>.</w:t>
      </w:r>
      <w:r w:rsidR="009F4B3A">
        <w:rPr>
          <w:rStyle w:val="FootnoteReference"/>
          <w:szCs w:val="22"/>
        </w:rPr>
        <w:footnoteReference w:id="4"/>
      </w:r>
      <w:r w:rsidR="00C20DAB">
        <w:rPr>
          <w:szCs w:val="22"/>
        </w:rPr>
        <w:t xml:space="preserve"> </w:t>
      </w:r>
      <w:r w:rsidR="00210040">
        <w:rPr>
          <w:szCs w:val="22"/>
        </w:rPr>
        <w:t xml:space="preserve"> Over time, the Commission’s rules were amended to incorporate subsequent </w:t>
      </w:r>
      <w:r w:rsidR="00D2713B">
        <w:rPr>
          <w:szCs w:val="22"/>
        </w:rPr>
        <w:t>revision</w:t>
      </w:r>
      <w:r w:rsidR="003A7A0C">
        <w:rPr>
          <w:szCs w:val="22"/>
        </w:rPr>
        <w:t>s</w:t>
      </w:r>
      <w:r w:rsidR="00D2713B">
        <w:rPr>
          <w:szCs w:val="22"/>
        </w:rPr>
        <w:t xml:space="preserve"> of th</w:t>
      </w:r>
      <w:r w:rsidR="00143AB9">
        <w:rPr>
          <w:szCs w:val="22"/>
        </w:rPr>
        <w:t>is</w:t>
      </w:r>
      <w:r w:rsidR="00D2713B">
        <w:rPr>
          <w:szCs w:val="22"/>
        </w:rPr>
        <w:t xml:space="preserve"> standard</w:t>
      </w:r>
      <w:r w:rsidR="007F7FEB">
        <w:rPr>
          <w:szCs w:val="22"/>
        </w:rPr>
        <w:t>.</w:t>
      </w:r>
      <w:r w:rsidR="007F7FEB">
        <w:rPr>
          <w:rStyle w:val="FootnoteReference"/>
          <w:szCs w:val="22"/>
        </w:rPr>
        <w:footnoteReference w:id="5"/>
      </w:r>
      <w:r w:rsidR="00210040">
        <w:rPr>
          <w:szCs w:val="22"/>
        </w:rPr>
        <w:t xml:space="preserve">  </w:t>
      </w:r>
      <w:r w:rsidR="008878D9">
        <w:rPr>
          <w:szCs w:val="22"/>
        </w:rPr>
        <w:t xml:space="preserve">In 2010, the Commission updated its rules </w:t>
      </w:r>
      <w:r w:rsidR="004077A6">
        <w:rPr>
          <w:szCs w:val="22"/>
        </w:rPr>
        <w:t>to</w:t>
      </w:r>
      <w:r w:rsidR="008878D9">
        <w:rPr>
          <w:szCs w:val="22"/>
        </w:rPr>
        <w:t xml:space="preserve"> requir</w:t>
      </w:r>
      <w:r w:rsidR="004077A6">
        <w:rPr>
          <w:szCs w:val="22"/>
        </w:rPr>
        <w:t>e</w:t>
      </w:r>
      <w:r w:rsidR="008878D9">
        <w:rPr>
          <w:szCs w:val="22"/>
        </w:rPr>
        <w:t xml:space="preserve"> compliance with </w:t>
      </w:r>
      <w:r w:rsidR="00BE1A51">
        <w:rPr>
          <w:szCs w:val="22"/>
        </w:rPr>
        <w:t>ITU-R M.</w:t>
      </w:r>
      <w:r w:rsidR="008878D9">
        <w:rPr>
          <w:szCs w:val="22"/>
        </w:rPr>
        <w:t>493-13</w:t>
      </w:r>
      <w:r w:rsidR="002A1DB7">
        <w:rPr>
          <w:szCs w:val="22"/>
        </w:rPr>
        <w:t>,</w:t>
      </w:r>
      <w:r w:rsidR="00A245BF">
        <w:rPr>
          <w:rStyle w:val="FootnoteReference"/>
        </w:rPr>
        <w:footnoteReference w:id="6"/>
      </w:r>
      <w:r w:rsidR="008878D9" w:rsidRPr="008878D9">
        <w:t xml:space="preserve"> </w:t>
      </w:r>
      <w:r w:rsidR="002A1DB7">
        <w:t>and prohibited the manufacture, importation, sale, or installation of non-compliant equipment as</w:t>
      </w:r>
      <w:r w:rsidR="00A245BF">
        <w:t xml:space="preserve"> of </w:t>
      </w:r>
      <w:r w:rsidR="002A1DB7">
        <w:t xml:space="preserve">March 25, 2011 (later </w:t>
      </w:r>
      <w:r w:rsidR="002A1DB7">
        <w:lastRenderedPageBreak/>
        <w:t>extended to January 1, 2013</w:t>
      </w:r>
      <w:r w:rsidR="00A245BF">
        <w:rPr>
          <w:rStyle w:val="FootnoteReference"/>
        </w:rPr>
        <w:footnoteReference w:id="7"/>
      </w:r>
      <w:r w:rsidR="002A1DB7">
        <w:t>).</w:t>
      </w:r>
      <w:r w:rsidR="004077A6">
        <w:rPr>
          <w:rStyle w:val="FootnoteReference"/>
        </w:rPr>
        <w:footnoteReference w:id="8"/>
      </w:r>
      <w:r w:rsidR="00A245BF">
        <w:t xml:space="preserve">  </w:t>
      </w:r>
      <w:r w:rsidR="002A1DB7">
        <w:t>ITU-R M.</w:t>
      </w:r>
      <w:r w:rsidR="00C041F3">
        <w:t>493-13 added</w:t>
      </w:r>
      <w:r w:rsidR="00D357A3">
        <w:t xml:space="preserve"> </w:t>
      </w:r>
      <w:r w:rsidR="00433398">
        <w:t>an a</w:t>
      </w:r>
      <w:r w:rsidR="00D357A3">
        <w:t xml:space="preserve">nnex </w:t>
      </w:r>
      <w:r w:rsidR="00350E99">
        <w:t xml:space="preserve">(Annex 4) </w:t>
      </w:r>
      <w:r w:rsidR="00D357A3">
        <w:t>that established new requirements for DSC radios</w:t>
      </w:r>
      <w:r w:rsidR="004077A6">
        <w:t>.</w:t>
      </w:r>
      <w:r w:rsidR="00A245BF">
        <w:rPr>
          <w:rStyle w:val="FootnoteReference"/>
        </w:rPr>
        <w:footnoteReference w:id="9"/>
      </w:r>
      <w:r w:rsidR="00D357A3">
        <w:t xml:space="preserve"> </w:t>
      </w:r>
      <w:r w:rsidR="004077A6">
        <w:t xml:space="preserve"> </w:t>
      </w:r>
      <w:r w:rsidR="00D357A3">
        <w:rPr>
          <w:szCs w:val="22"/>
        </w:rPr>
        <w:t xml:space="preserve">Icom </w:t>
      </w:r>
      <w:r w:rsidR="004077A6">
        <w:rPr>
          <w:szCs w:val="22"/>
        </w:rPr>
        <w:t xml:space="preserve">states that the </w:t>
      </w:r>
      <w:r w:rsidR="00533EC1">
        <w:rPr>
          <w:szCs w:val="22"/>
        </w:rPr>
        <w:t>M802</w:t>
      </w:r>
      <w:r w:rsidR="00D357A3">
        <w:rPr>
          <w:szCs w:val="22"/>
        </w:rPr>
        <w:t xml:space="preserve"> </w:t>
      </w:r>
      <w:r w:rsidR="004077A6">
        <w:rPr>
          <w:szCs w:val="22"/>
        </w:rPr>
        <w:t xml:space="preserve">does not meet </w:t>
      </w:r>
      <w:r w:rsidR="00621CF9">
        <w:rPr>
          <w:szCs w:val="22"/>
        </w:rPr>
        <w:t xml:space="preserve">the </w:t>
      </w:r>
      <w:r w:rsidR="00D357A3">
        <w:rPr>
          <w:szCs w:val="22"/>
        </w:rPr>
        <w:t xml:space="preserve">Annex 4 </w:t>
      </w:r>
      <w:r w:rsidR="00621CF9">
        <w:rPr>
          <w:szCs w:val="22"/>
        </w:rPr>
        <w:t>requirements</w:t>
      </w:r>
      <w:r w:rsidR="004077A6">
        <w:rPr>
          <w:szCs w:val="22"/>
        </w:rPr>
        <w:t>, so the company stopped producing it</w:t>
      </w:r>
      <w:r w:rsidR="00621CF9">
        <w:rPr>
          <w:szCs w:val="22"/>
        </w:rPr>
        <w:t>.</w:t>
      </w:r>
      <w:r w:rsidR="006D41D8">
        <w:rPr>
          <w:rStyle w:val="FootnoteReference"/>
          <w:szCs w:val="22"/>
        </w:rPr>
        <w:footnoteReference w:id="10"/>
      </w:r>
      <w:r w:rsidR="00621CF9">
        <w:rPr>
          <w:szCs w:val="22"/>
        </w:rPr>
        <w:t xml:space="preserve">  </w:t>
      </w:r>
      <w:r w:rsidR="00D357A3">
        <w:rPr>
          <w:szCs w:val="22"/>
        </w:rPr>
        <w:t xml:space="preserve"> </w:t>
      </w:r>
      <w:r w:rsidR="008878D9">
        <w:t xml:space="preserve"> </w:t>
      </w:r>
      <w:r w:rsidR="008878D9">
        <w:rPr>
          <w:szCs w:val="22"/>
        </w:rPr>
        <w:t xml:space="preserve">     </w:t>
      </w:r>
      <w:r w:rsidR="00C20DAB">
        <w:rPr>
          <w:szCs w:val="22"/>
        </w:rPr>
        <w:t xml:space="preserve"> </w:t>
      </w:r>
      <w:r w:rsidR="00C20DAB" w:rsidRPr="00C20DAB">
        <w:rPr>
          <w:szCs w:val="22"/>
        </w:rPr>
        <w:t xml:space="preserve"> </w:t>
      </w:r>
      <w:r w:rsidR="0001632C" w:rsidRPr="00C20DAB">
        <w:rPr>
          <w:szCs w:val="22"/>
        </w:rPr>
        <w:t xml:space="preserve"> </w:t>
      </w:r>
      <w:r w:rsidR="00141811" w:rsidRPr="00C20DAB">
        <w:rPr>
          <w:szCs w:val="22"/>
        </w:rPr>
        <w:t xml:space="preserve"> </w:t>
      </w:r>
    </w:p>
    <w:p w:rsidR="00221C93" w:rsidRPr="00C20DAB" w:rsidRDefault="00221C93" w:rsidP="002A1DB7">
      <w:pPr>
        <w:spacing w:before="120" w:after="240"/>
        <w:ind w:firstLine="720"/>
        <w:rPr>
          <w:szCs w:val="22"/>
        </w:rPr>
      </w:pPr>
      <w:r>
        <w:rPr>
          <w:szCs w:val="22"/>
        </w:rPr>
        <w:t xml:space="preserve">The M802 is a Class E DSC radio.  </w:t>
      </w:r>
      <w:r>
        <w:t xml:space="preserve">Class E equipment is intended to provide minimum facilities for MF and/or HF DSC distress, urgency and safety as well as routine calling and reception, but not to comply fully with the requirements applicable to vessels that are required to carry an MF/HF DSC radio as part of the Global Maritime Distress and Safety System (GMDSS).  GMDSS-compliant Class A radios typically cost several times as much as Class E equipment, which is intended for use by vessels that are not subject to the GMDSS requirements.  </w:t>
      </w:r>
      <w:r w:rsidRPr="00C20DAB">
        <w:rPr>
          <w:szCs w:val="22"/>
        </w:rPr>
        <w:t xml:space="preserve">Icom states that typical M802 users are cruising vessels, </w:t>
      </w:r>
      <w:r>
        <w:rPr>
          <w:i/>
          <w:szCs w:val="22"/>
        </w:rPr>
        <w:t>i.e.</w:t>
      </w:r>
      <w:r>
        <w:rPr>
          <w:szCs w:val="22"/>
        </w:rPr>
        <w:t xml:space="preserve">, </w:t>
      </w:r>
      <w:r w:rsidRPr="00C20DAB">
        <w:rPr>
          <w:szCs w:val="22"/>
        </w:rPr>
        <w:t>smaller ships used for recreation</w:t>
      </w:r>
      <w:r>
        <w:rPr>
          <w:szCs w:val="22"/>
        </w:rPr>
        <w:t>.</w:t>
      </w:r>
      <w:r>
        <w:rPr>
          <w:rStyle w:val="FootnoteReference"/>
          <w:szCs w:val="22"/>
        </w:rPr>
        <w:footnoteReference w:id="11"/>
      </w:r>
    </w:p>
    <w:p w:rsidR="005D2B63" w:rsidRPr="005D2B63" w:rsidRDefault="00C73804" w:rsidP="005D2B63">
      <w:pPr>
        <w:spacing w:before="120" w:after="240"/>
        <w:ind w:firstLine="720"/>
      </w:pPr>
      <w:r>
        <w:t>Icom now requests a waiver to permit manufacture, importation, sale, and installation</w:t>
      </w:r>
      <w:r w:rsidR="00B50DA3">
        <w:t xml:space="preserve"> </w:t>
      </w:r>
      <w:r>
        <w:t>of the M802 until 2020, by which time it expects to have available a</w:t>
      </w:r>
      <w:r w:rsidR="00474537">
        <w:t>n</w:t>
      </w:r>
      <w:r>
        <w:t xml:space="preserve"> MF/HF DSC radio that complies with the current standard. </w:t>
      </w:r>
      <w:r w:rsidR="00B50DA3">
        <w:t xml:space="preserve"> </w:t>
      </w:r>
      <w:r>
        <w:t xml:space="preserve">It </w:t>
      </w:r>
      <w:r w:rsidR="008C69CA">
        <w:rPr>
          <w:szCs w:val="22"/>
        </w:rPr>
        <w:t>argues</w:t>
      </w:r>
      <w:r w:rsidR="008C69CA" w:rsidRPr="00C20DAB">
        <w:rPr>
          <w:szCs w:val="22"/>
        </w:rPr>
        <w:t xml:space="preserve"> that a waiver is in the public</w:t>
      </w:r>
      <w:r w:rsidR="008C69CA">
        <w:t xml:space="preserve"> interest because it will enable cruising vessels to obtain communication, safety and weather information from an HF radio during a voyage.</w:t>
      </w:r>
      <w:r w:rsidR="006D41D8">
        <w:rPr>
          <w:rStyle w:val="FootnoteReference"/>
        </w:rPr>
        <w:footnoteReference w:id="12"/>
      </w:r>
      <w:r w:rsidR="008C69CA">
        <w:t xml:space="preserve">  </w:t>
      </w:r>
      <w:r w:rsidR="006D41D8">
        <w:t xml:space="preserve">It </w:t>
      </w:r>
      <w:r w:rsidR="00474537">
        <w:t>assert</w:t>
      </w:r>
      <w:r w:rsidR="006D41D8">
        <w:t>s that it is the only manufacturer that produced Class E radio equipment at a price point that general users could afford</w:t>
      </w:r>
      <w:r>
        <w:t xml:space="preserve">, and that non-DSC communications alternatives do not provide </w:t>
      </w:r>
      <w:r w:rsidR="00474537">
        <w:t>the same</w:t>
      </w:r>
      <w:r>
        <w:t xml:space="preserve"> safety benefits</w:t>
      </w:r>
      <w:r w:rsidR="006D41D8">
        <w:t>.</w:t>
      </w:r>
      <w:r w:rsidR="006D41D8">
        <w:rPr>
          <w:rStyle w:val="FootnoteReference"/>
        </w:rPr>
        <w:footnoteReference w:id="13"/>
      </w:r>
      <w:r w:rsidR="009C7596">
        <w:t xml:space="preserve">  </w:t>
      </w:r>
      <w:r w:rsidR="00F50154">
        <w:t xml:space="preserve">  </w:t>
      </w:r>
    </w:p>
    <w:p w:rsidR="00F54138" w:rsidRDefault="005D2B63" w:rsidP="00F54138">
      <w:pPr>
        <w:spacing w:before="120" w:after="240"/>
        <w:ind w:firstLine="720"/>
        <w:rPr>
          <w:spacing w:val="-2"/>
        </w:rPr>
      </w:pPr>
      <w:r w:rsidRPr="005D2B63">
        <w:rPr>
          <w:spacing w:val="-2"/>
        </w:rPr>
        <w:t xml:space="preserve">We seek </w:t>
      </w:r>
      <w:r w:rsidR="009C7596">
        <w:rPr>
          <w:spacing w:val="-2"/>
        </w:rPr>
        <w:t>comment on the waiver request.</w:t>
      </w:r>
      <w:r w:rsidR="00AB2E77">
        <w:rPr>
          <w:spacing w:val="-2"/>
        </w:rPr>
        <w:t xml:space="preserve">  In particular, we seek comment on the effect on maritime safety of the unavailability of the M802, and on whether there are affordable alternatives that comply with ITU-R M.493-13</w:t>
      </w:r>
      <w:r w:rsidR="00C73804">
        <w:rPr>
          <w:spacing w:val="-2"/>
        </w:rPr>
        <w:t xml:space="preserve"> or provide equivalent safety benefits</w:t>
      </w:r>
      <w:r w:rsidR="00AB2E77">
        <w:rPr>
          <w:spacing w:val="-2"/>
        </w:rPr>
        <w:t>.</w:t>
      </w:r>
    </w:p>
    <w:p w:rsidR="005D2B63" w:rsidRPr="005D2B63" w:rsidRDefault="005D2B63" w:rsidP="00F54138">
      <w:pPr>
        <w:spacing w:before="120" w:after="240"/>
        <w:ind w:firstLine="720"/>
        <w:rPr>
          <w:b/>
          <w:snapToGrid w:val="0"/>
          <w:kern w:val="28"/>
          <w:szCs w:val="22"/>
        </w:rPr>
      </w:pPr>
      <w:r w:rsidRPr="005D2B63">
        <w:rPr>
          <w:b/>
          <w:snapToGrid w:val="0"/>
          <w:kern w:val="28"/>
          <w:szCs w:val="22"/>
        </w:rPr>
        <w:t>Procedural Matters</w:t>
      </w:r>
    </w:p>
    <w:p w:rsidR="005D2B63" w:rsidRPr="005D2B63" w:rsidRDefault="005D2B63" w:rsidP="005D2B63">
      <w:pPr>
        <w:tabs>
          <w:tab w:val="left" w:pos="-720"/>
        </w:tabs>
        <w:suppressAutoHyphens/>
        <w:spacing w:line="236" w:lineRule="exact"/>
      </w:pPr>
      <w:r w:rsidRPr="005D2B63">
        <w:tab/>
        <w:t xml:space="preserve">Interested parties may file comments and reply comments in response to the waiver request on or before the dates listed on the first page of this </w:t>
      </w:r>
      <w:r w:rsidRPr="005D2B63">
        <w:rPr>
          <w:i/>
        </w:rPr>
        <w:t>Public Notice</w:t>
      </w:r>
      <w:r w:rsidRPr="005D2B63">
        <w:t xml:space="preserve">.  All pleadings must reference WT </w:t>
      </w:r>
      <w:r w:rsidR="007F5C5C">
        <w:t>Docket No. 1</w:t>
      </w:r>
      <w:r w:rsidR="006D41D8">
        <w:t>7</w:t>
      </w:r>
      <w:r w:rsidR="007F5C5C">
        <w:t>-</w:t>
      </w:r>
      <w:r w:rsidR="00925B86">
        <w:t>122</w:t>
      </w:r>
      <w:r w:rsidRPr="005D2B63">
        <w:t>.  Parties may file comments using (1) the Commission’s Electronic Comment Filing System (ECFS), (2) the Federal Government’s eRulemaking Portal, or (3) by filing paper copies.</w:t>
      </w:r>
      <w:r w:rsidRPr="005D2B63">
        <w:rPr>
          <w:vertAlign w:val="superscript"/>
        </w:rPr>
        <w:footnoteReference w:id="14"/>
      </w:r>
    </w:p>
    <w:p w:rsidR="005D2B63" w:rsidRPr="005D2B63" w:rsidRDefault="005D2B63" w:rsidP="005D2B63">
      <w:pPr>
        <w:tabs>
          <w:tab w:val="left" w:pos="-720"/>
        </w:tabs>
        <w:suppressAutoHyphens/>
        <w:spacing w:line="236" w:lineRule="exact"/>
      </w:pPr>
    </w:p>
    <w:p w:rsidR="005D2B63" w:rsidRPr="005D2B63" w:rsidRDefault="005D2B63" w:rsidP="005D2B63">
      <w:pPr>
        <w:numPr>
          <w:ilvl w:val="0"/>
          <w:numId w:val="22"/>
        </w:numPr>
        <w:tabs>
          <w:tab w:val="left" w:pos="-720"/>
        </w:tabs>
        <w:suppressAutoHyphens/>
        <w:spacing w:line="236" w:lineRule="exact"/>
      </w:pPr>
      <w:r w:rsidRPr="005D2B63">
        <w:t>Electronic Filers:  File comments electronically using the Internet by accessing the ECFS:  http://www.fcc.gov/cgb/ecfs/ or the Federal eRulemaking Portal:  http://www.regulations.gov.  Filers should follow the instructions provided on the website for submitting comments.</w:t>
      </w:r>
    </w:p>
    <w:p w:rsidR="005D2B63" w:rsidRPr="005D2B63" w:rsidRDefault="005D2B63" w:rsidP="005D2B63">
      <w:pPr>
        <w:tabs>
          <w:tab w:val="left" w:pos="-720"/>
        </w:tabs>
        <w:suppressAutoHyphens/>
        <w:spacing w:line="236" w:lineRule="exact"/>
        <w:ind w:left="360"/>
      </w:pPr>
    </w:p>
    <w:p w:rsidR="005D2B63" w:rsidRPr="005D2B63" w:rsidRDefault="005D2B63" w:rsidP="005D2B63">
      <w:pPr>
        <w:numPr>
          <w:ilvl w:val="0"/>
          <w:numId w:val="22"/>
        </w:numPr>
        <w:tabs>
          <w:tab w:val="left" w:pos="-720"/>
        </w:tabs>
        <w:suppressAutoHyphens/>
        <w:spacing w:line="236" w:lineRule="exact"/>
      </w:pPr>
      <w:r w:rsidRPr="005D2B63">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5D2B63" w:rsidRPr="005D2B63" w:rsidRDefault="005D2B63" w:rsidP="005D2B63">
      <w:pPr>
        <w:tabs>
          <w:tab w:val="left" w:pos="-720"/>
        </w:tabs>
        <w:suppressAutoHyphens/>
        <w:spacing w:line="236" w:lineRule="exact"/>
        <w:ind w:left="360"/>
      </w:pPr>
    </w:p>
    <w:p w:rsidR="005D2B63" w:rsidRPr="005D2B63" w:rsidRDefault="005D2B63" w:rsidP="005D2B63">
      <w:pPr>
        <w:numPr>
          <w:ilvl w:val="0"/>
          <w:numId w:val="23"/>
        </w:numPr>
        <w:tabs>
          <w:tab w:val="left" w:pos="-720"/>
        </w:tabs>
        <w:suppressAutoHyphens/>
        <w:spacing w:line="236" w:lineRule="exact"/>
      </w:pPr>
      <w:r w:rsidRPr="005D2B63">
        <w:lastRenderedPageBreak/>
        <w:t xml:space="preserve">Paper Filers:  Parties who choose to file by paper must file an original and two copies of each filing.  </w:t>
      </w:r>
    </w:p>
    <w:p w:rsidR="005D2B63" w:rsidRPr="005D2B63" w:rsidRDefault="005D2B63" w:rsidP="005D2B63">
      <w:pPr>
        <w:tabs>
          <w:tab w:val="left" w:pos="-720"/>
        </w:tabs>
        <w:suppressAutoHyphens/>
        <w:spacing w:line="236" w:lineRule="exact"/>
        <w:ind w:left="360"/>
      </w:pPr>
    </w:p>
    <w:p w:rsidR="005D2B63" w:rsidRPr="005D2B63" w:rsidRDefault="005D2B63" w:rsidP="005D2B63">
      <w:pPr>
        <w:tabs>
          <w:tab w:val="left" w:pos="-720"/>
        </w:tabs>
        <w:suppressAutoHyphens/>
        <w:spacing w:line="236" w:lineRule="exact"/>
      </w:pPr>
      <w:r w:rsidRPr="005D2B63">
        <w:tab/>
        <w:t>Send filings by hand or messenger delivery, by commercial overnight courier, or by first-class or overnight U.S. Postal Service mail.  Address filings to the Commission’s Secretary, Office of the Secretary, Federal Communications Commission.</w:t>
      </w:r>
    </w:p>
    <w:p w:rsidR="005D2B63" w:rsidRPr="005D2B63" w:rsidRDefault="005D2B63" w:rsidP="005D2B63">
      <w:pPr>
        <w:tabs>
          <w:tab w:val="left" w:pos="-720"/>
        </w:tabs>
        <w:suppressAutoHyphens/>
        <w:spacing w:line="236" w:lineRule="exact"/>
      </w:pPr>
    </w:p>
    <w:p w:rsidR="005D2B63" w:rsidRPr="005D2B63" w:rsidRDefault="005D2B63" w:rsidP="005D2B63">
      <w:pPr>
        <w:numPr>
          <w:ilvl w:val="0"/>
          <w:numId w:val="24"/>
        </w:numPr>
        <w:tabs>
          <w:tab w:val="left" w:pos="-720"/>
        </w:tabs>
        <w:suppressAutoHyphens/>
        <w:spacing w:line="236" w:lineRule="exact"/>
      </w:pPr>
      <w:r w:rsidRPr="005D2B63">
        <w:t>Deliver hand-delivered or messenger-delivered paper filings to FCC Headquarters at 445 12</w:t>
      </w:r>
      <w:r w:rsidRPr="005D2B63">
        <w:rPr>
          <w:vertAlign w:val="superscript"/>
        </w:rPr>
        <w:t>th</w:t>
      </w:r>
      <w:r w:rsidRPr="005D2B63">
        <w:t xml:space="preserve"> St., SW, Room TW-A325, Washington, DC 20554 between 8:00 AM and 7:00 PM.  Use rubber bands or fasteners to hold deliveries together.  Dispose of all envelopes before entering the building.</w:t>
      </w:r>
    </w:p>
    <w:p w:rsidR="005D2B63" w:rsidRPr="005D2B63" w:rsidRDefault="005D2B63" w:rsidP="005D2B63">
      <w:pPr>
        <w:tabs>
          <w:tab w:val="left" w:pos="-720"/>
        </w:tabs>
        <w:suppressAutoHyphens/>
        <w:spacing w:line="236" w:lineRule="exact"/>
        <w:ind w:left="1080"/>
      </w:pPr>
    </w:p>
    <w:p w:rsidR="005D2B63" w:rsidRPr="005D2B63" w:rsidRDefault="005D2B63" w:rsidP="005D2B63">
      <w:pPr>
        <w:numPr>
          <w:ilvl w:val="0"/>
          <w:numId w:val="24"/>
        </w:numPr>
        <w:tabs>
          <w:tab w:val="left" w:pos="-720"/>
        </w:tabs>
        <w:suppressAutoHyphens/>
        <w:spacing w:line="236" w:lineRule="exact"/>
      </w:pPr>
      <w:r w:rsidRPr="005D2B63">
        <w:t>Send commercial overnight mail (other than U.S. Postal Service Express Mail and Priority Mail) to 9300 East Hampton Drive, Capitol Heights, MD 20743.</w:t>
      </w:r>
    </w:p>
    <w:p w:rsidR="005D2B63" w:rsidRPr="005D2B63" w:rsidRDefault="005D2B63" w:rsidP="005D2B63">
      <w:pPr>
        <w:tabs>
          <w:tab w:val="left" w:pos="-720"/>
        </w:tabs>
        <w:suppressAutoHyphens/>
        <w:spacing w:line="236" w:lineRule="exact"/>
      </w:pPr>
    </w:p>
    <w:p w:rsidR="005D2B63" w:rsidRPr="005D2B63" w:rsidRDefault="005D2B63" w:rsidP="005D2B63">
      <w:pPr>
        <w:numPr>
          <w:ilvl w:val="0"/>
          <w:numId w:val="24"/>
        </w:numPr>
        <w:tabs>
          <w:tab w:val="left" w:pos="-720"/>
        </w:tabs>
        <w:suppressAutoHyphens/>
        <w:spacing w:line="236" w:lineRule="exact"/>
      </w:pPr>
      <w:r w:rsidRPr="005D2B63">
        <w:t>Send U.S. Postal Service first-class, Express, and Priority mail to 445 12</w:t>
      </w:r>
      <w:r w:rsidRPr="005D2B63">
        <w:rPr>
          <w:vertAlign w:val="superscript"/>
        </w:rPr>
        <w:t>th</w:t>
      </w:r>
      <w:r w:rsidRPr="005D2B63">
        <w:t xml:space="preserve"> Street, SW, Washington DC 20554.</w:t>
      </w:r>
    </w:p>
    <w:p w:rsidR="005D2B63" w:rsidRPr="005D2B63" w:rsidRDefault="005D2B63" w:rsidP="005D2B63">
      <w:pPr>
        <w:widowControl w:val="0"/>
        <w:spacing w:after="120" w:line="228" w:lineRule="auto"/>
        <w:ind w:firstLine="720"/>
        <w:rPr>
          <w:snapToGrid w:val="0"/>
          <w:kern w:val="28"/>
          <w:szCs w:val="22"/>
        </w:rPr>
      </w:pPr>
    </w:p>
    <w:p w:rsidR="005D2B63" w:rsidRPr="005D2B63" w:rsidRDefault="005D2B63" w:rsidP="005D2B63">
      <w:pPr>
        <w:widowControl w:val="0"/>
        <w:spacing w:after="120" w:line="228" w:lineRule="auto"/>
        <w:ind w:firstLine="720"/>
        <w:rPr>
          <w:snapToGrid w:val="0"/>
          <w:kern w:val="28"/>
          <w:szCs w:val="22"/>
        </w:rPr>
      </w:pPr>
      <w:r w:rsidRPr="005D2B63">
        <w:rPr>
          <w:snapToGrid w:val="0"/>
          <w:kern w:val="28"/>
          <w:szCs w:val="22"/>
        </w:rPr>
        <w:t xml:space="preserve">Parties are requested to send one copy of their comments and reply comments to Best Copy and Printing, Inc., Portals II, 445 12th Street, S.W., Room CY-B402, Washington, D.C. 20554, (800) 378-3160, e-mail </w:t>
      </w:r>
      <w:hyperlink r:id="rId14" w:history="1">
        <w:r w:rsidRPr="005D2B63">
          <w:rPr>
            <w:snapToGrid w:val="0"/>
            <w:color w:val="0000FF"/>
            <w:kern w:val="28"/>
            <w:szCs w:val="22"/>
            <w:u w:val="single"/>
          </w:rPr>
          <w:t>FCC@BCPIWEB.com</w:t>
        </w:r>
      </w:hyperlink>
      <w:r w:rsidRPr="005D2B63">
        <w:rPr>
          <w:snapToGrid w:val="0"/>
          <w:kern w:val="28"/>
          <w:szCs w:val="22"/>
        </w:rPr>
        <w:t>.</w:t>
      </w:r>
    </w:p>
    <w:p w:rsidR="005D2B63" w:rsidRPr="005D2B63" w:rsidRDefault="005D2B63" w:rsidP="005D2B63">
      <w:pPr>
        <w:widowControl w:val="0"/>
        <w:spacing w:after="120" w:line="228" w:lineRule="auto"/>
        <w:ind w:firstLine="720"/>
        <w:rPr>
          <w:snapToGrid w:val="0"/>
          <w:kern w:val="28"/>
          <w:szCs w:val="22"/>
        </w:rPr>
      </w:pPr>
      <w:r w:rsidRPr="005D2B63">
        <w:rPr>
          <w:snapToGrid w:val="0"/>
          <w:color w:val="000000"/>
          <w:kern w:val="28"/>
          <w:szCs w:val="22"/>
        </w:rPr>
        <w:t xml:space="preserve">The request, and comments and reply comments filed in response to this </w:t>
      </w:r>
      <w:r w:rsidRPr="005D2B63">
        <w:rPr>
          <w:i/>
          <w:snapToGrid w:val="0"/>
          <w:color w:val="000000"/>
          <w:kern w:val="28"/>
          <w:szCs w:val="22"/>
        </w:rPr>
        <w:t>Public Notice</w:t>
      </w:r>
      <w:r w:rsidRPr="005D2B63">
        <w:rPr>
          <w:snapToGrid w:val="0"/>
          <w:color w:val="000000"/>
          <w:kern w:val="28"/>
          <w:szCs w:val="22"/>
        </w:rPr>
        <w:t xml:space="preserve"> are available for viewing via the Commission’s Electronic Comment Filing System (ECFS) by entering the docket number, </w:t>
      </w:r>
      <w:r w:rsidRPr="005D2B63">
        <w:rPr>
          <w:bCs/>
          <w:snapToGrid w:val="0"/>
          <w:color w:val="000000"/>
          <w:kern w:val="28"/>
          <w:szCs w:val="22"/>
        </w:rPr>
        <w:t xml:space="preserve">WT </w:t>
      </w:r>
      <w:r w:rsidR="007F5C5C">
        <w:rPr>
          <w:snapToGrid w:val="0"/>
          <w:kern w:val="28"/>
          <w:szCs w:val="22"/>
        </w:rPr>
        <w:t xml:space="preserve">No. </w:t>
      </w:r>
      <w:r w:rsidR="00925B86">
        <w:rPr>
          <w:snapToGrid w:val="0"/>
          <w:kern w:val="28"/>
          <w:szCs w:val="22"/>
        </w:rPr>
        <w:t>17-122</w:t>
      </w:r>
      <w:r w:rsidRPr="005D2B63">
        <w:rPr>
          <w:snapToGrid w:val="0"/>
          <w:kern w:val="28"/>
          <w:szCs w:val="22"/>
        </w:rPr>
        <w:t xml:space="preserve">.  </w:t>
      </w:r>
      <w:r w:rsidRPr="005D2B63">
        <w:rPr>
          <w:snapToGrid w:val="0"/>
          <w:color w:val="000000"/>
          <w:kern w:val="28"/>
          <w:szCs w:val="22"/>
        </w:rPr>
        <w:t>The documents also will be available for public inspection and copying during business hours in the FCC Reference Information Center, Portals II, 445 12th Street S.W., Room CY-A257, Washington, D.C. 20554.  They may also be purchased from Best Copy and Printing</w:t>
      </w:r>
      <w:bookmarkStart w:id="1" w:name="SR;1282"/>
      <w:bookmarkStart w:id="2" w:name="SR;1283"/>
      <w:bookmarkStart w:id="3" w:name="SR;1285"/>
      <w:bookmarkStart w:id="4" w:name="SearchTerm"/>
      <w:bookmarkEnd w:id="1"/>
      <w:bookmarkEnd w:id="2"/>
      <w:bookmarkEnd w:id="3"/>
      <w:r w:rsidRPr="005D2B63">
        <w:rPr>
          <w:snapToGrid w:val="0"/>
          <w:color w:val="000000"/>
          <w:kern w:val="28"/>
          <w:szCs w:val="22"/>
        </w:rPr>
        <w:t>, Inc., telephone (800) 378-3160, facsimile</w:t>
      </w:r>
      <w:bookmarkStart w:id="5" w:name="SR;1291"/>
      <w:bookmarkEnd w:id="4"/>
      <w:bookmarkEnd w:id="5"/>
      <w:r w:rsidRPr="005D2B63">
        <w:rPr>
          <w:snapToGrid w:val="0"/>
          <w:color w:val="000000"/>
          <w:kern w:val="28"/>
          <w:szCs w:val="22"/>
        </w:rPr>
        <w:t xml:space="preserve"> (202) 488-5563, TTY (202) 488-5562, e-mail FCC@BCPIWEB.com.</w:t>
      </w:r>
    </w:p>
    <w:p w:rsidR="005D2B63" w:rsidRPr="005D2B63" w:rsidRDefault="005D2B63" w:rsidP="005D2B63">
      <w:pPr>
        <w:ind w:firstLine="720"/>
      </w:pPr>
      <w:r w:rsidRPr="005D2B63">
        <w:t xml:space="preserve">Alternate formats of this </w:t>
      </w:r>
      <w:r w:rsidRPr="005D2B63">
        <w:rPr>
          <w:i/>
        </w:rPr>
        <w:t>Public Notice</w:t>
      </w:r>
      <w:r w:rsidRPr="005D2B63">
        <w:t xml:space="preserve"> (computer diskette, large print, audio recording, and Braille) are available to persons with disabilities by contacting the Consumer &amp; Governmental Affairs Bureau at (202) 418-0530 (voice), (202) 418-0432 (TTY), or send an e-mail to fcc504@fcc.gov. </w:t>
      </w:r>
    </w:p>
    <w:p w:rsidR="005D2B63" w:rsidRPr="005D2B63" w:rsidRDefault="005D2B63" w:rsidP="005D2B63"/>
    <w:p w:rsidR="005D2B63" w:rsidRPr="005D2B63" w:rsidRDefault="005D2B63" w:rsidP="005D2B63">
      <w:pPr>
        <w:widowControl w:val="0"/>
        <w:spacing w:after="120"/>
        <w:ind w:firstLine="720"/>
        <w:rPr>
          <w:snapToGrid w:val="0"/>
          <w:kern w:val="28"/>
          <w:szCs w:val="22"/>
        </w:rPr>
      </w:pPr>
      <w:r w:rsidRPr="005D2B63">
        <w:rPr>
          <w:snapToGrid w:val="0"/>
          <w:kern w:val="28"/>
          <w:szCs w:val="22"/>
        </w:rPr>
        <w:t xml:space="preserve">This proceeding has been designated as a “permit-but-disclose” proceeding in accordance with the Commission's </w:t>
      </w:r>
      <w:r w:rsidRPr="005D2B63">
        <w:rPr>
          <w:i/>
          <w:snapToGrid w:val="0"/>
          <w:kern w:val="28"/>
          <w:szCs w:val="22"/>
        </w:rPr>
        <w:t>ex parte</w:t>
      </w:r>
      <w:r w:rsidRPr="005D2B63">
        <w:rPr>
          <w:snapToGrid w:val="0"/>
          <w:kern w:val="28"/>
          <w:szCs w:val="22"/>
        </w:rPr>
        <w:t xml:space="preserve"> rules.</w:t>
      </w:r>
      <w:r w:rsidRPr="005D2B63">
        <w:rPr>
          <w:snapToGrid w:val="0"/>
          <w:kern w:val="28"/>
          <w:szCs w:val="22"/>
          <w:vertAlign w:val="superscript"/>
        </w:rPr>
        <w:footnoteReference w:id="15"/>
      </w:r>
      <w:r w:rsidRPr="005D2B63">
        <w:rPr>
          <w:snapToGrid w:val="0"/>
          <w:kern w:val="28"/>
          <w:szCs w:val="22"/>
        </w:rPr>
        <w:t xml:space="preserve">  Persons making </w:t>
      </w:r>
      <w:r w:rsidRPr="005D2B63">
        <w:rPr>
          <w:i/>
          <w:snapToGrid w:val="0"/>
          <w:kern w:val="28"/>
          <w:szCs w:val="22"/>
        </w:rPr>
        <w:t xml:space="preserve">ex parte </w:t>
      </w:r>
      <w:r w:rsidRPr="005D2B63">
        <w:rPr>
          <w:snapToGrid w:val="0"/>
          <w:kern w:val="28"/>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D2B63">
        <w:rPr>
          <w:i/>
          <w:iCs/>
          <w:snapToGrid w:val="0"/>
          <w:kern w:val="28"/>
          <w:szCs w:val="22"/>
        </w:rPr>
        <w:t xml:space="preserve">ex parte </w:t>
      </w:r>
      <w:r w:rsidRPr="005D2B63">
        <w:rPr>
          <w:snapToGrid w:val="0"/>
          <w:kern w:val="28"/>
          <w:szCs w:val="22"/>
        </w:rPr>
        <w:t xml:space="preserve">presentations are reminded that memoranda summarizing the presentation must (1) list all persons attending or otherwise participating in the meeting at which the </w:t>
      </w:r>
      <w:r w:rsidRPr="005D2B63">
        <w:rPr>
          <w:i/>
          <w:iCs/>
          <w:snapToGrid w:val="0"/>
          <w:kern w:val="28"/>
          <w:szCs w:val="22"/>
        </w:rPr>
        <w:t xml:space="preserve">ex parte </w:t>
      </w:r>
      <w:r w:rsidRPr="005D2B63">
        <w:rPr>
          <w:snapToGrid w:val="0"/>
          <w:kern w:val="28"/>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D2B63">
        <w:rPr>
          <w:i/>
          <w:iCs/>
          <w:snapToGrid w:val="0"/>
          <w:kern w:val="28"/>
          <w:szCs w:val="22"/>
        </w:rPr>
        <w:t xml:space="preserve">ex parte </w:t>
      </w:r>
      <w:r w:rsidRPr="005D2B63">
        <w:rPr>
          <w:snapToGrid w:val="0"/>
          <w:kern w:val="28"/>
          <w:szCs w:val="22"/>
        </w:rPr>
        <w:t xml:space="preserve">meetings are deemed to be written </w:t>
      </w:r>
      <w:r w:rsidRPr="005D2B63">
        <w:rPr>
          <w:i/>
          <w:iCs/>
          <w:snapToGrid w:val="0"/>
          <w:kern w:val="28"/>
          <w:szCs w:val="22"/>
        </w:rPr>
        <w:t>ex parte</w:t>
      </w:r>
      <w:r w:rsidRPr="005D2B63">
        <w:rPr>
          <w:snapToGrid w:val="0"/>
          <w:kern w:val="28"/>
          <w:szCs w:val="22"/>
        </w:rPr>
        <w:t xml:space="preserve"> presentations and must be filed consistent with rule 1.1206(b).  In proceedings governed by rule 1.49(f) or for which the Commission has made available a method of electronic filing, written </w:t>
      </w:r>
      <w:r w:rsidRPr="005D2B63">
        <w:rPr>
          <w:i/>
          <w:iCs/>
          <w:snapToGrid w:val="0"/>
          <w:kern w:val="28"/>
          <w:szCs w:val="22"/>
        </w:rPr>
        <w:t xml:space="preserve">ex parte </w:t>
      </w:r>
      <w:r w:rsidRPr="005D2B63">
        <w:rPr>
          <w:snapToGrid w:val="0"/>
          <w:kern w:val="28"/>
          <w:szCs w:val="22"/>
        </w:rPr>
        <w:t xml:space="preserve">presentations and memoranda summarizing oral </w:t>
      </w:r>
      <w:r w:rsidRPr="005D2B63">
        <w:rPr>
          <w:i/>
          <w:iCs/>
          <w:snapToGrid w:val="0"/>
          <w:kern w:val="28"/>
          <w:szCs w:val="22"/>
        </w:rPr>
        <w:t xml:space="preserve">ex parte </w:t>
      </w:r>
      <w:r w:rsidRPr="005D2B63">
        <w:rPr>
          <w:snapToGrid w:val="0"/>
          <w:kern w:val="28"/>
          <w:szCs w:val="22"/>
        </w:rPr>
        <w:t>presentations, and all attachments thereto, must be filed through the electronic comment filing system available for that proceeding, and must be filed in their native format (</w:t>
      </w:r>
      <w:r w:rsidRPr="005D2B63">
        <w:rPr>
          <w:i/>
          <w:iCs/>
          <w:snapToGrid w:val="0"/>
          <w:kern w:val="28"/>
          <w:szCs w:val="22"/>
        </w:rPr>
        <w:t>e.g.</w:t>
      </w:r>
      <w:r w:rsidRPr="005D2B63">
        <w:rPr>
          <w:snapToGrid w:val="0"/>
          <w:kern w:val="28"/>
          <w:szCs w:val="22"/>
        </w:rPr>
        <w:t xml:space="preserve">, .doc, .xml, .ppt, searchable .pdf).  Participants in this proceeding should familiarize themselves with the Commission’s </w:t>
      </w:r>
      <w:r w:rsidRPr="005D2B63">
        <w:rPr>
          <w:i/>
          <w:iCs/>
          <w:snapToGrid w:val="0"/>
          <w:kern w:val="28"/>
          <w:szCs w:val="22"/>
        </w:rPr>
        <w:t xml:space="preserve">ex parte </w:t>
      </w:r>
      <w:r w:rsidRPr="005D2B63">
        <w:rPr>
          <w:snapToGrid w:val="0"/>
          <w:kern w:val="28"/>
          <w:szCs w:val="22"/>
        </w:rPr>
        <w:t>rules.</w:t>
      </w:r>
    </w:p>
    <w:p w:rsidR="005D2B63" w:rsidRPr="005D2B63" w:rsidRDefault="005D2B63" w:rsidP="005D2B63">
      <w:pPr>
        <w:widowControl w:val="0"/>
        <w:spacing w:after="120"/>
        <w:ind w:firstLine="720"/>
        <w:rPr>
          <w:snapToGrid w:val="0"/>
          <w:kern w:val="28"/>
          <w:szCs w:val="22"/>
        </w:rPr>
      </w:pPr>
      <w:r w:rsidRPr="005D2B63">
        <w:rPr>
          <w:snapToGrid w:val="0"/>
          <w:kern w:val="28"/>
          <w:szCs w:val="22"/>
        </w:rPr>
        <w:t>For further information, contact Mr. Tim Maguire of the Wireless Telecommunications Bureau, Mobility Division, at (202) 418-2155, tim.maguire@fcc.gov.</w:t>
      </w:r>
    </w:p>
    <w:p w:rsidR="00925B86" w:rsidRDefault="005D2B63" w:rsidP="00925B86">
      <w:pPr>
        <w:tabs>
          <w:tab w:val="left" w:pos="6480"/>
          <w:tab w:val="left" w:pos="6660"/>
        </w:tabs>
        <w:spacing w:before="60"/>
        <w:jc w:val="center"/>
      </w:pPr>
      <w:r w:rsidRPr="005D2B63">
        <w:t>Action by the Deputy Chief, Mobility Division, Wireless Telecommunications Bureau.</w:t>
      </w:r>
    </w:p>
    <w:p w:rsidR="008B555D" w:rsidRDefault="008B555D" w:rsidP="00925B86">
      <w:pPr>
        <w:tabs>
          <w:tab w:val="left" w:pos="6480"/>
          <w:tab w:val="left" w:pos="6660"/>
        </w:tabs>
        <w:spacing w:before="60"/>
        <w:jc w:val="center"/>
        <w:rPr>
          <w:b/>
          <w:bCs/>
          <w:sz w:val="24"/>
        </w:rPr>
      </w:pPr>
      <w:r>
        <w:t>- FCC -</w:t>
      </w:r>
      <w:r>
        <w:rPr>
          <w:b/>
          <w:bCs/>
          <w:sz w:val="24"/>
        </w:rPr>
        <w:t xml:space="preserve"> </w:t>
      </w:r>
    </w:p>
    <w:sectPr w:rsidR="008B555D">
      <w:headerReference w:type="default" r:id="rId15"/>
      <w:headerReference w:type="first" r:id="rId16"/>
      <w:type w:val="continuous"/>
      <w:pgSz w:w="12240" w:h="15840" w:code="1"/>
      <w:pgMar w:top="720" w:right="1440" w:bottom="576"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63" w:rsidRDefault="00875163">
      <w:r>
        <w:separator/>
      </w:r>
    </w:p>
  </w:endnote>
  <w:endnote w:type="continuationSeparator" w:id="0">
    <w:p w:rsidR="00875163" w:rsidRDefault="0087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JLGOJH+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DB" w:rsidRDefault="00682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50" w:rsidRDefault="005B5250">
    <w:pPr>
      <w:pStyle w:val="Footer"/>
      <w:jc w:val="center"/>
    </w:pPr>
    <w:r>
      <w:rPr>
        <w:rStyle w:val="PageNumber"/>
      </w:rPr>
      <w:fldChar w:fldCharType="begin"/>
    </w:r>
    <w:r>
      <w:rPr>
        <w:rStyle w:val="PageNumber"/>
      </w:rPr>
      <w:instrText xml:space="preserve"> PAGE </w:instrText>
    </w:r>
    <w:r>
      <w:rPr>
        <w:rStyle w:val="PageNumber"/>
      </w:rPr>
      <w:fldChar w:fldCharType="separate"/>
    </w:r>
    <w:r w:rsidR="00C609F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DB" w:rsidRDefault="00682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63" w:rsidRDefault="00875163">
      <w:r>
        <w:separator/>
      </w:r>
    </w:p>
  </w:footnote>
  <w:footnote w:type="continuationSeparator" w:id="0">
    <w:p w:rsidR="00875163" w:rsidRDefault="00875163">
      <w:r>
        <w:continuationSeparator/>
      </w:r>
    </w:p>
  </w:footnote>
  <w:footnote w:id="1">
    <w:p w:rsidR="00873822" w:rsidRDefault="00873822">
      <w:pPr>
        <w:pStyle w:val="FootnoteText"/>
      </w:pPr>
      <w:r>
        <w:rPr>
          <w:rStyle w:val="FootnoteReference"/>
        </w:rPr>
        <w:footnoteRef/>
      </w:r>
      <w:r>
        <w:t xml:space="preserve"> </w:t>
      </w:r>
      <w:r w:rsidR="00D14785" w:rsidRPr="00AB2E77">
        <w:rPr>
          <w:i/>
        </w:rPr>
        <w:t>See</w:t>
      </w:r>
      <w:r w:rsidR="00D14785">
        <w:t xml:space="preserve"> </w:t>
      </w:r>
      <w:r w:rsidR="00AB2E77">
        <w:t>Letter from Nick Pennance, Vice President, Icom America Inc., to Scot Stone, Wireless Telecommunications Bureau, Federal Communications Commission (Feb. 21, 2017) (Request)</w:t>
      </w:r>
      <w:r w:rsidR="00D14785">
        <w:t>.</w:t>
      </w:r>
    </w:p>
  </w:footnote>
  <w:footnote w:id="2">
    <w:p w:rsidR="00265F6A" w:rsidRPr="00265F6A" w:rsidRDefault="00265F6A">
      <w:pPr>
        <w:pStyle w:val="FootnoteText"/>
      </w:pPr>
      <w:r>
        <w:rPr>
          <w:rStyle w:val="FootnoteReference"/>
        </w:rPr>
        <w:footnoteRef/>
      </w:r>
      <w:r>
        <w:t xml:space="preserve"> </w:t>
      </w:r>
      <w:r>
        <w:rPr>
          <w:i/>
        </w:rPr>
        <w:t xml:space="preserve">See </w:t>
      </w:r>
      <w:r>
        <w:t>Grant of Equipment Authorization AFJIC-M802.</w:t>
      </w:r>
    </w:p>
  </w:footnote>
  <w:footnote w:id="3">
    <w:p w:rsidR="00210040" w:rsidRDefault="00210040">
      <w:pPr>
        <w:pStyle w:val="FootnoteText"/>
      </w:pPr>
      <w:r>
        <w:rPr>
          <w:rStyle w:val="FootnoteReference"/>
        </w:rPr>
        <w:footnoteRef/>
      </w:r>
      <w:r>
        <w:t xml:space="preserve"> </w:t>
      </w:r>
      <w:r>
        <w:rPr>
          <w:szCs w:val="22"/>
        </w:rPr>
        <w:t xml:space="preserve">CCIR Recommendation 493, “Digital Selective-calling System for </w:t>
      </w:r>
      <w:r w:rsidRPr="004005BD">
        <w:rPr>
          <w:szCs w:val="22"/>
        </w:rPr>
        <w:t xml:space="preserve">use </w:t>
      </w:r>
      <w:r>
        <w:rPr>
          <w:szCs w:val="22"/>
        </w:rPr>
        <w:t>in the Maritime Mobile Service</w:t>
      </w:r>
      <w:r w:rsidR="004077A6">
        <w:rPr>
          <w:szCs w:val="22"/>
        </w:rPr>
        <w:t>.</w:t>
      </w:r>
      <w:r>
        <w:rPr>
          <w:szCs w:val="22"/>
        </w:rPr>
        <w:t>”</w:t>
      </w:r>
    </w:p>
  </w:footnote>
  <w:footnote w:id="4">
    <w:p w:rsidR="009F4B3A" w:rsidRDefault="009F4B3A" w:rsidP="00941DA4">
      <w:pPr>
        <w:pStyle w:val="FootnoteText"/>
      </w:pPr>
      <w:r w:rsidRPr="00D9657E">
        <w:rPr>
          <w:rStyle w:val="FootnoteReference"/>
        </w:rPr>
        <w:footnoteRef/>
      </w:r>
      <w:r w:rsidRPr="00D9657E">
        <w:t xml:space="preserve"> </w:t>
      </w:r>
      <w:r w:rsidR="00210040" w:rsidRPr="004077A6">
        <w:rPr>
          <w:i/>
        </w:rPr>
        <w:t>See</w:t>
      </w:r>
      <w:r w:rsidR="00210040">
        <w:t xml:space="preserve"> 47 CFR § 80.225(a) (2002).  </w:t>
      </w:r>
      <w:r w:rsidR="004005BD">
        <w:t xml:space="preserve">  </w:t>
      </w:r>
      <w:r>
        <w:t xml:space="preserve">  </w:t>
      </w:r>
    </w:p>
  </w:footnote>
  <w:footnote w:id="5">
    <w:p w:rsidR="007F7FEB" w:rsidRPr="00210040" w:rsidRDefault="007F7FEB" w:rsidP="00A33F30">
      <w:pPr>
        <w:autoSpaceDE w:val="0"/>
        <w:autoSpaceDN w:val="0"/>
        <w:adjustRightInd w:val="0"/>
        <w:rPr>
          <w:sz w:val="20"/>
        </w:rPr>
      </w:pPr>
      <w:r>
        <w:rPr>
          <w:rStyle w:val="FootnoteReference"/>
        </w:rPr>
        <w:footnoteRef/>
      </w:r>
      <w:r>
        <w:t xml:space="preserve"> </w:t>
      </w:r>
      <w:r w:rsidR="00210040" w:rsidRPr="00210040">
        <w:rPr>
          <w:i/>
          <w:sz w:val="20"/>
        </w:rPr>
        <w:t xml:space="preserve">See </w:t>
      </w:r>
      <w:r w:rsidR="0053244E" w:rsidRPr="00210040">
        <w:rPr>
          <w:i/>
          <w:sz w:val="20"/>
        </w:rPr>
        <w:t>Amendment of Parts 13 and 80 of the Commission’s Rules Concerning Maritime Communications</w:t>
      </w:r>
      <w:r w:rsidR="0053244E" w:rsidRPr="00210040">
        <w:rPr>
          <w:sz w:val="20"/>
        </w:rPr>
        <w:t>,</w:t>
      </w:r>
      <w:r w:rsidR="00A33F30" w:rsidRPr="00210040">
        <w:rPr>
          <w:sz w:val="20"/>
        </w:rPr>
        <w:t xml:space="preserve"> </w:t>
      </w:r>
      <w:r w:rsidR="004005BD" w:rsidRPr="00210040">
        <w:rPr>
          <w:sz w:val="20"/>
        </w:rPr>
        <w:t>Report and Order and Further Notice of Proposed Rulemaking,</w:t>
      </w:r>
      <w:r w:rsidR="004005BD" w:rsidRPr="00210040">
        <w:rPr>
          <w:i/>
          <w:sz w:val="20"/>
        </w:rPr>
        <w:t xml:space="preserve"> </w:t>
      </w:r>
      <w:r w:rsidR="00A33F30" w:rsidRPr="00210040">
        <w:rPr>
          <w:sz w:val="20"/>
        </w:rPr>
        <w:t>17 FCC Rcd 6741</w:t>
      </w:r>
      <w:r w:rsidR="00210040">
        <w:rPr>
          <w:sz w:val="20"/>
        </w:rPr>
        <w:t>, 68</w:t>
      </w:r>
      <w:r w:rsidR="004F51EB">
        <w:rPr>
          <w:sz w:val="20"/>
        </w:rPr>
        <w:t>42</w:t>
      </w:r>
      <w:r w:rsidR="00A33F30" w:rsidRPr="00210040">
        <w:rPr>
          <w:sz w:val="20"/>
        </w:rPr>
        <w:t xml:space="preserve"> (2002)</w:t>
      </w:r>
      <w:r w:rsidR="00210040" w:rsidRPr="00210040">
        <w:rPr>
          <w:sz w:val="20"/>
        </w:rPr>
        <w:t xml:space="preserve"> (incorporating ITU-R M.493-10)</w:t>
      </w:r>
      <w:r w:rsidR="002A1DB7">
        <w:rPr>
          <w:sz w:val="20"/>
        </w:rPr>
        <w:t xml:space="preserve">; </w:t>
      </w:r>
      <w:r w:rsidR="002A1DB7" w:rsidRPr="00210040">
        <w:rPr>
          <w:i/>
          <w:sz w:val="20"/>
        </w:rPr>
        <w:t>Amendment of Parts 13 and 80 of the Commission’s Rules Concerning Maritime Communications</w:t>
      </w:r>
      <w:r w:rsidR="002A1DB7" w:rsidRPr="00210040">
        <w:rPr>
          <w:sz w:val="20"/>
        </w:rPr>
        <w:t>, Memorandum Opinion and Order, Third Report and Order, and Third Further Notice of Proposed Rulemaking, 21 FCC Rcd 10282</w:t>
      </w:r>
      <w:r w:rsidR="002A1DB7">
        <w:rPr>
          <w:sz w:val="20"/>
        </w:rPr>
        <w:t>, 10</w:t>
      </w:r>
      <w:r w:rsidR="004F51EB">
        <w:rPr>
          <w:sz w:val="20"/>
        </w:rPr>
        <w:t>298, para. 27</w:t>
      </w:r>
      <w:r w:rsidR="002A1DB7" w:rsidRPr="00210040">
        <w:rPr>
          <w:sz w:val="20"/>
        </w:rPr>
        <w:t xml:space="preserve"> (2006</w:t>
      </w:r>
      <w:r w:rsidR="002A1DB7">
        <w:rPr>
          <w:sz w:val="20"/>
        </w:rPr>
        <w:t>) (</w:t>
      </w:r>
      <w:r w:rsidR="00A33F30" w:rsidRPr="00210040">
        <w:rPr>
          <w:sz w:val="20"/>
        </w:rPr>
        <w:t>incorporat</w:t>
      </w:r>
      <w:r w:rsidR="002A1DB7">
        <w:rPr>
          <w:sz w:val="20"/>
        </w:rPr>
        <w:t>ing</w:t>
      </w:r>
      <w:r w:rsidR="00A33F30" w:rsidRPr="00210040">
        <w:rPr>
          <w:sz w:val="20"/>
        </w:rPr>
        <w:t xml:space="preserve"> ITU-R M.493-11</w:t>
      </w:r>
      <w:r w:rsidR="002A1DB7">
        <w:rPr>
          <w:sz w:val="20"/>
        </w:rPr>
        <w:t>)</w:t>
      </w:r>
      <w:r w:rsidR="00A33F30" w:rsidRPr="00210040">
        <w:rPr>
          <w:sz w:val="20"/>
        </w:rPr>
        <w:t xml:space="preserve">.    </w:t>
      </w:r>
    </w:p>
    <w:p w:rsidR="00A33F30" w:rsidRPr="00A33F30" w:rsidRDefault="00A33F30" w:rsidP="00A33F30">
      <w:pPr>
        <w:autoSpaceDE w:val="0"/>
        <w:autoSpaceDN w:val="0"/>
        <w:adjustRightInd w:val="0"/>
        <w:rPr>
          <w:sz w:val="20"/>
        </w:rPr>
      </w:pPr>
    </w:p>
  </w:footnote>
  <w:footnote w:id="6">
    <w:p w:rsidR="00A245BF" w:rsidRDefault="00A245BF" w:rsidP="00A245BF">
      <w:pPr>
        <w:pStyle w:val="FootnoteText"/>
      </w:pPr>
      <w:r>
        <w:rPr>
          <w:rStyle w:val="FootnoteReference"/>
        </w:rPr>
        <w:footnoteRef/>
      </w:r>
      <w:r>
        <w:t xml:space="preserve"> </w:t>
      </w:r>
      <w:r w:rsidR="004077A6">
        <w:t>ITU-R M.493-13, “Digital Selective Calling System for Use in the Maritime Service,</w:t>
      </w:r>
      <w:r w:rsidR="00C73804">
        <w:t>”</w:t>
      </w:r>
      <w:r w:rsidR="004077A6">
        <w:t xml:space="preserve"> with Annexes 1, 2, 3, and 4 (10/2009) (ITU-R M.493-13).</w:t>
      </w:r>
    </w:p>
  </w:footnote>
  <w:footnote w:id="7">
    <w:p w:rsidR="00A245BF" w:rsidRDefault="00A245BF" w:rsidP="00A245BF">
      <w:pPr>
        <w:autoSpaceDE w:val="0"/>
        <w:autoSpaceDN w:val="0"/>
        <w:adjustRightInd w:val="0"/>
        <w:rPr>
          <w:iCs/>
          <w:color w:val="333333"/>
          <w:sz w:val="20"/>
        </w:rPr>
      </w:pPr>
      <w:r>
        <w:rPr>
          <w:rStyle w:val="FootnoteReference"/>
        </w:rPr>
        <w:footnoteRef/>
      </w:r>
      <w:r>
        <w:t xml:space="preserve"> </w:t>
      </w:r>
      <w:r w:rsidR="002A1DB7">
        <w:rPr>
          <w:bCs/>
          <w:i/>
          <w:color w:val="010101"/>
          <w:sz w:val="20"/>
        </w:rPr>
        <w:t xml:space="preserve">See </w:t>
      </w:r>
      <w:r w:rsidR="002A1DB7" w:rsidRPr="002A1DB7">
        <w:rPr>
          <w:bCs/>
          <w:i/>
          <w:color w:val="010101"/>
          <w:sz w:val="20"/>
        </w:rPr>
        <w:t>W</w:t>
      </w:r>
      <w:r w:rsidRPr="002A1DB7">
        <w:rPr>
          <w:bCs/>
          <w:i/>
          <w:color w:val="010101"/>
          <w:sz w:val="20"/>
        </w:rPr>
        <w:t>ireless Telecommunications Bureau C</w:t>
      </w:r>
      <w:r w:rsidR="00E0666A" w:rsidRPr="002A1DB7">
        <w:rPr>
          <w:bCs/>
          <w:i/>
          <w:color w:val="010101"/>
          <w:sz w:val="20"/>
        </w:rPr>
        <w:t>larifies a</w:t>
      </w:r>
      <w:r w:rsidRPr="002A1DB7">
        <w:rPr>
          <w:bCs/>
          <w:i/>
          <w:color w:val="010101"/>
          <w:sz w:val="20"/>
        </w:rPr>
        <w:t>nd Temporarily Waives Requirements For Maritime Digital Selective Calling Equipme</w:t>
      </w:r>
      <w:r w:rsidR="002A1DB7">
        <w:rPr>
          <w:bCs/>
          <w:i/>
          <w:color w:val="010101"/>
          <w:sz w:val="20"/>
        </w:rPr>
        <w:t>nt</w:t>
      </w:r>
      <w:r>
        <w:rPr>
          <w:bCs/>
          <w:color w:val="010101"/>
          <w:sz w:val="20"/>
        </w:rPr>
        <w:t xml:space="preserve">, Public Notice, </w:t>
      </w:r>
      <w:r w:rsidRPr="00A245BF">
        <w:rPr>
          <w:iCs/>
          <w:color w:val="333333"/>
          <w:sz w:val="20"/>
        </w:rPr>
        <w:t>26 FCC Rcd 16782</w:t>
      </w:r>
      <w:r w:rsidR="004F51EB">
        <w:rPr>
          <w:iCs/>
          <w:color w:val="333333"/>
          <w:sz w:val="20"/>
        </w:rPr>
        <w:t>, 16783</w:t>
      </w:r>
      <w:r w:rsidR="002A1DB7">
        <w:rPr>
          <w:iCs/>
          <w:color w:val="333333"/>
          <w:sz w:val="20"/>
        </w:rPr>
        <w:t xml:space="preserve"> (WTB MD 2011)</w:t>
      </w:r>
      <w:r>
        <w:rPr>
          <w:iCs/>
          <w:color w:val="333333"/>
          <w:sz w:val="20"/>
        </w:rPr>
        <w:t>.</w:t>
      </w:r>
      <w:r w:rsidR="00C73804">
        <w:rPr>
          <w:iCs/>
          <w:color w:val="333333"/>
          <w:sz w:val="20"/>
        </w:rPr>
        <w:t xml:space="preserve">  </w:t>
      </w:r>
    </w:p>
    <w:p w:rsidR="00E0666A" w:rsidRDefault="00E0666A" w:rsidP="00A245BF">
      <w:pPr>
        <w:autoSpaceDE w:val="0"/>
        <w:autoSpaceDN w:val="0"/>
        <w:adjustRightInd w:val="0"/>
      </w:pPr>
    </w:p>
  </w:footnote>
  <w:footnote w:id="8">
    <w:p w:rsidR="004077A6" w:rsidRDefault="004077A6">
      <w:pPr>
        <w:pStyle w:val="FootnoteText"/>
      </w:pPr>
      <w:r>
        <w:rPr>
          <w:rStyle w:val="FootnoteReference"/>
        </w:rPr>
        <w:footnoteRef/>
      </w:r>
      <w:r>
        <w:t xml:space="preserve"> </w:t>
      </w:r>
      <w:r>
        <w:rPr>
          <w:i/>
        </w:rPr>
        <w:t>S</w:t>
      </w:r>
      <w:r w:rsidRPr="002A1DB7">
        <w:rPr>
          <w:i/>
        </w:rPr>
        <w:t>ee Amendment of Part 13 and 80 of the Commission’s Rules Concerning Maritime Communications</w:t>
      </w:r>
      <w:r>
        <w:t xml:space="preserve">, </w:t>
      </w:r>
      <w:r w:rsidRPr="002A1DB7">
        <w:t>Fourth Report and Order and Second Memorandum Opinion and Order</w:t>
      </w:r>
      <w:r>
        <w:t>, 25 FCC Rcd 7781, 7806 (2010)</w:t>
      </w:r>
      <w:r w:rsidR="00C73804">
        <w:t>; 47 CFR §§ 80.225(a)(4), 80.1101(c)(4)(ii)</w:t>
      </w:r>
      <w:r>
        <w:t>.</w:t>
      </w:r>
    </w:p>
  </w:footnote>
  <w:footnote w:id="9">
    <w:p w:rsidR="00A245BF" w:rsidRDefault="00A245BF">
      <w:pPr>
        <w:pStyle w:val="FootnoteText"/>
      </w:pPr>
      <w:r>
        <w:rPr>
          <w:rStyle w:val="FootnoteReference"/>
        </w:rPr>
        <w:footnoteRef/>
      </w:r>
      <w:r>
        <w:t xml:space="preserve"> </w:t>
      </w:r>
      <w:r w:rsidRPr="002A1DB7">
        <w:rPr>
          <w:i/>
        </w:rPr>
        <w:t>See</w:t>
      </w:r>
      <w:r>
        <w:t xml:space="preserve"> ITU-R M.493-13 Annex 4</w:t>
      </w:r>
      <w:r w:rsidR="004077A6">
        <w:t xml:space="preserve"> “Automated procedures for simplified operation in shipborne equipment.”</w:t>
      </w:r>
    </w:p>
  </w:footnote>
  <w:footnote w:id="10">
    <w:p w:rsidR="006D41D8" w:rsidRDefault="006D41D8">
      <w:pPr>
        <w:pStyle w:val="FootnoteText"/>
      </w:pPr>
      <w:r>
        <w:rPr>
          <w:rStyle w:val="FootnoteReference"/>
        </w:rPr>
        <w:footnoteRef/>
      </w:r>
      <w:r>
        <w:t xml:space="preserve"> </w:t>
      </w:r>
      <w:r w:rsidR="004077A6">
        <w:rPr>
          <w:i/>
        </w:rPr>
        <w:t xml:space="preserve">See </w:t>
      </w:r>
      <w:r w:rsidR="004077A6">
        <w:t>Request</w:t>
      </w:r>
      <w:r>
        <w:t xml:space="preserve"> at </w:t>
      </w:r>
      <w:r w:rsidR="004077A6">
        <w:t xml:space="preserve">1, </w:t>
      </w:r>
      <w:r>
        <w:t>2.</w:t>
      </w:r>
    </w:p>
  </w:footnote>
  <w:footnote w:id="11">
    <w:p w:rsidR="00221C93" w:rsidRDefault="00221C93" w:rsidP="00221C93">
      <w:pPr>
        <w:pStyle w:val="FootnoteText"/>
      </w:pPr>
      <w:r>
        <w:rPr>
          <w:rStyle w:val="FootnoteReference"/>
        </w:rPr>
        <w:footnoteRef/>
      </w:r>
      <w:r>
        <w:t xml:space="preserve"> </w:t>
      </w:r>
      <w:r w:rsidR="00474537">
        <w:rPr>
          <w:i/>
        </w:rPr>
        <w:t>Id.</w:t>
      </w:r>
      <w:r w:rsidR="00474537">
        <w:t xml:space="preserve"> </w:t>
      </w:r>
      <w:r>
        <w:t>at 1.</w:t>
      </w:r>
    </w:p>
  </w:footnote>
  <w:footnote w:id="12">
    <w:p w:rsidR="006D41D8" w:rsidRDefault="006D41D8">
      <w:pPr>
        <w:pStyle w:val="FootnoteText"/>
      </w:pPr>
      <w:r>
        <w:rPr>
          <w:rStyle w:val="FootnoteReference"/>
        </w:rPr>
        <w:footnoteRef/>
      </w:r>
      <w:r>
        <w:t xml:space="preserve"> </w:t>
      </w:r>
      <w:r w:rsidR="00C73804">
        <w:rPr>
          <w:i/>
        </w:rPr>
        <w:t>Id.</w:t>
      </w:r>
      <w:r>
        <w:t xml:space="preserve"> at 2.</w:t>
      </w:r>
    </w:p>
  </w:footnote>
  <w:footnote w:id="13">
    <w:p w:rsidR="006D41D8" w:rsidRDefault="006D41D8">
      <w:pPr>
        <w:pStyle w:val="FootnoteText"/>
      </w:pPr>
      <w:r>
        <w:rPr>
          <w:rStyle w:val="FootnoteReference"/>
        </w:rPr>
        <w:footnoteRef/>
      </w:r>
      <w:r>
        <w:t xml:space="preserve"> </w:t>
      </w:r>
      <w:r w:rsidRPr="00474537">
        <w:rPr>
          <w:i/>
        </w:rPr>
        <w:t>Id</w:t>
      </w:r>
      <w:r>
        <w:t>.</w:t>
      </w:r>
    </w:p>
  </w:footnote>
  <w:footnote w:id="14">
    <w:p w:rsidR="005D2B63" w:rsidRDefault="005D2B63" w:rsidP="005D2B63">
      <w:pPr>
        <w:pStyle w:val="FootnoteText"/>
      </w:pPr>
      <w:r>
        <w:rPr>
          <w:rStyle w:val="FootnoteReference"/>
        </w:rPr>
        <w:footnoteRef/>
      </w:r>
      <w:r>
        <w:t xml:space="preserve"> </w:t>
      </w:r>
      <w:r>
        <w:rPr>
          <w:i/>
        </w:rPr>
        <w:t xml:space="preserve">See </w:t>
      </w:r>
      <w:r w:rsidRPr="00EE24FF">
        <w:rPr>
          <w:i/>
        </w:rPr>
        <w:t>Electronic Filing of Documents in Rulemaking Proceedings</w:t>
      </w:r>
      <w:r>
        <w:t xml:space="preserve">, </w:t>
      </w:r>
      <w:r w:rsidRPr="00EE24FF">
        <w:t>Report and Order</w:t>
      </w:r>
      <w:r>
        <w:t>, 13 FCC Rcd 11322 (1998).</w:t>
      </w:r>
    </w:p>
  </w:footnote>
  <w:footnote w:id="15">
    <w:p w:rsidR="005D2B63" w:rsidRDefault="005D2B63" w:rsidP="005D2B63">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DB" w:rsidRDefault="00682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DB" w:rsidRDefault="00682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50" w:rsidRDefault="00A60B8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250" w:rsidRDefault="005B5250">
                          <w:pPr>
                            <w:rPr>
                              <w:rFonts w:ascii="Arial Narrow" w:hAnsi="Arial Narrow"/>
                              <w:b/>
                            </w:rPr>
                          </w:pPr>
                          <w:r>
                            <w:rPr>
                              <w:rFonts w:ascii="Arial Narrow" w:hAnsi="Arial Narrow"/>
                              <w:b/>
                            </w:rPr>
                            <w:t>Federal Communications Commission</w:t>
                          </w:r>
                        </w:p>
                        <w:p w:rsidR="005B5250" w:rsidRDefault="005B5250">
                          <w:pPr>
                            <w:rPr>
                              <w:rFonts w:ascii="Arial Narrow" w:hAnsi="Arial Narrow"/>
                              <w:b/>
                            </w:rPr>
                          </w:pPr>
                          <w:smartTag w:uri="urn:schemas-microsoft-com:office:smarttags" w:element="Street">
                            <w:smartTag w:uri="urn:schemas-microsoft-com:office:smarttags" w:element="address">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5B5250" w:rsidRDefault="005B5250">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pQ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BYX3pQ&#10;ggIAAA8FAAAOAAAAAAAAAAAAAAAAAC4CAABkcnMvZTJvRG9jLnhtbFBLAQItABQABgAIAAAAIQBg&#10;Wdm/3gAAAAoBAAAPAAAAAAAAAAAAAAAAANwEAABkcnMvZG93bnJldi54bWxQSwUGAAAAAAQABADz&#10;AAAA5wUAAAAA&#10;" o:allowincell="f" stroked="f">
              <v:textbox>
                <w:txbxContent>
                  <w:p w:rsidR="005B5250" w:rsidRDefault="005B5250">
                    <w:pPr>
                      <w:rPr>
                        <w:rFonts w:ascii="Arial Narrow" w:hAnsi="Arial Narrow"/>
                        <w:b/>
                      </w:rPr>
                    </w:pPr>
                    <w:r>
                      <w:rPr>
                        <w:rFonts w:ascii="Arial Narrow" w:hAnsi="Arial Narrow"/>
                        <w:b/>
                      </w:rPr>
                      <w:t>Federal Communications Commission</w:t>
                    </w:r>
                  </w:p>
                  <w:p w:rsidR="005B5250" w:rsidRDefault="005B5250">
                    <w:pPr>
                      <w:rPr>
                        <w:rFonts w:ascii="Arial Narrow" w:hAnsi="Arial Narrow"/>
                        <w:b/>
                      </w:rPr>
                    </w:pPr>
                    <w:smartTag w:uri="urn:schemas-microsoft-com:office:smarttags" w:element="Street">
                      <w:smartTag w:uri="urn:schemas-microsoft-com:office:smarttags" w:element="address">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5B5250" w:rsidRDefault="005B5250">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v:textbox>
            </v:shape>
          </w:pict>
        </mc:Fallback>
      </mc:AlternateContent>
    </w:r>
    <w:r w:rsidR="00FC0A4E">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86740" cy="591185"/>
          <wp:effectExtent l="1905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86740" cy="591185"/>
                  </a:xfrm>
                  <a:prstGeom prst="rect">
                    <a:avLst/>
                  </a:prstGeom>
                  <a:noFill/>
                  <a:ln w="9525" algn="ctr">
                    <a:noFill/>
                    <a:miter lim="800000"/>
                    <a:headEnd/>
                    <a:tailEnd/>
                  </a:ln>
                  <a:effectLst/>
                </pic:spPr>
              </pic:pic>
            </a:graphicData>
          </a:graphic>
        </wp:anchor>
      </w:drawing>
    </w:r>
    <w:r w:rsidR="005B5250">
      <w:rPr>
        <w:rFonts w:ascii="News Gothic MT" w:hAnsi="News Gothic MT"/>
        <w:b/>
        <w:kern w:val="28"/>
        <w:sz w:val="96"/>
      </w:rPr>
      <w:t>PUBLIC NOTICE</w:t>
    </w:r>
  </w:p>
  <w:p w:rsidR="005B5250" w:rsidRDefault="00A60B8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6949440" cy="2540"/>
              <wp:effectExtent l="9525" t="12065" r="13335" b="1397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C66DA7"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7.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U3FgIAACsEAAAOAAAAZHJzL2Uyb0RvYy54bWysU8GO2jAQvVfqP1i+QxI2U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250" w:rsidRDefault="005B5250">
                          <w:pPr>
                            <w:jc w:val="right"/>
                            <w:rPr>
                              <w:rFonts w:ascii="Arial" w:hAnsi="Arial"/>
                              <w:sz w:val="16"/>
                            </w:rPr>
                          </w:pPr>
                          <w:r>
                            <w:rPr>
                              <w:rFonts w:ascii="Arial" w:hAnsi="Arial"/>
                              <w:sz w:val="16"/>
                            </w:rPr>
                            <w:tab/>
                            <w:t>News Media Information 202 / 418-0500</w:t>
                          </w:r>
                        </w:p>
                        <w:p w:rsidR="005B5250" w:rsidRDefault="005B5250">
                          <w:pPr>
                            <w:jc w:val="right"/>
                            <w:rPr>
                              <w:rFonts w:ascii="Arial" w:hAnsi="Arial"/>
                              <w:sz w:val="16"/>
                            </w:rPr>
                          </w:pPr>
                          <w:r>
                            <w:rPr>
                              <w:rFonts w:ascii="Arial" w:hAnsi="Arial"/>
                              <w:sz w:val="16"/>
                            </w:rPr>
                            <w:tab/>
                            <w:t>Fax-On-Demand 202 / 418-2830</w:t>
                          </w:r>
                        </w:p>
                        <w:p w:rsidR="005B5250" w:rsidRDefault="005B5250">
                          <w:pPr>
                            <w:jc w:val="right"/>
                            <w:rPr>
                              <w:rFonts w:ascii="Arial" w:hAnsi="Arial"/>
                              <w:sz w:val="16"/>
                            </w:rPr>
                          </w:pPr>
                          <w:r>
                            <w:rPr>
                              <w:rFonts w:ascii="Arial" w:hAnsi="Arial"/>
                              <w:sz w:val="16"/>
                            </w:rPr>
                            <w:tab/>
                            <w:t>TTY 202 / 418-2555</w:t>
                          </w:r>
                        </w:p>
                        <w:p w:rsidR="005B5250" w:rsidRDefault="005B5250">
                          <w:pPr>
                            <w:jc w:val="right"/>
                            <w:rPr>
                              <w:rFonts w:ascii="Arial" w:hAnsi="Arial"/>
                              <w:sz w:val="16"/>
                            </w:rPr>
                          </w:pPr>
                          <w:r>
                            <w:rPr>
                              <w:rFonts w:ascii="Arial" w:hAnsi="Arial"/>
                              <w:sz w:val="16"/>
                            </w:rPr>
                            <w:t>Internet: http://www.fcc.gov</w:t>
                          </w:r>
                        </w:p>
                        <w:p w:rsidR="005B5250" w:rsidRDefault="005B5250">
                          <w:pPr>
                            <w:jc w:val="right"/>
                            <w:rPr>
                              <w:rFonts w:ascii="Arial" w:hAnsi="Arial"/>
                              <w:sz w:val="16"/>
                            </w:rPr>
                          </w:pPr>
                          <w:r>
                            <w:rPr>
                              <w:rFonts w:ascii="Arial" w:hAnsi="Arial"/>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wF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CZ9EwF&#10;gAIAAA4FAAAOAAAAAAAAAAAAAAAAAC4CAABkcnMvZTJvRG9jLnhtbFBLAQItABQABgAIAAAAIQDT&#10;zOG04AAAAAsBAAAPAAAAAAAAAAAAAAAAANoEAABkcnMvZG93bnJldi54bWxQSwUGAAAAAAQABADz&#10;AAAA5wUAAAAA&#10;" o:allowincell="f" stroked="f">
              <v:textbox inset=",0,,0">
                <w:txbxContent>
                  <w:p w:rsidR="005B5250" w:rsidRDefault="005B5250">
                    <w:pPr>
                      <w:jc w:val="right"/>
                      <w:rPr>
                        <w:rFonts w:ascii="Arial" w:hAnsi="Arial"/>
                        <w:sz w:val="16"/>
                      </w:rPr>
                    </w:pPr>
                    <w:r>
                      <w:rPr>
                        <w:rFonts w:ascii="Arial" w:hAnsi="Arial"/>
                        <w:sz w:val="16"/>
                      </w:rPr>
                      <w:tab/>
                      <w:t>News Media Information 202 / 418-0500</w:t>
                    </w:r>
                  </w:p>
                  <w:p w:rsidR="005B5250" w:rsidRDefault="005B5250">
                    <w:pPr>
                      <w:jc w:val="right"/>
                      <w:rPr>
                        <w:rFonts w:ascii="Arial" w:hAnsi="Arial"/>
                        <w:sz w:val="16"/>
                      </w:rPr>
                    </w:pPr>
                    <w:r>
                      <w:rPr>
                        <w:rFonts w:ascii="Arial" w:hAnsi="Arial"/>
                        <w:sz w:val="16"/>
                      </w:rPr>
                      <w:tab/>
                      <w:t>Fax-On-Demand 202 / 418-2830</w:t>
                    </w:r>
                  </w:p>
                  <w:p w:rsidR="005B5250" w:rsidRDefault="005B5250">
                    <w:pPr>
                      <w:jc w:val="right"/>
                      <w:rPr>
                        <w:rFonts w:ascii="Arial" w:hAnsi="Arial"/>
                        <w:sz w:val="16"/>
                      </w:rPr>
                    </w:pPr>
                    <w:r>
                      <w:rPr>
                        <w:rFonts w:ascii="Arial" w:hAnsi="Arial"/>
                        <w:sz w:val="16"/>
                      </w:rPr>
                      <w:tab/>
                      <w:t>TTY 202 / 418-2555</w:t>
                    </w:r>
                  </w:p>
                  <w:p w:rsidR="005B5250" w:rsidRDefault="005B5250">
                    <w:pPr>
                      <w:jc w:val="right"/>
                      <w:rPr>
                        <w:rFonts w:ascii="Arial" w:hAnsi="Arial"/>
                        <w:sz w:val="16"/>
                      </w:rPr>
                    </w:pPr>
                    <w:r>
                      <w:rPr>
                        <w:rFonts w:ascii="Arial" w:hAnsi="Arial"/>
                        <w:sz w:val="16"/>
                      </w:rPr>
                      <w:t>Internet: http://www.fcc.gov</w:t>
                    </w:r>
                  </w:p>
                  <w:p w:rsidR="005B5250" w:rsidRDefault="005B5250">
                    <w:pPr>
                      <w:jc w:val="right"/>
                      <w:rPr>
                        <w:rFonts w:ascii="Arial" w:hAnsi="Arial"/>
                        <w:sz w:val="16"/>
                      </w:rPr>
                    </w:pPr>
                    <w:r>
                      <w:rPr>
                        <w:rFonts w:ascii="Arial" w:hAnsi="Arial"/>
                        <w:sz w:val="16"/>
                      </w:rPr>
                      <w:tab/>
                      <w:t>ftp.fcc.gov</w:t>
                    </w:r>
                  </w:p>
                </w:txbxContent>
              </v:textbox>
            </v:shape>
          </w:pict>
        </mc:Fallback>
      </mc:AlternateContent>
    </w:r>
  </w:p>
  <w:p w:rsidR="005B5250" w:rsidRDefault="005B5250">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50" w:rsidRDefault="005B5250">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50" w:rsidRDefault="00A60B8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250" w:rsidRDefault="005B5250">
                          <w:pPr>
                            <w:rPr>
                              <w:rFonts w:ascii="Arial Narrow" w:hAnsi="Arial Narrow"/>
                              <w:b/>
                            </w:rPr>
                          </w:pPr>
                          <w:r>
                            <w:rPr>
                              <w:rFonts w:ascii="Arial Narrow" w:hAnsi="Arial Narrow"/>
                              <w:b/>
                            </w:rPr>
                            <w:t>Federal Communications Commission</w:t>
                          </w:r>
                        </w:p>
                        <w:p w:rsidR="005B5250" w:rsidRDefault="005B5250">
                          <w:pPr>
                            <w:rPr>
                              <w:rFonts w:ascii="Arial Narrow" w:hAnsi="Arial Narrow"/>
                              <w:b/>
                            </w:rPr>
                          </w:pPr>
                          <w:smartTag w:uri="urn:schemas-microsoft-com:office:smarttags" w:element="Street">
                            <w:smartTag w:uri="urn:schemas-microsoft-com:office:smarttags" w:element="address">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5B5250" w:rsidRDefault="005B5250">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8" type="#_x0000_t202" style="position:absolute;left:0;text-align:left;margin-left:47.6pt;margin-top:57.6pt;width:244.8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1ghQ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Y&#10;aa1ghQIAABYFAAAOAAAAAAAAAAAAAAAAAC4CAABkcnMvZTJvRG9jLnhtbFBLAQItABQABgAIAAAA&#10;IQBgWdm/3gAAAAoBAAAPAAAAAAAAAAAAAAAAAN8EAABkcnMvZG93bnJldi54bWxQSwUGAAAAAAQA&#10;BADzAAAA6gUAAAAA&#10;" o:allowincell="f" stroked="f">
              <v:textbox>
                <w:txbxContent>
                  <w:p w:rsidR="005B5250" w:rsidRDefault="005B5250">
                    <w:pPr>
                      <w:rPr>
                        <w:rFonts w:ascii="Arial Narrow" w:hAnsi="Arial Narrow"/>
                        <w:b/>
                      </w:rPr>
                    </w:pPr>
                    <w:r>
                      <w:rPr>
                        <w:rFonts w:ascii="Arial Narrow" w:hAnsi="Arial Narrow"/>
                        <w:b/>
                      </w:rPr>
                      <w:t>Federal Communications Commission</w:t>
                    </w:r>
                  </w:p>
                  <w:p w:rsidR="005B5250" w:rsidRDefault="005B5250">
                    <w:pPr>
                      <w:rPr>
                        <w:rFonts w:ascii="Arial Narrow" w:hAnsi="Arial Narrow"/>
                        <w:b/>
                      </w:rPr>
                    </w:pPr>
                    <w:smartTag w:uri="urn:schemas-microsoft-com:office:smarttags" w:element="Street">
                      <w:smartTag w:uri="urn:schemas-microsoft-com:office:smarttags" w:element="address">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5B5250" w:rsidRDefault="005B5250">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v:textbox>
            </v:shape>
          </w:pict>
        </mc:Fallback>
      </mc:AlternateContent>
    </w:r>
    <w:r w:rsidR="00FC0A4E">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586740" cy="591185"/>
          <wp:effectExtent l="1905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86740" cy="591185"/>
                  </a:xfrm>
                  <a:prstGeom prst="rect">
                    <a:avLst/>
                  </a:prstGeom>
                  <a:noFill/>
                  <a:ln w="9525" algn="ctr">
                    <a:noFill/>
                    <a:miter lim="800000"/>
                    <a:headEnd/>
                    <a:tailEnd/>
                  </a:ln>
                  <a:effectLst/>
                </pic:spPr>
              </pic:pic>
            </a:graphicData>
          </a:graphic>
        </wp:anchor>
      </w:drawing>
    </w:r>
    <w:r w:rsidR="005B5250">
      <w:rPr>
        <w:rFonts w:ascii="News Gothic MT" w:hAnsi="News Gothic MT"/>
        <w:b/>
        <w:kern w:val="28"/>
        <w:sz w:val="96"/>
      </w:rPr>
      <w:t>PUBLIC NOTICE</w:t>
    </w:r>
  </w:p>
  <w:p w:rsidR="005B5250" w:rsidRDefault="00A60B8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697865</wp:posOffset>
              </wp:positionV>
              <wp:extent cx="6949440" cy="2540"/>
              <wp:effectExtent l="9525" t="12065" r="13335" b="1397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FBBFF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7.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"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250" w:rsidRDefault="005B5250">
                          <w:pPr>
                            <w:jc w:val="right"/>
                            <w:rPr>
                              <w:rFonts w:ascii="Arial" w:hAnsi="Arial"/>
                              <w:sz w:val="16"/>
                            </w:rPr>
                          </w:pPr>
                          <w:r>
                            <w:rPr>
                              <w:rFonts w:ascii="Arial" w:hAnsi="Arial"/>
                              <w:sz w:val="16"/>
                            </w:rPr>
                            <w:tab/>
                            <w:t>News Media Information 202 / 418-0500</w:t>
                          </w:r>
                        </w:p>
                        <w:p w:rsidR="005B5250" w:rsidRDefault="005B5250">
                          <w:pPr>
                            <w:jc w:val="right"/>
                            <w:rPr>
                              <w:rFonts w:ascii="Arial" w:hAnsi="Arial"/>
                              <w:sz w:val="16"/>
                            </w:rPr>
                          </w:pPr>
                          <w:r>
                            <w:rPr>
                              <w:rFonts w:ascii="Arial" w:hAnsi="Arial"/>
                              <w:sz w:val="16"/>
                            </w:rPr>
                            <w:tab/>
                            <w:t>Fax-On-Demand 202 / 418-2830</w:t>
                          </w:r>
                        </w:p>
                        <w:p w:rsidR="005B5250" w:rsidRDefault="005B5250">
                          <w:pPr>
                            <w:jc w:val="right"/>
                            <w:rPr>
                              <w:rFonts w:ascii="Arial" w:hAnsi="Arial"/>
                              <w:sz w:val="16"/>
                            </w:rPr>
                          </w:pPr>
                          <w:r>
                            <w:rPr>
                              <w:rFonts w:ascii="Arial" w:hAnsi="Arial"/>
                              <w:sz w:val="16"/>
                            </w:rPr>
                            <w:tab/>
                            <w:t>TTY 202 / 418-2555</w:t>
                          </w:r>
                        </w:p>
                        <w:p w:rsidR="005B5250" w:rsidRDefault="005B5250">
                          <w:pPr>
                            <w:jc w:val="right"/>
                            <w:rPr>
                              <w:rFonts w:ascii="Arial" w:hAnsi="Arial"/>
                              <w:sz w:val="16"/>
                            </w:rPr>
                          </w:pPr>
                          <w:r>
                            <w:rPr>
                              <w:rFonts w:ascii="Arial" w:hAnsi="Arial"/>
                              <w:sz w:val="16"/>
                            </w:rPr>
                            <w:t>Internet: http://www.fcc.gov</w:t>
                          </w:r>
                        </w:p>
                        <w:p w:rsidR="005B5250" w:rsidRDefault="005B5250">
                          <w:pPr>
                            <w:jc w:val="right"/>
                            <w:rPr>
                              <w:rFonts w:ascii="Arial" w:hAnsi="Arial"/>
                              <w:sz w:val="16"/>
                            </w:rPr>
                          </w:pPr>
                          <w:r>
                            <w:rPr>
                              <w:rFonts w:ascii="Arial" w:hAnsi="Arial"/>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29" type="#_x0000_t202" style="position:absolute;left:0;text-align:left;margin-left:336.7pt;margin-top:10.25pt;width:207.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lW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EW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H0k&#10;WVaCAgAADgUAAA4AAAAAAAAAAAAAAAAALgIAAGRycy9lMm9Eb2MueG1sUEsBAi0AFAAGAAgAAAAh&#10;ANPM4bTgAAAACwEAAA8AAAAAAAAAAAAAAAAA3AQAAGRycy9kb3ducmV2LnhtbFBLBQYAAAAABAAE&#10;APMAAADpBQAAAAA=&#10;" o:allowincell="f" stroked="f">
              <v:textbox inset=",0,,0">
                <w:txbxContent>
                  <w:p w:rsidR="005B5250" w:rsidRDefault="005B5250">
                    <w:pPr>
                      <w:jc w:val="right"/>
                      <w:rPr>
                        <w:rFonts w:ascii="Arial" w:hAnsi="Arial"/>
                        <w:sz w:val="16"/>
                      </w:rPr>
                    </w:pPr>
                    <w:r>
                      <w:rPr>
                        <w:rFonts w:ascii="Arial" w:hAnsi="Arial"/>
                        <w:sz w:val="16"/>
                      </w:rPr>
                      <w:tab/>
                      <w:t>News Media Information 202 / 418-0500</w:t>
                    </w:r>
                  </w:p>
                  <w:p w:rsidR="005B5250" w:rsidRDefault="005B5250">
                    <w:pPr>
                      <w:jc w:val="right"/>
                      <w:rPr>
                        <w:rFonts w:ascii="Arial" w:hAnsi="Arial"/>
                        <w:sz w:val="16"/>
                      </w:rPr>
                    </w:pPr>
                    <w:r>
                      <w:rPr>
                        <w:rFonts w:ascii="Arial" w:hAnsi="Arial"/>
                        <w:sz w:val="16"/>
                      </w:rPr>
                      <w:tab/>
                      <w:t>Fax-On-Demand 202 / 418-2830</w:t>
                    </w:r>
                  </w:p>
                  <w:p w:rsidR="005B5250" w:rsidRDefault="005B5250">
                    <w:pPr>
                      <w:jc w:val="right"/>
                      <w:rPr>
                        <w:rFonts w:ascii="Arial" w:hAnsi="Arial"/>
                        <w:sz w:val="16"/>
                      </w:rPr>
                    </w:pPr>
                    <w:r>
                      <w:rPr>
                        <w:rFonts w:ascii="Arial" w:hAnsi="Arial"/>
                        <w:sz w:val="16"/>
                      </w:rPr>
                      <w:tab/>
                      <w:t>TTY 202 / 418-2555</w:t>
                    </w:r>
                  </w:p>
                  <w:p w:rsidR="005B5250" w:rsidRDefault="005B5250">
                    <w:pPr>
                      <w:jc w:val="right"/>
                      <w:rPr>
                        <w:rFonts w:ascii="Arial" w:hAnsi="Arial"/>
                        <w:sz w:val="16"/>
                      </w:rPr>
                    </w:pPr>
                    <w:r>
                      <w:rPr>
                        <w:rFonts w:ascii="Arial" w:hAnsi="Arial"/>
                        <w:sz w:val="16"/>
                      </w:rPr>
                      <w:t>Internet: http://www.fcc.gov</w:t>
                    </w:r>
                  </w:p>
                  <w:p w:rsidR="005B5250" w:rsidRDefault="005B5250">
                    <w:pPr>
                      <w:jc w:val="right"/>
                      <w:rPr>
                        <w:rFonts w:ascii="Arial" w:hAnsi="Arial"/>
                        <w:sz w:val="16"/>
                      </w:rPr>
                    </w:pPr>
                    <w:r>
                      <w:rPr>
                        <w:rFonts w:ascii="Arial" w:hAnsi="Arial"/>
                        <w:sz w:val="16"/>
                      </w:rPr>
                      <w:tab/>
                      <w:t>ftp.fcc.gov</w:t>
                    </w:r>
                  </w:p>
                </w:txbxContent>
              </v:textbox>
            </v:shape>
          </w:pict>
        </mc:Fallback>
      </mc:AlternateContent>
    </w:r>
  </w:p>
  <w:p w:rsidR="005B5250" w:rsidRDefault="005B525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E743C5D"/>
    <w:multiLevelType w:val="singleLevel"/>
    <w:tmpl w:val="D5D61076"/>
    <w:lvl w:ilvl="0">
      <w:start w:val="1"/>
      <w:numFmt w:val="bullet"/>
      <w:lvlText w:val=""/>
      <w:lvlJc w:val="left"/>
      <w:pPr>
        <w:tabs>
          <w:tab w:val="num" w:pos="360"/>
        </w:tabs>
        <w:ind w:left="360" w:hanging="360"/>
      </w:pPr>
      <w:rPr>
        <w:rFonts w:ascii="Symbol" w:hAnsi="Symbol" w:hint="default"/>
        <w:sz w:val="22"/>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92A0DB4"/>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abstractNum w:abstractNumId="5">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496D3F"/>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abstractNum w:abstractNumId="11">
    <w:nsid w:val="6479547D"/>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abstractNum w:abstractNumId="12">
    <w:nsid w:val="71603953"/>
    <w:multiLevelType w:val="hybridMultilevel"/>
    <w:tmpl w:val="222C358A"/>
    <w:lvl w:ilvl="0" w:tplc="6394B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281330"/>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3"/>
  </w:num>
  <w:num w:numId="13">
    <w:abstractNumId w:val="1"/>
  </w:num>
  <w:num w:numId="14">
    <w:abstractNumId w:val="13"/>
  </w:num>
  <w:num w:numId="15">
    <w:abstractNumId w:val="4"/>
  </w:num>
  <w:num w:numId="16">
    <w:abstractNumId w:val="10"/>
  </w:num>
  <w:num w:numId="17">
    <w:abstractNumId w:val="11"/>
  </w:num>
  <w:num w:numId="1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E7"/>
    <w:rsid w:val="0001632C"/>
    <w:rsid w:val="00034310"/>
    <w:rsid w:val="00040C54"/>
    <w:rsid w:val="000B4AE7"/>
    <w:rsid w:val="000D4405"/>
    <w:rsid w:val="00141811"/>
    <w:rsid w:val="00143AB9"/>
    <w:rsid w:val="00167372"/>
    <w:rsid w:val="00181017"/>
    <w:rsid w:val="00194F6D"/>
    <w:rsid w:val="001A51E3"/>
    <w:rsid w:val="001A5C6E"/>
    <w:rsid w:val="001F5DB5"/>
    <w:rsid w:val="002039A1"/>
    <w:rsid w:val="00210040"/>
    <w:rsid w:val="00221C93"/>
    <w:rsid w:val="00240CAD"/>
    <w:rsid w:val="00265F6A"/>
    <w:rsid w:val="002A1DB7"/>
    <w:rsid w:val="002F3D20"/>
    <w:rsid w:val="00304B3E"/>
    <w:rsid w:val="0031693F"/>
    <w:rsid w:val="00345C6A"/>
    <w:rsid w:val="00350E99"/>
    <w:rsid w:val="00355493"/>
    <w:rsid w:val="00383AA7"/>
    <w:rsid w:val="003928D7"/>
    <w:rsid w:val="003A7A0C"/>
    <w:rsid w:val="003F51A0"/>
    <w:rsid w:val="004005BD"/>
    <w:rsid w:val="004077A6"/>
    <w:rsid w:val="0041340F"/>
    <w:rsid w:val="00433398"/>
    <w:rsid w:val="00466216"/>
    <w:rsid w:val="00474537"/>
    <w:rsid w:val="004A1C70"/>
    <w:rsid w:val="004C7DAC"/>
    <w:rsid w:val="004D55A7"/>
    <w:rsid w:val="004E7A7B"/>
    <w:rsid w:val="004F0FB0"/>
    <w:rsid w:val="004F51EB"/>
    <w:rsid w:val="0050530B"/>
    <w:rsid w:val="00524D37"/>
    <w:rsid w:val="0053244E"/>
    <w:rsid w:val="00533EC1"/>
    <w:rsid w:val="00592C0E"/>
    <w:rsid w:val="0059615B"/>
    <w:rsid w:val="005B0CC6"/>
    <w:rsid w:val="005B5250"/>
    <w:rsid w:val="005D2B63"/>
    <w:rsid w:val="00604D6A"/>
    <w:rsid w:val="00621CF9"/>
    <w:rsid w:val="00645BCD"/>
    <w:rsid w:val="0067784E"/>
    <w:rsid w:val="006822DB"/>
    <w:rsid w:val="006B1536"/>
    <w:rsid w:val="006C2704"/>
    <w:rsid w:val="006D41D8"/>
    <w:rsid w:val="006E4CF5"/>
    <w:rsid w:val="007242CE"/>
    <w:rsid w:val="00766CFC"/>
    <w:rsid w:val="00774F4D"/>
    <w:rsid w:val="007B0FBB"/>
    <w:rsid w:val="007B2554"/>
    <w:rsid w:val="007C4378"/>
    <w:rsid w:val="007F5C5C"/>
    <w:rsid w:val="007F7FEB"/>
    <w:rsid w:val="0080518B"/>
    <w:rsid w:val="00831BE6"/>
    <w:rsid w:val="00841B28"/>
    <w:rsid w:val="008438ED"/>
    <w:rsid w:val="00873822"/>
    <w:rsid w:val="00875163"/>
    <w:rsid w:val="00882873"/>
    <w:rsid w:val="00886F61"/>
    <w:rsid w:val="008878D9"/>
    <w:rsid w:val="008B4D14"/>
    <w:rsid w:val="008B555D"/>
    <w:rsid w:val="008C69CA"/>
    <w:rsid w:val="008D111B"/>
    <w:rsid w:val="008E3144"/>
    <w:rsid w:val="008E5F88"/>
    <w:rsid w:val="008F5C87"/>
    <w:rsid w:val="00917E83"/>
    <w:rsid w:val="00925B86"/>
    <w:rsid w:val="00941DA4"/>
    <w:rsid w:val="00964EF5"/>
    <w:rsid w:val="009952C3"/>
    <w:rsid w:val="009C5205"/>
    <w:rsid w:val="009C7596"/>
    <w:rsid w:val="009D2AED"/>
    <w:rsid w:val="009D33B9"/>
    <w:rsid w:val="009E7C11"/>
    <w:rsid w:val="009F4B3A"/>
    <w:rsid w:val="00A0372A"/>
    <w:rsid w:val="00A117DA"/>
    <w:rsid w:val="00A11FE4"/>
    <w:rsid w:val="00A245BF"/>
    <w:rsid w:val="00A33169"/>
    <w:rsid w:val="00A33F30"/>
    <w:rsid w:val="00A379DA"/>
    <w:rsid w:val="00A55F69"/>
    <w:rsid w:val="00A575AB"/>
    <w:rsid w:val="00A60B86"/>
    <w:rsid w:val="00A72BBE"/>
    <w:rsid w:val="00A80409"/>
    <w:rsid w:val="00A9089B"/>
    <w:rsid w:val="00AB2E77"/>
    <w:rsid w:val="00AB7C5D"/>
    <w:rsid w:val="00AE668D"/>
    <w:rsid w:val="00B27EA9"/>
    <w:rsid w:val="00B4489C"/>
    <w:rsid w:val="00B50DA3"/>
    <w:rsid w:val="00B769EF"/>
    <w:rsid w:val="00B94F5A"/>
    <w:rsid w:val="00BA561F"/>
    <w:rsid w:val="00BD0F2F"/>
    <w:rsid w:val="00BE1A51"/>
    <w:rsid w:val="00C041F3"/>
    <w:rsid w:val="00C20DAB"/>
    <w:rsid w:val="00C23C5E"/>
    <w:rsid w:val="00C609F2"/>
    <w:rsid w:val="00C73804"/>
    <w:rsid w:val="00C905B4"/>
    <w:rsid w:val="00D04E71"/>
    <w:rsid w:val="00D14785"/>
    <w:rsid w:val="00D2713B"/>
    <w:rsid w:val="00D357A3"/>
    <w:rsid w:val="00D50E0D"/>
    <w:rsid w:val="00D6699E"/>
    <w:rsid w:val="00D9657E"/>
    <w:rsid w:val="00E0666A"/>
    <w:rsid w:val="00E13C8D"/>
    <w:rsid w:val="00E16D9E"/>
    <w:rsid w:val="00E40C6C"/>
    <w:rsid w:val="00E504FF"/>
    <w:rsid w:val="00E67230"/>
    <w:rsid w:val="00E9617D"/>
    <w:rsid w:val="00EA0A77"/>
    <w:rsid w:val="00EA15B2"/>
    <w:rsid w:val="00EC13EB"/>
    <w:rsid w:val="00EC1A28"/>
    <w:rsid w:val="00EC5B7A"/>
    <w:rsid w:val="00ED04BE"/>
    <w:rsid w:val="00EE1ECD"/>
    <w:rsid w:val="00F1099A"/>
    <w:rsid w:val="00F50154"/>
    <w:rsid w:val="00F54138"/>
    <w:rsid w:val="00F830D9"/>
    <w:rsid w:val="00F93973"/>
    <w:rsid w:val="00FC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Footnote Reference/,Style 17,Style 6,Style 7,Style 4,Footnote Reference1"/>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BodyText">
    <w:name w:val="Body Text"/>
    <w:basedOn w:val="Normal"/>
    <w:pPr>
      <w:jc w:val="center"/>
    </w:pPr>
    <w:rPr>
      <w:b/>
      <w:sz w:val="20"/>
    </w:rPr>
  </w:style>
  <w:style w:type="paragraph" w:styleId="BodyText2">
    <w:name w:val="Body Text 2"/>
    <w:basedOn w:val="Normal"/>
    <w:rPr>
      <w:sz w:val="24"/>
    </w:rPr>
  </w:style>
  <w:style w:type="paragraph" w:styleId="BodyTextIndent">
    <w:name w:val="Body Text Indent"/>
    <w:basedOn w:val="Normal"/>
    <w:pPr>
      <w:ind w:firstLine="720"/>
    </w:pPr>
    <w:rPr>
      <w:b/>
      <w:sz w:val="24"/>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Pr>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NormalWeb">
    <w:name w:val="Normal (Web)"/>
    <w:basedOn w:val="Default"/>
    <w:next w:val="Default"/>
    <w:uiPriority w:val="99"/>
    <w:rsid w:val="008B555D"/>
    <w:rPr>
      <w:rFonts w:ascii="JLGOJH+Verdana" w:hAnsi="JLGOJH+Verdana"/>
      <w:color w:val="auto"/>
    </w:rPr>
  </w:style>
  <w:style w:type="character" w:customStyle="1" w:styleId="FootnoteTextChar3Char1Char">
    <w:name w:val="Footnote Text Char3 Char1 Char"/>
    <w:aliases w:val="Footnote Text Char1 Char Char Char1 Char,Footnote Text Char Char Char Char Char2 Char,Footnote Text Char2 Char Char Char Char Char Char"/>
    <w:uiPriority w:val="99"/>
    <w:rsid w:val="009952C3"/>
  </w:style>
  <w:style w:type="character" w:customStyle="1" w:styleId="FootnoteTextChar3">
    <w:name w:val="Footnote Text Char3"/>
    <w:aliases w:val="Footnote Text Char1 Char Char Char1,Footnote Text Char Char Char,Footnote Text Char1 Char1 Char,ALTS FOOTNOTE Char1,fn Char,Footnote Text Char2 Char Char Char,Footnote Text Char Char1"/>
    <w:semiHidden/>
    <w:rsid w:val="005D2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Footnote Reference/,Style 17,Style 6,Style 7,Style 4,Footnote Reference1"/>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BodyText">
    <w:name w:val="Body Text"/>
    <w:basedOn w:val="Normal"/>
    <w:pPr>
      <w:jc w:val="center"/>
    </w:pPr>
    <w:rPr>
      <w:b/>
      <w:sz w:val="20"/>
    </w:rPr>
  </w:style>
  <w:style w:type="paragraph" w:styleId="BodyText2">
    <w:name w:val="Body Text 2"/>
    <w:basedOn w:val="Normal"/>
    <w:rPr>
      <w:sz w:val="24"/>
    </w:rPr>
  </w:style>
  <w:style w:type="paragraph" w:styleId="BodyTextIndent">
    <w:name w:val="Body Text Indent"/>
    <w:basedOn w:val="Normal"/>
    <w:pPr>
      <w:ind w:firstLine="720"/>
    </w:pPr>
    <w:rPr>
      <w:b/>
      <w:sz w:val="24"/>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Pr>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NormalWeb">
    <w:name w:val="Normal (Web)"/>
    <w:basedOn w:val="Default"/>
    <w:next w:val="Default"/>
    <w:uiPriority w:val="99"/>
    <w:rsid w:val="008B555D"/>
    <w:rPr>
      <w:rFonts w:ascii="JLGOJH+Verdana" w:hAnsi="JLGOJH+Verdana"/>
      <w:color w:val="auto"/>
    </w:rPr>
  </w:style>
  <w:style w:type="character" w:customStyle="1" w:styleId="FootnoteTextChar3Char1Char">
    <w:name w:val="Footnote Text Char3 Char1 Char"/>
    <w:aliases w:val="Footnote Text Char1 Char Char Char1 Char,Footnote Text Char Char Char Char Char2 Char,Footnote Text Char2 Char Char Char Char Char Char"/>
    <w:uiPriority w:val="99"/>
    <w:rsid w:val="009952C3"/>
  </w:style>
  <w:style w:type="character" w:customStyle="1" w:styleId="FootnoteTextChar3">
    <w:name w:val="Footnote Text Char3"/>
    <w:aliases w:val="Footnote Text Char1 Char Char Char1,Footnote Text Char Char Char,Footnote Text Char1 Char1 Char,ALTS FOOTNOTE Char1,fn Char,Footnote Text Char2 Char Char Char,Footnote Text Char Char1"/>
    <w:semiHidden/>
    <w:rsid w:val="005D2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BCPIWE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7041</Characters>
  <Application>Microsoft Office Word</Application>
  <DocSecurity>0</DocSecurity>
  <Lines>112</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8371</CharactersWithSpaces>
  <SharedDoc>false</SharedDoc>
  <HyperlinkBase> </HyperlinkBase>
  <HLinks>
    <vt:vector size="6" baseType="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2012-11-29T11:28:00Z</cp:lastPrinted>
  <dcterms:created xsi:type="dcterms:W3CDTF">2017-05-08T22:51:00Z</dcterms:created>
  <dcterms:modified xsi:type="dcterms:W3CDTF">2017-05-08T22:51:00Z</dcterms:modified>
  <cp:category> </cp:category>
  <cp:contentStatus> </cp:contentStatus>
</cp:coreProperties>
</file>