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7FAA3" w14:textId="77777777" w:rsidR="00894BE1" w:rsidRPr="00225B62" w:rsidRDefault="00894BE1" w:rsidP="008D554D">
      <w:pPr>
        <w:jc w:val="right"/>
        <w:rPr>
          <w:b/>
          <w:szCs w:val="22"/>
        </w:rPr>
      </w:pPr>
      <w:bookmarkStart w:id="0" w:name="_GoBack"/>
      <w:bookmarkEnd w:id="0"/>
    </w:p>
    <w:p w14:paraId="6176F8AF" w14:textId="38AD1D59" w:rsidR="00253DD3" w:rsidRPr="00225B62" w:rsidRDefault="00941B90" w:rsidP="00941B90">
      <w:pPr>
        <w:ind w:left="5760"/>
        <w:jc w:val="center"/>
        <w:rPr>
          <w:b/>
          <w:szCs w:val="22"/>
        </w:rPr>
      </w:pPr>
      <w:r>
        <w:rPr>
          <w:b/>
          <w:szCs w:val="22"/>
        </w:rPr>
        <w:t xml:space="preserve"> </w:t>
      </w:r>
      <w:r w:rsidR="003A57EE" w:rsidRPr="00225B62">
        <w:rPr>
          <w:b/>
          <w:szCs w:val="22"/>
        </w:rPr>
        <w:t>DA 17</w:t>
      </w:r>
      <w:r w:rsidR="00613F8F">
        <w:rPr>
          <w:b/>
          <w:szCs w:val="22"/>
        </w:rPr>
        <w:t>-442</w:t>
      </w:r>
    </w:p>
    <w:p w14:paraId="2C2F37A1" w14:textId="2BF031A4" w:rsidR="00D47505" w:rsidRPr="00225B62" w:rsidRDefault="00613F8F" w:rsidP="00613F8F">
      <w:pPr>
        <w:spacing w:before="60"/>
        <w:ind w:left="6480"/>
        <w:rPr>
          <w:b/>
          <w:szCs w:val="22"/>
        </w:rPr>
      </w:pPr>
      <w:r>
        <w:rPr>
          <w:b/>
          <w:szCs w:val="22"/>
        </w:rPr>
        <w:t xml:space="preserve">           </w:t>
      </w:r>
      <w:r w:rsidR="00B338A9" w:rsidRPr="00225B62">
        <w:rPr>
          <w:b/>
          <w:szCs w:val="22"/>
        </w:rPr>
        <w:t xml:space="preserve">Released:  </w:t>
      </w:r>
      <w:r>
        <w:rPr>
          <w:b/>
          <w:szCs w:val="22"/>
        </w:rPr>
        <w:t xml:space="preserve">May </w:t>
      </w:r>
      <w:r w:rsidR="00941B90">
        <w:rPr>
          <w:b/>
          <w:szCs w:val="22"/>
        </w:rPr>
        <w:t>12</w:t>
      </w:r>
      <w:r>
        <w:rPr>
          <w:b/>
          <w:szCs w:val="22"/>
        </w:rPr>
        <w:t>, 2017</w:t>
      </w:r>
    </w:p>
    <w:p w14:paraId="2A75E991" w14:textId="77777777" w:rsidR="00D47505" w:rsidRPr="00225B62" w:rsidRDefault="00D47505" w:rsidP="008D554D">
      <w:pPr>
        <w:jc w:val="right"/>
        <w:rPr>
          <w:szCs w:val="22"/>
        </w:rPr>
      </w:pPr>
    </w:p>
    <w:p w14:paraId="08775F0D" w14:textId="77777777" w:rsidR="002E11CD" w:rsidRDefault="00312333" w:rsidP="008D554D">
      <w:pPr>
        <w:jc w:val="center"/>
        <w:rPr>
          <w:b/>
          <w:caps/>
          <w:szCs w:val="22"/>
        </w:rPr>
      </w:pPr>
      <w:r w:rsidRPr="00225B62">
        <w:rPr>
          <w:b/>
          <w:caps/>
          <w:szCs w:val="22"/>
        </w:rPr>
        <w:t xml:space="preserve">the incentive auction task force and </w:t>
      </w:r>
      <w:r w:rsidR="002E11CD">
        <w:rPr>
          <w:b/>
          <w:caps/>
          <w:szCs w:val="22"/>
        </w:rPr>
        <w:t>MEDIA BUREAU ANNOUNCE</w:t>
      </w:r>
    </w:p>
    <w:p w14:paraId="088E1D7F" w14:textId="66863363" w:rsidR="00894BE1" w:rsidRPr="00225B62" w:rsidRDefault="00A754AF" w:rsidP="008D554D">
      <w:pPr>
        <w:jc w:val="center"/>
        <w:rPr>
          <w:b/>
          <w:caps/>
          <w:szCs w:val="22"/>
        </w:rPr>
      </w:pPr>
      <w:r w:rsidRPr="00225B62">
        <w:rPr>
          <w:b/>
          <w:caps/>
          <w:szCs w:val="22"/>
        </w:rPr>
        <w:t>PROCEDURES FOR</w:t>
      </w:r>
      <w:r w:rsidR="00894BE1" w:rsidRPr="00225B62">
        <w:rPr>
          <w:b/>
          <w:caps/>
          <w:szCs w:val="22"/>
        </w:rPr>
        <w:t xml:space="preserve"> </w:t>
      </w:r>
      <w:r w:rsidR="000D38E0" w:rsidRPr="00225B62">
        <w:rPr>
          <w:b/>
          <w:caps/>
          <w:szCs w:val="22"/>
        </w:rPr>
        <w:t xml:space="preserve">LOW POWER </w:t>
      </w:r>
      <w:r w:rsidR="00894BE1" w:rsidRPr="00225B62">
        <w:rPr>
          <w:b/>
          <w:caps/>
          <w:szCs w:val="22"/>
        </w:rPr>
        <w:t>TELEVISION</w:t>
      </w:r>
      <w:r w:rsidR="000D38E0" w:rsidRPr="00225B62">
        <w:rPr>
          <w:b/>
          <w:caps/>
          <w:szCs w:val="22"/>
        </w:rPr>
        <w:t xml:space="preserve">, TELEVISION TRANSLATOR AND REPLACEMENT TRANSLATOR </w:t>
      </w:r>
      <w:r w:rsidR="00894BE1" w:rsidRPr="00225B62">
        <w:rPr>
          <w:b/>
          <w:caps/>
          <w:szCs w:val="22"/>
        </w:rPr>
        <w:t>STATIONS</w:t>
      </w:r>
      <w:r w:rsidR="00A63B0A" w:rsidRPr="00225B62">
        <w:rPr>
          <w:b/>
          <w:caps/>
          <w:szCs w:val="22"/>
        </w:rPr>
        <w:t xml:space="preserve"> </w:t>
      </w:r>
    </w:p>
    <w:p w14:paraId="4F0E3EFE" w14:textId="77777777" w:rsidR="00A35A28" w:rsidRPr="00225B62" w:rsidRDefault="00A754AF" w:rsidP="008D554D">
      <w:pPr>
        <w:jc w:val="center"/>
        <w:rPr>
          <w:b/>
          <w:caps/>
          <w:szCs w:val="22"/>
        </w:rPr>
      </w:pPr>
      <w:r w:rsidRPr="00225B62">
        <w:rPr>
          <w:b/>
          <w:caps/>
          <w:szCs w:val="22"/>
        </w:rPr>
        <w:t>DURING THE POST-INCENTIVE AUCTION TRANSITION</w:t>
      </w:r>
    </w:p>
    <w:p w14:paraId="70937667" w14:textId="77777777" w:rsidR="00A63B0A" w:rsidRPr="00225B62" w:rsidRDefault="00A63B0A" w:rsidP="000D38E0">
      <w:pPr>
        <w:jc w:val="center"/>
        <w:rPr>
          <w:b/>
          <w:caps/>
          <w:szCs w:val="22"/>
        </w:rPr>
      </w:pPr>
    </w:p>
    <w:p w14:paraId="64324F57" w14:textId="4BAB66DA" w:rsidR="005E61FE" w:rsidRPr="00225B62" w:rsidRDefault="002A6D5B" w:rsidP="002A6D5B">
      <w:pPr>
        <w:tabs>
          <w:tab w:val="center" w:pos="4680"/>
          <w:tab w:val="left" w:pos="7594"/>
        </w:tabs>
        <w:rPr>
          <w:b/>
          <w:szCs w:val="22"/>
        </w:rPr>
      </w:pPr>
      <w:r w:rsidRPr="00225B62">
        <w:rPr>
          <w:b/>
          <w:szCs w:val="22"/>
        </w:rPr>
        <w:tab/>
      </w:r>
      <w:r w:rsidR="005E61FE" w:rsidRPr="00225B62">
        <w:rPr>
          <w:b/>
          <w:szCs w:val="22"/>
        </w:rPr>
        <w:t>MB Docket No. 16-306</w:t>
      </w:r>
      <w:r w:rsidRPr="00225B62">
        <w:rPr>
          <w:b/>
          <w:szCs w:val="22"/>
        </w:rPr>
        <w:tab/>
      </w:r>
    </w:p>
    <w:p w14:paraId="791ABB9B" w14:textId="77777777" w:rsidR="00D47505" w:rsidRPr="00225B62" w:rsidRDefault="00894BE1" w:rsidP="008D554D">
      <w:pPr>
        <w:jc w:val="center"/>
        <w:rPr>
          <w:b/>
          <w:szCs w:val="22"/>
        </w:rPr>
      </w:pPr>
      <w:r w:rsidRPr="00225B62">
        <w:rPr>
          <w:b/>
          <w:szCs w:val="22"/>
        </w:rPr>
        <w:t>GN Docket No. 12-268</w:t>
      </w:r>
    </w:p>
    <w:p w14:paraId="119C24F2" w14:textId="77777777" w:rsidR="002C7BA7" w:rsidRPr="00225B62" w:rsidRDefault="002C7BA7" w:rsidP="008D554D">
      <w:pPr>
        <w:jc w:val="center"/>
        <w:rPr>
          <w:b/>
          <w:szCs w:val="22"/>
        </w:rPr>
      </w:pPr>
    </w:p>
    <w:p w14:paraId="2E42004D" w14:textId="77777777" w:rsidR="002C7BA7" w:rsidRPr="00225B62" w:rsidRDefault="002C7BA7" w:rsidP="002C7BA7">
      <w:pPr>
        <w:jc w:val="center"/>
        <w:rPr>
          <w:b/>
          <w:szCs w:val="22"/>
        </w:rPr>
      </w:pPr>
      <w:r w:rsidRPr="00225B62">
        <w:rPr>
          <w:b/>
          <w:szCs w:val="22"/>
        </w:rPr>
        <w:t>TABLE OF CONTENTS</w:t>
      </w:r>
    </w:p>
    <w:p w14:paraId="35126024" w14:textId="77777777" w:rsidR="002C7BA7" w:rsidRPr="00225B62" w:rsidRDefault="002C7BA7" w:rsidP="002C7BA7">
      <w:pPr>
        <w:rPr>
          <w:b/>
          <w:szCs w:val="22"/>
        </w:rPr>
      </w:pPr>
    </w:p>
    <w:p w14:paraId="1CFF1A93" w14:textId="77777777" w:rsidR="002C7BA7" w:rsidRPr="00225B62" w:rsidRDefault="002C7BA7" w:rsidP="002C7BA7">
      <w:pPr>
        <w:rPr>
          <w:szCs w:val="22"/>
        </w:rPr>
      </w:pPr>
      <w:r w:rsidRPr="00225B62">
        <w:rPr>
          <w:szCs w:val="22"/>
        </w:rPr>
        <w:t>Heading</w:t>
      </w:r>
      <w:r w:rsidRPr="00225B62">
        <w:rPr>
          <w:szCs w:val="22"/>
        </w:rPr>
        <w:tab/>
      </w:r>
      <w:r w:rsidRPr="00225B62">
        <w:rPr>
          <w:szCs w:val="22"/>
        </w:rPr>
        <w:tab/>
        <w:t xml:space="preserve"> </w:t>
      </w:r>
      <w:r w:rsidRPr="00225B62">
        <w:rPr>
          <w:szCs w:val="22"/>
        </w:rPr>
        <w:tab/>
      </w:r>
      <w:r w:rsidRPr="00225B62">
        <w:rPr>
          <w:szCs w:val="22"/>
        </w:rPr>
        <w:tab/>
      </w:r>
      <w:r w:rsidRPr="00225B62">
        <w:rPr>
          <w:szCs w:val="22"/>
        </w:rPr>
        <w:tab/>
      </w:r>
      <w:r w:rsidRPr="00225B62">
        <w:rPr>
          <w:szCs w:val="22"/>
        </w:rPr>
        <w:tab/>
      </w:r>
      <w:r w:rsidRPr="00225B62">
        <w:rPr>
          <w:szCs w:val="22"/>
        </w:rPr>
        <w:tab/>
      </w:r>
      <w:r w:rsidRPr="00225B62">
        <w:rPr>
          <w:szCs w:val="22"/>
        </w:rPr>
        <w:tab/>
      </w:r>
      <w:r w:rsidRPr="00225B62">
        <w:rPr>
          <w:szCs w:val="22"/>
        </w:rPr>
        <w:tab/>
      </w:r>
      <w:r w:rsidRPr="00225B62">
        <w:rPr>
          <w:szCs w:val="22"/>
        </w:rPr>
        <w:tab/>
        <w:t xml:space="preserve">    Paragraph #</w:t>
      </w:r>
    </w:p>
    <w:p w14:paraId="01AB368C" w14:textId="77777777" w:rsidR="002C7BA7" w:rsidRPr="00225B62" w:rsidRDefault="00F559A1" w:rsidP="00F559A1">
      <w:pPr>
        <w:tabs>
          <w:tab w:val="left" w:pos="360"/>
          <w:tab w:val="left" w:leader="dot" w:pos="8640"/>
        </w:tabs>
        <w:rPr>
          <w:szCs w:val="22"/>
        </w:rPr>
      </w:pPr>
      <w:r w:rsidRPr="00225B62">
        <w:rPr>
          <w:szCs w:val="22"/>
        </w:rPr>
        <w:t>I.</w:t>
      </w:r>
      <w:r w:rsidRPr="00225B62">
        <w:rPr>
          <w:szCs w:val="22"/>
        </w:rPr>
        <w:tab/>
        <w:t>INTRODUCTION</w:t>
      </w:r>
      <w:r w:rsidR="002C7BA7" w:rsidRPr="00225B62">
        <w:rPr>
          <w:szCs w:val="22"/>
        </w:rPr>
        <w:tab/>
      </w:r>
      <w:r w:rsidR="0068343F" w:rsidRPr="00225B62">
        <w:rPr>
          <w:szCs w:val="22"/>
        </w:rPr>
        <w:t>1</w:t>
      </w:r>
    </w:p>
    <w:p w14:paraId="205854BB" w14:textId="77777777" w:rsidR="002C7BA7" w:rsidRPr="00225B62" w:rsidRDefault="002C7BA7" w:rsidP="00F559A1">
      <w:pPr>
        <w:tabs>
          <w:tab w:val="left" w:pos="360"/>
          <w:tab w:val="left" w:leader="dot" w:pos="8640"/>
        </w:tabs>
        <w:rPr>
          <w:szCs w:val="22"/>
        </w:rPr>
      </w:pPr>
      <w:r w:rsidRPr="00225B62">
        <w:rPr>
          <w:szCs w:val="22"/>
        </w:rPr>
        <w:t>II.</w:t>
      </w:r>
      <w:r w:rsidRPr="00225B62">
        <w:rPr>
          <w:szCs w:val="22"/>
        </w:rPr>
        <w:tab/>
        <w:t>BACKGROUND</w:t>
      </w:r>
      <w:r w:rsidRPr="00225B62">
        <w:rPr>
          <w:szCs w:val="22"/>
        </w:rPr>
        <w:tab/>
      </w:r>
      <w:r w:rsidR="0068343F" w:rsidRPr="00225B62">
        <w:rPr>
          <w:szCs w:val="22"/>
        </w:rPr>
        <w:t>3</w:t>
      </w:r>
    </w:p>
    <w:p w14:paraId="77B7426E" w14:textId="77777777" w:rsidR="002C7BA7" w:rsidRPr="00225B62" w:rsidRDefault="002C7BA7" w:rsidP="00F559A1">
      <w:pPr>
        <w:tabs>
          <w:tab w:val="left" w:pos="360"/>
          <w:tab w:val="left" w:leader="dot" w:pos="8640"/>
        </w:tabs>
        <w:rPr>
          <w:szCs w:val="22"/>
        </w:rPr>
      </w:pPr>
      <w:r w:rsidRPr="00225B62">
        <w:rPr>
          <w:szCs w:val="22"/>
        </w:rPr>
        <w:t>I</w:t>
      </w:r>
      <w:r w:rsidR="00F559A1" w:rsidRPr="00225B62">
        <w:rPr>
          <w:szCs w:val="22"/>
        </w:rPr>
        <w:t>II.</w:t>
      </w:r>
      <w:r w:rsidR="00F559A1" w:rsidRPr="00225B62">
        <w:rPr>
          <w:szCs w:val="22"/>
        </w:rPr>
        <w:tab/>
        <w:t>DISPLACEMENT PUBLIC NOTICE</w:t>
      </w:r>
      <w:r w:rsidR="00F559A1" w:rsidRPr="00225B62">
        <w:rPr>
          <w:szCs w:val="22"/>
        </w:rPr>
        <w:tab/>
      </w:r>
      <w:r w:rsidR="0068343F" w:rsidRPr="00225B62">
        <w:rPr>
          <w:szCs w:val="22"/>
        </w:rPr>
        <w:t>6</w:t>
      </w:r>
    </w:p>
    <w:p w14:paraId="4C7C6527" w14:textId="1531F101" w:rsidR="002C7BA7" w:rsidRPr="00225B62" w:rsidRDefault="002C7BA7" w:rsidP="00F559A1">
      <w:pPr>
        <w:tabs>
          <w:tab w:val="left" w:pos="360"/>
          <w:tab w:val="left" w:leader="dot" w:pos="8640"/>
        </w:tabs>
        <w:ind w:firstLine="360"/>
        <w:rPr>
          <w:szCs w:val="22"/>
        </w:rPr>
      </w:pPr>
      <w:r w:rsidRPr="00225B62">
        <w:rPr>
          <w:szCs w:val="22"/>
        </w:rPr>
        <w:t>A.</w:t>
      </w:r>
      <w:r w:rsidR="00F559A1" w:rsidRPr="00225B62">
        <w:rPr>
          <w:szCs w:val="22"/>
        </w:rPr>
        <w:t xml:space="preserve">  </w:t>
      </w:r>
      <w:r w:rsidRPr="00225B62">
        <w:rPr>
          <w:szCs w:val="22"/>
        </w:rPr>
        <w:t>Channel Study</w:t>
      </w:r>
      <w:r w:rsidR="00586230">
        <w:rPr>
          <w:szCs w:val="22"/>
        </w:rPr>
        <w:t xml:space="preserve"> </w:t>
      </w:r>
      <w:r w:rsidRPr="00225B62">
        <w:rPr>
          <w:szCs w:val="22"/>
        </w:rPr>
        <w:tab/>
      </w:r>
      <w:r w:rsidR="0068343F" w:rsidRPr="00225B62">
        <w:rPr>
          <w:szCs w:val="22"/>
        </w:rPr>
        <w:t>7</w:t>
      </w:r>
    </w:p>
    <w:p w14:paraId="5B417849" w14:textId="77777777" w:rsidR="002C7BA7" w:rsidRPr="00225B62" w:rsidRDefault="00F559A1" w:rsidP="00F559A1">
      <w:pPr>
        <w:tabs>
          <w:tab w:val="left" w:pos="360"/>
          <w:tab w:val="left" w:leader="dot" w:pos="8640"/>
        </w:tabs>
        <w:ind w:firstLine="360"/>
        <w:rPr>
          <w:szCs w:val="22"/>
        </w:rPr>
      </w:pPr>
      <w:r w:rsidRPr="00225B62">
        <w:rPr>
          <w:szCs w:val="22"/>
        </w:rPr>
        <w:t xml:space="preserve">B.   </w:t>
      </w:r>
      <w:r w:rsidR="002C7BA7" w:rsidRPr="00225B62">
        <w:rPr>
          <w:szCs w:val="22"/>
        </w:rPr>
        <w:t>Eligibility to File in Special Displacement Window</w:t>
      </w:r>
      <w:r w:rsidR="002C7BA7" w:rsidRPr="00225B62">
        <w:rPr>
          <w:szCs w:val="22"/>
        </w:rPr>
        <w:tab/>
      </w:r>
      <w:r w:rsidR="0068343F" w:rsidRPr="00225B62">
        <w:rPr>
          <w:szCs w:val="22"/>
        </w:rPr>
        <w:t>8</w:t>
      </w:r>
    </w:p>
    <w:p w14:paraId="79B070AB" w14:textId="77777777" w:rsidR="002C7BA7" w:rsidRPr="00225B62" w:rsidRDefault="00F559A1" w:rsidP="0068343F">
      <w:pPr>
        <w:tabs>
          <w:tab w:val="left" w:pos="360"/>
          <w:tab w:val="left" w:leader="dot" w:pos="8640"/>
        </w:tabs>
        <w:ind w:firstLine="360"/>
        <w:rPr>
          <w:szCs w:val="22"/>
        </w:rPr>
      </w:pPr>
      <w:r w:rsidRPr="00225B62">
        <w:rPr>
          <w:szCs w:val="22"/>
        </w:rPr>
        <w:t xml:space="preserve">C.   </w:t>
      </w:r>
      <w:r w:rsidR="002C7BA7" w:rsidRPr="00225B62">
        <w:rPr>
          <w:szCs w:val="22"/>
        </w:rPr>
        <w:t>Application Filing Procedures</w:t>
      </w:r>
      <w:r w:rsidR="002C7BA7" w:rsidRPr="00225B62">
        <w:rPr>
          <w:szCs w:val="22"/>
        </w:rPr>
        <w:tab/>
      </w:r>
      <w:r w:rsidR="0068343F" w:rsidRPr="00225B62">
        <w:rPr>
          <w:szCs w:val="22"/>
        </w:rPr>
        <w:t>9</w:t>
      </w:r>
    </w:p>
    <w:p w14:paraId="00DF3C66" w14:textId="77777777" w:rsidR="0068343F" w:rsidRPr="00225B62" w:rsidRDefault="0068343F" w:rsidP="0068343F">
      <w:pPr>
        <w:tabs>
          <w:tab w:val="left" w:pos="360"/>
          <w:tab w:val="left" w:leader="dot" w:pos="8640"/>
        </w:tabs>
        <w:ind w:firstLine="360"/>
        <w:rPr>
          <w:szCs w:val="22"/>
        </w:rPr>
      </w:pPr>
      <w:r w:rsidRPr="00225B62">
        <w:rPr>
          <w:szCs w:val="22"/>
        </w:rPr>
        <w:t>D.   Limits on Modification</w:t>
      </w:r>
      <w:r w:rsidRPr="00225B62">
        <w:rPr>
          <w:szCs w:val="22"/>
        </w:rPr>
        <w:tab/>
        <w:t>10</w:t>
      </w:r>
    </w:p>
    <w:p w14:paraId="0F1CB44E" w14:textId="11EAF695" w:rsidR="0068343F" w:rsidRPr="00225B62" w:rsidRDefault="00586230" w:rsidP="0068343F">
      <w:pPr>
        <w:tabs>
          <w:tab w:val="left" w:pos="360"/>
          <w:tab w:val="left" w:leader="dot" w:pos="8640"/>
        </w:tabs>
        <w:ind w:firstLine="360"/>
        <w:rPr>
          <w:szCs w:val="22"/>
        </w:rPr>
      </w:pPr>
      <w:r w:rsidRPr="00586230">
        <w:rPr>
          <w:szCs w:val="22"/>
        </w:rPr>
        <w:t>E</w:t>
      </w:r>
      <w:r>
        <w:rPr>
          <w:szCs w:val="22"/>
        </w:rPr>
        <w:t xml:space="preserve">.   </w:t>
      </w:r>
      <w:r w:rsidRPr="00586230">
        <w:rPr>
          <w:szCs w:val="22"/>
        </w:rPr>
        <w:t>Mutual Exclusivity and Priority for Displaced DRTs and DTDRT Applications</w:t>
      </w:r>
      <w:r w:rsidR="00E50423" w:rsidRPr="00225B62">
        <w:rPr>
          <w:szCs w:val="22"/>
        </w:rPr>
        <w:tab/>
        <w:t>14</w:t>
      </w:r>
    </w:p>
    <w:p w14:paraId="5B3DBDFF" w14:textId="7E026A9F" w:rsidR="002C7BA7" w:rsidRPr="00225B62" w:rsidRDefault="00F559A1" w:rsidP="00F559A1">
      <w:pPr>
        <w:tabs>
          <w:tab w:val="left" w:pos="360"/>
          <w:tab w:val="left" w:leader="dot" w:pos="8640"/>
        </w:tabs>
        <w:ind w:firstLine="360"/>
        <w:rPr>
          <w:szCs w:val="22"/>
        </w:rPr>
      </w:pPr>
      <w:r w:rsidRPr="00225B62">
        <w:rPr>
          <w:szCs w:val="22"/>
        </w:rPr>
        <w:t xml:space="preserve">F.    </w:t>
      </w:r>
      <w:r w:rsidR="00A0721D" w:rsidRPr="00225B62">
        <w:rPr>
          <w:szCs w:val="22"/>
        </w:rPr>
        <w:t>Construction Peri</w:t>
      </w:r>
      <w:r w:rsidRPr="00225B62">
        <w:rPr>
          <w:szCs w:val="22"/>
        </w:rPr>
        <w:t>od</w:t>
      </w:r>
      <w:r w:rsidR="00FB6772" w:rsidRPr="00225B62">
        <w:rPr>
          <w:szCs w:val="22"/>
        </w:rPr>
        <w:t>, Extension of Time</w:t>
      </w:r>
      <w:r w:rsidR="00586230">
        <w:rPr>
          <w:szCs w:val="22"/>
        </w:rPr>
        <w:t>,</w:t>
      </w:r>
      <w:r w:rsidR="00FB6772" w:rsidRPr="00225B62">
        <w:rPr>
          <w:szCs w:val="22"/>
        </w:rPr>
        <w:t xml:space="preserve"> and Tolling</w:t>
      </w:r>
      <w:r w:rsidRPr="00225B62">
        <w:rPr>
          <w:szCs w:val="22"/>
        </w:rPr>
        <w:tab/>
      </w:r>
      <w:r w:rsidR="00E50423" w:rsidRPr="00225B62">
        <w:rPr>
          <w:szCs w:val="22"/>
        </w:rPr>
        <w:t>17</w:t>
      </w:r>
    </w:p>
    <w:p w14:paraId="4DBC0BB2" w14:textId="16E564B6" w:rsidR="002C7BA7" w:rsidRPr="00225B62" w:rsidRDefault="00F559A1" w:rsidP="00FB6772">
      <w:pPr>
        <w:tabs>
          <w:tab w:val="left" w:pos="360"/>
          <w:tab w:val="left" w:leader="dot" w:pos="8640"/>
        </w:tabs>
        <w:ind w:firstLine="360"/>
        <w:rPr>
          <w:szCs w:val="22"/>
        </w:rPr>
      </w:pPr>
      <w:r w:rsidRPr="00225B62">
        <w:rPr>
          <w:szCs w:val="22"/>
        </w:rPr>
        <w:t>G.   S</w:t>
      </w:r>
      <w:r w:rsidR="002C7BA7" w:rsidRPr="00225B62">
        <w:rPr>
          <w:szCs w:val="22"/>
        </w:rPr>
        <w:t>ilent Authority</w:t>
      </w:r>
      <w:r w:rsidR="002C7BA7" w:rsidRPr="00225B62">
        <w:rPr>
          <w:szCs w:val="22"/>
        </w:rPr>
        <w:tab/>
      </w:r>
      <w:r w:rsidR="00E50423" w:rsidRPr="00225B62">
        <w:rPr>
          <w:szCs w:val="22"/>
        </w:rPr>
        <w:t>20</w:t>
      </w:r>
    </w:p>
    <w:p w14:paraId="42198641" w14:textId="5A911ABD" w:rsidR="002C7BA7" w:rsidRPr="00225B62" w:rsidRDefault="002C7BA7" w:rsidP="00F559A1">
      <w:pPr>
        <w:tabs>
          <w:tab w:val="left" w:pos="360"/>
          <w:tab w:val="left" w:leader="dot" w:pos="8640"/>
        </w:tabs>
        <w:rPr>
          <w:szCs w:val="22"/>
        </w:rPr>
      </w:pPr>
      <w:r w:rsidRPr="00225B62">
        <w:rPr>
          <w:szCs w:val="22"/>
        </w:rPr>
        <w:t>IV.</w:t>
      </w:r>
      <w:r w:rsidRPr="00225B62">
        <w:rPr>
          <w:szCs w:val="22"/>
        </w:rPr>
        <w:tab/>
      </w:r>
      <w:r w:rsidR="00FB6772" w:rsidRPr="00225B62">
        <w:rPr>
          <w:szCs w:val="22"/>
        </w:rPr>
        <w:t>DISPLACEMENT PROCEDURES</w:t>
      </w:r>
      <w:r w:rsidRPr="00225B62">
        <w:rPr>
          <w:szCs w:val="22"/>
        </w:rPr>
        <w:tab/>
      </w:r>
      <w:r w:rsidR="00E50423" w:rsidRPr="00225B62">
        <w:rPr>
          <w:szCs w:val="22"/>
        </w:rPr>
        <w:t>23</w:t>
      </w:r>
    </w:p>
    <w:p w14:paraId="6840363D" w14:textId="3C1D73BC" w:rsidR="002C7BA7" w:rsidRPr="00225B62" w:rsidRDefault="002C7BA7" w:rsidP="00F559A1">
      <w:pPr>
        <w:tabs>
          <w:tab w:val="left" w:pos="360"/>
          <w:tab w:val="left" w:leader="dot" w:pos="8640"/>
        </w:tabs>
        <w:rPr>
          <w:szCs w:val="22"/>
        </w:rPr>
      </w:pPr>
      <w:r w:rsidRPr="00225B62">
        <w:rPr>
          <w:szCs w:val="22"/>
        </w:rPr>
        <w:tab/>
      </w:r>
      <w:r w:rsidR="00F559A1" w:rsidRPr="00225B62">
        <w:rPr>
          <w:szCs w:val="22"/>
        </w:rPr>
        <w:t xml:space="preserve">A.   </w:t>
      </w:r>
      <w:r w:rsidRPr="00225B62">
        <w:rPr>
          <w:szCs w:val="22"/>
        </w:rPr>
        <w:t>Stations on Channels 38-51</w:t>
      </w:r>
      <w:r w:rsidR="00F559A1" w:rsidRPr="00225B62">
        <w:rPr>
          <w:szCs w:val="22"/>
        </w:rPr>
        <w:tab/>
      </w:r>
      <w:r w:rsidR="00E50423" w:rsidRPr="00225B62">
        <w:rPr>
          <w:szCs w:val="22"/>
        </w:rPr>
        <w:t>23</w:t>
      </w:r>
    </w:p>
    <w:p w14:paraId="4747C126" w14:textId="4E6D832E" w:rsidR="002C7BA7" w:rsidRPr="00225B62" w:rsidRDefault="002C7BA7" w:rsidP="00F559A1">
      <w:pPr>
        <w:tabs>
          <w:tab w:val="left" w:pos="360"/>
          <w:tab w:val="left" w:leader="dot" w:pos="8640"/>
        </w:tabs>
        <w:rPr>
          <w:szCs w:val="22"/>
        </w:rPr>
      </w:pPr>
      <w:r w:rsidRPr="00225B62">
        <w:rPr>
          <w:szCs w:val="22"/>
        </w:rPr>
        <w:tab/>
      </w:r>
      <w:r w:rsidR="00F559A1" w:rsidRPr="00225B62">
        <w:rPr>
          <w:szCs w:val="22"/>
        </w:rPr>
        <w:t xml:space="preserve">B.   </w:t>
      </w:r>
      <w:r w:rsidRPr="00225B62">
        <w:rPr>
          <w:szCs w:val="22"/>
        </w:rPr>
        <w:t>Stations on Channels 2-36</w:t>
      </w:r>
      <w:r w:rsidRPr="00225B62">
        <w:rPr>
          <w:szCs w:val="22"/>
        </w:rPr>
        <w:tab/>
      </w:r>
      <w:r w:rsidR="00E50423" w:rsidRPr="00225B62">
        <w:rPr>
          <w:szCs w:val="22"/>
        </w:rPr>
        <w:t>29</w:t>
      </w:r>
    </w:p>
    <w:p w14:paraId="26C99DB5" w14:textId="093D9F05" w:rsidR="002C7BA7" w:rsidRPr="00225B62" w:rsidRDefault="002C7BA7" w:rsidP="0068343F">
      <w:pPr>
        <w:tabs>
          <w:tab w:val="left" w:pos="360"/>
          <w:tab w:val="left" w:leader="dot" w:pos="8640"/>
        </w:tabs>
        <w:rPr>
          <w:szCs w:val="22"/>
        </w:rPr>
      </w:pPr>
      <w:r w:rsidRPr="00225B62">
        <w:rPr>
          <w:szCs w:val="22"/>
        </w:rPr>
        <w:t>V.</w:t>
      </w:r>
      <w:r w:rsidRPr="00225B62">
        <w:rPr>
          <w:szCs w:val="22"/>
        </w:rPr>
        <w:tab/>
        <w:t>CHANNEL SHARING</w:t>
      </w:r>
      <w:r w:rsidRPr="00225B62">
        <w:rPr>
          <w:szCs w:val="22"/>
        </w:rPr>
        <w:tab/>
      </w:r>
      <w:r w:rsidR="00E50423" w:rsidRPr="00225B62">
        <w:rPr>
          <w:szCs w:val="22"/>
        </w:rPr>
        <w:t>30</w:t>
      </w:r>
      <w:r w:rsidRPr="00225B62">
        <w:rPr>
          <w:szCs w:val="22"/>
        </w:rPr>
        <w:tab/>
      </w:r>
    </w:p>
    <w:p w14:paraId="1FB3FD80" w14:textId="501F1DEA" w:rsidR="002C7BA7" w:rsidRPr="00225B62" w:rsidRDefault="002C7BA7" w:rsidP="00F559A1">
      <w:pPr>
        <w:tabs>
          <w:tab w:val="left" w:pos="360"/>
          <w:tab w:val="left" w:leader="dot" w:pos="8640"/>
        </w:tabs>
        <w:rPr>
          <w:szCs w:val="22"/>
        </w:rPr>
      </w:pPr>
      <w:r w:rsidRPr="00225B62">
        <w:rPr>
          <w:szCs w:val="22"/>
        </w:rPr>
        <w:t>VI.</w:t>
      </w:r>
      <w:r w:rsidRPr="00225B62">
        <w:rPr>
          <w:szCs w:val="22"/>
        </w:rPr>
        <w:tab/>
        <w:t>NEW DIGITAL-TO-DIGITAL REPLACEMENT TRANSLATORS</w:t>
      </w:r>
      <w:r w:rsidRPr="00225B62">
        <w:rPr>
          <w:szCs w:val="22"/>
        </w:rPr>
        <w:tab/>
      </w:r>
      <w:r w:rsidR="00E50423" w:rsidRPr="00225B62">
        <w:rPr>
          <w:szCs w:val="22"/>
        </w:rPr>
        <w:t>32</w:t>
      </w:r>
    </w:p>
    <w:p w14:paraId="5710DBAF" w14:textId="2A6966DB" w:rsidR="002C7BA7" w:rsidRPr="00225B62" w:rsidRDefault="002C7BA7" w:rsidP="00F559A1">
      <w:pPr>
        <w:tabs>
          <w:tab w:val="left" w:pos="360"/>
          <w:tab w:val="left" w:leader="dot" w:pos="8640"/>
        </w:tabs>
        <w:rPr>
          <w:szCs w:val="22"/>
        </w:rPr>
      </w:pPr>
      <w:r w:rsidRPr="00225B62">
        <w:rPr>
          <w:szCs w:val="22"/>
        </w:rPr>
        <w:tab/>
        <w:t>A.</w:t>
      </w:r>
      <w:r w:rsidR="00F559A1" w:rsidRPr="00225B62">
        <w:rPr>
          <w:szCs w:val="22"/>
        </w:rPr>
        <w:t xml:space="preserve">   </w:t>
      </w:r>
      <w:r w:rsidRPr="00225B62">
        <w:rPr>
          <w:szCs w:val="22"/>
        </w:rPr>
        <w:t>Eligibility</w:t>
      </w:r>
      <w:r w:rsidRPr="00225B62">
        <w:rPr>
          <w:szCs w:val="22"/>
        </w:rPr>
        <w:tab/>
      </w:r>
      <w:r w:rsidR="00586230">
        <w:rPr>
          <w:szCs w:val="22"/>
        </w:rPr>
        <w:t>32</w:t>
      </w:r>
    </w:p>
    <w:p w14:paraId="3CC8ADA7" w14:textId="268F5784" w:rsidR="002C7BA7" w:rsidRPr="00225B62" w:rsidRDefault="002C7BA7" w:rsidP="00F559A1">
      <w:pPr>
        <w:tabs>
          <w:tab w:val="left" w:pos="360"/>
          <w:tab w:val="left" w:leader="dot" w:pos="8640"/>
        </w:tabs>
        <w:rPr>
          <w:szCs w:val="22"/>
        </w:rPr>
      </w:pPr>
      <w:r w:rsidRPr="00225B62">
        <w:rPr>
          <w:szCs w:val="22"/>
        </w:rPr>
        <w:tab/>
      </w:r>
      <w:r w:rsidR="00F559A1" w:rsidRPr="00225B62">
        <w:rPr>
          <w:szCs w:val="22"/>
        </w:rPr>
        <w:t xml:space="preserve">B.   </w:t>
      </w:r>
      <w:r w:rsidRPr="00225B62">
        <w:rPr>
          <w:szCs w:val="22"/>
        </w:rPr>
        <w:t>DTDRT Application Filing Procedures</w:t>
      </w:r>
      <w:r w:rsidRPr="00225B62">
        <w:rPr>
          <w:szCs w:val="22"/>
        </w:rPr>
        <w:tab/>
      </w:r>
      <w:r w:rsidR="00586230">
        <w:rPr>
          <w:szCs w:val="22"/>
        </w:rPr>
        <w:t>34</w:t>
      </w:r>
    </w:p>
    <w:p w14:paraId="79BABAC7" w14:textId="4DE9297D" w:rsidR="002C7BA7" w:rsidRPr="00225B62" w:rsidRDefault="002C7BA7" w:rsidP="00F559A1">
      <w:pPr>
        <w:tabs>
          <w:tab w:val="left" w:pos="360"/>
          <w:tab w:val="left" w:leader="dot" w:pos="8640"/>
        </w:tabs>
        <w:rPr>
          <w:szCs w:val="22"/>
        </w:rPr>
      </w:pPr>
      <w:r w:rsidRPr="00225B62">
        <w:rPr>
          <w:szCs w:val="22"/>
        </w:rPr>
        <w:tab/>
      </w:r>
      <w:r w:rsidR="00F559A1" w:rsidRPr="00225B62">
        <w:rPr>
          <w:szCs w:val="22"/>
        </w:rPr>
        <w:t xml:space="preserve">C.   </w:t>
      </w:r>
      <w:r w:rsidRPr="00225B62">
        <w:rPr>
          <w:szCs w:val="22"/>
        </w:rPr>
        <w:t>Processing Priority</w:t>
      </w:r>
      <w:r w:rsidRPr="00225B62">
        <w:rPr>
          <w:szCs w:val="22"/>
        </w:rPr>
        <w:tab/>
      </w:r>
      <w:r w:rsidR="00586230">
        <w:rPr>
          <w:szCs w:val="22"/>
        </w:rPr>
        <w:t>35</w:t>
      </w:r>
    </w:p>
    <w:p w14:paraId="0B9C5FB4" w14:textId="0FA15148" w:rsidR="002C7BA7" w:rsidRPr="00225B62" w:rsidRDefault="002C7BA7" w:rsidP="00F559A1">
      <w:pPr>
        <w:tabs>
          <w:tab w:val="left" w:pos="360"/>
          <w:tab w:val="left" w:leader="dot" w:pos="8640"/>
        </w:tabs>
        <w:rPr>
          <w:szCs w:val="22"/>
        </w:rPr>
      </w:pPr>
      <w:r w:rsidRPr="00225B62">
        <w:rPr>
          <w:szCs w:val="22"/>
        </w:rPr>
        <w:t>VII. DATE FOR LPTV DTV TRANSITION – JULY 13, 2021</w:t>
      </w:r>
      <w:r w:rsidRPr="00225B62">
        <w:rPr>
          <w:szCs w:val="22"/>
        </w:rPr>
        <w:tab/>
      </w:r>
      <w:r w:rsidR="00586230">
        <w:rPr>
          <w:szCs w:val="22"/>
        </w:rPr>
        <w:t>36</w:t>
      </w:r>
    </w:p>
    <w:p w14:paraId="0910362A" w14:textId="2C5A1418" w:rsidR="002C7BA7" w:rsidRPr="00225B62" w:rsidRDefault="002C7BA7" w:rsidP="00F559A1">
      <w:pPr>
        <w:tabs>
          <w:tab w:val="left" w:pos="360"/>
          <w:tab w:val="left" w:leader="dot" w:pos="8640"/>
        </w:tabs>
        <w:ind w:left="360" w:hanging="360"/>
        <w:rPr>
          <w:szCs w:val="22"/>
        </w:rPr>
      </w:pPr>
      <w:r w:rsidRPr="00225B62">
        <w:rPr>
          <w:szCs w:val="22"/>
        </w:rPr>
        <w:t>VIII.</w:t>
      </w:r>
      <w:r w:rsidR="009262E7" w:rsidRPr="00225B62">
        <w:rPr>
          <w:szCs w:val="22"/>
        </w:rPr>
        <w:t>LIFTING OF</w:t>
      </w:r>
      <w:r w:rsidRPr="00225B62">
        <w:rPr>
          <w:szCs w:val="22"/>
        </w:rPr>
        <w:t xml:space="preserve"> FREEZE </w:t>
      </w:r>
      <w:r w:rsidR="009262E7" w:rsidRPr="00225B62">
        <w:rPr>
          <w:szCs w:val="22"/>
        </w:rPr>
        <w:t>ON</w:t>
      </w:r>
      <w:r w:rsidRPr="00225B62">
        <w:rPr>
          <w:szCs w:val="22"/>
        </w:rPr>
        <w:t xml:space="preserve"> FILING OF DISPLACEMENT AND DIGITAL COMPANION</w:t>
      </w:r>
    </w:p>
    <w:p w14:paraId="4DFA9E75" w14:textId="3EFB8024" w:rsidR="002C7BA7" w:rsidRPr="00225B62" w:rsidRDefault="002C7BA7" w:rsidP="00F559A1">
      <w:pPr>
        <w:tabs>
          <w:tab w:val="left" w:pos="360"/>
          <w:tab w:val="left" w:leader="dot" w:pos="8640"/>
        </w:tabs>
        <w:ind w:left="360" w:hanging="360"/>
        <w:rPr>
          <w:szCs w:val="22"/>
        </w:rPr>
      </w:pPr>
      <w:r w:rsidRPr="00225B62">
        <w:rPr>
          <w:szCs w:val="22"/>
        </w:rPr>
        <w:t xml:space="preserve">        CHANNEL APPLICATIONS</w:t>
      </w:r>
      <w:r w:rsidR="009262E7" w:rsidRPr="00225B62">
        <w:rPr>
          <w:szCs w:val="22"/>
        </w:rPr>
        <w:t xml:space="preserve"> TO BE ANNOUNCED IN FUTURE PUBLIC NOTICE</w:t>
      </w:r>
      <w:r w:rsidRPr="00225B62">
        <w:rPr>
          <w:szCs w:val="22"/>
        </w:rPr>
        <w:tab/>
      </w:r>
      <w:r w:rsidR="00586230">
        <w:rPr>
          <w:szCs w:val="22"/>
        </w:rPr>
        <w:t>40</w:t>
      </w:r>
    </w:p>
    <w:p w14:paraId="229DC6FF" w14:textId="47694A21" w:rsidR="002C7BA7" w:rsidRPr="00225B62" w:rsidRDefault="002C7BA7" w:rsidP="00F559A1">
      <w:pPr>
        <w:tabs>
          <w:tab w:val="left" w:pos="360"/>
          <w:tab w:val="left" w:leader="dot" w:pos="8640"/>
        </w:tabs>
        <w:rPr>
          <w:szCs w:val="22"/>
        </w:rPr>
      </w:pPr>
      <w:r w:rsidRPr="00225B62">
        <w:rPr>
          <w:szCs w:val="22"/>
        </w:rPr>
        <w:t>IX.</w:t>
      </w:r>
      <w:r w:rsidRPr="00225B62">
        <w:rPr>
          <w:szCs w:val="22"/>
        </w:rPr>
        <w:tab/>
        <w:t xml:space="preserve"> CONTACTS</w:t>
      </w:r>
      <w:r w:rsidRPr="00225B62">
        <w:rPr>
          <w:szCs w:val="22"/>
        </w:rPr>
        <w:tab/>
      </w:r>
      <w:r w:rsidR="00586230">
        <w:rPr>
          <w:szCs w:val="22"/>
        </w:rPr>
        <w:t>43</w:t>
      </w:r>
    </w:p>
    <w:p w14:paraId="71545FEF" w14:textId="77777777" w:rsidR="002C7BA7" w:rsidRPr="00225B62" w:rsidRDefault="002251B6" w:rsidP="00F559A1">
      <w:pPr>
        <w:tabs>
          <w:tab w:val="left" w:pos="360"/>
          <w:tab w:val="left" w:leader="dot" w:pos="8640"/>
        </w:tabs>
        <w:rPr>
          <w:szCs w:val="22"/>
        </w:rPr>
      </w:pPr>
      <w:r w:rsidRPr="00225B62">
        <w:rPr>
          <w:szCs w:val="22"/>
        </w:rPr>
        <w:t>APPENDIX A -</w:t>
      </w:r>
      <w:r w:rsidR="0068343F" w:rsidRPr="00225B62">
        <w:rPr>
          <w:szCs w:val="22"/>
        </w:rPr>
        <w:t xml:space="preserve"> INSTRUCTIONS FOR ACCESSING AND FILING ON LMS</w:t>
      </w:r>
    </w:p>
    <w:p w14:paraId="4CF141AB" w14:textId="77777777" w:rsidR="002251B6" w:rsidRPr="00225B62" w:rsidRDefault="002251B6" w:rsidP="00F559A1">
      <w:pPr>
        <w:tabs>
          <w:tab w:val="left" w:pos="360"/>
          <w:tab w:val="left" w:leader="dot" w:pos="8640"/>
        </w:tabs>
        <w:rPr>
          <w:szCs w:val="22"/>
        </w:rPr>
      </w:pPr>
    </w:p>
    <w:p w14:paraId="5E71220C" w14:textId="77777777" w:rsidR="00A754AF" w:rsidRPr="00225B62" w:rsidRDefault="00E02A3E" w:rsidP="00E02A3E">
      <w:pPr>
        <w:pStyle w:val="Heading1"/>
        <w:rPr>
          <w:rFonts w:ascii="Times New Roman" w:hAnsi="Times New Roman"/>
          <w:szCs w:val="22"/>
        </w:rPr>
      </w:pPr>
      <w:bookmarkStart w:id="1" w:name="_Toc477506802"/>
      <w:r w:rsidRPr="00225B62">
        <w:rPr>
          <w:rFonts w:ascii="Times New Roman" w:hAnsi="Times New Roman"/>
          <w:szCs w:val="22"/>
        </w:rPr>
        <w:t>INTRODUCTION</w:t>
      </w:r>
      <w:bookmarkEnd w:id="1"/>
    </w:p>
    <w:p w14:paraId="3F23BCF1" w14:textId="330ACE0C" w:rsidR="002A6D5B" w:rsidRPr="00225B62" w:rsidRDefault="00F15AAF" w:rsidP="007D298D">
      <w:pPr>
        <w:numPr>
          <w:ilvl w:val="0"/>
          <w:numId w:val="2"/>
        </w:numPr>
        <w:tabs>
          <w:tab w:val="clear" w:pos="1080"/>
        </w:tabs>
        <w:spacing w:after="120"/>
        <w:rPr>
          <w:szCs w:val="22"/>
        </w:rPr>
        <w:sectPr w:rsidR="002A6D5B" w:rsidRPr="00225B62" w:rsidSect="00A56F3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pPr>
      <w:r w:rsidRPr="00225B62">
        <w:rPr>
          <w:szCs w:val="22"/>
        </w:rPr>
        <w:t xml:space="preserve">The </w:t>
      </w:r>
      <w:r w:rsidR="00312333" w:rsidRPr="00225B62">
        <w:rPr>
          <w:szCs w:val="22"/>
        </w:rPr>
        <w:t>Incentive Auction Task Force and</w:t>
      </w:r>
      <w:r w:rsidRPr="00225B62">
        <w:rPr>
          <w:szCs w:val="22"/>
        </w:rPr>
        <w:t xml:space="preserve"> Media Bureau (Bureau), in t</w:t>
      </w:r>
      <w:r w:rsidR="00A754AF" w:rsidRPr="00225B62">
        <w:rPr>
          <w:szCs w:val="22"/>
        </w:rPr>
        <w:t>his Public Notice</w:t>
      </w:r>
      <w:r w:rsidRPr="00225B62">
        <w:rPr>
          <w:szCs w:val="22"/>
        </w:rPr>
        <w:t>,</w:t>
      </w:r>
      <w:r w:rsidR="00A754AF" w:rsidRPr="00225B62">
        <w:rPr>
          <w:szCs w:val="22"/>
        </w:rPr>
        <w:t xml:space="preserve"> </w:t>
      </w:r>
      <w:r w:rsidR="002E11CD">
        <w:rPr>
          <w:szCs w:val="22"/>
        </w:rPr>
        <w:t>provide</w:t>
      </w:r>
      <w:r w:rsidR="0002529C" w:rsidRPr="00225B62">
        <w:rPr>
          <w:szCs w:val="22"/>
        </w:rPr>
        <w:t xml:space="preserve"> guidance</w:t>
      </w:r>
      <w:r w:rsidR="00693CFE" w:rsidRPr="00225B62">
        <w:rPr>
          <w:szCs w:val="22"/>
        </w:rPr>
        <w:t xml:space="preserve"> for </w:t>
      </w:r>
      <w:r w:rsidR="00557FE9" w:rsidRPr="00225B62">
        <w:rPr>
          <w:szCs w:val="22"/>
        </w:rPr>
        <w:t>low power television</w:t>
      </w:r>
      <w:r w:rsidR="00693CFE" w:rsidRPr="00225B62">
        <w:rPr>
          <w:szCs w:val="22"/>
        </w:rPr>
        <w:t xml:space="preserve"> (LPTV), television translator (TV translator) </w:t>
      </w:r>
      <w:r w:rsidR="00E02A3E" w:rsidRPr="00225B62">
        <w:rPr>
          <w:szCs w:val="22"/>
        </w:rPr>
        <w:t xml:space="preserve">and </w:t>
      </w:r>
      <w:r w:rsidR="00EC2248" w:rsidRPr="00225B62">
        <w:rPr>
          <w:szCs w:val="22"/>
        </w:rPr>
        <w:t xml:space="preserve">analog-to-digital </w:t>
      </w:r>
      <w:r w:rsidR="00E02A3E" w:rsidRPr="00225B62">
        <w:rPr>
          <w:szCs w:val="22"/>
        </w:rPr>
        <w:t>replacement translator</w:t>
      </w:r>
      <w:r w:rsidR="007D6813" w:rsidRPr="00225B62">
        <w:rPr>
          <w:szCs w:val="22"/>
        </w:rPr>
        <w:t xml:space="preserve"> </w:t>
      </w:r>
      <w:r w:rsidR="008A2483" w:rsidRPr="00225B62">
        <w:rPr>
          <w:szCs w:val="22"/>
        </w:rPr>
        <w:t xml:space="preserve">(DRT) </w:t>
      </w:r>
      <w:r w:rsidR="00693CFE" w:rsidRPr="00225B62">
        <w:rPr>
          <w:szCs w:val="22"/>
        </w:rPr>
        <w:t>stations</w:t>
      </w:r>
      <w:r w:rsidR="00E02A3E" w:rsidRPr="00225B62">
        <w:rPr>
          <w:szCs w:val="22"/>
        </w:rPr>
        <w:t xml:space="preserve"> </w:t>
      </w:r>
      <w:r w:rsidR="00693CFE" w:rsidRPr="00225B62">
        <w:rPr>
          <w:szCs w:val="22"/>
        </w:rPr>
        <w:t>(referred to collectively as “LPTV</w:t>
      </w:r>
      <w:r w:rsidR="00D80960" w:rsidRPr="00225B62">
        <w:rPr>
          <w:szCs w:val="22"/>
        </w:rPr>
        <w:t>/translator</w:t>
      </w:r>
      <w:r w:rsidR="00693CFE" w:rsidRPr="00225B62">
        <w:rPr>
          <w:szCs w:val="22"/>
        </w:rPr>
        <w:t xml:space="preserve"> stations”) </w:t>
      </w:r>
      <w:r w:rsidR="0002529C" w:rsidRPr="00225B62">
        <w:rPr>
          <w:szCs w:val="22"/>
        </w:rPr>
        <w:t xml:space="preserve">regarding </w:t>
      </w:r>
      <w:r w:rsidR="00693CFE" w:rsidRPr="00225B62">
        <w:rPr>
          <w:szCs w:val="22"/>
        </w:rPr>
        <w:t xml:space="preserve">the </w:t>
      </w:r>
      <w:r w:rsidR="0002529C" w:rsidRPr="00225B62">
        <w:rPr>
          <w:szCs w:val="22"/>
        </w:rPr>
        <w:t xml:space="preserve">post-auction </w:t>
      </w:r>
      <w:r w:rsidR="00693CFE" w:rsidRPr="00225B62">
        <w:rPr>
          <w:szCs w:val="22"/>
        </w:rPr>
        <w:t>transition period</w:t>
      </w:r>
      <w:r w:rsidR="00D611C9" w:rsidRPr="00225B62">
        <w:rPr>
          <w:szCs w:val="22"/>
        </w:rPr>
        <w:t>, which began on April 13, 2017, with the completion of t</w:t>
      </w:r>
      <w:r w:rsidR="009267A7" w:rsidRPr="00225B62">
        <w:rPr>
          <w:szCs w:val="22"/>
        </w:rPr>
        <w:t xml:space="preserve">he </w:t>
      </w:r>
    </w:p>
    <w:p w14:paraId="353419E6" w14:textId="0D264C4B" w:rsidR="00E02A3E" w:rsidRPr="00225B62" w:rsidRDefault="00A754AF" w:rsidP="00051A4E">
      <w:pPr>
        <w:spacing w:after="120"/>
        <w:rPr>
          <w:szCs w:val="22"/>
        </w:rPr>
      </w:pPr>
      <w:r w:rsidRPr="00225B62">
        <w:rPr>
          <w:szCs w:val="22"/>
        </w:rPr>
        <w:lastRenderedPageBreak/>
        <w:t>broadcast television spectrum incentive auction (Auction 1000)</w:t>
      </w:r>
      <w:r w:rsidR="00D611C9" w:rsidRPr="00225B62">
        <w:rPr>
          <w:szCs w:val="22"/>
        </w:rPr>
        <w:t>.</w:t>
      </w:r>
      <w:r w:rsidR="00B508A3" w:rsidRPr="00225B62">
        <w:rPr>
          <w:rStyle w:val="FootnoteReference"/>
          <w:sz w:val="22"/>
          <w:szCs w:val="22"/>
        </w:rPr>
        <w:footnoteReference w:id="2"/>
      </w:r>
      <w:r w:rsidRPr="00225B62">
        <w:rPr>
          <w:szCs w:val="22"/>
        </w:rPr>
        <w:t xml:space="preserve"> </w:t>
      </w:r>
      <w:r w:rsidR="00B508A3" w:rsidRPr="00225B62">
        <w:rPr>
          <w:szCs w:val="22"/>
        </w:rPr>
        <w:t xml:space="preserve"> </w:t>
      </w:r>
      <w:r w:rsidR="00691F9A" w:rsidRPr="00225B62">
        <w:rPr>
          <w:szCs w:val="22"/>
        </w:rPr>
        <w:t>T</w:t>
      </w:r>
      <w:r w:rsidR="007F5CCA" w:rsidRPr="00225B62">
        <w:rPr>
          <w:szCs w:val="22"/>
        </w:rPr>
        <w:t>he purpose of this Public Notice is t</w:t>
      </w:r>
      <w:r w:rsidR="00691F9A" w:rsidRPr="00225B62">
        <w:rPr>
          <w:szCs w:val="22"/>
        </w:rPr>
        <w:t xml:space="preserve">o </w:t>
      </w:r>
      <w:r w:rsidR="000B68CD" w:rsidRPr="00225B62">
        <w:rPr>
          <w:szCs w:val="22"/>
        </w:rPr>
        <w:t xml:space="preserve">summarize and clarify the </w:t>
      </w:r>
      <w:r w:rsidR="0002529C" w:rsidRPr="00225B62">
        <w:rPr>
          <w:szCs w:val="22"/>
        </w:rPr>
        <w:t xml:space="preserve">rules and procedures governing the post-auction transition </w:t>
      </w:r>
      <w:r w:rsidR="000B68CD" w:rsidRPr="00225B62">
        <w:rPr>
          <w:szCs w:val="22"/>
        </w:rPr>
        <w:t xml:space="preserve">for </w:t>
      </w:r>
      <w:r w:rsidR="00225B62">
        <w:rPr>
          <w:szCs w:val="22"/>
        </w:rPr>
        <w:br/>
      </w:r>
      <w:r w:rsidR="000B68CD" w:rsidRPr="00225B62">
        <w:rPr>
          <w:szCs w:val="22"/>
        </w:rPr>
        <w:t>LPTV/translator stations</w:t>
      </w:r>
      <w:r w:rsidRPr="00225B62">
        <w:rPr>
          <w:szCs w:val="22"/>
        </w:rPr>
        <w:t>.</w:t>
      </w:r>
    </w:p>
    <w:p w14:paraId="2AD269D8" w14:textId="5BC1E084" w:rsidR="00D06C51" w:rsidRPr="00225B62" w:rsidRDefault="00731FB6" w:rsidP="00ED7B74">
      <w:pPr>
        <w:pStyle w:val="ParaNum"/>
        <w:tabs>
          <w:tab w:val="clear" w:pos="1080"/>
        </w:tabs>
        <w:rPr>
          <w:szCs w:val="22"/>
        </w:rPr>
      </w:pPr>
      <w:r w:rsidRPr="00225B62">
        <w:rPr>
          <w:szCs w:val="22"/>
        </w:rPr>
        <w:t xml:space="preserve">In the </w:t>
      </w:r>
      <w:r w:rsidR="0080183F" w:rsidRPr="00225B62">
        <w:rPr>
          <w:szCs w:val="22"/>
        </w:rPr>
        <w:t>discussion</w:t>
      </w:r>
      <w:r w:rsidRPr="00225B62">
        <w:rPr>
          <w:szCs w:val="22"/>
        </w:rPr>
        <w:t xml:space="preserve"> below, we</w:t>
      </w:r>
      <w:r w:rsidR="0002529C" w:rsidRPr="00225B62">
        <w:rPr>
          <w:szCs w:val="22"/>
        </w:rPr>
        <w:t xml:space="preserve"> address</w:t>
      </w:r>
      <w:r w:rsidR="00DF01FD" w:rsidRPr="00225B62">
        <w:rPr>
          <w:szCs w:val="22"/>
        </w:rPr>
        <w:t xml:space="preserve">: </w:t>
      </w:r>
      <w:r w:rsidR="008A2483" w:rsidRPr="00225B62">
        <w:rPr>
          <w:szCs w:val="22"/>
        </w:rPr>
        <w:t>(</w:t>
      </w:r>
      <w:r w:rsidR="00DF01FD" w:rsidRPr="00225B62">
        <w:rPr>
          <w:szCs w:val="22"/>
        </w:rPr>
        <w:t xml:space="preserve">1) </w:t>
      </w:r>
      <w:r w:rsidR="0002529C" w:rsidRPr="00225B62">
        <w:rPr>
          <w:szCs w:val="22"/>
        </w:rPr>
        <w:t>the</w:t>
      </w:r>
      <w:r w:rsidR="00EC2248" w:rsidRPr="00225B62">
        <w:rPr>
          <w:szCs w:val="22"/>
        </w:rPr>
        <w:t xml:space="preserve"> special </w:t>
      </w:r>
      <w:r w:rsidR="0002529C" w:rsidRPr="00225B62">
        <w:rPr>
          <w:szCs w:val="22"/>
        </w:rPr>
        <w:t xml:space="preserve">filing </w:t>
      </w:r>
      <w:r w:rsidR="00EC2248" w:rsidRPr="00225B62">
        <w:rPr>
          <w:szCs w:val="22"/>
        </w:rPr>
        <w:t>window</w:t>
      </w:r>
      <w:r w:rsidR="001D489D" w:rsidRPr="00225B62">
        <w:rPr>
          <w:szCs w:val="22"/>
        </w:rPr>
        <w:t xml:space="preserve"> for operating </w:t>
      </w:r>
      <w:r w:rsidR="00D80960" w:rsidRPr="00225B62">
        <w:rPr>
          <w:szCs w:val="22"/>
        </w:rPr>
        <w:t>LPTV/translator stations</w:t>
      </w:r>
      <w:r w:rsidR="001D489D" w:rsidRPr="00225B62">
        <w:rPr>
          <w:szCs w:val="22"/>
        </w:rPr>
        <w:t xml:space="preserve"> that are </w:t>
      </w:r>
      <w:r w:rsidR="006C20F8" w:rsidRPr="00225B62">
        <w:rPr>
          <w:szCs w:val="22"/>
        </w:rPr>
        <w:t xml:space="preserve">subject to displacement </w:t>
      </w:r>
      <w:r w:rsidR="00235CFA" w:rsidRPr="00225B62">
        <w:rPr>
          <w:szCs w:val="22"/>
        </w:rPr>
        <w:t xml:space="preserve">as a result of </w:t>
      </w:r>
      <w:r w:rsidR="001D489D" w:rsidRPr="00225B62">
        <w:rPr>
          <w:szCs w:val="22"/>
        </w:rPr>
        <w:t>the incentiv</w:t>
      </w:r>
      <w:r w:rsidR="00C134D0" w:rsidRPr="00225B62">
        <w:rPr>
          <w:szCs w:val="22"/>
        </w:rPr>
        <w:t>e auction and repacking process</w:t>
      </w:r>
      <w:r w:rsidR="001D489D" w:rsidRPr="00225B62">
        <w:rPr>
          <w:szCs w:val="22"/>
        </w:rPr>
        <w:t xml:space="preserve">, including the </w:t>
      </w:r>
      <w:r w:rsidR="0002529C" w:rsidRPr="00225B62">
        <w:rPr>
          <w:szCs w:val="22"/>
        </w:rPr>
        <w:t xml:space="preserve">Bureau’s </w:t>
      </w:r>
      <w:r w:rsidR="001D489D" w:rsidRPr="00225B62">
        <w:rPr>
          <w:szCs w:val="22"/>
        </w:rPr>
        <w:t xml:space="preserve">release of data on channel availability </w:t>
      </w:r>
      <w:r w:rsidR="0002529C" w:rsidRPr="00225B62">
        <w:rPr>
          <w:szCs w:val="22"/>
        </w:rPr>
        <w:t>in advance of the window</w:t>
      </w:r>
      <w:r w:rsidR="00DF01FD" w:rsidRPr="00225B62">
        <w:rPr>
          <w:szCs w:val="22"/>
        </w:rPr>
        <w:t>;</w:t>
      </w:r>
      <w:r w:rsidRPr="00225B62">
        <w:rPr>
          <w:rStyle w:val="FootnoteReference"/>
          <w:sz w:val="22"/>
          <w:szCs w:val="22"/>
        </w:rPr>
        <w:footnoteReference w:id="3"/>
      </w:r>
      <w:r w:rsidR="00DF01FD" w:rsidRPr="00225B62">
        <w:rPr>
          <w:szCs w:val="22"/>
        </w:rPr>
        <w:t xml:space="preserve"> </w:t>
      </w:r>
      <w:r w:rsidR="008A2483" w:rsidRPr="00225B62">
        <w:rPr>
          <w:szCs w:val="22"/>
        </w:rPr>
        <w:t>(</w:t>
      </w:r>
      <w:r w:rsidR="00DF01FD" w:rsidRPr="00225B62">
        <w:rPr>
          <w:szCs w:val="22"/>
        </w:rPr>
        <w:t>2)</w:t>
      </w:r>
      <w:r w:rsidR="00F76828" w:rsidRPr="00225B62">
        <w:rPr>
          <w:szCs w:val="22"/>
        </w:rPr>
        <w:t xml:space="preserve"> the </w:t>
      </w:r>
      <w:r w:rsidR="0002529C" w:rsidRPr="00225B62">
        <w:rPr>
          <w:szCs w:val="22"/>
        </w:rPr>
        <w:t xml:space="preserve">displacement process for </w:t>
      </w:r>
      <w:r w:rsidR="00D80960" w:rsidRPr="00225B62">
        <w:rPr>
          <w:szCs w:val="22"/>
        </w:rPr>
        <w:t>LPTV/translator stations</w:t>
      </w:r>
      <w:r w:rsidR="00DF01FD" w:rsidRPr="00225B62">
        <w:rPr>
          <w:szCs w:val="22"/>
        </w:rPr>
        <w:t>;</w:t>
      </w:r>
      <w:r w:rsidRPr="00225B62">
        <w:rPr>
          <w:rStyle w:val="FootnoteReference"/>
          <w:sz w:val="22"/>
          <w:szCs w:val="22"/>
        </w:rPr>
        <w:footnoteReference w:id="4"/>
      </w:r>
      <w:r w:rsidR="00DF01FD" w:rsidRPr="00225B62">
        <w:rPr>
          <w:szCs w:val="22"/>
        </w:rPr>
        <w:t xml:space="preserve"> </w:t>
      </w:r>
      <w:r w:rsidR="008A2483" w:rsidRPr="00225B62">
        <w:rPr>
          <w:szCs w:val="22"/>
        </w:rPr>
        <w:t>(</w:t>
      </w:r>
      <w:r w:rsidR="00DF01FD" w:rsidRPr="00225B62">
        <w:rPr>
          <w:szCs w:val="22"/>
        </w:rPr>
        <w:t>3)</w:t>
      </w:r>
      <w:r w:rsidR="00F76828" w:rsidRPr="00225B62">
        <w:rPr>
          <w:szCs w:val="22"/>
        </w:rPr>
        <w:t xml:space="preserve"> </w:t>
      </w:r>
      <w:r w:rsidR="00FB63B4" w:rsidRPr="00225B62">
        <w:rPr>
          <w:szCs w:val="22"/>
        </w:rPr>
        <w:t xml:space="preserve">LPTV and TV translator station </w:t>
      </w:r>
      <w:r w:rsidR="00CF1BC2" w:rsidRPr="00225B62">
        <w:rPr>
          <w:szCs w:val="22"/>
        </w:rPr>
        <w:t>channel sharing</w:t>
      </w:r>
      <w:r w:rsidR="00DF01FD" w:rsidRPr="00225B62">
        <w:rPr>
          <w:szCs w:val="22"/>
        </w:rPr>
        <w:t>;</w:t>
      </w:r>
      <w:r w:rsidRPr="00225B62">
        <w:rPr>
          <w:rStyle w:val="FootnoteReference"/>
          <w:sz w:val="22"/>
          <w:szCs w:val="22"/>
        </w:rPr>
        <w:footnoteReference w:id="5"/>
      </w:r>
      <w:r w:rsidR="00DF01FD" w:rsidRPr="00225B62">
        <w:rPr>
          <w:szCs w:val="22"/>
        </w:rPr>
        <w:t xml:space="preserve"> </w:t>
      </w:r>
      <w:r w:rsidR="008A2483" w:rsidRPr="00225B62">
        <w:rPr>
          <w:szCs w:val="22"/>
        </w:rPr>
        <w:t>(</w:t>
      </w:r>
      <w:r w:rsidR="00DF01FD" w:rsidRPr="00225B62">
        <w:rPr>
          <w:szCs w:val="22"/>
        </w:rPr>
        <w:t>4)</w:t>
      </w:r>
      <w:r w:rsidR="00686FA6" w:rsidRPr="00225B62">
        <w:rPr>
          <w:szCs w:val="22"/>
        </w:rPr>
        <w:t xml:space="preserve"> </w:t>
      </w:r>
      <w:r w:rsidR="00D06C51" w:rsidRPr="00225B62">
        <w:rPr>
          <w:szCs w:val="22"/>
        </w:rPr>
        <w:t>the procedures to appl</w:t>
      </w:r>
      <w:r w:rsidR="00686FA6" w:rsidRPr="00225B62">
        <w:rPr>
          <w:szCs w:val="22"/>
        </w:rPr>
        <w:t>y</w:t>
      </w:r>
      <w:r w:rsidR="00D06C51" w:rsidRPr="00225B62">
        <w:rPr>
          <w:szCs w:val="22"/>
        </w:rPr>
        <w:t xml:space="preserve"> for new digital-to-digital replacement translator</w:t>
      </w:r>
      <w:r w:rsidR="008A2483" w:rsidRPr="00225B62">
        <w:rPr>
          <w:szCs w:val="22"/>
        </w:rPr>
        <w:t xml:space="preserve"> </w:t>
      </w:r>
      <w:r w:rsidR="00D06C51" w:rsidRPr="00225B62">
        <w:rPr>
          <w:szCs w:val="22"/>
        </w:rPr>
        <w:t>s</w:t>
      </w:r>
      <w:r w:rsidR="008A2483" w:rsidRPr="00225B62">
        <w:rPr>
          <w:szCs w:val="22"/>
        </w:rPr>
        <w:t>tations</w:t>
      </w:r>
      <w:r w:rsidR="00D06C51" w:rsidRPr="00225B62">
        <w:rPr>
          <w:szCs w:val="22"/>
        </w:rPr>
        <w:t xml:space="preserve"> (DTDRTs)</w:t>
      </w:r>
      <w:r w:rsidR="00DF01FD" w:rsidRPr="00225B62">
        <w:rPr>
          <w:szCs w:val="22"/>
        </w:rPr>
        <w:t>;</w:t>
      </w:r>
      <w:r w:rsidRPr="00225B62">
        <w:rPr>
          <w:rStyle w:val="FootnoteReference"/>
          <w:sz w:val="22"/>
          <w:szCs w:val="22"/>
        </w:rPr>
        <w:footnoteReference w:id="6"/>
      </w:r>
      <w:r w:rsidR="00DF01FD" w:rsidRPr="00225B62">
        <w:rPr>
          <w:szCs w:val="22"/>
        </w:rPr>
        <w:t xml:space="preserve"> </w:t>
      </w:r>
      <w:r w:rsidR="008A2483" w:rsidRPr="00225B62">
        <w:rPr>
          <w:szCs w:val="22"/>
        </w:rPr>
        <w:t>(</w:t>
      </w:r>
      <w:r w:rsidR="00DF01FD" w:rsidRPr="00225B62">
        <w:rPr>
          <w:szCs w:val="22"/>
        </w:rPr>
        <w:t xml:space="preserve">5) </w:t>
      </w:r>
      <w:r w:rsidR="00F76828" w:rsidRPr="00225B62">
        <w:rPr>
          <w:szCs w:val="22"/>
        </w:rPr>
        <w:t xml:space="preserve">the final digital transition </w:t>
      </w:r>
      <w:r w:rsidR="00444BF9" w:rsidRPr="00225B62">
        <w:rPr>
          <w:szCs w:val="22"/>
        </w:rPr>
        <w:t xml:space="preserve">date </w:t>
      </w:r>
      <w:r w:rsidR="00686FA6" w:rsidRPr="00225B62">
        <w:rPr>
          <w:szCs w:val="22"/>
        </w:rPr>
        <w:t xml:space="preserve">for </w:t>
      </w:r>
      <w:r w:rsidR="002E11CD">
        <w:rPr>
          <w:szCs w:val="22"/>
        </w:rPr>
        <w:t>LPTV and TV translator</w:t>
      </w:r>
      <w:r w:rsidR="00D80960" w:rsidRPr="00225B62">
        <w:rPr>
          <w:szCs w:val="22"/>
        </w:rPr>
        <w:t xml:space="preserve"> stations</w:t>
      </w:r>
      <w:r w:rsidR="00DF01FD" w:rsidRPr="00225B62">
        <w:rPr>
          <w:szCs w:val="22"/>
        </w:rPr>
        <w:t>;</w:t>
      </w:r>
      <w:r w:rsidRPr="00225B62">
        <w:rPr>
          <w:rStyle w:val="FootnoteReference"/>
          <w:sz w:val="22"/>
          <w:szCs w:val="22"/>
        </w:rPr>
        <w:footnoteReference w:id="7"/>
      </w:r>
      <w:r w:rsidR="00DF01FD" w:rsidRPr="00225B62">
        <w:rPr>
          <w:szCs w:val="22"/>
        </w:rPr>
        <w:t xml:space="preserve"> and </w:t>
      </w:r>
      <w:r w:rsidR="008A2483" w:rsidRPr="00225B62">
        <w:rPr>
          <w:szCs w:val="22"/>
        </w:rPr>
        <w:t>(</w:t>
      </w:r>
      <w:r w:rsidR="00DF01FD" w:rsidRPr="00225B62">
        <w:rPr>
          <w:szCs w:val="22"/>
        </w:rPr>
        <w:t xml:space="preserve">6) </w:t>
      </w:r>
      <w:r w:rsidR="007D47A4" w:rsidRPr="00225B62">
        <w:rPr>
          <w:szCs w:val="22"/>
        </w:rPr>
        <w:t>the</w:t>
      </w:r>
      <w:r w:rsidR="00D06C51" w:rsidRPr="00225B62">
        <w:rPr>
          <w:szCs w:val="22"/>
        </w:rPr>
        <w:t xml:space="preserve"> lift</w:t>
      </w:r>
      <w:r w:rsidR="007D47A4" w:rsidRPr="00225B62">
        <w:rPr>
          <w:szCs w:val="22"/>
        </w:rPr>
        <w:t>ing</w:t>
      </w:r>
      <w:r w:rsidR="00D06C51" w:rsidRPr="00225B62">
        <w:rPr>
          <w:szCs w:val="22"/>
        </w:rPr>
        <w:t xml:space="preserve"> </w:t>
      </w:r>
      <w:r w:rsidR="00686FA6" w:rsidRPr="00225B62">
        <w:rPr>
          <w:szCs w:val="22"/>
        </w:rPr>
        <w:t>o</w:t>
      </w:r>
      <w:r w:rsidR="007D47A4" w:rsidRPr="00225B62">
        <w:rPr>
          <w:szCs w:val="22"/>
        </w:rPr>
        <w:t>f</w:t>
      </w:r>
      <w:r w:rsidR="00D06C51" w:rsidRPr="00225B62">
        <w:rPr>
          <w:szCs w:val="22"/>
        </w:rPr>
        <w:t xml:space="preserve"> </w:t>
      </w:r>
      <w:r w:rsidR="007D47A4" w:rsidRPr="00225B62">
        <w:rPr>
          <w:szCs w:val="22"/>
        </w:rPr>
        <w:t xml:space="preserve">the freeze on the </w:t>
      </w:r>
      <w:r w:rsidR="00D06C51" w:rsidRPr="00225B62">
        <w:rPr>
          <w:szCs w:val="22"/>
        </w:rPr>
        <w:t xml:space="preserve">filing </w:t>
      </w:r>
      <w:r w:rsidR="007D47A4" w:rsidRPr="00225B62">
        <w:rPr>
          <w:szCs w:val="22"/>
        </w:rPr>
        <w:t xml:space="preserve">of </w:t>
      </w:r>
      <w:r w:rsidR="00D06C51" w:rsidRPr="00225B62">
        <w:rPr>
          <w:szCs w:val="22"/>
        </w:rPr>
        <w:t>displacement applications and applications for digital companion channels.</w:t>
      </w:r>
      <w:r w:rsidRPr="00225B62">
        <w:rPr>
          <w:rStyle w:val="FootnoteReference"/>
          <w:sz w:val="22"/>
          <w:szCs w:val="22"/>
        </w:rPr>
        <w:footnoteReference w:id="8"/>
      </w:r>
      <w:r w:rsidR="00D611C9" w:rsidRPr="00225B62">
        <w:rPr>
          <w:szCs w:val="22"/>
        </w:rPr>
        <w:t xml:space="preserve">  The Appendix includes instructions for filing in the Commission’s Licensing and Management System (LMS).</w:t>
      </w:r>
      <w:r w:rsidR="00F94DB8" w:rsidRPr="00225B62">
        <w:rPr>
          <w:szCs w:val="22"/>
        </w:rPr>
        <w:t xml:space="preserve">  </w:t>
      </w:r>
    </w:p>
    <w:p w14:paraId="65333C6A" w14:textId="77777777" w:rsidR="002E27E1" w:rsidRPr="00225B62" w:rsidRDefault="002E27E1" w:rsidP="002E27E1">
      <w:pPr>
        <w:pStyle w:val="Heading1"/>
        <w:rPr>
          <w:rFonts w:ascii="Times New Roman" w:hAnsi="Times New Roman"/>
          <w:szCs w:val="22"/>
        </w:rPr>
      </w:pPr>
      <w:bookmarkStart w:id="2" w:name="_Toc477506803"/>
      <w:r w:rsidRPr="00225B62">
        <w:rPr>
          <w:rFonts w:ascii="Times New Roman" w:hAnsi="Times New Roman"/>
          <w:szCs w:val="22"/>
        </w:rPr>
        <w:t>BACKGROUND</w:t>
      </w:r>
      <w:bookmarkEnd w:id="2"/>
    </w:p>
    <w:p w14:paraId="79A18A24" w14:textId="44622072" w:rsidR="002E27E1" w:rsidRPr="00225B62" w:rsidRDefault="002E27E1" w:rsidP="007D298D">
      <w:pPr>
        <w:numPr>
          <w:ilvl w:val="0"/>
          <w:numId w:val="2"/>
        </w:numPr>
        <w:tabs>
          <w:tab w:val="clear" w:pos="1080"/>
        </w:tabs>
        <w:spacing w:after="120"/>
        <w:rPr>
          <w:szCs w:val="22"/>
        </w:rPr>
      </w:pPr>
      <w:r w:rsidRPr="00225B62">
        <w:rPr>
          <w:szCs w:val="22"/>
        </w:rPr>
        <w:t xml:space="preserve">Auction 1000 </w:t>
      </w:r>
      <w:r w:rsidR="00B508A3" w:rsidRPr="00225B62">
        <w:rPr>
          <w:szCs w:val="22"/>
        </w:rPr>
        <w:t>wa</w:t>
      </w:r>
      <w:r w:rsidRPr="00225B62">
        <w:rPr>
          <w:szCs w:val="22"/>
        </w:rPr>
        <w:t>s conducted pursuant to Title VI of the Middle Class Tax Relief and Job Creation Act of 2012 (Spectrum Act).</w:t>
      </w:r>
      <w:r w:rsidRPr="00225B62">
        <w:rPr>
          <w:szCs w:val="22"/>
          <w:vertAlign w:val="superscript"/>
        </w:rPr>
        <w:footnoteReference w:id="9"/>
      </w:r>
      <w:r w:rsidR="00B508A3" w:rsidRPr="00225B62">
        <w:rPr>
          <w:szCs w:val="22"/>
        </w:rPr>
        <w:t xml:space="preserve">  The incentive auction </w:t>
      </w:r>
      <w:r w:rsidRPr="00225B62">
        <w:rPr>
          <w:szCs w:val="22"/>
        </w:rPr>
        <w:t>incorporat</w:t>
      </w:r>
      <w:r w:rsidR="00B508A3" w:rsidRPr="00225B62">
        <w:rPr>
          <w:szCs w:val="22"/>
        </w:rPr>
        <w:t>ed</w:t>
      </w:r>
      <w:r w:rsidRPr="00225B62">
        <w:rPr>
          <w:szCs w:val="22"/>
        </w:rPr>
        <w:t xml:space="preserve"> a repacking process to </w:t>
      </w:r>
      <w:r w:rsidRPr="00225B62">
        <w:rPr>
          <w:snapToGrid/>
          <w:szCs w:val="22"/>
        </w:rPr>
        <w:t>reorganize the broadcast television bands</w:t>
      </w:r>
      <w:r w:rsidRPr="00225B62">
        <w:rPr>
          <w:szCs w:val="22"/>
        </w:rPr>
        <w:t xml:space="preserve"> so that the </w:t>
      </w:r>
      <w:r w:rsidR="000F1CCF" w:rsidRPr="00225B62">
        <w:rPr>
          <w:szCs w:val="22"/>
        </w:rPr>
        <w:t xml:space="preserve">full power and Class A </w:t>
      </w:r>
      <w:r w:rsidRPr="00225B62">
        <w:rPr>
          <w:szCs w:val="22"/>
        </w:rPr>
        <w:t>television stations that remain on the air after the transition occupy a smaller portion of the ultra-high frequency (UHF) band, thereby clearing contiguous spectrum</w:t>
      </w:r>
      <w:r w:rsidR="008A2483" w:rsidRPr="00225B62">
        <w:rPr>
          <w:szCs w:val="22"/>
        </w:rPr>
        <w:t xml:space="preserve"> to be</w:t>
      </w:r>
      <w:r w:rsidRPr="00225B62">
        <w:rPr>
          <w:szCs w:val="22"/>
        </w:rPr>
        <w:t xml:space="preserve"> repurposed as the 600 MHz Band.</w:t>
      </w:r>
      <w:r w:rsidRPr="00225B62">
        <w:rPr>
          <w:rStyle w:val="FootnoteReference"/>
          <w:sz w:val="22"/>
          <w:szCs w:val="22"/>
        </w:rPr>
        <w:footnoteReference w:id="10"/>
      </w:r>
      <w:r w:rsidRPr="00225B62">
        <w:rPr>
          <w:szCs w:val="22"/>
        </w:rPr>
        <w:t xml:space="preserve">  </w:t>
      </w:r>
    </w:p>
    <w:p w14:paraId="453D8CE6" w14:textId="1759F844" w:rsidR="002E27E1" w:rsidRPr="00225B62" w:rsidRDefault="0069648B" w:rsidP="003828BD">
      <w:pPr>
        <w:pStyle w:val="ParaNum"/>
        <w:tabs>
          <w:tab w:val="clear" w:pos="1080"/>
        </w:tabs>
        <w:rPr>
          <w:szCs w:val="22"/>
        </w:rPr>
      </w:pPr>
      <w:r w:rsidRPr="00225B62">
        <w:rPr>
          <w:szCs w:val="22"/>
        </w:rPr>
        <w:t>On April 13</w:t>
      </w:r>
      <w:r w:rsidR="00B508A3" w:rsidRPr="00225B62">
        <w:rPr>
          <w:szCs w:val="22"/>
        </w:rPr>
        <w:t xml:space="preserve">, 2017, </w:t>
      </w:r>
      <w:r w:rsidR="002E27E1" w:rsidRPr="00225B62">
        <w:rPr>
          <w:szCs w:val="22"/>
        </w:rPr>
        <w:t>the</w:t>
      </w:r>
      <w:r w:rsidR="009A4878" w:rsidRPr="00225B62">
        <w:rPr>
          <w:szCs w:val="22"/>
        </w:rPr>
        <w:t xml:space="preserve"> Incentive Auction Task Force and the</w:t>
      </w:r>
      <w:r w:rsidR="002E27E1" w:rsidRPr="00225B62">
        <w:rPr>
          <w:szCs w:val="22"/>
        </w:rPr>
        <w:t xml:space="preserve"> Media and Wireless Telecommunications Bureaus release</w:t>
      </w:r>
      <w:r w:rsidR="00B508A3" w:rsidRPr="00225B62">
        <w:rPr>
          <w:szCs w:val="22"/>
        </w:rPr>
        <w:t>d</w:t>
      </w:r>
      <w:r w:rsidR="002E27E1" w:rsidRPr="00225B62">
        <w:rPr>
          <w:szCs w:val="22"/>
        </w:rPr>
        <w:t xml:space="preserve"> the</w:t>
      </w:r>
      <w:r w:rsidR="00557FE9" w:rsidRPr="00225B62">
        <w:rPr>
          <w:szCs w:val="22"/>
        </w:rPr>
        <w:t xml:space="preserve"> </w:t>
      </w:r>
      <w:r w:rsidR="002E27E1" w:rsidRPr="00225B62">
        <w:rPr>
          <w:i/>
          <w:szCs w:val="22"/>
        </w:rPr>
        <w:t xml:space="preserve">Closing and </w:t>
      </w:r>
      <w:r w:rsidR="007F7C51" w:rsidRPr="00225B62">
        <w:rPr>
          <w:i/>
          <w:szCs w:val="22"/>
        </w:rPr>
        <w:t xml:space="preserve">Channel </w:t>
      </w:r>
      <w:r w:rsidR="002E27E1" w:rsidRPr="00225B62">
        <w:rPr>
          <w:i/>
          <w:szCs w:val="22"/>
        </w:rPr>
        <w:t xml:space="preserve">Reassignment </w:t>
      </w:r>
      <w:r w:rsidR="00B17B3F" w:rsidRPr="00225B62">
        <w:rPr>
          <w:i/>
          <w:szCs w:val="22"/>
        </w:rPr>
        <w:t>P</w:t>
      </w:r>
      <w:r w:rsidR="009A4878" w:rsidRPr="00225B62">
        <w:rPr>
          <w:i/>
          <w:szCs w:val="22"/>
        </w:rPr>
        <w:t xml:space="preserve">ublic </w:t>
      </w:r>
      <w:r w:rsidR="00B17B3F" w:rsidRPr="00225B62">
        <w:rPr>
          <w:i/>
          <w:szCs w:val="22"/>
        </w:rPr>
        <w:t>N</w:t>
      </w:r>
      <w:r w:rsidR="009A4878" w:rsidRPr="00225B62">
        <w:rPr>
          <w:i/>
          <w:szCs w:val="22"/>
        </w:rPr>
        <w:t>otice</w:t>
      </w:r>
      <w:r w:rsidR="002E27E1" w:rsidRPr="00225B62">
        <w:rPr>
          <w:szCs w:val="22"/>
        </w:rPr>
        <w:t xml:space="preserve">, </w:t>
      </w:r>
      <w:r w:rsidR="00B508A3" w:rsidRPr="00225B62">
        <w:rPr>
          <w:szCs w:val="22"/>
        </w:rPr>
        <w:t>announcing</w:t>
      </w:r>
      <w:r w:rsidR="002E27E1" w:rsidRPr="00225B62">
        <w:rPr>
          <w:szCs w:val="22"/>
        </w:rPr>
        <w:t xml:space="preserve"> the completion of the incentive auction</w:t>
      </w:r>
      <w:r w:rsidR="00B508A3" w:rsidRPr="00225B62">
        <w:rPr>
          <w:szCs w:val="22"/>
        </w:rPr>
        <w:t xml:space="preserve"> and providing</w:t>
      </w:r>
      <w:r w:rsidR="002E27E1" w:rsidRPr="00225B62">
        <w:rPr>
          <w:szCs w:val="22"/>
        </w:rPr>
        <w:t xml:space="preserve"> the results of the </w:t>
      </w:r>
      <w:r w:rsidR="00050AD7" w:rsidRPr="00225B62">
        <w:rPr>
          <w:szCs w:val="22"/>
        </w:rPr>
        <w:t xml:space="preserve">incentive </w:t>
      </w:r>
      <w:r w:rsidR="006A3623" w:rsidRPr="00225B62">
        <w:rPr>
          <w:szCs w:val="22"/>
        </w:rPr>
        <w:t>auction</w:t>
      </w:r>
      <w:r w:rsidR="002E27E1" w:rsidRPr="00225B62">
        <w:rPr>
          <w:szCs w:val="22"/>
        </w:rPr>
        <w:t xml:space="preserve"> and the repacking process, </w:t>
      </w:r>
      <w:r w:rsidR="000F1CCF" w:rsidRPr="00225B62">
        <w:rPr>
          <w:snapToGrid/>
          <w:szCs w:val="22"/>
        </w:rPr>
        <w:t xml:space="preserve">including </w:t>
      </w:r>
      <w:r w:rsidR="00557FE9" w:rsidRPr="00225B62">
        <w:rPr>
          <w:snapToGrid/>
          <w:szCs w:val="22"/>
        </w:rPr>
        <w:t xml:space="preserve">the new </w:t>
      </w:r>
      <w:r w:rsidR="000F1CCF" w:rsidRPr="00225B62">
        <w:rPr>
          <w:snapToGrid/>
          <w:szCs w:val="22"/>
        </w:rPr>
        <w:t>channel</w:t>
      </w:r>
      <w:r w:rsidR="00557FE9" w:rsidRPr="00225B62">
        <w:rPr>
          <w:snapToGrid/>
          <w:szCs w:val="22"/>
        </w:rPr>
        <w:t xml:space="preserve"> </w:t>
      </w:r>
      <w:r w:rsidR="002E27E1" w:rsidRPr="00225B62">
        <w:rPr>
          <w:snapToGrid/>
          <w:szCs w:val="22"/>
        </w:rPr>
        <w:t xml:space="preserve">assignments </w:t>
      </w:r>
      <w:r w:rsidR="00006CD0" w:rsidRPr="00225B62">
        <w:rPr>
          <w:snapToGrid/>
          <w:szCs w:val="22"/>
        </w:rPr>
        <w:t>for</w:t>
      </w:r>
      <w:r w:rsidR="002E27E1" w:rsidRPr="00225B62">
        <w:rPr>
          <w:snapToGrid/>
          <w:szCs w:val="22"/>
        </w:rPr>
        <w:t xml:space="preserve"> </w:t>
      </w:r>
      <w:r w:rsidR="00B14DBC" w:rsidRPr="00225B62">
        <w:rPr>
          <w:snapToGrid/>
          <w:szCs w:val="22"/>
        </w:rPr>
        <w:t xml:space="preserve">full power and Class A </w:t>
      </w:r>
      <w:r w:rsidR="002E27E1" w:rsidRPr="00225B62">
        <w:rPr>
          <w:snapToGrid/>
          <w:szCs w:val="22"/>
        </w:rPr>
        <w:t xml:space="preserve">television </w:t>
      </w:r>
      <w:r w:rsidR="00006CD0" w:rsidRPr="00225B62">
        <w:rPr>
          <w:snapToGrid/>
          <w:szCs w:val="22"/>
        </w:rPr>
        <w:t>stations</w:t>
      </w:r>
      <w:r w:rsidR="00EB451C" w:rsidRPr="00225B62">
        <w:rPr>
          <w:snapToGrid/>
          <w:szCs w:val="22"/>
        </w:rPr>
        <w:t xml:space="preserve"> in the repacked TV band</w:t>
      </w:r>
      <w:r w:rsidR="002E27E1" w:rsidRPr="00225B62">
        <w:rPr>
          <w:szCs w:val="22"/>
        </w:rPr>
        <w:t>.</w:t>
      </w:r>
      <w:r w:rsidR="002E27E1" w:rsidRPr="00225B62">
        <w:rPr>
          <w:rStyle w:val="FootnoteReference"/>
          <w:sz w:val="22"/>
          <w:szCs w:val="22"/>
        </w:rPr>
        <w:footnoteReference w:id="11"/>
      </w:r>
      <w:r w:rsidR="002E27E1" w:rsidRPr="00225B62">
        <w:rPr>
          <w:szCs w:val="22"/>
        </w:rPr>
        <w:t xml:space="preserve">  The release of the </w:t>
      </w:r>
      <w:r w:rsidR="002E27E1" w:rsidRPr="00225B62">
        <w:rPr>
          <w:i/>
          <w:szCs w:val="22"/>
        </w:rPr>
        <w:t xml:space="preserve">Closing and </w:t>
      </w:r>
      <w:r w:rsidR="007F7C51" w:rsidRPr="00225B62">
        <w:rPr>
          <w:i/>
          <w:szCs w:val="22"/>
        </w:rPr>
        <w:t xml:space="preserve">Channel </w:t>
      </w:r>
      <w:r w:rsidR="002E27E1" w:rsidRPr="00225B62">
        <w:rPr>
          <w:i/>
          <w:szCs w:val="22"/>
        </w:rPr>
        <w:t>Reassignment P</w:t>
      </w:r>
      <w:r w:rsidR="00F3000F" w:rsidRPr="00225B62">
        <w:rPr>
          <w:i/>
          <w:szCs w:val="22"/>
        </w:rPr>
        <w:t xml:space="preserve">ublic </w:t>
      </w:r>
      <w:r w:rsidR="00B17B3F" w:rsidRPr="00225B62">
        <w:rPr>
          <w:i/>
          <w:szCs w:val="22"/>
        </w:rPr>
        <w:t>N</w:t>
      </w:r>
      <w:r w:rsidR="00F3000F" w:rsidRPr="00225B62">
        <w:rPr>
          <w:i/>
          <w:szCs w:val="22"/>
        </w:rPr>
        <w:t>otice</w:t>
      </w:r>
      <w:r w:rsidR="002E27E1" w:rsidRPr="00225B62">
        <w:rPr>
          <w:i/>
          <w:szCs w:val="22"/>
        </w:rPr>
        <w:t xml:space="preserve"> </w:t>
      </w:r>
      <w:r w:rsidR="00B508A3" w:rsidRPr="00225B62">
        <w:rPr>
          <w:szCs w:val="22"/>
        </w:rPr>
        <w:t>also</w:t>
      </w:r>
      <w:r w:rsidR="002E27E1" w:rsidRPr="00225B62">
        <w:rPr>
          <w:szCs w:val="22"/>
        </w:rPr>
        <w:t xml:space="preserve"> </w:t>
      </w:r>
      <w:r w:rsidR="00001DC3" w:rsidRPr="00225B62">
        <w:rPr>
          <w:szCs w:val="22"/>
        </w:rPr>
        <w:lastRenderedPageBreak/>
        <w:t xml:space="preserve">effectuated </w:t>
      </w:r>
      <w:r w:rsidR="00CE403D" w:rsidRPr="00225B62">
        <w:rPr>
          <w:szCs w:val="22"/>
        </w:rPr>
        <w:t>the 600 MHz Band Plan</w:t>
      </w:r>
      <w:r w:rsidR="00CE403D" w:rsidRPr="00225B62">
        <w:rPr>
          <w:rStyle w:val="FootnoteReference"/>
          <w:sz w:val="22"/>
          <w:szCs w:val="22"/>
        </w:rPr>
        <w:footnoteReference w:id="12"/>
      </w:r>
      <w:r w:rsidR="00CE403D" w:rsidRPr="00225B62">
        <w:rPr>
          <w:szCs w:val="22"/>
        </w:rPr>
        <w:t xml:space="preserve"> and</w:t>
      </w:r>
      <w:r w:rsidR="002E27E1" w:rsidRPr="00225B62">
        <w:rPr>
          <w:szCs w:val="22"/>
        </w:rPr>
        <w:t xml:space="preserve"> </w:t>
      </w:r>
      <w:r w:rsidR="000F1CCF" w:rsidRPr="00225B62">
        <w:rPr>
          <w:szCs w:val="22"/>
        </w:rPr>
        <w:t>triggered</w:t>
      </w:r>
      <w:r w:rsidR="002E27E1" w:rsidRPr="00225B62">
        <w:rPr>
          <w:szCs w:val="22"/>
        </w:rPr>
        <w:t xml:space="preserve"> the 39-month post-auction transition period </w:t>
      </w:r>
      <w:r w:rsidR="00B508A3" w:rsidRPr="00225B62">
        <w:rPr>
          <w:szCs w:val="22"/>
        </w:rPr>
        <w:t xml:space="preserve">that will conclude on </w:t>
      </w:r>
      <w:r w:rsidRPr="00225B62">
        <w:rPr>
          <w:szCs w:val="22"/>
        </w:rPr>
        <w:t>July 13</w:t>
      </w:r>
      <w:r w:rsidR="00B508A3" w:rsidRPr="00225B62">
        <w:rPr>
          <w:szCs w:val="22"/>
        </w:rPr>
        <w:t xml:space="preserve">, 2020 </w:t>
      </w:r>
      <w:r w:rsidR="002E27E1" w:rsidRPr="00225B62">
        <w:rPr>
          <w:szCs w:val="22"/>
        </w:rPr>
        <w:t>(transition period).</w:t>
      </w:r>
      <w:r w:rsidR="002E27E1" w:rsidRPr="00225B62">
        <w:rPr>
          <w:rStyle w:val="FootnoteReference"/>
          <w:sz w:val="22"/>
          <w:szCs w:val="22"/>
        </w:rPr>
        <w:footnoteReference w:id="13"/>
      </w:r>
      <w:r w:rsidR="001077E2" w:rsidRPr="00225B62">
        <w:rPr>
          <w:szCs w:val="22"/>
        </w:rPr>
        <w:t xml:space="preserve">  </w:t>
      </w:r>
      <w:r w:rsidR="002E27E1" w:rsidRPr="00225B62">
        <w:rPr>
          <w:szCs w:val="22"/>
        </w:rPr>
        <w:t xml:space="preserve">Each </w:t>
      </w:r>
      <w:r w:rsidR="001077E2" w:rsidRPr="00225B62">
        <w:rPr>
          <w:szCs w:val="22"/>
        </w:rPr>
        <w:t xml:space="preserve">full power and Class A </w:t>
      </w:r>
      <w:r w:rsidR="002E27E1" w:rsidRPr="00225B62">
        <w:rPr>
          <w:szCs w:val="22"/>
        </w:rPr>
        <w:t>station that will be</w:t>
      </w:r>
      <w:r w:rsidR="00B508A3" w:rsidRPr="00225B62">
        <w:rPr>
          <w:szCs w:val="22"/>
        </w:rPr>
        <w:t xml:space="preserve"> moving to a new channel </w:t>
      </w:r>
      <w:r w:rsidR="000F1CCF" w:rsidRPr="00225B62">
        <w:rPr>
          <w:szCs w:val="22"/>
        </w:rPr>
        <w:t>i</w:t>
      </w:r>
      <w:r w:rsidR="00EB451C" w:rsidRPr="00225B62">
        <w:rPr>
          <w:szCs w:val="22"/>
        </w:rPr>
        <w:t xml:space="preserve">n the repacked TV band </w:t>
      </w:r>
      <w:r w:rsidR="00B17B3F" w:rsidRPr="00225B62">
        <w:rPr>
          <w:szCs w:val="22"/>
        </w:rPr>
        <w:t>wa</w:t>
      </w:r>
      <w:r w:rsidR="00B508A3" w:rsidRPr="00225B62">
        <w:rPr>
          <w:szCs w:val="22"/>
        </w:rPr>
        <w:t>s</w:t>
      </w:r>
      <w:r w:rsidR="002E27E1" w:rsidRPr="00225B62">
        <w:rPr>
          <w:szCs w:val="22"/>
        </w:rPr>
        <w:t xml:space="preserve"> assigned a transition</w:t>
      </w:r>
      <w:r w:rsidR="00B508A3" w:rsidRPr="00225B62">
        <w:rPr>
          <w:szCs w:val="22"/>
        </w:rPr>
        <w:t xml:space="preserve"> phase and each phase </w:t>
      </w:r>
      <w:r w:rsidR="00006CD0" w:rsidRPr="00225B62">
        <w:rPr>
          <w:szCs w:val="22"/>
        </w:rPr>
        <w:t>was assigned</w:t>
      </w:r>
      <w:r w:rsidR="002E27E1" w:rsidRPr="00225B62">
        <w:rPr>
          <w:szCs w:val="22"/>
        </w:rPr>
        <w:t xml:space="preserve"> a “</w:t>
      </w:r>
      <w:r w:rsidR="005F6026" w:rsidRPr="00225B62">
        <w:rPr>
          <w:szCs w:val="22"/>
        </w:rPr>
        <w:t xml:space="preserve">testing period start date” and a </w:t>
      </w:r>
      <w:r w:rsidR="002E27E1" w:rsidRPr="00225B62">
        <w:rPr>
          <w:szCs w:val="22"/>
        </w:rPr>
        <w:t>“phase completion date</w:t>
      </w:r>
      <w:r w:rsidR="005F6026" w:rsidRPr="00225B62">
        <w:rPr>
          <w:szCs w:val="22"/>
        </w:rPr>
        <w:t>.</w:t>
      </w:r>
      <w:r w:rsidR="002E27E1" w:rsidRPr="00225B62">
        <w:rPr>
          <w:szCs w:val="22"/>
        </w:rPr>
        <w:t>”</w:t>
      </w:r>
      <w:r w:rsidR="002E27E1" w:rsidRPr="00225B62">
        <w:rPr>
          <w:rStyle w:val="FootnoteReference"/>
          <w:sz w:val="22"/>
          <w:szCs w:val="22"/>
        </w:rPr>
        <w:footnoteReference w:id="14"/>
      </w:r>
      <w:r w:rsidR="00B508A3" w:rsidRPr="00225B62">
        <w:rPr>
          <w:szCs w:val="22"/>
        </w:rPr>
        <w:t xml:space="preserve"> </w:t>
      </w:r>
      <w:r w:rsidR="005F6026" w:rsidRPr="00225B62">
        <w:rPr>
          <w:szCs w:val="22"/>
        </w:rPr>
        <w:t xml:space="preserve"> The phase completion</w:t>
      </w:r>
      <w:r w:rsidR="00006CD0" w:rsidRPr="00225B62">
        <w:rPr>
          <w:szCs w:val="22"/>
        </w:rPr>
        <w:t xml:space="preserve"> date</w:t>
      </w:r>
      <w:r w:rsidR="00B508A3" w:rsidRPr="00225B62">
        <w:rPr>
          <w:szCs w:val="22"/>
        </w:rPr>
        <w:t xml:space="preserve"> will</w:t>
      </w:r>
      <w:r w:rsidR="002E27E1" w:rsidRPr="00225B62">
        <w:rPr>
          <w:szCs w:val="22"/>
        </w:rPr>
        <w:t xml:space="preserve"> </w:t>
      </w:r>
      <w:r w:rsidR="00006CD0" w:rsidRPr="00225B62">
        <w:rPr>
          <w:szCs w:val="22"/>
        </w:rPr>
        <w:t>also</w:t>
      </w:r>
      <w:r w:rsidR="002E27E1" w:rsidRPr="00225B62">
        <w:rPr>
          <w:szCs w:val="22"/>
        </w:rPr>
        <w:t xml:space="preserve"> be listed in each station’s construction permit as its construction deadline.</w:t>
      </w:r>
      <w:r w:rsidR="005E61FE" w:rsidRPr="00225B62">
        <w:rPr>
          <w:szCs w:val="22"/>
        </w:rPr>
        <w:t xml:space="preserve">  Absent a waiver or grant of Special Temporary Authority (</w:t>
      </w:r>
      <w:r w:rsidR="002E27E1" w:rsidRPr="00225B62">
        <w:rPr>
          <w:szCs w:val="22"/>
        </w:rPr>
        <w:t>STA</w:t>
      </w:r>
      <w:r w:rsidR="005E61FE" w:rsidRPr="00225B62">
        <w:rPr>
          <w:szCs w:val="22"/>
        </w:rPr>
        <w:t>)</w:t>
      </w:r>
      <w:r w:rsidR="002E27E1" w:rsidRPr="00225B62">
        <w:rPr>
          <w:szCs w:val="22"/>
        </w:rPr>
        <w:t>, the phase completion date will be the last day that a station may operate on its pre-auction channel.</w:t>
      </w:r>
      <w:r w:rsidR="002E27E1" w:rsidRPr="00225B62">
        <w:rPr>
          <w:rStyle w:val="FootnoteReference"/>
          <w:sz w:val="22"/>
          <w:szCs w:val="22"/>
        </w:rPr>
        <w:footnoteReference w:id="15"/>
      </w:r>
    </w:p>
    <w:p w14:paraId="65533D47" w14:textId="17D8C036" w:rsidR="00557FE9" w:rsidRPr="00225B62" w:rsidRDefault="00D80960" w:rsidP="00085372">
      <w:pPr>
        <w:pStyle w:val="ParaNum"/>
        <w:rPr>
          <w:szCs w:val="22"/>
        </w:rPr>
      </w:pPr>
      <w:r w:rsidRPr="00225B62">
        <w:rPr>
          <w:szCs w:val="22"/>
        </w:rPr>
        <w:t>LPTV/translator stations</w:t>
      </w:r>
      <w:r w:rsidR="002E27E1" w:rsidRPr="00225B62">
        <w:rPr>
          <w:szCs w:val="22"/>
        </w:rPr>
        <w:t xml:space="preserve"> were not eligible to participate in the incentive auction</w:t>
      </w:r>
      <w:r w:rsidR="00D57B2D" w:rsidRPr="00225B62">
        <w:rPr>
          <w:szCs w:val="22"/>
        </w:rPr>
        <w:t xml:space="preserve"> and</w:t>
      </w:r>
      <w:r w:rsidR="002E27E1" w:rsidRPr="00225B62">
        <w:rPr>
          <w:szCs w:val="22"/>
        </w:rPr>
        <w:t xml:space="preserve"> </w:t>
      </w:r>
      <w:r w:rsidR="007E0528" w:rsidRPr="00225B62">
        <w:rPr>
          <w:szCs w:val="22"/>
        </w:rPr>
        <w:t>were</w:t>
      </w:r>
      <w:r w:rsidR="00EB451C" w:rsidRPr="00225B62">
        <w:rPr>
          <w:szCs w:val="22"/>
        </w:rPr>
        <w:t xml:space="preserve"> </w:t>
      </w:r>
      <w:r w:rsidR="002E27E1" w:rsidRPr="00225B62">
        <w:rPr>
          <w:szCs w:val="22"/>
        </w:rPr>
        <w:t>not protected in the repacking process</w:t>
      </w:r>
      <w:r w:rsidR="00731FB6" w:rsidRPr="00225B62">
        <w:rPr>
          <w:szCs w:val="22"/>
        </w:rPr>
        <w:t>.</w:t>
      </w:r>
      <w:r w:rsidR="00731FB6" w:rsidRPr="00225B62">
        <w:rPr>
          <w:rStyle w:val="FootnoteReference"/>
          <w:sz w:val="22"/>
          <w:szCs w:val="22"/>
        </w:rPr>
        <w:footnoteReference w:id="16"/>
      </w:r>
      <w:r w:rsidR="00731FB6" w:rsidRPr="00225B62">
        <w:rPr>
          <w:szCs w:val="22"/>
        </w:rPr>
        <w:t xml:space="preserve">  </w:t>
      </w:r>
      <w:r w:rsidR="00D57B2D" w:rsidRPr="00225B62">
        <w:rPr>
          <w:szCs w:val="22"/>
        </w:rPr>
        <w:t xml:space="preserve">Accordingly, some </w:t>
      </w:r>
      <w:r w:rsidR="007E0528" w:rsidRPr="00225B62">
        <w:rPr>
          <w:szCs w:val="22"/>
        </w:rPr>
        <w:t xml:space="preserve">LPTV/translator stations </w:t>
      </w:r>
      <w:r w:rsidR="006A3623" w:rsidRPr="00225B62">
        <w:rPr>
          <w:szCs w:val="22"/>
        </w:rPr>
        <w:t xml:space="preserve">will be </w:t>
      </w:r>
      <w:r w:rsidR="00D57B2D" w:rsidRPr="00225B62">
        <w:rPr>
          <w:szCs w:val="22"/>
        </w:rPr>
        <w:t xml:space="preserve">displaced as a result of the incentive auction </w:t>
      </w:r>
      <w:r w:rsidR="00EB451C" w:rsidRPr="00225B62">
        <w:rPr>
          <w:szCs w:val="22"/>
        </w:rPr>
        <w:t xml:space="preserve">and the </w:t>
      </w:r>
      <w:r w:rsidR="00D57B2D" w:rsidRPr="00225B62">
        <w:rPr>
          <w:szCs w:val="22"/>
        </w:rPr>
        <w:t>repacking process</w:t>
      </w:r>
      <w:r w:rsidR="00731FB6" w:rsidRPr="00225B62">
        <w:rPr>
          <w:szCs w:val="22"/>
        </w:rPr>
        <w:t xml:space="preserve">.  </w:t>
      </w:r>
      <w:r w:rsidR="0096133A" w:rsidRPr="00225B62">
        <w:rPr>
          <w:szCs w:val="22"/>
        </w:rPr>
        <w:t xml:space="preserve">The Commission has </w:t>
      </w:r>
      <w:r w:rsidR="000F1CCF" w:rsidRPr="00225B62">
        <w:rPr>
          <w:szCs w:val="22"/>
        </w:rPr>
        <w:t>adopted</w:t>
      </w:r>
      <w:r w:rsidR="0096133A" w:rsidRPr="00225B62">
        <w:rPr>
          <w:szCs w:val="22"/>
        </w:rPr>
        <w:t xml:space="preserve"> measures to </w:t>
      </w:r>
      <w:r w:rsidR="000F1CCF" w:rsidRPr="00225B62">
        <w:rPr>
          <w:szCs w:val="22"/>
        </w:rPr>
        <w:t xml:space="preserve">help </w:t>
      </w:r>
      <w:r w:rsidR="0096133A" w:rsidRPr="00225B62">
        <w:rPr>
          <w:szCs w:val="22"/>
        </w:rPr>
        <w:t>mitigate the impact of t</w:t>
      </w:r>
      <w:r w:rsidR="00D57B2D" w:rsidRPr="00225B62">
        <w:rPr>
          <w:szCs w:val="22"/>
        </w:rPr>
        <w:t>his displacement</w:t>
      </w:r>
      <w:r w:rsidR="0096133A" w:rsidRPr="00225B62">
        <w:rPr>
          <w:szCs w:val="22"/>
        </w:rPr>
        <w:t xml:space="preserve">.  For instance, </w:t>
      </w:r>
      <w:r w:rsidR="0073431C" w:rsidRPr="00225B62">
        <w:rPr>
          <w:szCs w:val="22"/>
        </w:rPr>
        <w:t>displaced</w:t>
      </w:r>
      <w:r w:rsidR="003828BD" w:rsidRPr="00225B62">
        <w:rPr>
          <w:szCs w:val="22"/>
        </w:rPr>
        <w:t xml:space="preserve"> stations </w:t>
      </w:r>
      <w:r w:rsidR="000F1CCF" w:rsidRPr="00225B62">
        <w:rPr>
          <w:szCs w:val="22"/>
        </w:rPr>
        <w:t xml:space="preserve">will have </w:t>
      </w:r>
      <w:r w:rsidR="003828BD" w:rsidRPr="00225B62">
        <w:rPr>
          <w:szCs w:val="22"/>
        </w:rPr>
        <w:t>the opportunity to file a</w:t>
      </w:r>
      <w:r w:rsidR="00693CFE" w:rsidRPr="00225B62">
        <w:rPr>
          <w:szCs w:val="22"/>
        </w:rPr>
        <w:t xml:space="preserve"> displacement </w:t>
      </w:r>
      <w:r w:rsidR="003828BD" w:rsidRPr="00225B62">
        <w:rPr>
          <w:szCs w:val="22"/>
        </w:rPr>
        <w:t>appli</w:t>
      </w:r>
      <w:r w:rsidR="00693CFE" w:rsidRPr="00225B62">
        <w:rPr>
          <w:szCs w:val="22"/>
        </w:rPr>
        <w:t>cation</w:t>
      </w:r>
      <w:r w:rsidR="003828BD" w:rsidRPr="00225B62">
        <w:rPr>
          <w:szCs w:val="22"/>
        </w:rPr>
        <w:t xml:space="preserve"> to move to another channel </w:t>
      </w:r>
      <w:r w:rsidR="00EB451C" w:rsidRPr="00225B62">
        <w:rPr>
          <w:szCs w:val="22"/>
        </w:rPr>
        <w:t xml:space="preserve">in the repacked TV </w:t>
      </w:r>
      <w:r w:rsidR="00732492" w:rsidRPr="00225B62">
        <w:rPr>
          <w:szCs w:val="22"/>
        </w:rPr>
        <w:t xml:space="preserve">band </w:t>
      </w:r>
      <w:r w:rsidR="003828BD" w:rsidRPr="00225B62">
        <w:rPr>
          <w:szCs w:val="22"/>
        </w:rPr>
        <w:t>or</w:t>
      </w:r>
      <w:r w:rsidR="00693CFE" w:rsidRPr="00225B62">
        <w:rPr>
          <w:szCs w:val="22"/>
        </w:rPr>
        <w:t xml:space="preserve"> to </w:t>
      </w:r>
      <w:r w:rsidR="003828BD" w:rsidRPr="00225B62">
        <w:rPr>
          <w:szCs w:val="22"/>
        </w:rPr>
        <w:t>seek to channel share</w:t>
      </w:r>
      <w:r w:rsidR="007E0528" w:rsidRPr="00225B62">
        <w:rPr>
          <w:szCs w:val="22"/>
        </w:rPr>
        <w:t>.</w:t>
      </w:r>
      <w:r w:rsidR="003828BD" w:rsidRPr="00225B62">
        <w:rPr>
          <w:rStyle w:val="FootnoteReference"/>
          <w:sz w:val="22"/>
          <w:szCs w:val="22"/>
        </w:rPr>
        <w:footnoteReference w:id="17"/>
      </w:r>
      <w:r w:rsidR="007E0528" w:rsidRPr="00225B62">
        <w:rPr>
          <w:szCs w:val="22"/>
        </w:rPr>
        <w:t xml:space="preserve"> </w:t>
      </w:r>
      <w:r w:rsidR="00006CD0" w:rsidRPr="00225B62">
        <w:rPr>
          <w:szCs w:val="22"/>
        </w:rPr>
        <w:t xml:space="preserve"> </w:t>
      </w:r>
      <w:r w:rsidR="000F5FBD" w:rsidRPr="00225B62">
        <w:rPr>
          <w:szCs w:val="22"/>
        </w:rPr>
        <w:t xml:space="preserve">The Commission also directed the Bureau to utilize software used in the incentive auction to </w:t>
      </w:r>
      <w:r w:rsidR="006E0EA0" w:rsidRPr="00225B62">
        <w:rPr>
          <w:szCs w:val="22"/>
        </w:rPr>
        <w:t xml:space="preserve">help </w:t>
      </w:r>
      <w:r w:rsidR="000F5FBD" w:rsidRPr="00225B62">
        <w:rPr>
          <w:szCs w:val="22"/>
        </w:rPr>
        <w:t>identify potential channel assignments for</w:t>
      </w:r>
      <w:r w:rsidR="006E0EA0" w:rsidRPr="00225B62">
        <w:rPr>
          <w:szCs w:val="22"/>
        </w:rPr>
        <w:t xml:space="preserve"> eligible</w:t>
      </w:r>
      <w:r w:rsidR="000F5FBD" w:rsidRPr="00225B62">
        <w:rPr>
          <w:szCs w:val="22"/>
        </w:rPr>
        <w:t xml:space="preserve"> LPTV and TV translator stations, and to issue a public notice </w:t>
      </w:r>
      <w:r w:rsidR="006E0EA0" w:rsidRPr="00225B62">
        <w:rPr>
          <w:szCs w:val="22"/>
        </w:rPr>
        <w:t>providing such information</w:t>
      </w:r>
      <w:r w:rsidR="000F5FBD" w:rsidRPr="00225B62">
        <w:rPr>
          <w:szCs w:val="22"/>
        </w:rPr>
        <w:t xml:space="preserve"> not less than 60 days in advance of the filing window for LPTV/translator station displacement applications.</w:t>
      </w:r>
      <w:r w:rsidR="000F5FBD" w:rsidRPr="00225B62">
        <w:rPr>
          <w:rStyle w:val="FootnoteReference"/>
          <w:sz w:val="22"/>
          <w:szCs w:val="22"/>
        </w:rPr>
        <w:footnoteReference w:id="18"/>
      </w:r>
      <w:r w:rsidR="000F5FBD" w:rsidRPr="00225B62">
        <w:rPr>
          <w:szCs w:val="22"/>
        </w:rPr>
        <w:t xml:space="preserve">  </w:t>
      </w:r>
      <w:r w:rsidR="00085372" w:rsidRPr="00225B62">
        <w:rPr>
          <w:szCs w:val="22"/>
        </w:rPr>
        <w:t xml:space="preserve">In addition, the Commission allowed LPTV and TV translator stations to remain on their existing channels in the 600 MHz Band until they are notified of likely interference to a new 600 MHz Band licensee </w:t>
      </w:r>
      <w:r w:rsidR="000F5FBD" w:rsidRPr="00225B62">
        <w:rPr>
          <w:szCs w:val="22"/>
        </w:rPr>
        <w:t xml:space="preserve">that is </w:t>
      </w:r>
      <w:r w:rsidR="00085372" w:rsidRPr="00225B62">
        <w:rPr>
          <w:szCs w:val="22"/>
        </w:rPr>
        <w:t xml:space="preserve">ready to commence operations or conduct its first field application </w:t>
      </w:r>
      <w:r w:rsidR="00270732" w:rsidRPr="00225B62">
        <w:rPr>
          <w:szCs w:val="22"/>
        </w:rPr>
        <w:t xml:space="preserve">(FFA) </w:t>
      </w:r>
      <w:r w:rsidR="00085372" w:rsidRPr="00225B62">
        <w:rPr>
          <w:szCs w:val="22"/>
        </w:rPr>
        <w:t>testing</w:t>
      </w:r>
      <w:r w:rsidR="00B17B3F" w:rsidRPr="00225B62">
        <w:rPr>
          <w:szCs w:val="22"/>
        </w:rPr>
        <w:t>.</w:t>
      </w:r>
      <w:r w:rsidR="00F374E9" w:rsidRPr="00225B62">
        <w:rPr>
          <w:rStyle w:val="FootnoteReference"/>
          <w:sz w:val="22"/>
          <w:szCs w:val="22"/>
        </w:rPr>
        <w:footnoteReference w:id="19"/>
      </w:r>
      <w:r w:rsidR="00B17B3F" w:rsidRPr="00225B62">
        <w:rPr>
          <w:szCs w:val="22"/>
        </w:rPr>
        <w:t xml:space="preserve">  </w:t>
      </w:r>
      <w:r w:rsidR="003441CB" w:rsidRPr="00225B62">
        <w:rPr>
          <w:szCs w:val="22"/>
        </w:rPr>
        <w:t xml:space="preserve">This </w:t>
      </w:r>
      <w:r w:rsidR="00576AE2" w:rsidRPr="00225B62">
        <w:rPr>
          <w:szCs w:val="22"/>
        </w:rPr>
        <w:t>will enable</w:t>
      </w:r>
      <w:r w:rsidR="006E0EA0" w:rsidRPr="00225B62">
        <w:rPr>
          <w:szCs w:val="22"/>
        </w:rPr>
        <w:t xml:space="preserve"> </w:t>
      </w:r>
      <w:r w:rsidR="00576AE2" w:rsidRPr="00225B62">
        <w:rPr>
          <w:szCs w:val="22"/>
        </w:rPr>
        <w:t xml:space="preserve">stations to continue to operate </w:t>
      </w:r>
      <w:r w:rsidR="00270732" w:rsidRPr="00225B62">
        <w:rPr>
          <w:szCs w:val="22"/>
        </w:rPr>
        <w:t xml:space="preserve">on their current channels </w:t>
      </w:r>
      <w:r w:rsidR="00576AE2" w:rsidRPr="00225B62">
        <w:rPr>
          <w:szCs w:val="22"/>
        </w:rPr>
        <w:t>as long as possible</w:t>
      </w:r>
      <w:r w:rsidR="0091537F" w:rsidRPr="00225B62">
        <w:rPr>
          <w:szCs w:val="22"/>
        </w:rPr>
        <w:t xml:space="preserve"> and provide additional time to complete construction of their displace</w:t>
      </w:r>
      <w:r w:rsidR="006E0EA0" w:rsidRPr="00225B62">
        <w:rPr>
          <w:szCs w:val="22"/>
        </w:rPr>
        <w:t>ment</w:t>
      </w:r>
      <w:r w:rsidR="00DA6EFB">
        <w:rPr>
          <w:szCs w:val="22"/>
        </w:rPr>
        <w:t xml:space="preserve"> </w:t>
      </w:r>
      <w:r w:rsidR="002A6D5B" w:rsidRPr="00225B62">
        <w:rPr>
          <w:szCs w:val="22"/>
        </w:rPr>
        <w:br/>
      </w:r>
      <w:r w:rsidR="0091537F" w:rsidRPr="00225B62">
        <w:rPr>
          <w:szCs w:val="22"/>
        </w:rPr>
        <w:t>facilities</w:t>
      </w:r>
      <w:r w:rsidR="00731FB6" w:rsidRPr="00225B62">
        <w:rPr>
          <w:szCs w:val="22"/>
        </w:rPr>
        <w:t>.</w:t>
      </w:r>
      <w:r w:rsidR="00576AE2" w:rsidRPr="00225B62">
        <w:rPr>
          <w:rStyle w:val="FootnoteReference"/>
          <w:sz w:val="22"/>
          <w:szCs w:val="22"/>
        </w:rPr>
        <w:footnoteReference w:id="20"/>
      </w:r>
      <w:r w:rsidR="00731FB6" w:rsidRPr="00225B62">
        <w:rPr>
          <w:szCs w:val="22"/>
        </w:rPr>
        <w:t xml:space="preserve">  </w:t>
      </w:r>
      <w:r w:rsidR="00F865D4" w:rsidRPr="00225B62">
        <w:rPr>
          <w:szCs w:val="22"/>
        </w:rPr>
        <w:t>F</w:t>
      </w:r>
      <w:r w:rsidR="00FB63B4" w:rsidRPr="00225B62">
        <w:rPr>
          <w:szCs w:val="22"/>
        </w:rPr>
        <w:t>urther</w:t>
      </w:r>
      <w:r w:rsidR="00F865D4" w:rsidRPr="00225B62">
        <w:rPr>
          <w:szCs w:val="22"/>
        </w:rPr>
        <w:t>, t</w:t>
      </w:r>
      <w:r w:rsidR="003441CB" w:rsidRPr="00225B62">
        <w:rPr>
          <w:szCs w:val="22"/>
        </w:rPr>
        <w:t>he Commission has extended the deadline for analog LPTV and TV translator stations to complete their transition to digital</w:t>
      </w:r>
      <w:r w:rsidR="00D86590" w:rsidRPr="00225B62">
        <w:rPr>
          <w:szCs w:val="22"/>
        </w:rPr>
        <w:t xml:space="preserve"> until July 13, 2021</w:t>
      </w:r>
      <w:r w:rsidR="003441CB" w:rsidRPr="00225B62">
        <w:rPr>
          <w:szCs w:val="22"/>
        </w:rPr>
        <w:t>.</w:t>
      </w:r>
      <w:r w:rsidR="00731FB6" w:rsidRPr="00225B62">
        <w:rPr>
          <w:rStyle w:val="FootnoteReference"/>
          <w:sz w:val="22"/>
          <w:szCs w:val="22"/>
        </w:rPr>
        <w:footnoteReference w:id="21"/>
      </w:r>
    </w:p>
    <w:p w14:paraId="4562B1F2" w14:textId="77777777" w:rsidR="00DE062B" w:rsidRPr="00225B62" w:rsidRDefault="00DE062B" w:rsidP="00DE062B">
      <w:pPr>
        <w:pStyle w:val="Heading1"/>
        <w:rPr>
          <w:rFonts w:ascii="Times New Roman" w:hAnsi="Times New Roman"/>
          <w:szCs w:val="22"/>
        </w:rPr>
      </w:pPr>
      <w:bookmarkStart w:id="3" w:name="_Toc477506804"/>
      <w:r w:rsidRPr="00225B62">
        <w:rPr>
          <w:rFonts w:ascii="Times New Roman" w:hAnsi="Times New Roman"/>
          <w:szCs w:val="22"/>
        </w:rPr>
        <w:t>D</w:t>
      </w:r>
      <w:r w:rsidR="00F94DB8" w:rsidRPr="00225B62">
        <w:rPr>
          <w:rFonts w:ascii="Times New Roman" w:hAnsi="Times New Roman"/>
          <w:szCs w:val="22"/>
        </w:rPr>
        <w:t xml:space="preserve">isplacement </w:t>
      </w:r>
      <w:r w:rsidRPr="00225B62">
        <w:rPr>
          <w:rFonts w:ascii="Times New Roman" w:hAnsi="Times New Roman"/>
          <w:szCs w:val="22"/>
        </w:rPr>
        <w:t>PUBLIC NOTICE</w:t>
      </w:r>
      <w:bookmarkEnd w:id="3"/>
    </w:p>
    <w:p w14:paraId="765172FE" w14:textId="23836976" w:rsidR="00C64DB3" w:rsidRPr="00225B62" w:rsidRDefault="00E006C9" w:rsidP="00C53A3F">
      <w:pPr>
        <w:pStyle w:val="ParaNum"/>
        <w:tabs>
          <w:tab w:val="clear" w:pos="1080"/>
        </w:tabs>
        <w:rPr>
          <w:szCs w:val="22"/>
        </w:rPr>
      </w:pPr>
      <w:r w:rsidRPr="00225B62">
        <w:rPr>
          <w:szCs w:val="22"/>
        </w:rPr>
        <w:t>As the Commission directed</w:t>
      </w:r>
      <w:r w:rsidR="00181931" w:rsidRPr="00225B62">
        <w:rPr>
          <w:szCs w:val="22"/>
        </w:rPr>
        <w:t>,</w:t>
      </w:r>
      <w:r w:rsidR="00181931" w:rsidRPr="00225B62">
        <w:rPr>
          <w:i/>
          <w:szCs w:val="22"/>
        </w:rPr>
        <w:t xml:space="preserve"> </w:t>
      </w:r>
      <w:r w:rsidR="00181931" w:rsidRPr="00225B62">
        <w:rPr>
          <w:szCs w:val="22"/>
        </w:rPr>
        <w:t>the Media Bureau will announce</w:t>
      </w:r>
      <w:r w:rsidR="00EC2248" w:rsidRPr="00225B62">
        <w:rPr>
          <w:szCs w:val="22"/>
        </w:rPr>
        <w:t xml:space="preserve"> a limited window</w:t>
      </w:r>
      <w:r w:rsidR="00D96D52" w:rsidRPr="00225B62">
        <w:rPr>
          <w:szCs w:val="22"/>
        </w:rPr>
        <w:t xml:space="preserve"> (Special Displacement Window)</w:t>
      </w:r>
      <w:r w:rsidR="00EC2248" w:rsidRPr="00225B62">
        <w:rPr>
          <w:szCs w:val="22"/>
        </w:rPr>
        <w:t xml:space="preserve"> for </w:t>
      </w:r>
      <w:r w:rsidR="00D80960" w:rsidRPr="00225B62">
        <w:rPr>
          <w:szCs w:val="22"/>
        </w:rPr>
        <w:t>LPTV/translator stations</w:t>
      </w:r>
      <w:r w:rsidR="00181931" w:rsidRPr="00225B62">
        <w:rPr>
          <w:szCs w:val="22"/>
        </w:rPr>
        <w:t xml:space="preserve"> </w:t>
      </w:r>
      <w:r w:rsidR="000C5E77" w:rsidRPr="00225B62">
        <w:rPr>
          <w:szCs w:val="22"/>
        </w:rPr>
        <w:t xml:space="preserve">subject to displacement </w:t>
      </w:r>
      <w:r w:rsidR="002C10C8" w:rsidRPr="00225B62">
        <w:rPr>
          <w:szCs w:val="22"/>
        </w:rPr>
        <w:t xml:space="preserve">as a result of </w:t>
      </w:r>
      <w:r w:rsidR="00EC2248" w:rsidRPr="00225B62">
        <w:rPr>
          <w:szCs w:val="22"/>
        </w:rPr>
        <w:t xml:space="preserve">the </w:t>
      </w:r>
      <w:r w:rsidR="00F76828" w:rsidRPr="00225B62">
        <w:rPr>
          <w:szCs w:val="22"/>
        </w:rPr>
        <w:t xml:space="preserve">incentive </w:t>
      </w:r>
      <w:r w:rsidR="00EC2248" w:rsidRPr="00225B62">
        <w:rPr>
          <w:szCs w:val="22"/>
        </w:rPr>
        <w:t xml:space="preserve">auction and repacking process </w:t>
      </w:r>
      <w:r w:rsidR="00181931" w:rsidRPr="00225B62">
        <w:rPr>
          <w:szCs w:val="22"/>
        </w:rPr>
        <w:t>to submit displacement applications.</w:t>
      </w:r>
      <w:r w:rsidR="00181931" w:rsidRPr="00225B62">
        <w:rPr>
          <w:rStyle w:val="FootnoteReference"/>
          <w:sz w:val="22"/>
          <w:szCs w:val="22"/>
        </w:rPr>
        <w:footnoteReference w:id="22"/>
      </w:r>
      <w:r w:rsidR="00181931" w:rsidRPr="00225B62">
        <w:rPr>
          <w:szCs w:val="22"/>
        </w:rPr>
        <w:t xml:space="preserve">  </w:t>
      </w:r>
      <w:r w:rsidR="00EC2248" w:rsidRPr="00225B62">
        <w:rPr>
          <w:szCs w:val="22"/>
        </w:rPr>
        <w:t xml:space="preserve">The Special Displacement Window will be announced after full power and Class A television stations reassigned to new channels in the repacking process </w:t>
      </w:r>
      <w:r w:rsidR="005E61FE" w:rsidRPr="00225B62">
        <w:rPr>
          <w:szCs w:val="22"/>
        </w:rPr>
        <w:t>have had an opportunity to apply for their preferred facilities</w:t>
      </w:r>
      <w:r w:rsidRPr="00225B62">
        <w:rPr>
          <w:szCs w:val="22"/>
        </w:rPr>
        <w:t>.</w:t>
      </w:r>
      <w:r w:rsidRPr="00225B62">
        <w:rPr>
          <w:rStyle w:val="FootnoteReference"/>
          <w:sz w:val="22"/>
          <w:szCs w:val="22"/>
        </w:rPr>
        <w:footnoteReference w:id="23"/>
      </w:r>
      <w:r w:rsidRPr="00225B62">
        <w:rPr>
          <w:szCs w:val="22"/>
        </w:rPr>
        <w:t xml:space="preserve">  This will</w:t>
      </w:r>
      <w:r w:rsidR="00EC2248" w:rsidRPr="00225B62">
        <w:rPr>
          <w:szCs w:val="22"/>
        </w:rPr>
        <w:t xml:space="preserve"> ensure a stable database for </w:t>
      </w:r>
      <w:r w:rsidR="006E0EA0" w:rsidRPr="00225B62">
        <w:rPr>
          <w:szCs w:val="22"/>
        </w:rPr>
        <w:t xml:space="preserve">eligible </w:t>
      </w:r>
      <w:r w:rsidR="00D80960" w:rsidRPr="00225B62">
        <w:rPr>
          <w:szCs w:val="22"/>
        </w:rPr>
        <w:t>LPTV/translator stations</w:t>
      </w:r>
      <w:r w:rsidRPr="00225B62">
        <w:rPr>
          <w:szCs w:val="22"/>
        </w:rPr>
        <w:t xml:space="preserve"> to identify and apply for available channels</w:t>
      </w:r>
      <w:r w:rsidR="00EC2248" w:rsidRPr="00225B62">
        <w:rPr>
          <w:szCs w:val="22"/>
        </w:rPr>
        <w:t xml:space="preserve">.  </w:t>
      </w:r>
      <w:r w:rsidR="00000316" w:rsidRPr="00225B62">
        <w:rPr>
          <w:szCs w:val="22"/>
        </w:rPr>
        <w:t xml:space="preserve">We </w:t>
      </w:r>
      <w:r w:rsidR="00C134D0" w:rsidRPr="00225B62">
        <w:rPr>
          <w:szCs w:val="22"/>
        </w:rPr>
        <w:t>anticipate</w:t>
      </w:r>
      <w:r w:rsidR="00181931" w:rsidRPr="00225B62">
        <w:rPr>
          <w:szCs w:val="22"/>
        </w:rPr>
        <w:t xml:space="preserve"> the </w:t>
      </w:r>
      <w:r w:rsidR="00C134D0" w:rsidRPr="00225B62">
        <w:rPr>
          <w:szCs w:val="22"/>
        </w:rPr>
        <w:t xml:space="preserve">exact dates for the </w:t>
      </w:r>
      <w:r w:rsidR="00181931" w:rsidRPr="00225B62">
        <w:rPr>
          <w:szCs w:val="22"/>
        </w:rPr>
        <w:t xml:space="preserve">Special Displacement Window </w:t>
      </w:r>
      <w:r w:rsidR="00C134D0" w:rsidRPr="00225B62">
        <w:rPr>
          <w:szCs w:val="22"/>
        </w:rPr>
        <w:t xml:space="preserve">will be announced </w:t>
      </w:r>
      <w:r w:rsidR="00181931" w:rsidRPr="00225B62">
        <w:rPr>
          <w:szCs w:val="22"/>
        </w:rPr>
        <w:t xml:space="preserve">by public notice (Displacement Public Notice) approximately </w:t>
      </w:r>
      <w:r w:rsidR="006E4754" w:rsidRPr="00225B62">
        <w:rPr>
          <w:szCs w:val="22"/>
        </w:rPr>
        <w:t>seven</w:t>
      </w:r>
      <w:r w:rsidR="004F7B3A" w:rsidRPr="00225B62">
        <w:rPr>
          <w:szCs w:val="22"/>
        </w:rPr>
        <w:t xml:space="preserve"> to </w:t>
      </w:r>
      <w:r w:rsidR="006E4754" w:rsidRPr="00225B62">
        <w:rPr>
          <w:szCs w:val="22"/>
        </w:rPr>
        <w:t>eight</w:t>
      </w:r>
      <w:r w:rsidR="004F7B3A" w:rsidRPr="00225B62">
        <w:rPr>
          <w:szCs w:val="22"/>
        </w:rPr>
        <w:t xml:space="preserve"> months</w:t>
      </w:r>
      <w:r w:rsidR="00181931" w:rsidRPr="00225B62">
        <w:rPr>
          <w:szCs w:val="22"/>
        </w:rPr>
        <w:t xml:space="preserve"> after release of the </w:t>
      </w:r>
      <w:r w:rsidR="00181931" w:rsidRPr="00225B62">
        <w:rPr>
          <w:i/>
          <w:szCs w:val="22"/>
        </w:rPr>
        <w:t xml:space="preserve">Closing and </w:t>
      </w:r>
      <w:r w:rsidR="007F7C51" w:rsidRPr="00225B62">
        <w:rPr>
          <w:i/>
          <w:szCs w:val="22"/>
        </w:rPr>
        <w:t xml:space="preserve">Channel </w:t>
      </w:r>
      <w:r w:rsidR="00181931" w:rsidRPr="00225B62">
        <w:rPr>
          <w:i/>
          <w:szCs w:val="22"/>
        </w:rPr>
        <w:t>Reassignment P</w:t>
      </w:r>
      <w:r w:rsidR="00F3000F" w:rsidRPr="00225B62">
        <w:rPr>
          <w:i/>
          <w:szCs w:val="22"/>
        </w:rPr>
        <w:t xml:space="preserve">ublic </w:t>
      </w:r>
      <w:r w:rsidR="00567F0B" w:rsidRPr="00225B62">
        <w:rPr>
          <w:i/>
          <w:szCs w:val="22"/>
        </w:rPr>
        <w:t>N</w:t>
      </w:r>
      <w:r w:rsidR="00F3000F" w:rsidRPr="00225B62">
        <w:rPr>
          <w:i/>
          <w:szCs w:val="22"/>
        </w:rPr>
        <w:t>otice</w:t>
      </w:r>
      <w:r w:rsidR="006E4754" w:rsidRPr="00225B62">
        <w:rPr>
          <w:szCs w:val="22"/>
        </w:rPr>
        <w:t xml:space="preserve"> on April 13, 2017</w:t>
      </w:r>
      <w:r w:rsidR="00181931" w:rsidRPr="00225B62">
        <w:rPr>
          <w:i/>
          <w:szCs w:val="22"/>
        </w:rPr>
        <w:t>.</w:t>
      </w:r>
      <w:r w:rsidR="00A70586" w:rsidRPr="00225B62">
        <w:rPr>
          <w:rStyle w:val="FootnoteReference"/>
          <w:sz w:val="22"/>
          <w:szCs w:val="22"/>
        </w:rPr>
        <w:footnoteReference w:id="24"/>
      </w:r>
      <w:r w:rsidR="00181931" w:rsidRPr="00225B62">
        <w:rPr>
          <w:szCs w:val="22"/>
        </w:rPr>
        <w:t xml:space="preserve">  The Displacement Public Notice will </w:t>
      </w:r>
      <w:r w:rsidR="00C64DB3" w:rsidRPr="00225B62">
        <w:rPr>
          <w:szCs w:val="22"/>
        </w:rPr>
        <w:t>be released not less than 6</w:t>
      </w:r>
      <w:r w:rsidR="00181931" w:rsidRPr="00225B62">
        <w:rPr>
          <w:szCs w:val="22"/>
        </w:rPr>
        <w:t>0</w:t>
      </w:r>
      <w:r w:rsidR="00C64DB3" w:rsidRPr="00225B62">
        <w:rPr>
          <w:szCs w:val="22"/>
        </w:rPr>
        <w:t xml:space="preserve"> </w:t>
      </w:r>
      <w:r w:rsidR="00181931" w:rsidRPr="00225B62">
        <w:rPr>
          <w:szCs w:val="22"/>
        </w:rPr>
        <w:t>day</w:t>
      </w:r>
      <w:r w:rsidR="00EC2248" w:rsidRPr="00225B62">
        <w:rPr>
          <w:szCs w:val="22"/>
        </w:rPr>
        <w:t>s</w:t>
      </w:r>
      <w:r w:rsidR="00181931" w:rsidRPr="00225B62">
        <w:rPr>
          <w:szCs w:val="22"/>
        </w:rPr>
        <w:t xml:space="preserve"> </w:t>
      </w:r>
      <w:r w:rsidR="00C64DB3" w:rsidRPr="00225B62">
        <w:rPr>
          <w:szCs w:val="22"/>
        </w:rPr>
        <w:t>prior to the opening of the Special Displacement Window</w:t>
      </w:r>
      <w:r w:rsidR="00006CD0" w:rsidRPr="00225B62">
        <w:rPr>
          <w:szCs w:val="22"/>
        </w:rPr>
        <w:t>.  The Special Displacement Window</w:t>
      </w:r>
      <w:r w:rsidR="000C5E77" w:rsidRPr="00225B62">
        <w:rPr>
          <w:szCs w:val="22"/>
        </w:rPr>
        <w:t xml:space="preserve"> </w:t>
      </w:r>
      <w:r w:rsidR="00C64DB3" w:rsidRPr="00225B62">
        <w:rPr>
          <w:szCs w:val="22"/>
        </w:rPr>
        <w:t>will remain open</w:t>
      </w:r>
      <w:r w:rsidR="00181931" w:rsidRPr="00225B62">
        <w:rPr>
          <w:szCs w:val="22"/>
        </w:rPr>
        <w:t xml:space="preserve"> for 30 days.</w:t>
      </w:r>
      <w:r w:rsidR="0056763F" w:rsidRPr="00225B62">
        <w:rPr>
          <w:rStyle w:val="FootnoteReference"/>
          <w:sz w:val="22"/>
          <w:szCs w:val="22"/>
        </w:rPr>
        <w:footnoteReference w:id="25"/>
      </w:r>
      <w:r w:rsidR="00C64DB3" w:rsidRPr="00225B62">
        <w:rPr>
          <w:szCs w:val="22"/>
        </w:rPr>
        <w:t xml:space="preserve">  </w:t>
      </w:r>
    </w:p>
    <w:p w14:paraId="2DB57190" w14:textId="46A77F04" w:rsidR="00181931" w:rsidRPr="00225B62" w:rsidRDefault="00181931" w:rsidP="00567F0B">
      <w:pPr>
        <w:pStyle w:val="Heading2"/>
        <w:rPr>
          <w:snapToGrid/>
          <w:szCs w:val="22"/>
        </w:rPr>
      </w:pPr>
      <w:bookmarkStart w:id="4" w:name="_Toc477506805"/>
      <w:r w:rsidRPr="00225B62">
        <w:rPr>
          <w:snapToGrid/>
          <w:szCs w:val="22"/>
        </w:rPr>
        <w:t>Channel Study</w:t>
      </w:r>
      <w:bookmarkEnd w:id="4"/>
    </w:p>
    <w:p w14:paraId="24D25B62" w14:textId="5FFB3764" w:rsidR="00ED7B74" w:rsidRPr="00225B62" w:rsidRDefault="00E006C9" w:rsidP="00ED7B74">
      <w:pPr>
        <w:pStyle w:val="ParaNum"/>
        <w:tabs>
          <w:tab w:val="clear" w:pos="1080"/>
        </w:tabs>
        <w:rPr>
          <w:szCs w:val="22"/>
        </w:rPr>
      </w:pPr>
      <w:r w:rsidRPr="00225B62">
        <w:rPr>
          <w:snapToGrid/>
          <w:szCs w:val="22"/>
        </w:rPr>
        <w:t>The Displacement Public Notice will provide channel availability data t</w:t>
      </w:r>
      <w:r w:rsidR="00EC2248" w:rsidRPr="00225B62">
        <w:rPr>
          <w:snapToGrid/>
          <w:szCs w:val="22"/>
        </w:rPr>
        <w:t>o assist</w:t>
      </w:r>
      <w:r w:rsidR="00AA719A" w:rsidRPr="00225B62">
        <w:rPr>
          <w:snapToGrid/>
          <w:szCs w:val="22"/>
        </w:rPr>
        <w:t xml:space="preserve"> </w:t>
      </w:r>
      <w:r w:rsidR="000953C0" w:rsidRPr="00225B62">
        <w:rPr>
          <w:snapToGrid/>
          <w:szCs w:val="22"/>
        </w:rPr>
        <w:t xml:space="preserve">eligible </w:t>
      </w:r>
      <w:r w:rsidR="003174E4" w:rsidRPr="00225B62">
        <w:rPr>
          <w:snapToGrid/>
          <w:szCs w:val="22"/>
        </w:rPr>
        <w:t>LPTV/</w:t>
      </w:r>
      <w:r w:rsidR="00C64DB3" w:rsidRPr="00225B62">
        <w:rPr>
          <w:snapToGrid/>
          <w:szCs w:val="22"/>
        </w:rPr>
        <w:t xml:space="preserve">TV translator </w:t>
      </w:r>
      <w:r w:rsidR="00000316" w:rsidRPr="00225B62">
        <w:rPr>
          <w:snapToGrid/>
          <w:szCs w:val="22"/>
        </w:rPr>
        <w:t>stations</w:t>
      </w:r>
      <w:r w:rsidR="00EC2248" w:rsidRPr="00225B62">
        <w:rPr>
          <w:snapToGrid/>
          <w:szCs w:val="22"/>
        </w:rPr>
        <w:t xml:space="preserve"> </w:t>
      </w:r>
      <w:r w:rsidRPr="00225B62">
        <w:rPr>
          <w:snapToGrid/>
          <w:szCs w:val="22"/>
        </w:rPr>
        <w:t>in</w:t>
      </w:r>
      <w:r w:rsidR="00EC2248" w:rsidRPr="00225B62">
        <w:rPr>
          <w:snapToGrid/>
          <w:szCs w:val="22"/>
        </w:rPr>
        <w:t xml:space="preserve"> identify</w:t>
      </w:r>
      <w:r w:rsidRPr="00225B62">
        <w:rPr>
          <w:snapToGrid/>
          <w:szCs w:val="22"/>
        </w:rPr>
        <w:t>ing potential</w:t>
      </w:r>
      <w:r w:rsidR="00EC2248" w:rsidRPr="00225B62">
        <w:rPr>
          <w:snapToGrid/>
          <w:szCs w:val="22"/>
        </w:rPr>
        <w:t xml:space="preserve"> ne</w:t>
      </w:r>
      <w:r w:rsidR="00E93BC5" w:rsidRPr="00225B62">
        <w:rPr>
          <w:snapToGrid/>
          <w:szCs w:val="22"/>
        </w:rPr>
        <w:t xml:space="preserve">w </w:t>
      </w:r>
      <w:r w:rsidR="00EC2248" w:rsidRPr="00225B62">
        <w:rPr>
          <w:snapToGrid/>
          <w:szCs w:val="22"/>
        </w:rPr>
        <w:t>channel</w:t>
      </w:r>
      <w:r w:rsidR="006E0EA0" w:rsidRPr="00225B62">
        <w:rPr>
          <w:snapToGrid/>
          <w:szCs w:val="22"/>
        </w:rPr>
        <w:t>s</w:t>
      </w:r>
      <w:r w:rsidRPr="00225B62">
        <w:rPr>
          <w:snapToGrid/>
          <w:szCs w:val="22"/>
        </w:rPr>
        <w:t xml:space="preserve"> </w:t>
      </w:r>
      <w:r w:rsidR="00236299" w:rsidRPr="00225B62">
        <w:rPr>
          <w:snapToGrid/>
          <w:szCs w:val="22"/>
        </w:rPr>
        <w:t>in the repacked TV bands</w:t>
      </w:r>
      <w:r w:rsidRPr="00225B62">
        <w:rPr>
          <w:snapToGrid/>
          <w:szCs w:val="22"/>
        </w:rPr>
        <w:t xml:space="preserve">, consistent with the Commission’s direction in the </w:t>
      </w:r>
      <w:r w:rsidR="00567F0B" w:rsidRPr="00225B62">
        <w:rPr>
          <w:i/>
          <w:snapToGrid/>
          <w:szCs w:val="22"/>
        </w:rPr>
        <w:t xml:space="preserve">LPTV DTV </w:t>
      </w:r>
      <w:r w:rsidR="005C52FD" w:rsidRPr="00225B62">
        <w:rPr>
          <w:i/>
          <w:snapToGrid/>
          <w:szCs w:val="22"/>
        </w:rPr>
        <w:t>Third R&amp;O</w:t>
      </w:r>
      <w:r w:rsidR="00EC2248" w:rsidRPr="00225B62">
        <w:rPr>
          <w:snapToGrid/>
          <w:szCs w:val="22"/>
        </w:rPr>
        <w:t>.</w:t>
      </w:r>
      <w:r w:rsidR="00EC2248" w:rsidRPr="00225B62">
        <w:rPr>
          <w:rStyle w:val="FootnoteReference"/>
          <w:snapToGrid/>
          <w:sz w:val="22"/>
          <w:szCs w:val="22"/>
        </w:rPr>
        <w:footnoteReference w:id="26"/>
      </w:r>
      <w:r w:rsidR="00EC2248" w:rsidRPr="00225B62">
        <w:rPr>
          <w:snapToGrid/>
          <w:szCs w:val="22"/>
        </w:rPr>
        <w:t xml:space="preserve">  </w:t>
      </w:r>
      <w:r w:rsidR="009D732D" w:rsidRPr="00225B62">
        <w:rPr>
          <w:snapToGrid/>
          <w:szCs w:val="22"/>
        </w:rPr>
        <w:t xml:space="preserve">Specifically, the data will identify locations and channels where LPTV/translator stations </w:t>
      </w:r>
      <w:r w:rsidR="009D732D" w:rsidRPr="00225B62">
        <w:rPr>
          <w:i/>
          <w:snapToGrid/>
          <w:szCs w:val="22"/>
        </w:rPr>
        <w:t>cannot</w:t>
      </w:r>
      <w:r w:rsidR="009D732D" w:rsidRPr="00225B62">
        <w:rPr>
          <w:snapToGrid/>
          <w:szCs w:val="22"/>
        </w:rPr>
        <w:t xml:space="preserve"> </w:t>
      </w:r>
      <w:r w:rsidR="000953C0" w:rsidRPr="00225B62">
        <w:rPr>
          <w:snapToGrid/>
          <w:szCs w:val="22"/>
        </w:rPr>
        <w:t>propose displacement facilities</w:t>
      </w:r>
      <w:r w:rsidR="009D732D" w:rsidRPr="00225B62">
        <w:rPr>
          <w:snapToGrid/>
          <w:szCs w:val="22"/>
        </w:rPr>
        <w:t xml:space="preserve"> because of the presence of other </w:t>
      </w:r>
      <w:r w:rsidR="006B207B" w:rsidRPr="00225B62">
        <w:rPr>
          <w:snapToGrid/>
          <w:szCs w:val="22"/>
        </w:rPr>
        <w:t xml:space="preserve">non-displaced </w:t>
      </w:r>
      <w:r w:rsidR="00707B6E" w:rsidRPr="00225B62">
        <w:rPr>
          <w:snapToGrid/>
          <w:szCs w:val="22"/>
        </w:rPr>
        <w:t xml:space="preserve">LPTV/translator stations, </w:t>
      </w:r>
      <w:r w:rsidR="00D96D52" w:rsidRPr="00225B62">
        <w:rPr>
          <w:snapToGrid/>
          <w:szCs w:val="22"/>
        </w:rPr>
        <w:t xml:space="preserve">full power and Class A television </w:t>
      </w:r>
      <w:r w:rsidR="009D732D" w:rsidRPr="00225B62">
        <w:rPr>
          <w:snapToGrid/>
          <w:szCs w:val="22"/>
        </w:rPr>
        <w:t>stations</w:t>
      </w:r>
      <w:r w:rsidR="00001DC3" w:rsidRPr="00225B62">
        <w:rPr>
          <w:snapToGrid/>
          <w:szCs w:val="22"/>
        </w:rPr>
        <w:t xml:space="preserve"> or land mobile operations</w:t>
      </w:r>
      <w:r w:rsidR="009D732D" w:rsidRPr="00225B62">
        <w:rPr>
          <w:snapToGrid/>
          <w:szCs w:val="22"/>
        </w:rPr>
        <w:t>.</w:t>
      </w:r>
      <w:r w:rsidR="00065726" w:rsidRPr="00225B62">
        <w:rPr>
          <w:rStyle w:val="FootnoteReference"/>
          <w:snapToGrid/>
          <w:sz w:val="22"/>
          <w:szCs w:val="22"/>
        </w:rPr>
        <w:footnoteReference w:id="27"/>
      </w:r>
      <w:r w:rsidR="009D732D" w:rsidRPr="00225B62">
        <w:rPr>
          <w:snapToGrid/>
          <w:szCs w:val="22"/>
        </w:rPr>
        <w:t xml:space="preserve">  </w:t>
      </w:r>
      <w:r w:rsidR="00181931" w:rsidRPr="00225B62">
        <w:rPr>
          <w:snapToGrid/>
          <w:szCs w:val="22"/>
        </w:rPr>
        <w:t xml:space="preserve">The </w:t>
      </w:r>
      <w:r w:rsidRPr="00225B62">
        <w:rPr>
          <w:snapToGrid/>
          <w:szCs w:val="22"/>
        </w:rPr>
        <w:t xml:space="preserve">data will </w:t>
      </w:r>
      <w:r w:rsidR="000450F4" w:rsidRPr="00225B62">
        <w:rPr>
          <w:snapToGrid/>
          <w:szCs w:val="22"/>
        </w:rPr>
        <w:t xml:space="preserve">be based on use of the </w:t>
      </w:r>
      <w:r w:rsidR="00B66D5F" w:rsidRPr="00225B62">
        <w:rPr>
          <w:snapToGrid/>
          <w:szCs w:val="22"/>
        </w:rPr>
        <w:t xml:space="preserve">incentive auction </w:t>
      </w:r>
      <w:r w:rsidR="00181931" w:rsidRPr="00225B62">
        <w:rPr>
          <w:snapToGrid/>
          <w:szCs w:val="22"/>
        </w:rPr>
        <w:t>software</w:t>
      </w:r>
      <w:r w:rsidR="00C134D0" w:rsidRPr="00225B62">
        <w:rPr>
          <w:snapToGrid/>
          <w:szCs w:val="22"/>
        </w:rPr>
        <w:t xml:space="preserve"> </w:t>
      </w:r>
      <w:r w:rsidR="000C3FF1" w:rsidRPr="00225B62">
        <w:rPr>
          <w:snapToGrid/>
          <w:szCs w:val="22"/>
        </w:rPr>
        <w:t xml:space="preserve">nationwide </w:t>
      </w:r>
      <w:r w:rsidR="009D732D" w:rsidRPr="00225B62">
        <w:rPr>
          <w:snapToGrid/>
          <w:szCs w:val="22"/>
        </w:rPr>
        <w:t>and</w:t>
      </w:r>
      <w:r w:rsidR="00D35084" w:rsidRPr="00225B62">
        <w:rPr>
          <w:snapToGrid/>
          <w:szCs w:val="22"/>
        </w:rPr>
        <w:t xml:space="preserve"> the full </w:t>
      </w:r>
      <w:r w:rsidR="00F869D0" w:rsidRPr="00225B62">
        <w:rPr>
          <w:snapToGrid/>
          <w:szCs w:val="22"/>
        </w:rPr>
        <w:t xml:space="preserve">power and Class A </w:t>
      </w:r>
      <w:r w:rsidR="00D35084" w:rsidRPr="00225B62">
        <w:rPr>
          <w:snapToGrid/>
          <w:szCs w:val="22"/>
        </w:rPr>
        <w:t xml:space="preserve">television </w:t>
      </w:r>
      <w:r w:rsidR="00F869D0" w:rsidRPr="00225B62">
        <w:rPr>
          <w:snapToGrid/>
          <w:szCs w:val="22"/>
        </w:rPr>
        <w:t xml:space="preserve">station technical parameters in the </w:t>
      </w:r>
      <w:r w:rsidR="00F73076" w:rsidRPr="00225B62">
        <w:rPr>
          <w:i/>
          <w:snapToGrid/>
          <w:szCs w:val="22"/>
        </w:rPr>
        <w:t>Closing and Channel Reassignment</w:t>
      </w:r>
      <w:r w:rsidR="00F869D0" w:rsidRPr="00225B62">
        <w:rPr>
          <w:i/>
          <w:snapToGrid/>
          <w:szCs w:val="22"/>
        </w:rPr>
        <w:t xml:space="preserve"> P</w:t>
      </w:r>
      <w:r w:rsidR="00F3000F" w:rsidRPr="00225B62">
        <w:rPr>
          <w:i/>
          <w:snapToGrid/>
          <w:szCs w:val="22"/>
        </w:rPr>
        <w:t xml:space="preserve">ublic </w:t>
      </w:r>
      <w:r w:rsidR="00F869D0" w:rsidRPr="00225B62">
        <w:rPr>
          <w:i/>
          <w:snapToGrid/>
          <w:szCs w:val="22"/>
        </w:rPr>
        <w:t>N</w:t>
      </w:r>
      <w:r w:rsidR="00F3000F" w:rsidRPr="00225B62">
        <w:rPr>
          <w:i/>
          <w:snapToGrid/>
          <w:szCs w:val="22"/>
        </w:rPr>
        <w:t>otice</w:t>
      </w:r>
      <w:r w:rsidR="00AA719A" w:rsidRPr="00225B62">
        <w:rPr>
          <w:snapToGrid/>
          <w:szCs w:val="22"/>
        </w:rPr>
        <w:t xml:space="preserve">, as well as any </w:t>
      </w:r>
      <w:r w:rsidR="006E0EA0" w:rsidRPr="00225B62">
        <w:rPr>
          <w:snapToGrid/>
          <w:szCs w:val="22"/>
        </w:rPr>
        <w:t>full power</w:t>
      </w:r>
      <w:r w:rsidR="00321B35" w:rsidRPr="00225B62">
        <w:rPr>
          <w:snapToGrid/>
          <w:szCs w:val="22"/>
        </w:rPr>
        <w:t xml:space="preserve"> and </w:t>
      </w:r>
      <w:r w:rsidR="006E0EA0" w:rsidRPr="00225B62">
        <w:rPr>
          <w:snapToGrid/>
          <w:szCs w:val="22"/>
        </w:rPr>
        <w:t xml:space="preserve">Class A </w:t>
      </w:r>
      <w:r w:rsidR="00321B35" w:rsidRPr="00225B62">
        <w:rPr>
          <w:snapToGrid/>
          <w:szCs w:val="22"/>
        </w:rPr>
        <w:t xml:space="preserve">television </w:t>
      </w:r>
      <w:r w:rsidR="00AA719A" w:rsidRPr="00225B62">
        <w:rPr>
          <w:snapToGrid/>
          <w:szCs w:val="22"/>
        </w:rPr>
        <w:t xml:space="preserve">modifications proposed in the two </w:t>
      </w:r>
      <w:r w:rsidR="00D35084" w:rsidRPr="00225B62">
        <w:rPr>
          <w:snapToGrid/>
          <w:szCs w:val="22"/>
        </w:rPr>
        <w:t xml:space="preserve">alternate channel/expanded facilities </w:t>
      </w:r>
      <w:r w:rsidR="00AA719A" w:rsidRPr="00225B62">
        <w:rPr>
          <w:snapToGrid/>
          <w:szCs w:val="22"/>
        </w:rPr>
        <w:t>filing windows</w:t>
      </w:r>
      <w:r w:rsidR="00E93BC5" w:rsidRPr="00225B62">
        <w:rPr>
          <w:snapToGrid/>
          <w:szCs w:val="22"/>
        </w:rPr>
        <w:t>.</w:t>
      </w:r>
      <w:r w:rsidR="00A95259" w:rsidRPr="00225B62">
        <w:rPr>
          <w:rStyle w:val="FootnoteReference"/>
          <w:snapToGrid/>
          <w:sz w:val="22"/>
          <w:szCs w:val="22"/>
        </w:rPr>
        <w:footnoteReference w:id="28"/>
      </w:r>
      <w:r w:rsidR="00E93BC5" w:rsidRPr="00225B62">
        <w:rPr>
          <w:rStyle w:val="FootnoteReference"/>
          <w:snapToGrid/>
          <w:sz w:val="22"/>
          <w:szCs w:val="22"/>
        </w:rPr>
        <w:t xml:space="preserve"> </w:t>
      </w:r>
      <w:r w:rsidR="00707B6E" w:rsidRPr="00225B62">
        <w:rPr>
          <w:snapToGrid/>
          <w:szCs w:val="22"/>
        </w:rPr>
        <w:t xml:space="preserve"> </w:t>
      </w:r>
      <w:r w:rsidR="00181931" w:rsidRPr="00225B62">
        <w:rPr>
          <w:snapToGrid/>
          <w:szCs w:val="22"/>
        </w:rPr>
        <w:t>The</w:t>
      </w:r>
      <w:r w:rsidR="009D732D" w:rsidRPr="00225B62">
        <w:rPr>
          <w:snapToGrid/>
          <w:szCs w:val="22"/>
        </w:rPr>
        <w:t xml:space="preserve"> </w:t>
      </w:r>
      <w:r w:rsidR="00181931" w:rsidRPr="00225B62">
        <w:rPr>
          <w:snapToGrid/>
          <w:szCs w:val="22"/>
        </w:rPr>
        <w:t xml:space="preserve">data will be provided on the </w:t>
      </w:r>
      <w:r w:rsidR="000450F4" w:rsidRPr="00225B62">
        <w:rPr>
          <w:snapToGrid/>
          <w:szCs w:val="22"/>
        </w:rPr>
        <w:t xml:space="preserve">same </w:t>
      </w:r>
      <w:r w:rsidR="00181931" w:rsidRPr="00225B62">
        <w:rPr>
          <w:snapToGrid/>
          <w:szCs w:val="22"/>
        </w:rPr>
        <w:t>2x2 kilometer basis as utilized in</w:t>
      </w:r>
      <w:r w:rsidR="00892559" w:rsidRPr="00225B62">
        <w:rPr>
          <w:snapToGrid/>
          <w:szCs w:val="22"/>
        </w:rPr>
        <w:t xml:space="preserve"> </w:t>
      </w:r>
      <w:r w:rsidR="00567F0B" w:rsidRPr="00225B62">
        <w:rPr>
          <w:snapToGrid/>
          <w:szCs w:val="22"/>
        </w:rPr>
        <w:t>“</w:t>
      </w:r>
      <w:r w:rsidR="00181931" w:rsidRPr="00225B62">
        <w:rPr>
          <w:i/>
          <w:szCs w:val="22"/>
        </w:rPr>
        <w:t>TVStudy</w:t>
      </w:r>
      <w:r w:rsidR="00567F0B" w:rsidRPr="00225B62">
        <w:rPr>
          <w:snapToGrid/>
          <w:szCs w:val="22"/>
        </w:rPr>
        <w:t>,”</w:t>
      </w:r>
      <w:r w:rsidR="006B207B" w:rsidRPr="00225B62">
        <w:rPr>
          <w:snapToGrid/>
          <w:szCs w:val="22"/>
        </w:rPr>
        <w:t xml:space="preserve"> the repacking </w:t>
      </w:r>
      <w:r w:rsidR="00892559" w:rsidRPr="00225B62">
        <w:rPr>
          <w:snapToGrid/>
          <w:szCs w:val="22"/>
        </w:rPr>
        <w:t>software</w:t>
      </w:r>
      <w:r w:rsidR="00D46C5A" w:rsidRPr="00225B62">
        <w:rPr>
          <w:snapToGrid/>
          <w:szCs w:val="22"/>
        </w:rPr>
        <w:t xml:space="preserve"> used in connection with the </w:t>
      </w:r>
      <w:r w:rsidR="00DA6EFB">
        <w:rPr>
          <w:snapToGrid/>
          <w:szCs w:val="22"/>
        </w:rPr>
        <w:br/>
      </w:r>
      <w:r w:rsidR="00D46C5A" w:rsidRPr="00225B62">
        <w:rPr>
          <w:snapToGrid/>
          <w:szCs w:val="22"/>
        </w:rPr>
        <w:t>incentive auction</w:t>
      </w:r>
      <w:r w:rsidR="00181931" w:rsidRPr="00225B62">
        <w:rPr>
          <w:snapToGrid/>
          <w:szCs w:val="22"/>
        </w:rPr>
        <w:t>.</w:t>
      </w:r>
      <w:r w:rsidR="00892559" w:rsidRPr="00225B62">
        <w:rPr>
          <w:rStyle w:val="FootnoteReference"/>
          <w:snapToGrid/>
          <w:sz w:val="22"/>
          <w:szCs w:val="22"/>
        </w:rPr>
        <w:footnoteReference w:id="29"/>
      </w:r>
      <w:r w:rsidR="00D80960" w:rsidRPr="00225B62">
        <w:rPr>
          <w:snapToGrid/>
          <w:szCs w:val="22"/>
        </w:rPr>
        <w:t xml:space="preserve">  </w:t>
      </w:r>
      <w:r w:rsidR="000C3FF1" w:rsidRPr="00225B62">
        <w:rPr>
          <w:snapToGrid/>
          <w:szCs w:val="22"/>
        </w:rPr>
        <w:t xml:space="preserve">While </w:t>
      </w:r>
      <w:r w:rsidR="00AA719A" w:rsidRPr="00225B62">
        <w:rPr>
          <w:snapToGrid/>
          <w:szCs w:val="22"/>
        </w:rPr>
        <w:t xml:space="preserve">LPTV/translator </w:t>
      </w:r>
      <w:r w:rsidR="000C3FF1" w:rsidRPr="00225B62">
        <w:rPr>
          <w:snapToGrid/>
          <w:szCs w:val="22"/>
        </w:rPr>
        <w:t xml:space="preserve">stations </w:t>
      </w:r>
      <w:r w:rsidR="00236299" w:rsidRPr="00225B62">
        <w:rPr>
          <w:snapToGrid/>
          <w:szCs w:val="22"/>
        </w:rPr>
        <w:t xml:space="preserve">applying for </w:t>
      </w:r>
      <w:r w:rsidR="006E0EA0" w:rsidRPr="00225B62">
        <w:rPr>
          <w:snapToGrid/>
          <w:szCs w:val="22"/>
        </w:rPr>
        <w:t xml:space="preserve">displacement </w:t>
      </w:r>
      <w:r w:rsidR="00236299" w:rsidRPr="00225B62">
        <w:rPr>
          <w:snapToGrid/>
          <w:szCs w:val="22"/>
        </w:rPr>
        <w:t xml:space="preserve">channels </w:t>
      </w:r>
      <w:r w:rsidR="000C3FF1" w:rsidRPr="00225B62">
        <w:rPr>
          <w:snapToGrid/>
          <w:szCs w:val="22"/>
        </w:rPr>
        <w:t xml:space="preserve">will still be required to show </w:t>
      </w:r>
      <w:r w:rsidR="00BC1BC9" w:rsidRPr="00225B62">
        <w:rPr>
          <w:snapToGrid/>
          <w:szCs w:val="22"/>
        </w:rPr>
        <w:t xml:space="preserve">that their proposals </w:t>
      </w:r>
      <w:r w:rsidR="00AA719A" w:rsidRPr="00225B62">
        <w:rPr>
          <w:snapToGrid/>
          <w:szCs w:val="22"/>
        </w:rPr>
        <w:t xml:space="preserve">would </w:t>
      </w:r>
      <w:r w:rsidR="00BA2A89" w:rsidRPr="00225B62">
        <w:rPr>
          <w:snapToGrid/>
          <w:szCs w:val="22"/>
        </w:rPr>
        <w:t xml:space="preserve">not cause impermissible </w:t>
      </w:r>
      <w:r w:rsidR="00BC1BC9" w:rsidRPr="00225B62">
        <w:rPr>
          <w:snapToGrid/>
          <w:szCs w:val="22"/>
        </w:rPr>
        <w:t>interference</w:t>
      </w:r>
      <w:r w:rsidR="00236299" w:rsidRPr="00225B62">
        <w:rPr>
          <w:snapToGrid/>
          <w:szCs w:val="22"/>
        </w:rPr>
        <w:t xml:space="preserve"> to other </w:t>
      </w:r>
      <w:r w:rsidR="00D46C5A" w:rsidRPr="00225B62">
        <w:rPr>
          <w:snapToGrid/>
          <w:szCs w:val="22"/>
        </w:rPr>
        <w:t>full power, Class A and LPTV/translator</w:t>
      </w:r>
      <w:r w:rsidR="00236299" w:rsidRPr="00225B62">
        <w:rPr>
          <w:snapToGrid/>
          <w:szCs w:val="22"/>
        </w:rPr>
        <w:t xml:space="preserve"> stations</w:t>
      </w:r>
      <w:r w:rsidR="000C3FF1" w:rsidRPr="00225B62">
        <w:rPr>
          <w:snapToGrid/>
          <w:szCs w:val="22"/>
        </w:rPr>
        <w:t>,</w:t>
      </w:r>
      <w:r w:rsidR="006B207B" w:rsidRPr="00225B62">
        <w:rPr>
          <w:rStyle w:val="FootnoteReference"/>
          <w:snapToGrid/>
          <w:sz w:val="22"/>
          <w:szCs w:val="22"/>
        </w:rPr>
        <w:footnoteReference w:id="30"/>
      </w:r>
      <w:r w:rsidR="000C3FF1" w:rsidRPr="00225B62">
        <w:rPr>
          <w:snapToGrid/>
          <w:szCs w:val="22"/>
        </w:rPr>
        <w:t xml:space="preserve"> </w:t>
      </w:r>
      <w:r w:rsidR="00AB2E7D" w:rsidRPr="00225B62">
        <w:rPr>
          <w:snapToGrid/>
          <w:szCs w:val="22"/>
        </w:rPr>
        <w:t xml:space="preserve">identification of </w:t>
      </w:r>
      <w:r w:rsidR="000C3FF1" w:rsidRPr="00225B62">
        <w:rPr>
          <w:snapToGrid/>
          <w:szCs w:val="22"/>
        </w:rPr>
        <w:t xml:space="preserve">the locations </w:t>
      </w:r>
      <w:r w:rsidR="00AB2E7D" w:rsidRPr="00225B62">
        <w:rPr>
          <w:snapToGrid/>
          <w:szCs w:val="22"/>
        </w:rPr>
        <w:t xml:space="preserve">and channels </w:t>
      </w:r>
      <w:r w:rsidR="000C3FF1" w:rsidRPr="00225B62">
        <w:rPr>
          <w:snapToGrid/>
          <w:szCs w:val="22"/>
        </w:rPr>
        <w:t xml:space="preserve">where </w:t>
      </w:r>
      <w:r w:rsidR="006E0EA0" w:rsidRPr="00225B62">
        <w:rPr>
          <w:snapToGrid/>
          <w:szCs w:val="22"/>
        </w:rPr>
        <w:t xml:space="preserve">eligible LPTV/translator </w:t>
      </w:r>
      <w:r w:rsidR="00BC1BC9" w:rsidRPr="00225B62">
        <w:rPr>
          <w:snapToGrid/>
          <w:szCs w:val="22"/>
        </w:rPr>
        <w:t xml:space="preserve">stations cannot </w:t>
      </w:r>
      <w:r w:rsidR="006E0EA0" w:rsidRPr="00225B62">
        <w:rPr>
          <w:snapToGrid/>
          <w:szCs w:val="22"/>
        </w:rPr>
        <w:t>propose to operate</w:t>
      </w:r>
      <w:r w:rsidR="006D186D" w:rsidRPr="00225B62">
        <w:rPr>
          <w:snapToGrid/>
          <w:szCs w:val="22"/>
        </w:rPr>
        <w:t xml:space="preserve"> </w:t>
      </w:r>
      <w:r w:rsidR="00BC1BC9" w:rsidRPr="00225B62">
        <w:rPr>
          <w:snapToGrid/>
          <w:szCs w:val="22"/>
        </w:rPr>
        <w:t xml:space="preserve">will </w:t>
      </w:r>
      <w:r w:rsidR="00CB6316" w:rsidRPr="00225B62">
        <w:rPr>
          <w:snapToGrid/>
          <w:szCs w:val="22"/>
        </w:rPr>
        <w:t>facilitate</w:t>
      </w:r>
      <w:r w:rsidR="00BC1BC9" w:rsidRPr="00225B62">
        <w:rPr>
          <w:snapToGrid/>
          <w:szCs w:val="22"/>
        </w:rPr>
        <w:t xml:space="preserve"> the </w:t>
      </w:r>
      <w:r w:rsidR="00F869D0" w:rsidRPr="00225B62">
        <w:rPr>
          <w:snapToGrid/>
          <w:szCs w:val="22"/>
        </w:rPr>
        <w:t xml:space="preserve">LPTV/translator </w:t>
      </w:r>
      <w:r w:rsidR="00BC1BC9" w:rsidRPr="00225B62">
        <w:rPr>
          <w:snapToGrid/>
          <w:szCs w:val="22"/>
        </w:rPr>
        <w:t xml:space="preserve">displacement </w:t>
      </w:r>
      <w:r w:rsidR="00AB2E7D" w:rsidRPr="00225B62">
        <w:rPr>
          <w:snapToGrid/>
          <w:szCs w:val="22"/>
        </w:rPr>
        <w:t xml:space="preserve">application </w:t>
      </w:r>
      <w:r w:rsidR="00BC1BC9" w:rsidRPr="00225B62">
        <w:rPr>
          <w:snapToGrid/>
          <w:szCs w:val="22"/>
        </w:rPr>
        <w:t xml:space="preserve">process by </w:t>
      </w:r>
      <w:r w:rsidR="00AB2E7D" w:rsidRPr="00225B62">
        <w:rPr>
          <w:snapToGrid/>
          <w:szCs w:val="22"/>
        </w:rPr>
        <w:t xml:space="preserve">providing critical information on where applicants </w:t>
      </w:r>
      <w:r w:rsidR="00BC1BC9" w:rsidRPr="00225B62">
        <w:rPr>
          <w:snapToGrid/>
          <w:szCs w:val="22"/>
        </w:rPr>
        <w:t xml:space="preserve">can </w:t>
      </w:r>
      <w:r w:rsidR="006E0EA0" w:rsidRPr="00225B62">
        <w:rPr>
          <w:snapToGrid/>
          <w:szCs w:val="22"/>
        </w:rPr>
        <w:t>do so</w:t>
      </w:r>
      <w:r w:rsidR="000C3FF1" w:rsidRPr="00225B62">
        <w:rPr>
          <w:snapToGrid/>
          <w:szCs w:val="22"/>
        </w:rPr>
        <w:t>.</w:t>
      </w:r>
      <w:r w:rsidR="009D732D" w:rsidRPr="00225B62">
        <w:rPr>
          <w:rStyle w:val="FootnoteReference"/>
          <w:snapToGrid/>
          <w:sz w:val="22"/>
          <w:szCs w:val="22"/>
        </w:rPr>
        <w:footnoteReference w:id="31"/>
      </w:r>
      <w:r w:rsidR="00D80960" w:rsidRPr="00225B62">
        <w:rPr>
          <w:snapToGrid/>
          <w:szCs w:val="22"/>
        </w:rPr>
        <w:t xml:space="preserve">  </w:t>
      </w:r>
      <w:r w:rsidR="00B66D5F" w:rsidRPr="00225B62">
        <w:rPr>
          <w:snapToGrid/>
          <w:szCs w:val="22"/>
        </w:rPr>
        <w:t>Stations are encouraged to use this information to help identify available channels and</w:t>
      </w:r>
      <w:r w:rsidR="006E0EA0" w:rsidRPr="00225B62">
        <w:rPr>
          <w:snapToGrid/>
          <w:szCs w:val="22"/>
        </w:rPr>
        <w:t xml:space="preserve"> to</w:t>
      </w:r>
      <w:r w:rsidR="00B66D5F" w:rsidRPr="00225B62">
        <w:rPr>
          <w:snapToGrid/>
          <w:szCs w:val="22"/>
        </w:rPr>
        <w:t xml:space="preserve"> use </w:t>
      </w:r>
      <w:r w:rsidR="00B66D5F" w:rsidRPr="00225B62">
        <w:rPr>
          <w:i/>
          <w:szCs w:val="22"/>
        </w:rPr>
        <w:t>TVStudy</w:t>
      </w:r>
      <w:r w:rsidR="00B66D5F" w:rsidRPr="00225B62">
        <w:rPr>
          <w:snapToGrid/>
          <w:szCs w:val="22"/>
        </w:rPr>
        <w:t xml:space="preserve"> to verify that the</w:t>
      </w:r>
      <w:r w:rsidR="006E0EA0" w:rsidRPr="00225B62">
        <w:rPr>
          <w:snapToGrid/>
          <w:szCs w:val="22"/>
        </w:rPr>
        <w:t xml:space="preserve"> displacement facilities they propose </w:t>
      </w:r>
      <w:r w:rsidR="00B66D5F" w:rsidRPr="00225B62">
        <w:rPr>
          <w:snapToGrid/>
          <w:szCs w:val="22"/>
        </w:rPr>
        <w:t>will satisfy station needs while not creating harmful interference.  Once a channel is identified, stations are encouraged to file for it during the Spe</w:t>
      </w:r>
      <w:r w:rsidR="00265D97">
        <w:rPr>
          <w:szCs w:val="22"/>
        </w:rPr>
        <w:t xml:space="preserve">cial </w:t>
      </w:r>
      <w:r w:rsidR="00181931" w:rsidRPr="00225B62">
        <w:rPr>
          <w:szCs w:val="22"/>
        </w:rPr>
        <w:t>Displacement Window</w:t>
      </w:r>
      <w:r w:rsidR="00B66D5F" w:rsidRPr="00225B62">
        <w:rPr>
          <w:szCs w:val="22"/>
        </w:rPr>
        <w:t xml:space="preserve">.  </w:t>
      </w:r>
    </w:p>
    <w:p w14:paraId="35088FAD" w14:textId="77777777" w:rsidR="00ED7B74" w:rsidRPr="00225B62" w:rsidRDefault="00ED7B74" w:rsidP="00567F0B">
      <w:pPr>
        <w:pStyle w:val="Heading2"/>
        <w:rPr>
          <w:szCs w:val="22"/>
        </w:rPr>
      </w:pPr>
      <w:bookmarkStart w:id="5" w:name="_Toc477506806"/>
      <w:r w:rsidRPr="00225B62">
        <w:rPr>
          <w:szCs w:val="22"/>
        </w:rPr>
        <w:t>Eligibility to File in Special Displacement Window</w:t>
      </w:r>
      <w:bookmarkEnd w:id="5"/>
    </w:p>
    <w:p w14:paraId="247CA7DB" w14:textId="5E8921FB" w:rsidR="00ED7B74" w:rsidRPr="00225B62" w:rsidRDefault="00742144" w:rsidP="00ED7B74">
      <w:pPr>
        <w:pStyle w:val="ParaNum"/>
        <w:tabs>
          <w:tab w:val="clear" w:pos="1080"/>
        </w:tabs>
        <w:rPr>
          <w:szCs w:val="22"/>
        </w:rPr>
      </w:pPr>
      <w:r w:rsidRPr="00225B62">
        <w:rPr>
          <w:szCs w:val="22"/>
        </w:rPr>
        <w:t>To be eligible to file in the Special Displacement Window</w:t>
      </w:r>
      <w:r w:rsidR="00923B64" w:rsidRPr="00225B62">
        <w:rPr>
          <w:szCs w:val="22"/>
        </w:rPr>
        <w:t>,</w:t>
      </w:r>
      <w:r w:rsidRPr="00225B62">
        <w:rPr>
          <w:szCs w:val="22"/>
        </w:rPr>
        <w:t xml:space="preserve"> an LPTV</w:t>
      </w:r>
      <w:r w:rsidR="00556746" w:rsidRPr="00225B62">
        <w:rPr>
          <w:szCs w:val="22"/>
        </w:rPr>
        <w:t>/translator</w:t>
      </w:r>
      <w:r w:rsidR="00000316" w:rsidRPr="00225B62">
        <w:rPr>
          <w:szCs w:val="22"/>
        </w:rPr>
        <w:t xml:space="preserve"> station </w:t>
      </w:r>
      <w:r w:rsidRPr="00225B62">
        <w:rPr>
          <w:szCs w:val="22"/>
        </w:rPr>
        <w:t>must be both “operating” and “displaced.”</w:t>
      </w:r>
      <w:r w:rsidR="00E337EC" w:rsidRPr="00225B62">
        <w:rPr>
          <w:rStyle w:val="FootnoteReference"/>
          <w:sz w:val="22"/>
          <w:szCs w:val="22"/>
        </w:rPr>
        <w:footnoteReference w:id="32"/>
      </w:r>
      <w:r w:rsidR="003A4321" w:rsidRPr="00225B62">
        <w:rPr>
          <w:szCs w:val="22"/>
        </w:rPr>
        <w:t xml:space="preserve">  </w:t>
      </w:r>
      <w:r w:rsidR="00D772DD" w:rsidRPr="00225B62">
        <w:rPr>
          <w:szCs w:val="22"/>
        </w:rPr>
        <w:t xml:space="preserve">“Operating” </w:t>
      </w:r>
      <w:r w:rsidR="00D80960" w:rsidRPr="00225B62">
        <w:rPr>
          <w:szCs w:val="22"/>
        </w:rPr>
        <w:t>LPTV/translator stations</w:t>
      </w:r>
      <w:r w:rsidR="00D772DD" w:rsidRPr="00225B62">
        <w:rPr>
          <w:szCs w:val="22"/>
        </w:rPr>
        <w:t xml:space="preserve"> are those that </w:t>
      </w:r>
      <w:r w:rsidR="005452EC" w:rsidRPr="00225B62">
        <w:rPr>
          <w:szCs w:val="22"/>
        </w:rPr>
        <w:t>ha</w:t>
      </w:r>
      <w:r w:rsidR="00F10958" w:rsidRPr="00225B62">
        <w:rPr>
          <w:szCs w:val="22"/>
        </w:rPr>
        <w:t>d</w:t>
      </w:r>
      <w:r w:rsidR="005452EC" w:rsidRPr="00225B62">
        <w:rPr>
          <w:szCs w:val="22"/>
        </w:rPr>
        <w:t xml:space="preserve"> licensed their authorized construction permit facilities or ha</w:t>
      </w:r>
      <w:r w:rsidR="00F10958" w:rsidRPr="00225B62">
        <w:rPr>
          <w:szCs w:val="22"/>
        </w:rPr>
        <w:t>d</w:t>
      </w:r>
      <w:r w:rsidR="005452EC" w:rsidRPr="00225B62">
        <w:rPr>
          <w:szCs w:val="22"/>
        </w:rPr>
        <w:t xml:space="preserve"> an application for a license to cover on file with the Commission on </w:t>
      </w:r>
      <w:r w:rsidR="0069648B" w:rsidRPr="00225B62">
        <w:rPr>
          <w:szCs w:val="22"/>
        </w:rPr>
        <w:t>April 13</w:t>
      </w:r>
      <w:r w:rsidR="00B508A3" w:rsidRPr="00225B62">
        <w:rPr>
          <w:szCs w:val="22"/>
        </w:rPr>
        <w:t xml:space="preserve">, 2017 - </w:t>
      </w:r>
      <w:r w:rsidR="00D772DD" w:rsidRPr="00225B62">
        <w:rPr>
          <w:szCs w:val="22"/>
        </w:rPr>
        <w:t xml:space="preserve">the release date of the </w:t>
      </w:r>
      <w:r w:rsidR="00E337EC" w:rsidRPr="00225B62">
        <w:rPr>
          <w:i/>
          <w:szCs w:val="22"/>
        </w:rPr>
        <w:t xml:space="preserve">Closing and </w:t>
      </w:r>
      <w:r w:rsidR="007F7C51" w:rsidRPr="00225B62">
        <w:rPr>
          <w:i/>
          <w:szCs w:val="22"/>
        </w:rPr>
        <w:t xml:space="preserve">Channel </w:t>
      </w:r>
      <w:r w:rsidR="00AA0902" w:rsidRPr="00225B62">
        <w:rPr>
          <w:i/>
          <w:szCs w:val="22"/>
        </w:rPr>
        <w:t>Reassignment P</w:t>
      </w:r>
      <w:r w:rsidR="00F3000F" w:rsidRPr="00225B62">
        <w:rPr>
          <w:i/>
          <w:szCs w:val="22"/>
        </w:rPr>
        <w:t xml:space="preserve">ublic </w:t>
      </w:r>
      <w:r w:rsidR="00AA0902" w:rsidRPr="00225B62">
        <w:rPr>
          <w:i/>
          <w:szCs w:val="22"/>
        </w:rPr>
        <w:t>N</w:t>
      </w:r>
      <w:r w:rsidR="00F3000F" w:rsidRPr="00225B62">
        <w:rPr>
          <w:i/>
          <w:szCs w:val="22"/>
        </w:rPr>
        <w:t>otice</w:t>
      </w:r>
      <w:r w:rsidR="00D772DD" w:rsidRPr="00225B62">
        <w:rPr>
          <w:szCs w:val="22"/>
        </w:rPr>
        <w:t>.</w:t>
      </w:r>
      <w:r w:rsidR="005452EC" w:rsidRPr="00225B62">
        <w:rPr>
          <w:rStyle w:val="FootnoteReference"/>
          <w:sz w:val="22"/>
          <w:szCs w:val="22"/>
        </w:rPr>
        <w:footnoteReference w:id="33"/>
      </w:r>
      <w:r w:rsidR="00000316" w:rsidRPr="00225B62">
        <w:rPr>
          <w:szCs w:val="22"/>
        </w:rPr>
        <w:t xml:space="preserve">  </w:t>
      </w:r>
      <w:r w:rsidR="000953C0" w:rsidRPr="00225B62">
        <w:rPr>
          <w:szCs w:val="22"/>
        </w:rPr>
        <w:t>In order to be “displaced” for purposes of filing</w:t>
      </w:r>
      <w:r w:rsidR="00000316" w:rsidRPr="00225B62">
        <w:rPr>
          <w:szCs w:val="22"/>
        </w:rPr>
        <w:t xml:space="preserve"> in the Special Displacement Window, </w:t>
      </w:r>
      <w:r w:rsidR="004D785E" w:rsidRPr="00225B62">
        <w:rPr>
          <w:szCs w:val="22"/>
        </w:rPr>
        <w:t>a</w:t>
      </w:r>
      <w:r w:rsidR="00000316" w:rsidRPr="00225B62">
        <w:rPr>
          <w:szCs w:val="22"/>
        </w:rPr>
        <w:t>n LPTV</w:t>
      </w:r>
      <w:r w:rsidR="00556746" w:rsidRPr="00225B62">
        <w:rPr>
          <w:szCs w:val="22"/>
        </w:rPr>
        <w:t>/translator</w:t>
      </w:r>
      <w:r w:rsidR="00000316" w:rsidRPr="00225B62">
        <w:rPr>
          <w:szCs w:val="22"/>
        </w:rPr>
        <w:t xml:space="preserve"> station</w:t>
      </w:r>
      <w:r w:rsidR="004D785E" w:rsidRPr="00225B62">
        <w:rPr>
          <w:szCs w:val="22"/>
        </w:rPr>
        <w:t xml:space="preserve"> must: (1) </w:t>
      </w:r>
      <w:r w:rsidR="00AA0902" w:rsidRPr="00225B62">
        <w:rPr>
          <w:szCs w:val="22"/>
        </w:rPr>
        <w:t xml:space="preserve">be </w:t>
      </w:r>
      <w:r w:rsidR="00AC0FB8" w:rsidRPr="00225B62">
        <w:rPr>
          <w:szCs w:val="22"/>
        </w:rPr>
        <w:t>subject to displacement b</w:t>
      </w:r>
      <w:r w:rsidR="004D785E" w:rsidRPr="00225B62">
        <w:rPr>
          <w:szCs w:val="22"/>
        </w:rPr>
        <w:t>y a full power or Class A television station</w:t>
      </w:r>
      <w:r w:rsidR="00F91EFA" w:rsidRPr="00225B62">
        <w:rPr>
          <w:szCs w:val="22"/>
        </w:rPr>
        <w:t xml:space="preserve"> on the repacked television band (channels 2-36)</w:t>
      </w:r>
      <w:r w:rsidR="004D785E" w:rsidRPr="00225B62">
        <w:rPr>
          <w:szCs w:val="22"/>
        </w:rPr>
        <w:t xml:space="preserve"> as a re</w:t>
      </w:r>
      <w:r w:rsidR="00C64DB3" w:rsidRPr="00225B62">
        <w:rPr>
          <w:szCs w:val="22"/>
        </w:rPr>
        <w:t>sult of the incentive auction and</w:t>
      </w:r>
      <w:r w:rsidR="004D785E" w:rsidRPr="00225B62">
        <w:rPr>
          <w:szCs w:val="22"/>
        </w:rPr>
        <w:t xml:space="preserve"> repacking process,</w:t>
      </w:r>
      <w:r w:rsidR="00F91EFA" w:rsidRPr="00225B62">
        <w:rPr>
          <w:rStyle w:val="FootnoteReference"/>
          <w:sz w:val="22"/>
          <w:szCs w:val="22"/>
        </w:rPr>
        <w:footnoteReference w:id="34"/>
      </w:r>
      <w:r w:rsidR="004D785E" w:rsidRPr="00225B62">
        <w:rPr>
          <w:szCs w:val="22"/>
        </w:rPr>
        <w:t xml:space="preserve"> (2) </w:t>
      </w:r>
      <w:r w:rsidR="000953C0" w:rsidRPr="00225B62">
        <w:rPr>
          <w:szCs w:val="22"/>
        </w:rPr>
        <w:t>be licensed on</w:t>
      </w:r>
      <w:r w:rsidR="004D785E" w:rsidRPr="00225B62">
        <w:rPr>
          <w:szCs w:val="22"/>
        </w:rPr>
        <w:t xml:space="preserve"> frequencies repurposed for new, flexible use by a 600 MHz Band wireless licensee, or (3) be licensed on frequencies that will serve as part of the 600 MHz Band guard bands</w:t>
      </w:r>
      <w:r w:rsidR="00530DE2" w:rsidRPr="00225B62">
        <w:rPr>
          <w:szCs w:val="22"/>
        </w:rPr>
        <w:t xml:space="preserve"> (</w:t>
      </w:r>
      <w:r w:rsidR="00336C95" w:rsidRPr="00225B62">
        <w:rPr>
          <w:szCs w:val="22"/>
        </w:rPr>
        <w:t xml:space="preserve">which </w:t>
      </w:r>
      <w:r w:rsidR="00302995" w:rsidRPr="00225B62">
        <w:rPr>
          <w:szCs w:val="22"/>
        </w:rPr>
        <w:t>includ</w:t>
      </w:r>
      <w:r w:rsidR="00336C95" w:rsidRPr="00225B62">
        <w:rPr>
          <w:szCs w:val="22"/>
        </w:rPr>
        <w:t>es</w:t>
      </w:r>
      <w:r w:rsidR="00530DE2" w:rsidRPr="00225B62">
        <w:rPr>
          <w:szCs w:val="22"/>
        </w:rPr>
        <w:t xml:space="preserve"> the duplex gap)</w:t>
      </w:r>
      <w:r w:rsidR="004D785E" w:rsidRPr="00225B62">
        <w:rPr>
          <w:szCs w:val="22"/>
        </w:rPr>
        <w:t>.</w:t>
      </w:r>
      <w:r w:rsidR="005452EC" w:rsidRPr="00225B62">
        <w:rPr>
          <w:rStyle w:val="FootnoteReference"/>
          <w:sz w:val="22"/>
          <w:szCs w:val="22"/>
        </w:rPr>
        <w:footnoteReference w:id="35"/>
      </w:r>
    </w:p>
    <w:p w14:paraId="5D404563" w14:textId="77777777" w:rsidR="00E337EC" w:rsidRPr="00225B62" w:rsidRDefault="00A77727" w:rsidP="00567F0B">
      <w:pPr>
        <w:pStyle w:val="Heading2"/>
        <w:rPr>
          <w:szCs w:val="22"/>
        </w:rPr>
      </w:pPr>
      <w:bookmarkStart w:id="6" w:name="_Toc477506808"/>
      <w:r w:rsidRPr="00225B62">
        <w:rPr>
          <w:szCs w:val="22"/>
        </w:rPr>
        <w:t>Applicatio</w:t>
      </w:r>
      <w:r w:rsidR="00E337EC" w:rsidRPr="00225B62">
        <w:rPr>
          <w:szCs w:val="22"/>
        </w:rPr>
        <w:t>n</w:t>
      </w:r>
      <w:r w:rsidR="00E5072A" w:rsidRPr="00225B62">
        <w:rPr>
          <w:szCs w:val="22"/>
        </w:rPr>
        <w:t xml:space="preserve"> Filing Procedures</w:t>
      </w:r>
      <w:bookmarkEnd w:id="6"/>
    </w:p>
    <w:p w14:paraId="05B2D616" w14:textId="62E4D75A" w:rsidR="00E5072A" w:rsidRPr="00225B62" w:rsidRDefault="00D35084" w:rsidP="007D298D">
      <w:pPr>
        <w:numPr>
          <w:ilvl w:val="0"/>
          <w:numId w:val="2"/>
        </w:numPr>
        <w:tabs>
          <w:tab w:val="clear" w:pos="1080"/>
        </w:tabs>
        <w:spacing w:after="120"/>
        <w:rPr>
          <w:szCs w:val="22"/>
        </w:rPr>
      </w:pPr>
      <w:r w:rsidRPr="00225B62">
        <w:rPr>
          <w:szCs w:val="22"/>
        </w:rPr>
        <w:t>Eligible stations may</w:t>
      </w:r>
      <w:r w:rsidR="00D06C51" w:rsidRPr="00225B62">
        <w:rPr>
          <w:szCs w:val="22"/>
        </w:rPr>
        <w:t xml:space="preserve"> file a displacement application on FCC Form 2100 – Schedule C</w:t>
      </w:r>
      <w:r w:rsidR="00A77727" w:rsidRPr="00225B62">
        <w:rPr>
          <w:szCs w:val="22"/>
        </w:rPr>
        <w:t xml:space="preserve"> </w:t>
      </w:r>
      <w:r w:rsidR="00D44D1E" w:rsidRPr="00225B62">
        <w:rPr>
          <w:szCs w:val="22"/>
        </w:rPr>
        <w:t>by f</w:t>
      </w:r>
      <w:r w:rsidR="00A77727" w:rsidRPr="00225B62">
        <w:rPr>
          <w:szCs w:val="22"/>
        </w:rPr>
        <w:t>ollow</w:t>
      </w:r>
      <w:r w:rsidR="00D44D1E" w:rsidRPr="00225B62">
        <w:rPr>
          <w:szCs w:val="22"/>
        </w:rPr>
        <w:t>ing</w:t>
      </w:r>
      <w:r w:rsidR="00A77727" w:rsidRPr="00225B62">
        <w:rPr>
          <w:szCs w:val="22"/>
        </w:rPr>
        <w:t xml:space="preserve"> the instructions in Appendix A</w:t>
      </w:r>
      <w:r w:rsidR="00D06C51" w:rsidRPr="00225B62">
        <w:rPr>
          <w:szCs w:val="22"/>
        </w:rPr>
        <w:t xml:space="preserve">. </w:t>
      </w:r>
      <w:r w:rsidR="00A77727" w:rsidRPr="00225B62">
        <w:rPr>
          <w:szCs w:val="22"/>
        </w:rPr>
        <w:t xml:space="preserve"> D</w:t>
      </w:r>
      <w:r w:rsidR="00D06C51" w:rsidRPr="00225B62">
        <w:rPr>
          <w:szCs w:val="22"/>
        </w:rPr>
        <w:t xml:space="preserve">isplacement applications will be </w:t>
      </w:r>
      <w:r w:rsidR="00A77727" w:rsidRPr="00225B62">
        <w:rPr>
          <w:szCs w:val="22"/>
        </w:rPr>
        <w:t>treated as a “minor change.”</w:t>
      </w:r>
      <w:r w:rsidR="0056763F" w:rsidRPr="00225B62">
        <w:rPr>
          <w:rStyle w:val="FootnoteReference"/>
          <w:sz w:val="22"/>
          <w:szCs w:val="22"/>
        </w:rPr>
        <w:footnoteReference w:id="36"/>
      </w:r>
      <w:r w:rsidR="00A77727" w:rsidRPr="00225B62">
        <w:rPr>
          <w:szCs w:val="22"/>
        </w:rPr>
        <w:t xml:space="preserve">  There is no fee for filing a displacement application.</w:t>
      </w:r>
    </w:p>
    <w:p w14:paraId="38CBCBC8" w14:textId="77777777" w:rsidR="00E5072A" w:rsidRPr="00225B62" w:rsidRDefault="00E5072A" w:rsidP="00567F0B">
      <w:pPr>
        <w:pStyle w:val="Heading2"/>
        <w:rPr>
          <w:szCs w:val="22"/>
        </w:rPr>
      </w:pPr>
      <w:bookmarkStart w:id="7" w:name="_Toc477506809"/>
      <w:r w:rsidRPr="00225B62">
        <w:rPr>
          <w:szCs w:val="22"/>
        </w:rPr>
        <w:t>Limits on M</w:t>
      </w:r>
      <w:r w:rsidR="00D06C51" w:rsidRPr="00225B62">
        <w:rPr>
          <w:szCs w:val="22"/>
        </w:rPr>
        <w:t>odification</w:t>
      </w:r>
      <w:bookmarkEnd w:id="7"/>
    </w:p>
    <w:p w14:paraId="4EDF712A" w14:textId="00F23481" w:rsidR="004F3C6C" w:rsidRPr="00225B62" w:rsidRDefault="00D611C9" w:rsidP="004F3C6C">
      <w:pPr>
        <w:numPr>
          <w:ilvl w:val="0"/>
          <w:numId w:val="2"/>
        </w:numPr>
        <w:tabs>
          <w:tab w:val="clear" w:pos="1080"/>
        </w:tabs>
        <w:spacing w:after="120"/>
        <w:rPr>
          <w:szCs w:val="22"/>
        </w:rPr>
      </w:pPr>
      <w:r w:rsidRPr="00225B62">
        <w:rPr>
          <w:szCs w:val="22"/>
        </w:rPr>
        <w:t xml:space="preserve">During the Special Displacement Window, all of the requirements of </w:t>
      </w:r>
      <w:r w:rsidR="00D35084" w:rsidRPr="00225B62">
        <w:rPr>
          <w:szCs w:val="22"/>
        </w:rPr>
        <w:t xml:space="preserve">the </w:t>
      </w:r>
      <w:r w:rsidRPr="00225B62">
        <w:rPr>
          <w:szCs w:val="22"/>
        </w:rPr>
        <w:t>current displacement rules will continue to apply</w:t>
      </w:r>
      <w:r w:rsidR="006C20F8" w:rsidRPr="00225B62">
        <w:rPr>
          <w:szCs w:val="22"/>
        </w:rPr>
        <w:t xml:space="preserve"> (e.g., required interference showing and limits on transmitter moves) except for the requirement that displacement applications be submitted only after the primary station obtains a construction permit or license</w:t>
      </w:r>
      <w:r w:rsidRPr="00225B62">
        <w:rPr>
          <w:szCs w:val="22"/>
        </w:rPr>
        <w:t>.</w:t>
      </w:r>
      <w:r w:rsidRPr="00225B62">
        <w:rPr>
          <w:rStyle w:val="FootnoteReference"/>
          <w:sz w:val="22"/>
          <w:szCs w:val="22"/>
        </w:rPr>
        <w:footnoteReference w:id="37"/>
      </w:r>
      <w:r w:rsidRPr="00225B62">
        <w:rPr>
          <w:szCs w:val="22"/>
        </w:rPr>
        <w:t xml:space="preserve">  </w:t>
      </w:r>
      <w:r w:rsidR="00755E13" w:rsidRPr="00225B62">
        <w:rPr>
          <w:szCs w:val="22"/>
        </w:rPr>
        <w:t>Eligible</w:t>
      </w:r>
      <w:r w:rsidR="00AC0FB8" w:rsidRPr="00225B62">
        <w:rPr>
          <w:szCs w:val="22"/>
        </w:rPr>
        <w:t xml:space="preserve"> </w:t>
      </w:r>
      <w:r w:rsidR="00755E13" w:rsidRPr="00225B62">
        <w:rPr>
          <w:szCs w:val="22"/>
        </w:rPr>
        <w:t xml:space="preserve">digital </w:t>
      </w:r>
      <w:r w:rsidR="0056763F" w:rsidRPr="00225B62">
        <w:rPr>
          <w:szCs w:val="22"/>
        </w:rPr>
        <w:t xml:space="preserve">stations </w:t>
      </w:r>
      <w:r w:rsidR="00D06C51" w:rsidRPr="00225B62">
        <w:rPr>
          <w:szCs w:val="22"/>
        </w:rPr>
        <w:t>may propose a change in transmitter site of not more than 4</w:t>
      </w:r>
      <w:r w:rsidR="00755E13" w:rsidRPr="00225B62">
        <w:rPr>
          <w:szCs w:val="22"/>
        </w:rPr>
        <w:t>8 kilometers</w:t>
      </w:r>
      <w:r w:rsidR="00D06C51" w:rsidRPr="00225B62">
        <w:rPr>
          <w:szCs w:val="22"/>
        </w:rPr>
        <w:t xml:space="preserve"> from the reference coordinates of the existing station’s community of license.</w:t>
      </w:r>
      <w:r w:rsidR="00D06C51" w:rsidRPr="00225B62">
        <w:rPr>
          <w:rStyle w:val="FootnoteReference"/>
          <w:sz w:val="22"/>
          <w:szCs w:val="22"/>
        </w:rPr>
        <w:footnoteReference w:id="38"/>
      </w:r>
      <w:r w:rsidR="00AC0FB8" w:rsidRPr="00225B62">
        <w:rPr>
          <w:szCs w:val="22"/>
        </w:rPr>
        <w:t xml:space="preserve">  Eligible analog stations may </w:t>
      </w:r>
      <w:r w:rsidR="00755E13" w:rsidRPr="00225B62">
        <w:rPr>
          <w:szCs w:val="22"/>
        </w:rPr>
        <w:t xml:space="preserve">propose a change in antenna location of </w:t>
      </w:r>
      <w:r w:rsidR="002065E2" w:rsidRPr="00225B62">
        <w:rPr>
          <w:szCs w:val="22"/>
        </w:rPr>
        <w:t xml:space="preserve">not </w:t>
      </w:r>
      <w:r w:rsidR="00755E13" w:rsidRPr="00225B62">
        <w:rPr>
          <w:szCs w:val="22"/>
        </w:rPr>
        <w:t>more than 16.1 kilometers.</w:t>
      </w:r>
      <w:r w:rsidR="00755E13" w:rsidRPr="00225B62">
        <w:rPr>
          <w:rStyle w:val="FootnoteReference"/>
          <w:sz w:val="22"/>
          <w:szCs w:val="22"/>
        </w:rPr>
        <w:footnoteReference w:id="39"/>
      </w:r>
    </w:p>
    <w:p w14:paraId="57C968AC" w14:textId="68430188" w:rsidR="00891B8B" w:rsidRPr="00225B62" w:rsidRDefault="0056763F" w:rsidP="004F3C6C">
      <w:pPr>
        <w:numPr>
          <w:ilvl w:val="0"/>
          <w:numId w:val="2"/>
        </w:numPr>
        <w:tabs>
          <w:tab w:val="clear" w:pos="1080"/>
        </w:tabs>
        <w:spacing w:after="120"/>
        <w:rPr>
          <w:szCs w:val="22"/>
        </w:rPr>
      </w:pPr>
      <w:r w:rsidRPr="00225B62">
        <w:rPr>
          <w:szCs w:val="22"/>
        </w:rPr>
        <w:t xml:space="preserve">In addition, eligible stations may apply only for a channel that remains allocated to broadcast television service </w:t>
      </w:r>
      <w:r w:rsidR="006C20F8" w:rsidRPr="00225B62">
        <w:rPr>
          <w:szCs w:val="22"/>
        </w:rPr>
        <w:t>(</w:t>
      </w:r>
      <w:r w:rsidR="007D6813" w:rsidRPr="00225B62">
        <w:rPr>
          <w:szCs w:val="22"/>
        </w:rPr>
        <w:t>i.e., channels 2-36</w:t>
      </w:r>
      <w:r w:rsidR="006C20F8" w:rsidRPr="00225B62">
        <w:rPr>
          <w:szCs w:val="22"/>
        </w:rPr>
        <w:t>)</w:t>
      </w:r>
      <w:r w:rsidR="002C10C8" w:rsidRPr="00225B62">
        <w:rPr>
          <w:szCs w:val="22"/>
        </w:rPr>
        <w:t>,</w:t>
      </w:r>
      <w:r w:rsidR="00321B35" w:rsidRPr="00225B62">
        <w:rPr>
          <w:rStyle w:val="FootnoteReference"/>
          <w:sz w:val="22"/>
          <w:szCs w:val="22"/>
        </w:rPr>
        <w:footnoteReference w:id="40"/>
      </w:r>
      <w:r w:rsidR="002C10C8" w:rsidRPr="00225B62">
        <w:rPr>
          <w:szCs w:val="22"/>
        </w:rPr>
        <w:t xml:space="preserve"> and not for channels that have been repurposed for the new, flexible </w:t>
      </w:r>
      <w:r w:rsidR="004F0B67" w:rsidRPr="00225B62">
        <w:rPr>
          <w:szCs w:val="22"/>
        </w:rPr>
        <w:t>600 MHz Band wireless services</w:t>
      </w:r>
      <w:r w:rsidR="002C10C8" w:rsidRPr="00225B62">
        <w:rPr>
          <w:szCs w:val="22"/>
        </w:rPr>
        <w:t xml:space="preserve"> or reserved </w:t>
      </w:r>
      <w:r w:rsidR="005A35DD" w:rsidRPr="00225B62">
        <w:rPr>
          <w:szCs w:val="22"/>
        </w:rPr>
        <w:t xml:space="preserve">for the 600 MHz guard band and duplex gap </w:t>
      </w:r>
      <w:r w:rsidR="006C20F8" w:rsidRPr="00225B62">
        <w:rPr>
          <w:szCs w:val="22"/>
        </w:rPr>
        <w:t>(</w:t>
      </w:r>
      <w:r w:rsidR="00AA0902" w:rsidRPr="00225B62">
        <w:rPr>
          <w:szCs w:val="22"/>
        </w:rPr>
        <w:t xml:space="preserve">i.e., </w:t>
      </w:r>
      <w:r w:rsidR="006C20F8" w:rsidRPr="00225B62">
        <w:rPr>
          <w:szCs w:val="22"/>
        </w:rPr>
        <w:t xml:space="preserve">former </w:t>
      </w:r>
      <w:r w:rsidR="00817CCD" w:rsidRPr="00225B62">
        <w:rPr>
          <w:szCs w:val="22"/>
        </w:rPr>
        <w:t xml:space="preserve">television </w:t>
      </w:r>
      <w:r w:rsidR="00AA0902" w:rsidRPr="00225B62">
        <w:rPr>
          <w:szCs w:val="22"/>
        </w:rPr>
        <w:t>channels 38-51</w:t>
      </w:r>
      <w:r w:rsidR="006C20F8" w:rsidRPr="00225B62">
        <w:rPr>
          <w:szCs w:val="22"/>
        </w:rPr>
        <w:t>)</w:t>
      </w:r>
      <w:r w:rsidR="002C10C8" w:rsidRPr="00225B62">
        <w:rPr>
          <w:szCs w:val="22"/>
        </w:rPr>
        <w:t>.</w:t>
      </w:r>
      <w:r w:rsidR="005C4A76" w:rsidRPr="00225B62">
        <w:rPr>
          <w:rStyle w:val="FootnoteReference"/>
          <w:sz w:val="22"/>
          <w:szCs w:val="22"/>
        </w:rPr>
        <w:footnoteReference w:id="41"/>
      </w:r>
      <w:r w:rsidRPr="00225B62">
        <w:rPr>
          <w:szCs w:val="22"/>
        </w:rPr>
        <w:t xml:space="preserve">  </w:t>
      </w:r>
      <w:r w:rsidR="006C20F8" w:rsidRPr="00225B62">
        <w:rPr>
          <w:szCs w:val="22"/>
        </w:rPr>
        <w:t>I</w:t>
      </w:r>
      <w:r w:rsidRPr="00225B62">
        <w:rPr>
          <w:szCs w:val="22"/>
        </w:rPr>
        <w:t xml:space="preserve">n </w:t>
      </w:r>
      <w:r w:rsidR="006C20F8" w:rsidRPr="00225B62">
        <w:rPr>
          <w:szCs w:val="22"/>
        </w:rPr>
        <w:t xml:space="preserve">their </w:t>
      </w:r>
      <w:r w:rsidRPr="00225B62">
        <w:rPr>
          <w:szCs w:val="22"/>
        </w:rPr>
        <w:t>displacement application</w:t>
      </w:r>
      <w:r w:rsidR="006C20F8" w:rsidRPr="00225B62">
        <w:rPr>
          <w:szCs w:val="22"/>
        </w:rPr>
        <w:t>s</w:t>
      </w:r>
      <w:r w:rsidRPr="00225B62">
        <w:rPr>
          <w:szCs w:val="22"/>
        </w:rPr>
        <w:t>, stations will be required to demonstrate that they would not cause interference to the predicted service of</w:t>
      </w:r>
      <w:r w:rsidR="007A4C74" w:rsidRPr="00225B62">
        <w:rPr>
          <w:szCs w:val="22"/>
        </w:rPr>
        <w:t xml:space="preserve">:  </w:t>
      </w:r>
      <w:r w:rsidR="00027BEB" w:rsidRPr="00225B62">
        <w:rPr>
          <w:szCs w:val="22"/>
        </w:rPr>
        <w:t>(1) all oth</w:t>
      </w:r>
      <w:r w:rsidR="002C23F6" w:rsidRPr="00225B62">
        <w:rPr>
          <w:szCs w:val="22"/>
        </w:rPr>
        <w:t xml:space="preserve">er primary users </w:t>
      </w:r>
      <w:r w:rsidR="00027BEB" w:rsidRPr="00225B62">
        <w:rPr>
          <w:szCs w:val="22"/>
        </w:rPr>
        <w:t xml:space="preserve">in </w:t>
      </w:r>
      <w:r w:rsidR="002F6C6E" w:rsidRPr="00225B62">
        <w:rPr>
          <w:szCs w:val="22"/>
        </w:rPr>
        <w:t xml:space="preserve">the repacked TV Band or in </w:t>
      </w:r>
      <w:r w:rsidR="00027BEB" w:rsidRPr="00225B62">
        <w:rPr>
          <w:szCs w:val="22"/>
        </w:rPr>
        <w:t>adjacent bands</w:t>
      </w:r>
      <w:r w:rsidR="002C23F6" w:rsidRPr="00225B62">
        <w:rPr>
          <w:szCs w:val="22"/>
        </w:rPr>
        <w:t xml:space="preserve"> including land mobile</w:t>
      </w:r>
      <w:r w:rsidR="00A95259" w:rsidRPr="00225B62">
        <w:rPr>
          <w:szCs w:val="22"/>
        </w:rPr>
        <w:t xml:space="preserve"> operations</w:t>
      </w:r>
      <w:r w:rsidR="002C23F6" w:rsidRPr="00225B62">
        <w:rPr>
          <w:szCs w:val="22"/>
        </w:rPr>
        <w:t>,</w:t>
      </w:r>
      <w:r w:rsidR="002F6C6E" w:rsidRPr="00225B62">
        <w:rPr>
          <w:rStyle w:val="FootnoteReference"/>
          <w:sz w:val="22"/>
          <w:szCs w:val="22"/>
        </w:rPr>
        <w:footnoteReference w:id="42"/>
      </w:r>
      <w:r w:rsidR="00027BEB" w:rsidRPr="00225B62">
        <w:rPr>
          <w:szCs w:val="22"/>
        </w:rPr>
        <w:t xml:space="preserve"> </w:t>
      </w:r>
      <w:r w:rsidR="007A4C74" w:rsidRPr="00225B62">
        <w:rPr>
          <w:szCs w:val="22"/>
        </w:rPr>
        <w:t>(</w:t>
      </w:r>
      <w:r w:rsidR="00027BEB" w:rsidRPr="00225B62">
        <w:rPr>
          <w:szCs w:val="22"/>
        </w:rPr>
        <w:t>2</w:t>
      </w:r>
      <w:r w:rsidR="007A4C74" w:rsidRPr="00225B62">
        <w:rPr>
          <w:szCs w:val="22"/>
        </w:rPr>
        <w:t>) license</w:t>
      </w:r>
      <w:r w:rsidR="00AB5FC7" w:rsidRPr="00225B62">
        <w:rPr>
          <w:szCs w:val="22"/>
        </w:rPr>
        <w:t xml:space="preserve">s and valid construction permits for </w:t>
      </w:r>
      <w:r w:rsidR="00D611C9" w:rsidRPr="00225B62">
        <w:rPr>
          <w:szCs w:val="22"/>
        </w:rPr>
        <w:t>LPTV/translator stations</w:t>
      </w:r>
      <w:r w:rsidR="00786C94" w:rsidRPr="00225B62">
        <w:rPr>
          <w:szCs w:val="22"/>
        </w:rPr>
        <w:t xml:space="preserve">; (3) </w:t>
      </w:r>
      <w:r w:rsidR="007A4C74" w:rsidRPr="00225B62">
        <w:rPr>
          <w:szCs w:val="22"/>
        </w:rPr>
        <w:t>license</w:t>
      </w:r>
      <w:r w:rsidR="00AB5FC7" w:rsidRPr="00225B62">
        <w:rPr>
          <w:szCs w:val="22"/>
        </w:rPr>
        <w:t xml:space="preserve">s and valid construction permits for </w:t>
      </w:r>
      <w:r w:rsidR="007A4C74" w:rsidRPr="00225B62">
        <w:rPr>
          <w:szCs w:val="22"/>
        </w:rPr>
        <w:t>full power and Class A stations that were not reassigned</w:t>
      </w:r>
      <w:r w:rsidR="00AB5FC7" w:rsidRPr="00225B62">
        <w:rPr>
          <w:szCs w:val="22"/>
        </w:rPr>
        <w:t>;</w:t>
      </w:r>
      <w:r w:rsidR="00241B68" w:rsidRPr="00225B62">
        <w:rPr>
          <w:szCs w:val="22"/>
        </w:rPr>
        <w:t xml:space="preserve"> </w:t>
      </w:r>
      <w:r w:rsidR="00AB5FC7" w:rsidRPr="00225B62">
        <w:rPr>
          <w:szCs w:val="22"/>
        </w:rPr>
        <w:t>(4</w:t>
      </w:r>
      <w:r w:rsidR="007D6813" w:rsidRPr="00225B62">
        <w:rPr>
          <w:szCs w:val="22"/>
        </w:rPr>
        <w:t xml:space="preserve">) </w:t>
      </w:r>
      <w:r w:rsidR="00786C94" w:rsidRPr="00225B62">
        <w:rPr>
          <w:szCs w:val="22"/>
        </w:rPr>
        <w:t xml:space="preserve">the </w:t>
      </w:r>
      <w:r w:rsidR="007D6813" w:rsidRPr="00225B62">
        <w:rPr>
          <w:szCs w:val="22"/>
        </w:rPr>
        <w:t>post-auction</w:t>
      </w:r>
      <w:r w:rsidRPr="00225B62">
        <w:rPr>
          <w:szCs w:val="22"/>
        </w:rPr>
        <w:t xml:space="preserve"> channels </w:t>
      </w:r>
      <w:r w:rsidR="00AB5FC7" w:rsidRPr="00225B62">
        <w:rPr>
          <w:szCs w:val="22"/>
        </w:rPr>
        <w:t xml:space="preserve">of reassigned </w:t>
      </w:r>
      <w:r w:rsidRPr="00225B62">
        <w:rPr>
          <w:szCs w:val="22"/>
        </w:rPr>
        <w:t xml:space="preserve">full power and Class A stations </w:t>
      </w:r>
      <w:r w:rsidR="00AB5FC7" w:rsidRPr="00225B62">
        <w:rPr>
          <w:szCs w:val="22"/>
        </w:rPr>
        <w:t>as reflected in t</w:t>
      </w:r>
      <w:r w:rsidRPr="00225B62">
        <w:rPr>
          <w:szCs w:val="22"/>
        </w:rPr>
        <w:t xml:space="preserve">he </w:t>
      </w:r>
      <w:r w:rsidRPr="00225B62">
        <w:rPr>
          <w:i/>
          <w:szCs w:val="22"/>
        </w:rPr>
        <w:t>Closing and Reassignment P</w:t>
      </w:r>
      <w:r w:rsidR="00F3000F" w:rsidRPr="00225B62">
        <w:rPr>
          <w:i/>
          <w:szCs w:val="22"/>
        </w:rPr>
        <w:t xml:space="preserve">ublic </w:t>
      </w:r>
      <w:r w:rsidRPr="00225B62">
        <w:rPr>
          <w:i/>
          <w:szCs w:val="22"/>
        </w:rPr>
        <w:t>N</w:t>
      </w:r>
      <w:r w:rsidR="00F3000F" w:rsidRPr="00225B62">
        <w:rPr>
          <w:i/>
          <w:szCs w:val="22"/>
        </w:rPr>
        <w:t>otice</w:t>
      </w:r>
      <w:r w:rsidR="000455BB" w:rsidRPr="00225B62">
        <w:rPr>
          <w:szCs w:val="22"/>
        </w:rPr>
        <w:t>,</w:t>
      </w:r>
      <w:r w:rsidR="00786C94" w:rsidRPr="00225B62">
        <w:rPr>
          <w:szCs w:val="22"/>
        </w:rPr>
        <w:t xml:space="preserve"> and</w:t>
      </w:r>
      <w:r w:rsidR="00AB5FC7" w:rsidRPr="00225B62">
        <w:rPr>
          <w:szCs w:val="22"/>
        </w:rPr>
        <w:t xml:space="preserve"> </w:t>
      </w:r>
      <w:r w:rsidR="00C56FCF" w:rsidRPr="00225B62">
        <w:rPr>
          <w:szCs w:val="22"/>
        </w:rPr>
        <w:t>(5)</w:t>
      </w:r>
      <w:r w:rsidR="00AB5FC7" w:rsidRPr="00225B62">
        <w:rPr>
          <w:szCs w:val="22"/>
        </w:rPr>
        <w:t xml:space="preserve"> </w:t>
      </w:r>
      <w:r w:rsidR="00CF1BC2" w:rsidRPr="00225B62">
        <w:rPr>
          <w:szCs w:val="22"/>
        </w:rPr>
        <w:t xml:space="preserve">the </w:t>
      </w:r>
      <w:r w:rsidRPr="00225B62">
        <w:rPr>
          <w:szCs w:val="22"/>
        </w:rPr>
        <w:t xml:space="preserve">alternative channels and expanded facilities proposed </w:t>
      </w:r>
      <w:r w:rsidR="002C10C8" w:rsidRPr="00225B62">
        <w:rPr>
          <w:szCs w:val="22"/>
        </w:rPr>
        <w:t xml:space="preserve">during </w:t>
      </w:r>
      <w:r w:rsidR="00CF1BC2" w:rsidRPr="00225B62">
        <w:rPr>
          <w:szCs w:val="22"/>
        </w:rPr>
        <w:t xml:space="preserve">the </w:t>
      </w:r>
      <w:r w:rsidR="002C10C8" w:rsidRPr="00225B62">
        <w:rPr>
          <w:szCs w:val="22"/>
        </w:rPr>
        <w:t>two filing windows by reassigned f</w:t>
      </w:r>
      <w:r w:rsidR="00207254" w:rsidRPr="00225B62">
        <w:rPr>
          <w:szCs w:val="22"/>
        </w:rPr>
        <w:t xml:space="preserve">ull power and Class A </w:t>
      </w:r>
      <w:r w:rsidRPr="00225B62">
        <w:rPr>
          <w:szCs w:val="22"/>
        </w:rPr>
        <w:t>statio</w:t>
      </w:r>
      <w:r w:rsidR="002C10C8" w:rsidRPr="00225B62">
        <w:rPr>
          <w:szCs w:val="22"/>
        </w:rPr>
        <w:t>ns</w:t>
      </w:r>
      <w:r w:rsidRPr="00225B62">
        <w:rPr>
          <w:szCs w:val="22"/>
        </w:rPr>
        <w:t>.</w:t>
      </w:r>
      <w:r w:rsidRPr="00225B62">
        <w:rPr>
          <w:rStyle w:val="FootnoteReference"/>
          <w:sz w:val="22"/>
          <w:szCs w:val="22"/>
        </w:rPr>
        <w:footnoteReference w:id="43"/>
      </w:r>
    </w:p>
    <w:p w14:paraId="6C18E1D4" w14:textId="17B1E1BF" w:rsidR="00891B8B" w:rsidRPr="00225B62" w:rsidRDefault="00891B8B" w:rsidP="00891B8B">
      <w:pPr>
        <w:numPr>
          <w:ilvl w:val="0"/>
          <w:numId w:val="2"/>
        </w:numPr>
        <w:tabs>
          <w:tab w:val="clear" w:pos="1080"/>
        </w:tabs>
        <w:spacing w:after="120"/>
        <w:rPr>
          <w:szCs w:val="22"/>
        </w:rPr>
      </w:pPr>
      <w:r w:rsidRPr="00225B62">
        <w:rPr>
          <w:szCs w:val="22"/>
        </w:rPr>
        <w:t xml:space="preserve">So that as many potential channels as possible are available for operating LPTV/translator stations that are subject to displacement, we </w:t>
      </w:r>
      <w:r w:rsidR="00C700D4" w:rsidRPr="00225B62">
        <w:rPr>
          <w:szCs w:val="22"/>
        </w:rPr>
        <w:t xml:space="preserve">will </w:t>
      </w:r>
      <w:r w:rsidR="002C23F6" w:rsidRPr="00225B62">
        <w:rPr>
          <w:szCs w:val="22"/>
        </w:rPr>
        <w:t xml:space="preserve">permit </w:t>
      </w:r>
      <w:r w:rsidRPr="00225B62">
        <w:rPr>
          <w:szCs w:val="22"/>
        </w:rPr>
        <w:t xml:space="preserve">stations to file displacement applications proposing pre-auction channels in the repacked television band (channels 2-36) that </w:t>
      </w:r>
      <w:r w:rsidR="000455BB" w:rsidRPr="00225B62">
        <w:rPr>
          <w:szCs w:val="22"/>
        </w:rPr>
        <w:t xml:space="preserve">full power and Class A stations </w:t>
      </w:r>
      <w:r w:rsidR="00CF1BC2" w:rsidRPr="00225B62">
        <w:rPr>
          <w:szCs w:val="22"/>
        </w:rPr>
        <w:t>will relinquish</w:t>
      </w:r>
      <w:r w:rsidRPr="00225B62">
        <w:rPr>
          <w:szCs w:val="22"/>
        </w:rPr>
        <w:t xml:space="preserve">  as a result of the incentive auction and repacking process.  This includes channels being voluntarily relinquished by relinquishment stations, channel sharee stations, and band changing stations as well as the pre-auction channels of stations</w:t>
      </w:r>
      <w:r w:rsidR="00D96D52" w:rsidRPr="00225B62">
        <w:rPr>
          <w:szCs w:val="22"/>
        </w:rPr>
        <w:t xml:space="preserve"> assigned to a new channel as a result of the incentive auction and repacking process</w:t>
      </w:r>
      <w:r w:rsidRPr="00225B62">
        <w:rPr>
          <w:szCs w:val="22"/>
        </w:rPr>
        <w:t>.  Ordinarily, such applications would be prohibited by the contingent application rule until such channels are actually vacated.</w:t>
      </w:r>
      <w:r w:rsidRPr="00225B62">
        <w:rPr>
          <w:rStyle w:val="FootnoteReference"/>
          <w:sz w:val="22"/>
          <w:szCs w:val="22"/>
        </w:rPr>
        <w:footnoteReference w:id="44"/>
      </w:r>
      <w:r w:rsidRPr="00225B62">
        <w:rPr>
          <w:szCs w:val="22"/>
        </w:rPr>
        <w:t xml:space="preserve">  We expect to look favorably</w:t>
      </w:r>
      <w:r w:rsidR="002C23F6" w:rsidRPr="00225B62">
        <w:rPr>
          <w:szCs w:val="22"/>
        </w:rPr>
        <w:t>, however,</w:t>
      </w:r>
      <w:r w:rsidRPr="00225B62">
        <w:rPr>
          <w:szCs w:val="22"/>
        </w:rPr>
        <w:t xml:space="preserve"> upon requests to waive the contingent application rule filed by operating LPTV/translator stations that are subject to displacement if the station can demonstrate that the requested channel is necessary to allow the station to continue to serve its current viewers</w:t>
      </w:r>
      <w:r w:rsidR="00707B6E" w:rsidRPr="00225B62">
        <w:rPr>
          <w:szCs w:val="22"/>
        </w:rPr>
        <w:t>.  I</w:t>
      </w:r>
      <w:r w:rsidRPr="00225B62">
        <w:rPr>
          <w:szCs w:val="22"/>
        </w:rPr>
        <w:t>n addition, in order to comply with Section 73.3700(g)(2), the station must agree to a condition that it will not begin transmitting on the requested channel prior to discontinuation of operation by the full power or Class A station that is licensed to use that channel.</w:t>
      </w:r>
      <w:r w:rsidRPr="00225B62">
        <w:rPr>
          <w:rStyle w:val="FootnoteReference"/>
          <w:sz w:val="22"/>
          <w:szCs w:val="22"/>
        </w:rPr>
        <w:footnoteReference w:id="45"/>
      </w:r>
      <w:r w:rsidRPr="00225B62">
        <w:rPr>
          <w:szCs w:val="22"/>
        </w:rPr>
        <w:t xml:space="preserve"> If the conditional grant requires an LPTV/translator station to be silent for a consecutive 12-month period prior to discontinuation of operation by the full power or Class A station, we will consider a request for extension or reinstatement pursuant to Section 312(g) of the Act and a request for waiver of the applicable Commission rule.</w:t>
      </w:r>
      <w:r w:rsidR="000455BB" w:rsidRPr="00225B62">
        <w:rPr>
          <w:rStyle w:val="FootnoteReference"/>
          <w:sz w:val="22"/>
          <w:szCs w:val="22"/>
        </w:rPr>
        <w:footnoteReference w:id="46"/>
      </w:r>
      <w:r w:rsidRPr="00225B62">
        <w:rPr>
          <w:szCs w:val="22"/>
        </w:rPr>
        <w:t xml:space="preserve">  </w:t>
      </w:r>
    </w:p>
    <w:p w14:paraId="7C0C84CD" w14:textId="718C2791" w:rsidR="002C23F6" w:rsidRPr="00225B62" w:rsidRDefault="002D20A6" w:rsidP="0055246B">
      <w:pPr>
        <w:numPr>
          <w:ilvl w:val="0"/>
          <w:numId w:val="2"/>
        </w:numPr>
        <w:tabs>
          <w:tab w:val="clear" w:pos="1080"/>
        </w:tabs>
        <w:spacing w:after="120"/>
        <w:rPr>
          <w:szCs w:val="22"/>
        </w:rPr>
      </w:pPr>
      <w:r w:rsidRPr="00225B62">
        <w:rPr>
          <w:szCs w:val="22"/>
        </w:rPr>
        <w:t>S</w:t>
      </w:r>
      <w:r w:rsidR="002C23F6" w:rsidRPr="00225B62">
        <w:rPr>
          <w:szCs w:val="22"/>
        </w:rPr>
        <w:t xml:space="preserve">ome </w:t>
      </w:r>
      <w:r w:rsidR="00FA5F40" w:rsidRPr="00225B62">
        <w:rPr>
          <w:szCs w:val="22"/>
        </w:rPr>
        <w:t>LPTV/translator stations on</w:t>
      </w:r>
      <w:r w:rsidRPr="00225B62">
        <w:rPr>
          <w:szCs w:val="22"/>
        </w:rPr>
        <w:t xml:space="preserve"> </w:t>
      </w:r>
      <w:r w:rsidR="002C23F6" w:rsidRPr="00225B62">
        <w:rPr>
          <w:szCs w:val="22"/>
        </w:rPr>
        <w:t xml:space="preserve">channels in the repacked television band (channels 2-36) </w:t>
      </w:r>
      <w:r w:rsidRPr="00225B62">
        <w:rPr>
          <w:szCs w:val="22"/>
        </w:rPr>
        <w:t xml:space="preserve">that would otherwise qualify as displaced stations </w:t>
      </w:r>
      <w:r w:rsidR="002C23F6" w:rsidRPr="00225B62">
        <w:rPr>
          <w:szCs w:val="22"/>
        </w:rPr>
        <w:t xml:space="preserve">may be able to </w:t>
      </w:r>
      <w:r w:rsidRPr="00225B62">
        <w:rPr>
          <w:szCs w:val="22"/>
        </w:rPr>
        <w:t xml:space="preserve">avoid displacement by making </w:t>
      </w:r>
      <w:r w:rsidR="002C23F6" w:rsidRPr="00225B62">
        <w:rPr>
          <w:szCs w:val="22"/>
        </w:rPr>
        <w:t>minor changes</w:t>
      </w:r>
      <w:r w:rsidR="0055246B" w:rsidRPr="00225B62">
        <w:rPr>
          <w:szCs w:val="22"/>
        </w:rPr>
        <w:t xml:space="preserve"> to their existing facilities</w:t>
      </w:r>
      <w:r w:rsidR="002C23F6" w:rsidRPr="00225B62">
        <w:rPr>
          <w:szCs w:val="22"/>
        </w:rPr>
        <w:t xml:space="preserve"> </w:t>
      </w:r>
      <w:r w:rsidRPr="00225B62">
        <w:rPr>
          <w:szCs w:val="22"/>
        </w:rPr>
        <w:t>that</w:t>
      </w:r>
      <w:r w:rsidR="002C23F6" w:rsidRPr="00225B62">
        <w:rPr>
          <w:szCs w:val="22"/>
        </w:rPr>
        <w:t xml:space="preserve"> bring th</w:t>
      </w:r>
      <w:r w:rsidRPr="00225B62">
        <w:rPr>
          <w:szCs w:val="22"/>
        </w:rPr>
        <w:t>ose</w:t>
      </w:r>
      <w:r w:rsidR="002C23F6" w:rsidRPr="00225B62">
        <w:rPr>
          <w:szCs w:val="22"/>
        </w:rPr>
        <w:t xml:space="preserve"> facilities into complianc</w:t>
      </w:r>
      <w:r w:rsidR="0055246B" w:rsidRPr="00225B62">
        <w:rPr>
          <w:szCs w:val="22"/>
        </w:rPr>
        <w:t>e with the interference rules</w:t>
      </w:r>
      <w:r w:rsidR="002C23F6" w:rsidRPr="00225B62">
        <w:rPr>
          <w:szCs w:val="22"/>
        </w:rPr>
        <w:t xml:space="preserve">.  For example, an LPTV/translator station that </w:t>
      </w:r>
      <w:r w:rsidRPr="00225B62">
        <w:rPr>
          <w:szCs w:val="22"/>
        </w:rPr>
        <w:t>will</w:t>
      </w:r>
      <w:r w:rsidR="002C23F6" w:rsidRPr="00225B62">
        <w:rPr>
          <w:szCs w:val="22"/>
        </w:rPr>
        <w:t xml:space="preserve"> caus</w:t>
      </w:r>
      <w:r w:rsidRPr="00225B62">
        <w:rPr>
          <w:szCs w:val="22"/>
        </w:rPr>
        <w:t>e</w:t>
      </w:r>
      <w:r w:rsidR="002C23F6" w:rsidRPr="00225B62">
        <w:rPr>
          <w:szCs w:val="22"/>
        </w:rPr>
        <w:t xml:space="preserve"> interference to a full power or Class A </w:t>
      </w:r>
      <w:r w:rsidR="0055246B" w:rsidRPr="00225B62">
        <w:rPr>
          <w:szCs w:val="22"/>
        </w:rPr>
        <w:t xml:space="preserve">television </w:t>
      </w:r>
      <w:r w:rsidR="002C23F6" w:rsidRPr="00225B62">
        <w:rPr>
          <w:szCs w:val="22"/>
        </w:rPr>
        <w:t xml:space="preserve">station </w:t>
      </w:r>
      <w:r w:rsidRPr="00225B62">
        <w:rPr>
          <w:szCs w:val="22"/>
        </w:rPr>
        <w:t xml:space="preserve">post-repack </w:t>
      </w:r>
      <w:r w:rsidR="002C23F6" w:rsidRPr="00225B62">
        <w:rPr>
          <w:szCs w:val="22"/>
        </w:rPr>
        <w:t xml:space="preserve">may </w:t>
      </w:r>
      <w:r w:rsidRPr="00225B62">
        <w:rPr>
          <w:szCs w:val="22"/>
        </w:rPr>
        <w:t xml:space="preserve">make a </w:t>
      </w:r>
      <w:r w:rsidR="002C23F6" w:rsidRPr="00225B62">
        <w:rPr>
          <w:szCs w:val="22"/>
        </w:rPr>
        <w:t xml:space="preserve">minor change in power, antenna height or location that would eliminate </w:t>
      </w:r>
      <w:r w:rsidRPr="00225B62">
        <w:rPr>
          <w:szCs w:val="22"/>
        </w:rPr>
        <w:t>such</w:t>
      </w:r>
      <w:r w:rsidR="002C23F6" w:rsidRPr="00225B62">
        <w:rPr>
          <w:szCs w:val="22"/>
        </w:rPr>
        <w:t xml:space="preserve"> interference</w:t>
      </w:r>
      <w:r w:rsidRPr="00225B62">
        <w:rPr>
          <w:szCs w:val="22"/>
        </w:rPr>
        <w:t xml:space="preserve"> and allow the LPTV/translator station to continue broadcasting on </w:t>
      </w:r>
      <w:r w:rsidR="00FA5F40" w:rsidRPr="00225B62">
        <w:rPr>
          <w:szCs w:val="22"/>
        </w:rPr>
        <w:t>its channel</w:t>
      </w:r>
      <w:r w:rsidR="002C23F6" w:rsidRPr="00225B62">
        <w:rPr>
          <w:szCs w:val="22"/>
        </w:rPr>
        <w:t xml:space="preserve">.  </w:t>
      </w:r>
      <w:r w:rsidRPr="00225B62">
        <w:rPr>
          <w:b/>
          <w:szCs w:val="22"/>
        </w:rPr>
        <w:t xml:space="preserve">LPTV/translator </w:t>
      </w:r>
      <w:r w:rsidR="0055246B" w:rsidRPr="00225B62">
        <w:rPr>
          <w:b/>
          <w:szCs w:val="22"/>
        </w:rPr>
        <w:t>s</w:t>
      </w:r>
      <w:r w:rsidR="002C23F6" w:rsidRPr="00225B62">
        <w:rPr>
          <w:b/>
          <w:szCs w:val="22"/>
        </w:rPr>
        <w:t>tations are encourage</w:t>
      </w:r>
      <w:r w:rsidR="00916545" w:rsidRPr="00225B62">
        <w:rPr>
          <w:b/>
          <w:szCs w:val="22"/>
        </w:rPr>
        <w:t>d</w:t>
      </w:r>
      <w:r w:rsidR="002C23F6" w:rsidRPr="00225B62">
        <w:rPr>
          <w:b/>
          <w:szCs w:val="22"/>
        </w:rPr>
        <w:t xml:space="preserve"> to file </w:t>
      </w:r>
      <w:r w:rsidRPr="00225B62">
        <w:rPr>
          <w:b/>
          <w:szCs w:val="22"/>
        </w:rPr>
        <w:t>such</w:t>
      </w:r>
      <w:r w:rsidR="002C23F6" w:rsidRPr="00225B62">
        <w:rPr>
          <w:b/>
          <w:szCs w:val="22"/>
        </w:rPr>
        <w:t xml:space="preserve"> minor change applications as soon as possible.</w:t>
      </w:r>
      <w:r w:rsidR="002C23F6" w:rsidRPr="00225B62">
        <w:rPr>
          <w:szCs w:val="22"/>
        </w:rPr>
        <w:t xml:space="preserve">  </w:t>
      </w:r>
      <w:r w:rsidRPr="00225B62">
        <w:rPr>
          <w:szCs w:val="22"/>
        </w:rPr>
        <w:t>T</w:t>
      </w:r>
      <w:r w:rsidR="002C23F6" w:rsidRPr="00225B62">
        <w:rPr>
          <w:szCs w:val="22"/>
        </w:rPr>
        <w:t>o create a stable database for stations filing in the Special Displacement Window, approximately 30 days before the release of the Displacement Public Notice (</w:t>
      </w:r>
      <w:r w:rsidRPr="00225B62">
        <w:rPr>
          <w:szCs w:val="22"/>
        </w:rPr>
        <w:t>which itself will be released</w:t>
      </w:r>
      <w:r w:rsidR="00707B6E" w:rsidRPr="00225B62">
        <w:rPr>
          <w:szCs w:val="22"/>
        </w:rPr>
        <w:t xml:space="preserve"> no later than 6</w:t>
      </w:r>
      <w:r w:rsidR="002C23F6" w:rsidRPr="00225B62">
        <w:rPr>
          <w:szCs w:val="22"/>
        </w:rPr>
        <w:t xml:space="preserve">0 days before the Special Displacement Window opens), we will </w:t>
      </w:r>
      <w:r w:rsidR="009803DA" w:rsidRPr="00225B62">
        <w:rPr>
          <w:szCs w:val="22"/>
        </w:rPr>
        <w:t xml:space="preserve">issue a public notice </w:t>
      </w:r>
      <w:r w:rsidR="002C23F6" w:rsidRPr="00225B62">
        <w:rPr>
          <w:szCs w:val="22"/>
        </w:rPr>
        <w:t>freez</w:t>
      </w:r>
      <w:r w:rsidR="009803DA" w:rsidRPr="00225B62">
        <w:rPr>
          <w:szCs w:val="22"/>
        </w:rPr>
        <w:t>ing</w:t>
      </w:r>
      <w:r w:rsidR="002C23F6" w:rsidRPr="00225B62">
        <w:rPr>
          <w:szCs w:val="22"/>
        </w:rPr>
        <w:t xml:space="preserve"> </w:t>
      </w:r>
      <w:r w:rsidR="0055246B" w:rsidRPr="00225B62">
        <w:rPr>
          <w:szCs w:val="22"/>
        </w:rPr>
        <w:t xml:space="preserve">the filing of </w:t>
      </w:r>
      <w:r w:rsidR="002C23F6" w:rsidRPr="00225B62">
        <w:rPr>
          <w:szCs w:val="22"/>
        </w:rPr>
        <w:t>minor change applications</w:t>
      </w:r>
      <w:r w:rsidR="0055246B" w:rsidRPr="00225B62">
        <w:rPr>
          <w:szCs w:val="22"/>
        </w:rPr>
        <w:t xml:space="preserve"> by LPTV/translator stations.  </w:t>
      </w:r>
      <w:r w:rsidR="002C23F6" w:rsidRPr="00225B62">
        <w:rPr>
          <w:szCs w:val="22"/>
        </w:rPr>
        <w:t xml:space="preserve">The freeze will be lifted upon the </w:t>
      </w:r>
      <w:r w:rsidR="009803DA" w:rsidRPr="00225B62">
        <w:rPr>
          <w:szCs w:val="22"/>
        </w:rPr>
        <w:t xml:space="preserve">issuance of a later public notice after </w:t>
      </w:r>
      <w:r w:rsidR="002C23F6" w:rsidRPr="00225B62">
        <w:rPr>
          <w:szCs w:val="22"/>
        </w:rPr>
        <w:t xml:space="preserve">completion of the </w:t>
      </w:r>
      <w:r w:rsidR="0055246B" w:rsidRPr="00225B62">
        <w:rPr>
          <w:szCs w:val="22"/>
        </w:rPr>
        <w:t>Special Displacement W</w:t>
      </w:r>
      <w:r w:rsidR="002C23F6" w:rsidRPr="00225B62">
        <w:rPr>
          <w:szCs w:val="22"/>
        </w:rPr>
        <w:t xml:space="preserve">indow.  </w:t>
      </w:r>
    </w:p>
    <w:p w14:paraId="5E0585AC" w14:textId="2BB6AB3D" w:rsidR="00F91EFA" w:rsidRPr="00225B62" w:rsidRDefault="00F91EFA" w:rsidP="00F91EFA">
      <w:pPr>
        <w:pStyle w:val="Heading2"/>
        <w:rPr>
          <w:szCs w:val="22"/>
        </w:rPr>
      </w:pPr>
      <w:bookmarkStart w:id="8" w:name="_Toc477506807"/>
      <w:r w:rsidRPr="00225B62">
        <w:rPr>
          <w:szCs w:val="22"/>
        </w:rPr>
        <w:t>Mutual Exclusivity and Priority for Displaced DRTs</w:t>
      </w:r>
      <w:bookmarkEnd w:id="8"/>
      <w:r w:rsidR="00755E13" w:rsidRPr="00225B62">
        <w:rPr>
          <w:szCs w:val="22"/>
        </w:rPr>
        <w:t xml:space="preserve"> and DTDRT Applications</w:t>
      </w:r>
    </w:p>
    <w:p w14:paraId="14E5F526" w14:textId="107E083D" w:rsidR="00755E13" w:rsidRPr="00225B62" w:rsidRDefault="00F91EFA" w:rsidP="00DA6EFB">
      <w:pPr>
        <w:numPr>
          <w:ilvl w:val="0"/>
          <w:numId w:val="2"/>
        </w:numPr>
        <w:tabs>
          <w:tab w:val="clear" w:pos="1080"/>
        </w:tabs>
        <w:spacing w:after="120"/>
        <w:rPr>
          <w:szCs w:val="22"/>
        </w:rPr>
      </w:pPr>
      <w:r w:rsidRPr="00225B62">
        <w:rPr>
          <w:szCs w:val="22"/>
        </w:rPr>
        <w:t>All displacement applications submitted during the window will be considered filed on the last day of the window and will be processed in accordance with the existing rules.</w:t>
      </w:r>
      <w:r w:rsidRPr="00225B62">
        <w:rPr>
          <w:rStyle w:val="FootnoteReference"/>
          <w:sz w:val="22"/>
          <w:szCs w:val="22"/>
        </w:rPr>
        <w:footnoteReference w:id="47"/>
      </w:r>
      <w:r w:rsidRPr="00225B62">
        <w:rPr>
          <w:szCs w:val="22"/>
        </w:rPr>
        <w:t xml:space="preserve">  </w:t>
      </w:r>
      <w:r w:rsidR="00544345" w:rsidRPr="00225B62">
        <w:rPr>
          <w:szCs w:val="22"/>
        </w:rPr>
        <w:t>Consistent with the Commission having found that doing so would serve the public interest, a</w:t>
      </w:r>
      <w:r w:rsidRPr="00225B62">
        <w:rPr>
          <w:szCs w:val="22"/>
        </w:rPr>
        <w:t>pplicants will be given an opportunity to resolve their mutual exclusivity through settlement or engineering amendment</w:t>
      </w:r>
      <w:r w:rsidR="002C10C8" w:rsidRPr="00225B62">
        <w:rPr>
          <w:szCs w:val="22"/>
        </w:rPr>
        <w:t xml:space="preserve"> that may be submitted during a settlement window to be announced by the Media Bureau by separate public notice</w:t>
      </w:r>
      <w:r w:rsidRPr="00225B62">
        <w:rPr>
          <w:szCs w:val="22"/>
        </w:rPr>
        <w:t>.</w:t>
      </w:r>
      <w:r w:rsidRPr="00225B62">
        <w:rPr>
          <w:rStyle w:val="FootnoteReference"/>
          <w:sz w:val="22"/>
          <w:szCs w:val="22"/>
        </w:rPr>
        <w:footnoteReference w:id="48"/>
      </w:r>
    </w:p>
    <w:p w14:paraId="5A14E561" w14:textId="72CAA5CE" w:rsidR="00480B57" w:rsidRPr="00225B62" w:rsidRDefault="00480B57" w:rsidP="00DA6EFB">
      <w:pPr>
        <w:numPr>
          <w:ilvl w:val="0"/>
          <w:numId w:val="2"/>
        </w:numPr>
        <w:tabs>
          <w:tab w:val="clear" w:pos="1080"/>
        </w:tabs>
        <w:spacing w:after="120"/>
        <w:rPr>
          <w:szCs w:val="22"/>
        </w:rPr>
      </w:pPr>
      <w:r w:rsidRPr="00225B62">
        <w:rPr>
          <w:szCs w:val="22"/>
        </w:rPr>
        <w:t>Should submitted applications remain mutually exclusive after the close of the settlement window, any application filed by a displaced analog-to-digital replacement translator (DRT) and any application for a new digital-to-digital replacement translator (DTDRT) will have priority over any application by a displaced LPTV and TV translator station.</w:t>
      </w:r>
      <w:r w:rsidRPr="00225B62">
        <w:rPr>
          <w:rStyle w:val="FootnoteReference"/>
          <w:sz w:val="22"/>
          <w:szCs w:val="22"/>
        </w:rPr>
        <w:t xml:space="preserve"> </w:t>
      </w:r>
      <w:r w:rsidRPr="00225B62">
        <w:rPr>
          <w:rStyle w:val="FootnoteReference"/>
          <w:sz w:val="22"/>
          <w:szCs w:val="22"/>
        </w:rPr>
        <w:footnoteReference w:id="49"/>
      </w:r>
      <w:r w:rsidRPr="00225B62">
        <w:rPr>
          <w:szCs w:val="22"/>
        </w:rPr>
        <w:t xml:space="preserve">  DRT displacement applications and DTDRT applications have co-equal processing priority.</w:t>
      </w:r>
      <w:r w:rsidRPr="00225B62">
        <w:rPr>
          <w:rStyle w:val="FootnoteReference"/>
          <w:sz w:val="22"/>
          <w:szCs w:val="22"/>
        </w:rPr>
        <w:footnoteReference w:id="50"/>
      </w:r>
      <w:r w:rsidRPr="00225B62">
        <w:rPr>
          <w:szCs w:val="22"/>
        </w:rPr>
        <w:t xml:space="preserve">  Unless mutually exclusive with a co-equal application, a DRT displacement application or DTDRT application will be processed and, if granted, any pending LPTV and TV translator displacement application that is mutually exclusive with the granted application will be dismissed.</w:t>
      </w:r>
      <w:r w:rsidRPr="00225B62">
        <w:rPr>
          <w:rStyle w:val="FootnoteReference"/>
          <w:sz w:val="22"/>
          <w:szCs w:val="22"/>
        </w:rPr>
        <w:footnoteReference w:id="51"/>
      </w:r>
      <w:r w:rsidRPr="00225B62">
        <w:rPr>
          <w:szCs w:val="22"/>
        </w:rPr>
        <w:t xml:space="preserve">    </w:t>
      </w:r>
    </w:p>
    <w:p w14:paraId="6EB09F04" w14:textId="53F7D37C" w:rsidR="00480B57" w:rsidRPr="00225B62" w:rsidRDefault="00480B57" w:rsidP="00DA6EFB">
      <w:pPr>
        <w:numPr>
          <w:ilvl w:val="0"/>
          <w:numId w:val="2"/>
        </w:numPr>
        <w:tabs>
          <w:tab w:val="clear" w:pos="1080"/>
        </w:tabs>
        <w:spacing w:after="120"/>
        <w:rPr>
          <w:szCs w:val="22"/>
        </w:rPr>
      </w:pPr>
      <w:r w:rsidRPr="00225B62">
        <w:rPr>
          <w:szCs w:val="22"/>
        </w:rPr>
        <w:t>If two or more DRT and DTDRT applications remain mutually exclusive with one another after the close of the settlement window, the applications will be subject to the Commission’s competitive bidding rules.</w:t>
      </w:r>
      <w:r w:rsidRPr="00225B62">
        <w:rPr>
          <w:rStyle w:val="FootnoteReference"/>
          <w:sz w:val="22"/>
          <w:szCs w:val="22"/>
        </w:rPr>
        <w:footnoteReference w:id="52"/>
      </w:r>
      <w:r w:rsidRPr="00225B62">
        <w:rPr>
          <w:szCs w:val="22"/>
        </w:rPr>
        <w:t xml:space="preserve">  Likewise, if two or more LPTV or TV translator applications are not subject to a priority application by a displaced DRT or for a new DTDRT and remain mutually exclusive after the close of the settlement window, the applications will be subject to the Commission’s competitive bidding rules.</w:t>
      </w:r>
      <w:r w:rsidRPr="00225B62">
        <w:rPr>
          <w:rStyle w:val="FootnoteReference"/>
          <w:sz w:val="22"/>
          <w:szCs w:val="22"/>
        </w:rPr>
        <w:footnoteReference w:id="53"/>
      </w:r>
    </w:p>
    <w:p w14:paraId="56D0C490" w14:textId="4EDECA43" w:rsidR="0069648B" w:rsidRPr="00225B62" w:rsidRDefault="0069648B" w:rsidP="00567F0B">
      <w:pPr>
        <w:pStyle w:val="Heading2"/>
        <w:rPr>
          <w:szCs w:val="22"/>
        </w:rPr>
      </w:pPr>
      <w:bookmarkStart w:id="9" w:name="_Toc477506810"/>
      <w:r w:rsidRPr="00225B62">
        <w:rPr>
          <w:szCs w:val="22"/>
        </w:rPr>
        <w:t>Construction Period</w:t>
      </w:r>
      <w:bookmarkEnd w:id="9"/>
      <w:r w:rsidR="00126829" w:rsidRPr="00225B62">
        <w:rPr>
          <w:szCs w:val="22"/>
        </w:rPr>
        <w:t>, Extension of Time, and Tolling</w:t>
      </w:r>
    </w:p>
    <w:p w14:paraId="2211A048" w14:textId="2119D416" w:rsidR="00E172D9" w:rsidRPr="00225B62" w:rsidRDefault="001E6BDC" w:rsidP="007D298D">
      <w:pPr>
        <w:numPr>
          <w:ilvl w:val="0"/>
          <w:numId w:val="2"/>
        </w:numPr>
        <w:tabs>
          <w:tab w:val="clear" w:pos="1080"/>
        </w:tabs>
        <w:spacing w:after="120"/>
        <w:rPr>
          <w:szCs w:val="22"/>
        </w:rPr>
      </w:pPr>
      <w:r w:rsidRPr="00225B62">
        <w:rPr>
          <w:szCs w:val="22"/>
        </w:rPr>
        <w:t xml:space="preserve"> Displaced LPTV/translator stations may be analog or digital</w:t>
      </w:r>
      <w:r w:rsidR="00241B68" w:rsidRPr="00225B62">
        <w:rPr>
          <w:szCs w:val="22"/>
        </w:rPr>
        <w:t xml:space="preserve"> and different construction</w:t>
      </w:r>
      <w:r w:rsidRPr="00225B62">
        <w:rPr>
          <w:szCs w:val="22"/>
        </w:rPr>
        <w:t xml:space="preserve"> periods apply to each type.  A displaced LPTV/translator station operating in digital will have three years to construct its displacement facility.</w:t>
      </w:r>
      <w:r w:rsidRPr="00225B62">
        <w:rPr>
          <w:rStyle w:val="FootnoteReference"/>
          <w:sz w:val="22"/>
          <w:szCs w:val="22"/>
        </w:rPr>
        <w:footnoteReference w:id="54"/>
      </w:r>
      <w:r w:rsidRPr="00225B62">
        <w:rPr>
          <w:szCs w:val="22"/>
        </w:rPr>
        <w:t xml:space="preserve">  A displaced LPTV/translator station operating in analog is not subject to the three-year construction period.  Rather, displaced analog stations are subject to the digital transition deadline of July 13, 2021 adopted in the </w:t>
      </w:r>
      <w:r w:rsidRPr="00225B62">
        <w:rPr>
          <w:i/>
          <w:szCs w:val="22"/>
        </w:rPr>
        <w:t>LPTV DTV Third Report and Order</w:t>
      </w:r>
      <w:r w:rsidRPr="00225B62">
        <w:rPr>
          <w:szCs w:val="22"/>
        </w:rPr>
        <w:t>.</w:t>
      </w:r>
      <w:r w:rsidRPr="00225B62">
        <w:rPr>
          <w:rStyle w:val="FootnoteReference"/>
          <w:sz w:val="22"/>
          <w:szCs w:val="22"/>
        </w:rPr>
        <w:footnoteReference w:id="55"/>
      </w:r>
      <w:r w:rsidRPr="00225B62">
        <w:rPr>
          <w:szCs w:val="22"/>
        </w:rPr>
        <w:t xml:space="preserve">  No later than this date, the displaced analog station must begin operating a digital facility</w:t>
      </w:r>
      <w:r w:rsidR="00891B8B" w:rsidRPr="00225B62">
        <w:rPr>
          <w:szCs w:val="22"/>
        </w:rPr>
        <w:t xml:space="preserve"> or go silent</w:t>
      </w:r>
      <w:r w:rsidRPr="00225B62">
        <w:rPr>
          <w:szCs w:val="22"/>
        </w:rPr>
        <w:t>.</w:t>
      </w:r>
      <w:r w:rsidRPr="00225B62">
        <w:rPr>
          <w:rStyle w:val="FootnoteReference"/>
          <w:sz w:val="22"/>
          <w:szCs w:val="22"/>
        </w:rPr>
        <w:footnoteReference w:id="56"/>
      </w:r>
      <w:r w:rsidRPr="00225B62">
        <w:rPr>
          <w:szCs w:val="22"/>
        </w:rPr>
        <w:t xml:space="preserve">  Upon completion of construction and initiation of service on their new channel, stations are required to submit an application for license by electronically filing FCC Form 2100 – Schedule F on LMS within 10 days</w:t>
      </w:r>
      <w:r w:rsidR="00241FA3" w:rsidRPr="00225B62">
        <w:rPr>
          <w:szCs w:val="22"/>
        </w:rPr>
        <w:t>,</w:t>
      </w:r>
      <w:r w:rsidRPr="00225B62">
        <w:rPr>
          <w:rStyle w:val="FootnoteReference"/>
          <w:sz w:val="22"/>
          <w:szCs w:val="22"/>
        </w:rPr>
        <w:footnoteReference w:id="57"/>
      </w:r>
      <w:r w:rsidRPr="00225B62">
        <w:rPr>
          <w:szCs w:val="22"/>
        </w:rPr>
        <w:t xml:space="preserve"> following the instructions in Appendix A.</w:t>
      </w:r>
    </w:p>
    <w:p w14:paraId="1EB8812C" w14:textId="28D6CC41" w:rsidR="001E6BDC" w:rsidRPr="00225B62" w:rsidRDefault="001E6BDC" w:rsidP="007D298D">
      <w:pPr>
        <w:numPr>
          <w:ilvl w:val="0"/>
          <w:numId w:val="2"/>
        </w:numPr>
        <w:tabs>
          <w:tab w:val="clear" w:pos="1080"/>
        </w:tabs>
        <w:spacing w:after="120"/>
        <w:rPr>
          <w:szCs w:val="22"/>
        </w:rPr>
      </w:pPr>
      <w:r w:rsidRPr="00225B62">
        <w:rPr>
          <w:szCs w:val="22"/>
        </w:rPr>
        <w:t xml:space="preserve">Until March 13, 2021, any displaced LPTV/translator station (either analog or digital) that is unable to complete construction of its displacement facility by its deadline may seek an extension of time </w:t>
      </w:r>
      <w:r w:rsidR="00241FA3" w:rsidRPr="00225B62">
        <w:rPr>
          <w:szCs w:val="22"/>
        </w:rPr>
        <w:t xml:space="preserve">to construct </w:t>
      </w:r>
      <w:r w:rsidRPr="00225B62">
        <w:rPr>
          <w:szCs w:val="22"/>
        </w:rPr>
        <w:t>of up to 180 days.</w:t>
      </w:r>
      <w:r w:rsidRPr="00225B62">
        <w:rPr>
          <w:szCs w:val="22"/>
          <w:vertAlign w:val="superscript"/>
        </w:rPr>
        <w:footnoteReference w:id="58"/>
      </w:r>
      <w:r w:rsidRPr="00225B62">
        <w:rPr>
          <w:szCs w:val="22"/>
        </w:rPr>
        <w:t xml:space="preserve">  Stations anticipating the need for an extension must submit an extension application electronically via LMS on FCC Form 2100 – Schedule 337 following the instructions in Appendix A.  An application for extension of time to construct must include an exhibit demonstrating that failure to meet the construction deadline is due to circumstances that are either unforeseeable or beyond the licensee’s control </w:t>
      </w:r>
      <w:r w:rsidR="00B15F8E" w:rsidRPr="00225B62">
        <w:rPr>
          <w:szCs w:val="22"/>
        </w:rPr>
        <w:t xml:space="preserve">and </w:t>
      </w:r>
      <w:r w:rsidR="00385993" w:rsidRPr="00225B62">
        <w:rPr>
          <w:szCs w:val="22"/>
        </w:rPr>
        <w:t xml:space="preserve">that </w:t>
      </w:r>
      <w:r w:rsidRPr="00225B62">
        <w:rPr>
          <w:szCs w:val="22"/>
        </w:rPr>
        <w:t>the licensee has taken all reasonable steps to resolve the problem expeditiously.</w:t>
      </w:r>
      <w:r w:rsidRPr="00225B62">
        <w:rPr>
          <w:szCs w:val="22"/>
          <w:vertAlign w:val="superscript"/>
        </w:rPr>
        <w:footnoteReference w:id="59"/>
      </w:r>
      <w:r w:rsidRPr="00225B62">
        <w:rPr>
          <w:szCs w:val="22"/>
        </w:rPr>
        <w:t xml:space="preserve">  Such circumstances include, but are not limited to: (</w:t>
      </w:r>
      <w:r w:rsidR="00B15F8E" w:rsidRPr="00225B62">
        <w:rPr>
          <w:szCs w:val="22"/>
        </w:rPr>
        <w:t>1</w:t>
      </w:r>
      <w:r w:rsidRPr="00225B62">
        <w:rPr>
          <w:szCs w:val="22"/>
        </w:rPr>
        <w:t xml:space="preserve">) delays in obtaining zoning or </w:t>
      </w:r>
      <w:r w:rsidR="00480FCA" w:rsidRPr="00225B62">
        <w:rPr>
          <w:szCs w:val="22"/>
        </w:rPr>
        <w:t>other</w:t>
      </w:r>
      <w:r w:rsidRPr="00225B62">
        <w:rPr>
          <w:szCs w:val="22"/>
        </w:rPr>
        <w:t xml:space="preserve"> approvals, or similar constraints; (</w:t>
      </w:r>
      <w:r w:rsidR="00B15F8E" w:rsidRPr="00225B62">
        <w:rPr>
          <w:szCs w:val="22"/>
        </w:rPr>
        <w:t>2</w:t>
      </w:r>
      <w:r w:rsidRPr="00225B62">
        <w:rPr>
          <w:szCs w:val="22"/>
        </w:rPr>
        <w:t>) inability to obtain equipment; or (</w:t>
      </w:r>
      <w:r w:rsidR="00B15F8E" w:rsidRPr="00225B62">
        <w:rPr>
          <w:szCs w:val="22"/>
        </w:rPr>
        <w:t>3</w:t>
      </w:r>
      <w:r w:rsidRPr="00225B62">
        <w:rPr>
          <w:szCs w:val="22"/>
        </w:rPr>
        <w:t>) financial hardship.</w:t>
      </w:r>
      <w:r w:rsidRPr="00225B62">
        <w:rPr>
          <w:rStyle w:val="FootnoteReference"/>
          <w:sz w:val="22"/>
          <w:szCs w:val="22"/>
        </w:rPr>
        <w:footnoteReference w:id="60"/>
      </w:r>
      <w:r w:rsidRPr="00225B62">
        <w:rPr>
          <w:szCs w:val="22"/>
        </w:rPr>
        <w:t xml:space="preserve">  The grant of an extension of time to complete construction on a new channel will in no way extend the deadline by which a station must terminate operations on its displaced chan</w:t>
      </w:r>
      <w:r w:rsidR="00891B8B" w:rsidRPr="00225B62">
        <w:rPr>
          <w:szCs w:val="22"/>
        </w:rPr>
        <w:t>nel</w:t>
      </w:r>
      <w:r w:rsidRPr="00225B62">
        <w:rPr>
          <w:szCs w:val="22"/>
        </w:rPr>
        <w:t>.</w:t>
      </w:r>
    </w:p>
    <w:p w14:paraId="63D5988F" w14:textId="5366A6B7" w:rsidR="001E6BDC" w:rsidRPr="00225B62" w:rsidRDefault="001E6BDC" w:rsidP="00DA6EFB">
      <w:pPr>
        <w:numPr>
          <w:ilvl w:val="0"/>
          <w:numId w:val="2"/>
        </w:numPr>
        <w:tabs>
          <w:tab w:val="clear" w:pos="1080"/>
          <w:tab w:val="num" w:pos="1440"/>
        </w:tabs>
        <w:autoSpaceDE w:val="0"/>
        <w:autoSpaceDN w:val="0"/>
        <w:adjustRightInd w:val="0"/>
        <w:spacing w:after="120"/>
        <w:rPr>
          <w:szCs w:val="22"/>
        </w:rPr>
      </w:pPr>
      <w:r w:rsidRPr="00225B62">
        <w:rPr>
          <w:szCs w:val="22"/>
        </w:rPr>
        <w:t>After March 13, 2021, additional time to construct may be sought only pursuant to the Commission’s “tolling” rule.</w:t>
      </w:r>
      <w:r w:rsidRPr="00225B62">
        <w:rPr>
          <w:szCs w:val="22"/>
          <w:vertAlign w:val="superscript"/>
        </w:rPr>
        <w:footnoteReference w:id="61"/>
      </w:r>
      <w:r w:rsidRPr="00225B62">
        <w:rPr>
          <w:szCs w:val="22"/>
        </w:rPr>
        <w:t xml:space="preserve">  The tolling rule provides that a construction permit deadline may be tolled only for specific circumstances not under the licensee’s control, such as acts of God or delays due to administrative or judicial review.</w:t>
      </w:r>
      <w:r w:rsidRPr="00225B62">
        <w:rPr>
          <w:szCs w:val="22"/>
          <w:vertAlign w:val="superscript"/>
        </w:rPr>
        <w:footnoteReference w:id="62"/>
      </w:r>
      <w:r w:rsidRPr="00225B62">
        <w:rPr>
          <w:szCs w:val="22"/>
        </w:rPr>
        <w:t xml:space="preserve">  Stations must electronically file tolling requests via LMS, in accordance with the instructions in Appendix A.  Stations may also seek a waiver of the tolling rule to receive additional time to construct in the case where “rare or exceptional circumstances” prevent construction, following the instructions for requesting tolling in Appendix A.</w:t>
      </w:r>
      <w:r w:rsidRPr="00225B62">
        <w:rPr>
          <w:szCs w:val="22"/>
          <w:vertAlign w:val="superscript"/>
        </w:rPr>
        <w:footnoteReference w:id="63"/>
      </w:r>
      <w:r w:rsidRPr="00225B62">
        <w:rPr>
          <w:szCs w:val="22"/>
        </w:rPr>
        <w:t xml:space="preserve">  </w:t>
      </w:r>
      <w:r w:rsidR="004F3C6C" w:rsidRPr="00225B62">
        <w:rPr>
          <w:szCs w:val="22"/>
        </w:rPr>
        <w:t>With respect to tolling waivers, w</w:t>
      </w:r>
      <w:r w:rsidR="00623FCA" w:rsidRPr="00225B62">
        <w:rPr>
          <w:szCs w:val="22"/>
        </w:rPr>
        <w:t>e</w:t>
      </w:r>
      <w:r w:rsidR="004F3C6C" w:rsidRPr="00225B62">
        <w:rPr>
          <w:szCs w:val="22"/>
        </w:rPr>
        <w:t xml:space="preserve"> </w:t>
      </w:r>
      <w:r w:rsidR="00857C36" w:rsidRPr="00225B62">
        <w:rPr>
          <w:szCs w:val="22"/>
        </w:rPr>
        <w:t>expect to</w:t>
      </w:r>
      <w:r w:rsidR="004F3C6C" w:rsidRPr="00225B62">
        <w:rPr>
          <w:szCs w:val="22"/>
        </w:rPr>
        <w:t xml:space="preserve"> </w:t>
      </w:r>
      <w:r w:rsidRPr="00225B62">
        <w:rPr>
          <w:szCs w:val="22"/>
        </w:rPr>
        <w:t xml:space="preserve">look favorably upon requests where a displaced station can demonstrate that it is unable to construct due to circumstances resulting directly from the post-auction transition, such as the inability to procure necessary resources because </w:t>
      </w:r>
      <w:r w:rsidR="00B15F8E" w:rsidRPr="00225B62">
        <w:rPr>
          <w:szCs w:val="22"/>
        </w:rPr>
        <w:t>resources</w:t>
      </w:r>
      <w:r w:rsidR="00002956" w:rsidRPr="00225B62">
        <w:rPr>
          <w:szCs w:val="22"/>
        </w:rPr>
        <w:t xml:space="preserve"> are unavailable due to</w:t>
      </w:r>
      <w:r w:rsidRPr="00225B62">
        <w:rPr>
          <w:szCs w:val="22"/>
        </w:rPr>
        <w:t xml:space="preserve"> the full-power and Class A post-auction transition.   </w:t>
      </w:r>
    </w:p>
    <w:p w14:paraId="193EA713" w14:textId="77777777" w:rsidR="00D44D1E" w:rsidRPr="00225B62" w:rsidRDefault="00D44D1E" w:rsidP="00567F0B">
      <w:pPr>
        <w:pStyle w:val="Heading2"/>
        <w:rPr>
          <w:szCs w:val="22"/>
        </w:rPr>
      </w:pPr>
      <w:bookmarkStart w:id="10" w:name="_Toc477506811"/>
      <w:r w:rsidRPr="00225B62">
        <w:rPr>
          <w:szCs w:val="22"/>
        </w:rPr>
        <w:t>Silent Authority</w:t>
      </w:r>
      <w:bookmarkEnd w:id="10"/>
    </w:p>
    <w:p w14:paraId="75F762D7" w14:textId="241690CD" w:rsidR="00CA379B" w:rsidRPr="00225B62" w:rsidRDefault="00002956" w:rsidP="007D298D">
      <w:pPr>
        <w:numPr>
          <w:ilvl w:val="0"/>
          <w:numId w:val="2"/>
        </w:numPr>
        <w:tabs>
          <w:tab w:val="clear" w:pos="1080"/>
          <w:tab w:val="num" w:pos="1440"/>
        </w:tabs>
        <w:autoSpaceDE w:val="0"/>
        <w:autoSpaceDN w:val="0"/>
        <w:adjustRightInd w:val="0"/>
        <w:spacing w:after="120"/>
        <w:rPr>
          <w:szCs w:val="22"/>
        </w:rPr>
      </w:pPr>
      <w:r w:rsidRPr="00225B62">
        <w:rPr>
          <w:szCs w:val="22"/>
        </w:rPr>
        <w:t>I</w:t>
      </w:r>
      <w:r w:rsidR="003441CB" w:rsidRPr="00225B62">
        <w:rPr>
          <w:szCs w:val="22"/>
        </w:rPr>
        <w:t>f a</w:t>
      </w:r>
      <w:r w:rsidR="00541A79" w:rsidRPr="00225B62">
        <w:rPr>
          <w:szCs w:val="22"/>
        </w:rPr>
        <w:t xml:space="preserve"> </w:t>
      </w:r>
      <w:r w:rsidR="0069648B" w:rsidRPr="00225B62">
        <w:rPr>
          <w:szCs w:val="22"/>
        </w:rPr>
        <w:t xml:space="preserve">station </w:t>
      </w:r>
      <w:r w:rsidR="003441CB" w:rsidRPr="00225B62">
        <w:rPr>
          <w:szCs w:val="22"/>
        </w:rPr>
        <w:t>must</w:t>
      </w:r>
      <w:r w:rsidR="0069648B" w:rsidRPr="00225B62">
        <w:rPr>
          <w:szCs w:val="22"/>
        </w:rPr>
        <w:t xml:space="preserve"> go silent on </w:t>
      </w:r>
      <w:r w:rsidRPr="00225B62">
        <w:rPr>
          <w:szCs w:val="22"/>
        </w:rPr>
        <w:t>its licensed</w:t>
      </w:r>
      <w:r w:rsidR="00D44D1E" w:rsidRPr="00225B62">
        <w:rPr>
          <w:szCs w:val="22"/>
        </w:rPr>
        <w:t xml:space="preserve"> </w:t>
      </w:r>
      <w:r w:rsidR="0069648B" w:rsidRPr="00225B62">
        <w:rPr>
          <w:szCs w:val="22"/>
        </w:rPr>
        <w:t>channel prio</w:t>
      </w:r>
      <w:r w:rsidR="00D80960" w:rsidRPr="00225B62">
        <w:rPr>
          <w:szCs w:val="22"/>
        </w:rPr>
        <w:t>r to completing construction on</w:t>
      </w:r>
      <w:r w:rsidR="00DB0E00" w:rsidRPr="00225B62">
        <w:rPr>
          <w:szCs w:val="22"/>
        </w:rPr>
        <w:t xml:space="preserve"> </w:t>
      </w:r>
      <w:r w:rsidR="00AB46D1" w:rsidRPr="00225B62">
        <w:rPr>
          <w:szCs w:val="22"/>
        </w:rPr>
        <w:t xml:space="preserve">its </w:t>
      </w:r>
      <w:r w:rsidRPr="00225B62">
        <w:rPr>
          <w:szCs w:val="22"/>
        </w:rPr>
        <w:t>displacement</w:t>
      </w:r>
      <w:r w:rsidR="0069648B" w:rsidRPr="00225B62">
        <w:rPr>
          <w:szCs w:val="22"/>
        </w:rPr>
        <w:t xml:space="preserve"> channel</w:t>
      </w:r>
      <w:r w:rsidR="00D44D1E" w:rsidRPr="00225B62">
        <w:rPr>
          <w:szCs w:val="22"/>
        </w:rPr>
        <w:t xml:space="preserve">, </w:t>
      </w:r>
      <w:r w:rsidR="000730AF" w:rsidRPr="00225B62">
        <w:rPr>
          <w:szCs w:val="22"/>
        </w:rPr>
        <w:t>it</w:t>
      </w:r>
      <w:r w:rsidR="00D44D1E" w:rsidRPr="00225B62">
        <w:rPr>
          <w:szCs w:val="22"/>
        </w:rPr>
        <w:t xml:space="preserve"> may file a request for silent authority.  We remind stations that</w:t>
      </w:r>
      <w:r w:rsidR="00541A79" w:rsidRPr="00225B62">
        <w:rPr>
          <w:szCs w:val="22"/>
        </w:rPr>
        <w:t xml:space="preserve"> </w:t>
      </w:r>
      <w:r w:rsidR="00D44D1E" w:rsidRPr="00225B62">
        <w:rPr>
          <w:szCs w:val="22"/>
        </w:rPr>
        <w:t>a station may suspend operations for a period of not more than 30 days absent specific authority from the Commission.</w:t>
      </w:r>
      <w:r w:rsidR="00D44D1E" w:rsidRPr="00225B62">
        <w:rPr>
          <w:rStyle w:val="FootnoteReference"/>
          <w:sz w:val="22"/>
          <w:szCs w:val="22"/>
        </w:rPr>
        <w:footnoteReference w:id="64"/>
      </w:r>
      <w:r w:rsidR="00D44D1E" w:rsidRPr="00225B62">
        <w:rPr>
          <w:szCs w:val="22"/>
        </w:rPr>
        <w:t xml:space="preserve">  Stations that remain silent for more than 10 days must notify the Commission not later than the tenth day of their suspended operations by filing a Suspension of Operations Notification via LMS as outlined in Appendix A.</w:t>
      </w:r>
      <w:r w:rsidR="00D44D1E" w:rsidRPr="00225B62">
        <w:rPr>
          <w:szCs w:val="22"/>
          <w:vertAlign w:val="superscript"/>
        </w:rPr>
        <w:footnoteReference w:id="65"/>
      </w:r>
      <w:r w:rsidR="00D44D1E" w:rsidRPr="00225B62">
        <w:rPr>
          <w:szCs w:val="22"/>
        </w:rPr>
        <w:t xml:space="preserve">  Stations that need to remain silent for more than 30 days must file a Silent STA via LMS as outlined in Appendix A</w:t>
      </w:r>
      <w:r w:rsidR="00623FCA" w:rsidRPr="00225B62">
        <w:rPr>
          <w:szCs w:val="22"/>
        </w:rPr>
        <w:t xml:space="preserve">.  There is no </w:t>
      </w:r>
      <w:r w:rsidR="00D44D1E" w:rsidRPr="00225B62">
        <w:rPr>
          <w:szCs w:val="22"/>
        </w:rPr>
        <w:t>fee</w:t>
      </w:r>
      <w:r w:rsidR="00623FCA" w:rsidRPr="00225B62">
        <w:rPr>
          <w:szCs w:val="22"/>
        </w:rPr>
        <w:t xml:space="preserve"> for this filing</w:t>
      </w:r>
      <w:r w:rsidR="00D44D1E" w:rsidRPr="00225B62">
        <w:rPr>
          <w:szCs w:val="22"/>
        </w:rPr>
        <w:t>.</w:t>
      </w:r>
    </w:p>
    <w:p w14:paraId="14300269" w14:textId="10BDC58B" w:rsidR="00CA379B" w:rsidRPr="00225B62" w:rsidRDefault="00AC796B" w:rsidP="00CA379B">
      <w:pPr>
        <w:numPr>
          <w:ilvl w:val="0"/>
          <w:numId w:val="2"/>
        </w:numPr>
        <w:tabs>
          <w:tab w:val="clear" w:pos="1080"/>
          <w:tab w:val="num" w:pos="1440"/>
        </w:tabs>
        <w:autoSpaceDE w:val="0"/>
        <w:autoSpaceDN w:val="0"/>
        <w:adjustRightInd w:val="0"/>
        <w:spacing w:after="120"/>
        <w:rPr>
          <w:szCs w:val="22"/>
        </w:rPr>
      </w:pPr>
      <w:r w:rsidRPr="00225B62">
        <w:rPr>
          <w:szCs w:val="22"/>
        </w:rPr>
        <w:t xml:space="preserve">We also remind stations that the license of any station that remains silent for any consecutive 12-month period expires automatically at the end of that period, by operation of law, </w:t>
      </w:r>
      <w:r w:rsidR="00623FCA" w:rsidRPr="00225B62">
        <w:rPr>
          <w:szCs w:val="22"/>
        </w:rPr>
        <w:t>except that the Commission may extend or reinstate such station license if the holder of the license prevails in an administrative or judicial appeal, the applicable law changes, or for any other reason to promote equity and fairness.</w:t>
      </w:r>
      <w:r w:rsidRPr="00225B62">
        <w:rPr>
          <w:szCs w:val="22"/>
          <w:vertAlign w:val="superscript"/>
        </w:rPr>
        <w:footnoteReference w:id="66"/>
      </w:r>
    </w:p>
    <w:p w14:paraId="7988631E" w14:textId="6D2CFCB7" w:rsidR="00CA379B" w:rsidRPr="00225B62" w:rsidRDefault="00CA379B" w:rsidP="00CA379B">
      <w:pPr>
        <w:pStyle w:val="Heading1"/>
        <w:rPr>
          <w:rFonts w:ascii="Times New Roman" w:hAnsi="Times New Roman"/>
          <w:szCs w:val="22"/>
        </w:rPr>
      </w:pPr>
      <w:bookmarkStart w:id="11" w:name="_Toc477506813"/>
      <w:r w:rsidRPr="00225B62">
        <w:rPr>
          <w:rFonts w:ascii="Times New Roman" w:hAnsi="Times New Roman"/>
          <w:szCs w:val="22"/>
        </w:rPr>
        <w:t>Displacement PROCEDURES</w:t>
      </w:r>
      <w:bookmarkEnd w:id="11"/>
    </w:p>
    <w:p w14:paraId="1C4251A8" w14:textId="5B501A65" w:rsidR="00CA379B" w:rsidRPr="00225B62" w:rsidRDefault="00792529" w:rsidP="00CA379B">
      <w:pPr>
        <w:numPr>
          <w:ilvl w:val="0"/>
          <w:numId w:val="2"/>
        </w:numPr>
        <w:tabs>
          <w:tab w:val="clear" w:pos="1080"/>
          <w:tab w:val="num" w:pos="1440"/>
        </w:tabs>
        <w:autoSpaceDE w:val="0"/>
        <w:autoSpaceDN w:val="0"/>
        <w:adjustRightInd w:val="0"/>
        <w:spacing w:after="120"/>
        <w:rPr>
          <w:szCs w:val="22"/>
        </w:rPr>
      </w:pPr>
      <w:r w:rsidRPr="00225B62">
        <w:rPr>
          <w:szCs w:val="22"/>
        </w:rPr>
        <w:t xml:space="preserve">Following </w:t>
      </w:r>
      <w:r w:rsidR="00A162EF" w:rsidRPr="00225B62">
        <w:rPr>
          <w:szCs w:val="22"/>
        </w:rPr>
        <w:t xml:space="preserve">the initiation of service by a </w:t>
      </w:r>
      <w:r w:rsidRPr="00225B62">
        <w:rPr>
          <w:szCs w:val="22"/>
        </w:rPr>
        <w:t xml:space="preserve">repacked full power or Class A television station or </w:t>
      </w:r>
      <w:r w:rsidR="00A162EF" w:rsidRPr="00225B62">
        <w:rPr>
          <w:szCs w:val="22"/>
        </w:rPr>
        <w:t xml:space="preserve">receipt of notice of likely interference </w:t>
      </w:r>
      <w:r w:rsidR="003F2FCD" w:rsidRPr="00225B62">
        <w:rPr>
          <w:szCs w:val="22"/>
        </w:rPr>
        <w:t>to</w:t>
      </w:r>
      <w:r w:rsidRPr="00225B62">
        <w:rPr>
          <w:szCs w:val="22"/>
        </w:rPr>
        <w:t xml:space="preserve"> a new 600 MHz </w:t>
      </w:r>
      <w:r w:rsidR="008B37B0" w:rsidRPr="00225B62">
        <w:rPr>
          <w:szCs w:val="22"/>
        </w:rPr>
        <w:t xml:space="preserve">Band </w:t>
      </w:r>
      <w:r w:rsidRPr="00225B62">
        <w:rPr>
          <w:szCs w:val="22"/>
        </w:rPr>
        <w:t xml:space="preserve">wireless licensee, LPTV/translator stations must </w:t>
      </w:r>
      <w:r w:rsidR="00050AD7" w:rsidRPr="00225B62">
        <w:rPr>
          <w:szCs w:val="22"/>
        </w:rPr>
        <w:t xml:space="preserve">immediately </w:t>
      </w:r>
      <w:r w:rsidR="00B37413" w:rsidRPr="00225B62">
        <w:rPr>
          <w:szCs w:val="22"/>
        </w:rPr>
        <w:t xml:space="preserve">eliminate the likelihood of interference or </w:t>
      </w:r>
      <w:r w:rsidRPr="00225B62">
        <w:rPr>
          <w:szCs w:val="22"/>
        </w:rPr>
        <w:t>discontinue operations.</w:t>
      </w:r>
      <w:r w:rsidRPr="00225B62">
        <w:rPr>
          <w:rStyle w:val="FootnoteReference"/>
          <w:sz w:val="22"/>
          <w:szCs w:val="22"/>
        </w:rPr>
        <w:footnoteReference w:id="67"/>
      </w:r>
      <w:r w:rsidRPr="00225B62">
        <w:rPr>
          <w:szCs w:val="22"/>
        </w:rPr>
        <w:t xml:space="preserve">  In addition, LPTV and TV translator stations must cease operations on the 600 MHz guard band and duplex gap no later than the end of the transition period</w:t>
      </w:r>
      <w:r w:rsidR="00B37413" w:rsidRPr="00225B62">
        <w:rPr>
          <w:szCs w:val="22"/>
        </w:rPr>
        <w:t xml:space="preserve"> </w:t>
      </w:r>
      <w:r w:rsidR="00AF4006" w:rsidRPr="00225B62">
        <w:rPr>
          <w:szCs w:val="22"/>
        </w:rPr>
        <w:t>(</w:t>
      </w:r>
      <w:r w:rsidR="00B37413" w:rsidRPr="00225B62">
        <w:rPr>
          <w:szCs w:val="22"/>
        </w:rPr>
        <w:t>July 13, 2020</w:t>
      </w:r>
      <w:r w:rsidR="00AF4006" w:rsidRPr="00225B62">
        <w:rPr>
          <w:szCs w:val="22"/>
        </w:rPr>
        <w:t>)</w:t>
      </w:r>
      <w:r w:rsidRPr="00225B62">
        <w:rPr>
          <w:szCs w:val="22"/>
        </w:rPr>
        <w:t>.</w:t>
      </w:r>
      <w:r w:rsidRPr="00225B62">
        <w:rPr>
          <w:rStyle w:val="FootnoteReference"/>
          <w:sz w:val="22"/>
          <w:szCs w:val="22"/>
        </w:rPr>
        <w:footnoteReference w:id="68"/>
      </w:r>
      <w:r w:rsidRPr="00225B62">
        <w:rPr>
          <w:szCs w:val="22"/>
        </w:rPr>
        <w:t xml:space="preserve">  In this </w:t>
      </w:r>
      <w:r w:rsidR="0062009D" w:rsidRPr="00225B62">
        <w:rPr>
          <w:szCs w:val="22"/>
        </w:rPr>
        <w:t>s</w:t>
      </w:r>
      <w:r w:rsidRPr="00225B62">
        <w:rPr>
          <w:szCs w:val="22"/>
        </w:rPr>
        <w:t xml:space="preserve">ection, we outline the </w:t>
      </w:r>
      <w:r w:rsidR="00B37413" w:rsidRPr="00225B62">
        <w:rPr>
          <w:szCs w:val="22"/>
        </w:rPr>
        <w:t xml:space="preserve">displacement </w:t>
      </w:r>
      <w:r w:rsidRPr="00225B62">
        <w:rPr>
          <w:szCs w:val="22"/>
        </w:rPr>
        <w:t xml:space="preserve">procedures for </w:t>
      </w:r>
      <w:r w:rsidR="00B37413" w:rsidRPr="00225B62">
        <w:rPr>
          <w:szCs w:val="22"/>
        </w:rPr>
        <w:t xml:space="preserve">LPTV/translator </w:t>
      </w:r>
      <w:r w:rsidRPr="00225B62">
        <w:rPr>
          <w:szCs w:val="22"/>
        </w:rPr>
        <w:t>stations.</w:t>
      </w:r>
    </w:p>
    <w:p w14:paraId="2D575683" w14:textId="749495D3" w:rsidR="00CA379B" w:rsidRPr="00225B62" w:rsidRDefault="00CA379B" w:rsidP="00CA379B">
      <w:pPr>
        <w:pStyle w:val="Heading2"/>
        <w:rPr>
          <w:szCs w:val="22"/>
        </w:rPr>
      </w:pPr>
      <w:bookmarkStart w:id="12" w:name="_Toc477506814"/>
      <w:r w:rsidRPr="00225B62">
        <w:rPr>
          <w:szCs w:val="22"/>
        </w:rPr>
        <w:t>Stations on Channels 38-51</w:t>
      </w:r>
      <w:bookmarkEnd w:id="12"/>
      <w:r w:rsidRPr="00225B62">
        <w:rPr>
          <w:szCs w:val="22"/>
        </w:rPr>
        <w:t xml:space="preserve">  </w:t>
      </w:r>
    </w:p>
    <w:p w14:paraId="4177CBA1" w14:textId="2B1177AC" w:rsidR="007A7072" w:rsidRPr="00225B62" w:rsidRDefault="00792529" w:rsidP="009B219A">
      <w:pPr>
        <w:numPr>
          <w:ilvl w:val="0"/>
          <w:numId w:val="2"/>
        </w:numPr>
        <w:tabs>
          <w:tab w:val="clear" w:pos="1080"/>
          <w:tab w:val="num" w:pos="1440"/>
        </w:tabs>
        <w:autoSpaceDE w:val="0"/>
        <w:autoSpaceDN w:val="0"/>
        <w:adjustRightInd w:val="0"/>
        <w:spacing w:after="120"/>
        <w:ind w:left="90"/>
        <w:rPr>
          <w:szCs w:val="22"/>
        </w:rPr>
      </w:pPr>
      <w:r w:rsidRPr="00225B62">
        <w:rPr>
          <w:szCs w:val="22"/>
        </w:rPr>
        <w:t>The repurposed spectrum associated with the 600</w:t>
      </w:r>
      <w:r w:rsidR="00A162EF" w:rsidRPr="00225B62">
        <w:rPr>
          <w:szCs w:val="22"/>
        </w:rPr>
        <w:t xml:space="preserve"> MHz Band Plan affects LPTV/</w:t>
      </w:r>
      <w:r w:rsidRPr="00225B62">
        <w:rPr>
          <w:szCs w:val="22"/>
        </w:rPr>
        <w:t>TV translator</w:t>
      </w:r>
      <w:r w:rsidR="00A162EF" w:rsidRPr="00225B62">
        <w:rPr>
          <w:szCs w:val="22"/>
        </w:rPr>
        <w:t xml:space="preserve"> stations operating on television c</w:t>
      </w:r>
      <w:r w:rsidRPr="00225B62">
        <w:rPr>
          <w:szCs w:val="22"/>
        </w:rPr>
        <w:t xml:space="preserve">hannels 38-51 (614-698 MHz).  The 600 MHz Band Plan is indicated in the table below.  The 600 MHz Band Plan is comprised of an uplink band (663-698 MHz) and a downlink band (617-652 MHz) for the 600 MHz </w:t>
      </w:r>
      <w:r w:rsidR="004F0B67" w:rsidRPr="00225B62">
        <w:rPr>
          <w:szCs w:val="22"/>
        </w:rPr>
        <w:t>Band wireless service</w:t>
      </w:r>
      <w:r w:rsidR="00994645" w:rsidRPr="00225B62">
        <w:rPr>
          <w:szCs w:val="22"/>
        </w:rPr>
        <w:t xml:space="preserve"> (the 600 MHz Band)</w:t>
      </w:r>
      <w:r w:rsidRPr="00225B62">
        <w:rPr>
          <w:szCs w:val="22"/>
        </w:rPr>
        <w:t>, a duplex gap (652-663 MHz) between these bands</w:t>
      </w:r>
      <w:r w:rsidR="00994645" w:rsidRPr="00225B62">
        <w:rPr>
          <w:szCs w:val="22"/>
        </w:rPr>
        <w:t xml:space="preserve"> (the 600 MHz duplex gap)</w:t>
      </w:r>
      <w:r w:rsidRPr="00225B62">
        <w:rPr>
          <w:szCs w:val="22"/>
        </w:rPr>
        <w:t xml:space="preserve">, and a guard band (614-617 MHz) between the downlink band and </w:t>
      </w:r>
      <w:r w:rsidR="00A162EF" w:rsidRPr="00225B62">
        <w:rPr>
          <w:szCs w:val="22"/>
        </w:rPr>
        <w:t>c</w:t>
      </w:r>
      <w:r w:rsidRPr="00225B62">
        <w:rPr>
          <w:szCs w:val="22"/>
        </w:rPr>
        <w:t>hannel 37</w:t>
      </w:r>
      <w:r w:rsidR="00994645" w:rsidRPr="00225B62">
        <w:rPr>
          <w:szCs w:val="22"/>
        </w:rPr>
        <w:t xml:space="preserve"> (the 600 MHz guard band)</w:t>
      </w:r>
      <w:r w:rsidRPr="00225B62">
        <w:rPr>
          <w:szCs w:val="22"/>
        </w:rPr>
        <w:t>.</w:t>
      </w:r>
      <w:r w:rsidRPr="00225B62">
        <w:rPr>
          <w:szCs w:val="22"/>
          <w:vertAlign w:val="superscript"/>
        </w:rPr>
        <w:footnoteReference w:id="69"/>
      </w:r>
      <w:r w:rsidRPr="00225B62">
        <w:rPr>
          <w:szCs w:val="22"/>
        </w:rPr>
        <w:t xml:space="preserve">  The various </w:t>
      </w:r>
      <w:r w:rsidR="00A162EF" w:rsidRPr="00225B62">
        <w:rPr>
          <w:szCs w:val="22"/>
        </w:rPr>
        <w:t>television</w:t>
      </w:r>
      <w:r w:rsidRPr="00225B62">
        <w:rPr>
          <w:szCs w:val="22"/>
        </w:rPr>
        <w:t xml:space="preserve"> channels that correspond to the 600 MHz </w:t>
      </w:r>
      <w:r w:rsidR="004F0B67" w:rsidRPr="00225B62">
        <w:rPr>
          <w:szCs w:val="22"/>
        </w:rPr>
        <w:t xml:space="preserve">Band </w:t>
      </w:r>
      <w:r w:rsidRPr="00225B62">
        <w:rPr>
          <w:szCs w:val="22"/>
        </w:rPr>
        <w:t>wireless service (blocks A-G in the 617-652 MHz / 663-698 MHz band), the 600 MHz guard band, and the 600 MHz duplex gap are illustrated below.</w:t>
      </w:r>
    </w:p>
    <w:p w14:paraId="2497EE39" w14:textId="77777777" w:rsidR="00CA379B" w:rsidRPr="00225B62" w:rsidRDefault="00CA379B" w:rsidP="00CA379B">
      <w:pPr>
        <w:pStyle w:val="ParaNum"/>
        <w:numPr>
          <w:ilvl w:val="0"/>
          <w:numId w:val="0"/>
        </w:numPr>
        <w:jc w:val="center"/>
        <w:rPr>
          <w:b/>
          <w:szCs w:val="22"/>
        </w:rPr>
      </w:pPr>
      <w:r w:rsidRPr="00225B62">
        <w:rPr>
          <w:b/>
          <w:szCs w:val="22"/>
        </w:rPr>
        <w:t>Figure 1: 600 MHz Band Plan</w:t>
      </w:r>
      <w:r w:rsidRPr="00225B62">
        <w:rPr>
          <w:rStyle w:val="FootnoteReference"/>
          <w:b/>
          <w:sz w:val="22"/>
          <w:szCs w:val="22"/>
        </w:rPr>
        <w:footnoteReference w:id="70"/>
      </w:r>
    </w:p>
    <w:p w14:paraId="4A2FD49F" w14:textId="3CAC1900" w:rsidR="00CA379B" w:rsidRPr="00225B62" w:rsidRDefault="00CC52AE" w:rsidP="00CA379B">
      <w:pPr>
        <w:pStyle w:val="ParaNum"/>
        <w:numPr>
          <w:ilvl w:val="0"/>
          <w:numId w:val="0"/>
        </w:numPr>
        <w:rPr>
          <w:szCs w:val="22"/>
        </w:rPr>
      </w:pPr>
      <w:r>
        <w:rPr>
          <w:szCs w:val="22"/>
        </w:rPr>
        <w:pict w14:anchorId="04549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9.5pt">
            <v:imagedata r:id="rId14" o:title=""/>
          </v:shape>
        </w:pict>
      </w:r>
    </w:p>
    <w:p w14:paraId="21B3827A" w14:textId="4388D91C" w:rsidR="00CA379B" w:rsidRPr="00225B62" w:rsidRDefault="00EF7FAB" w:rsidP="00CA379B">
      <w:pPr>
        <w:numPr>
          <w:ilvl w:val="0"/>
          <w:numId w:val="2"/>
        </w:numPr>
        <w:tabs>
          <w:tab w:val="clear" w:pos="1080"/>
          <w:tab w:val="num" w:pos="1440"/>
        </w:tabs>
        <w:autoSpaceDE w:val="0"/>
        <w:autoSpaceDN w:val="0"/>
        <w:adjustRightInd w:val="0"/>
        <w:spacing w:after="120"/>
        <w:ind w:left="90"/>
        <w:rPr>
          <w:szCs w:val="22"/>
        </w:rPr>
      </w:pPr>
      <w:r w:rsidRPr="00225B62">
        <w:rPr>
          <w:szCs w:val="22"/>
        </w:rPr>
        <w:t>I</w:t>
      </w:r>
      <w:r w:rsidR="00792529" w:rsidRPr="00225B62">
        <w:rPr>
          <w:szCs w:val="22"/>
        </w:rPr>
        <w:t xml:space="preserve">n the </w:t>
      </w:r>
      <w:r w:rsidR="00792529" w:rsidRPr="00225B62">
        <w:rPr>
          <w:i/>
          <w:szCs w:val="22"/>
        </w:rPr>
        <w:t>Incentive Auction R&amp;O,</w:t>
      </w:r>
      <w:r w:rsidR="00792529" w:rsidRPr="00225B62">
        <w:rPr>
          <w:szCs w:val="22"/>
        </w:rPr>
        <w:t xml:space="preserve"> the Commission established a process under which LPTV/translator stations </w:t>
      </w:r>
      <w:r w:rsidR="00A60F60" w:rsidRPr="00225B62">
        <w:rPr>
          <w:szCs w:val="22"/>
        </w:rPr>
        <w:t xml:space="preserve">may continue operating </w:t>
      </w:r>
      <w:r w:rsidR="00792529" w:rsidRPr="00225B62">
        <w:rPr>
          <w:szCs w:val="22"/>
        </w:rPr>
        <w:t xml:space="preserve">on channels that were reallocated for use by 600 MHz Band wireless licensees </w:t>
      </w:r>
      <w:r w:rsidR="00A60F60" w:rsidRPr="00225B62">
        <w:rPr>
          <w:szCs w:val="22"/>
        </w:rPr>
        <w:t xml:space="preserve">unless the </w:t>
      </w:r>
      <w:r w:rsidRPr="00225B62">
        <w:rPr>
          <w:szCs w:val="22"/>
        </w:rPr>
        <w:t>stations</w:t>
      </w:r>
      <w:r w:rsidR="00A60F60" w:rsidRPr="00225B62">
        <w:rPr>
          <w:szCs w:val="22"/>
        </w:rPr>
        <w:t xml:space="preserve"> are </w:t>
      </w:r>
      <w:r w:rsidR="00792529" w:rsidRPr="00225B62">
        <w:rPr>
          <w:szCs w:val="22"/>
        </w:rPr>
        <w:t>notified</w:t>
      </w:r>
      <w:r w:rsidR="00A60F60" w:rsidRPr="00225B62">
        <w:rPr>
          <w:szCs w:val="22"/>
        </w:rPr>
        <w:t xml:space="preserve"> in advance </w:t>
      </w:r>
      <w:r w:rsidRPr="00225B62">
        <w:rPr>
          <w:szCs w:val="22"/>
        </w:rPr>
        <w:t xml:space="preserve">by a 600 MHz Band wireless licensee </w:t>
      </w:r>
      <w:r w:rsidR="00792529" w:rsidRPr="00225B62">
        <w:rPr>
          <w:szCs w:val="22"/>
        </w:rPr>
        <w:t xml:space="preserve">of </w:t>
      </w:r>
      <w:r w:rsidR="00A60F60" w:rsidRPr="00225B62">
        <w:rPr>
          <w:szCs w:val="22"/>
        </w:rPr>
        <w:t xml:space="preserve">likely interference with </w:t>
      </w:r>
      <w:r w:rsidRPr="00225B62">
        <w:rPr>
          <w:szCs w:val="22"/>
        </w:rPr>
        <w:t xml:space="preserve">its operations </w:t>
      </w:r>
      <w:r w:rsidR="00385993" w:rsidRPr="00225B62">
        <w:rPr>
          <w:szCs w:val="22"/>
        </w:rPr>
        <w:t xml:space="preserve">in areas </w:t>
      </w:r>
      <w:r w:rsidRPr="00225B62">
        <w:rPr>
          <w:szCs w:val="22"/>
        </w:rPr>
        <w:t>where it</w:t>
      </w:r>
      <w:r w:rsidR="00A60F60" w:rsidRPr="00225B62">
        <w:rPr>
          <w:szCs w:val="22"/>
        </w:rPr>
        <w:t xml:space="preserve"> </w:t>
      </w:r>
      <w:r w:rsidR="000C075F" w:rsidRPr="00225B62">
        <w:rPr>
          <w:szCs w:val="22"/>
        </w:rPr>
        <w:t xml:space="preserve">intends to </w:t>
      </w:r>
      <w:r w:rsidR="00792529" w:rsidRPr="00225B62">
        <w:rPr>
          <w:szCs w:val="22"/>
        </w:rPr>
        <w:t>commenc</w:t>
      </w:r>
      <w:r w:rsidR="000C075F" w:rsidRPr="00225B62">
        <w:rPr>
          <w:szCs w:val="22"/>
        </w:rPr>
        <w:t>e</w:t>
      </w:r>
      <w:r w:rsidR="00792529" w:rsidRPr="00225B62">
        <w:rPr>
          <w:szCs w:val="22"/>
        </w:rPr>
        <w:t xml:space="preserve"> operations.</w:t>
      </w:r>
      <w:r w:rsidR="00792529" w:rsidRPr="00225B62">
        <w:rPr>
          <w:rStyle w:val="FootnoteReference"/>
          <w:sz w:val="22"/>
          <w:szCs w:val="22"/>
        </w:rPr>
        <w:footnoteReference w:id="71"/>
      </w:r>
      <w:r w:rsidR="00792529" w:rsidRPr="00225B62">
        <w:rPr>
          <w:szCs w:val="22"/>
        </w:rPr>
        <w:t xml:space="preserve">  In addition, the Co</w:t>
      </w:r>
      <w:r w:rsidR="00A162EF" w:rsidRPr="00225B62">
        <w:rPr>
          <w:szCs w:val="22"/>
        </w:rPr>
        <w:t>mmission required that LPTV/</w:t>
      </w:r>
      <w:r w:rsidR="00792529" w:rsidRPr="00225B62">
        <w:rPr>
          <w:szCs w:val="22"/>
        </w:rPr>
        <w:t xml:space="preserve">TV translator stations must cease operations on the 600 MHz guard band and the duplex gap no later </w:t>
      </w:r>
      <w:r w:rsidR="00265D97">
        <w:rPr>
          <w:szCs w:val="22"/>
        </w:rPr>
        <w:t xml:space="preserve">than </w:t>
      </w:r>
      <w:r w:rsidR="00792529" w:rsidRPr="00225B62">
        <w:rPr>
          <w:szCs w:val="22"/>
        </w:rPr>
        <w:t>the end of the transition period.</w:t>
      </w:r>
      <w:r w:rsidRPr="00225B62">
        <w:rPr>
          <w:rStyle w:val="FootnoteReference"/>
          <w:sz w:val="22"/>
          <w:szCs w:val="22"/>
        </w:rPr>
        <w:footnoteReference w:id="72"/>
      </w:r>
      <w:r w:rsidR="00DA6EFB">
        <w:rPr>
          <w:szCs w:val="22"/>
        </w:rPr>
        <w:br/>
      </w:r>
    </w:p>
    <w:p w14:paraId="7A5C52B1" w14:textId="73FDE295" w:rsidR="00CA379B" w:rsidRPr="00225B62" w:rsidRDefault="00792529" w:rsidP="00CA379B">
      <w:pPr>
        <w:numPr>
          <w:ilvl w:val="0"/>
          <w:numId w:val="2"/>
        </w:numPr>
        <w:tabs>
          <w:tab w:val="clear" w:pos="1080"/>
          <w:tab w:val="num" w:pos="1440"/>
        </w:tabs>
        <w:autoSpaceDE w:val="0"/>
        <w:autoSpaceDN w:val="0"/>
        <w:adjustRightInd w:val="0"/>
        <w:spacing w:after="120"/>
        <w:ind w:left="90"/>
        <w:rPr>
          <w:szCs w:val="22"/>
        </w:rPr>
      </w:pPr>
      <w:r w:rsidRPr="00225B62">
        <w:rPr>
          <w:i/>
          <w:szCs w:val="22"/>
        </w:rPr>
        <w:t>Continued Operation Permitted in the 600 MHz Band for Wireless Services Until Wireless Licensees Commence Operations or Conduct FFA Testing</w:t>
      </w:r>
      <w:r w:rsidRPr="00225B62">
        <w:rPr>
          <w:szCs w:val="22"/>
        </w:rPr>
        <w:t xml:space="preserve">.  </w:t>
      </w:r>
      <w:r w:rsidR="00A60F60" w:rsidRPr="00225B62">
        <w:rPr>
          <w:szCs w:val="22"/>
        </w:rPr>
        <w:t xml:space="preserve">Subject to the advance notification requirements below, </w:t>
      </w:r>
      <w:r w:rsidRPr="00225B62">
        <w:rPr>
          <w:szCs w:val="22"/>
        </w:rPr>
        <w:t xml:space="preserve">LPTV/translator stations on channels that overlap with the 600 MHz </w:t>
      </w:r>
      <w:r w:rsidR="00A60F60" w:rsidRPr="00225B62">
        <w:rPr>
          <w:szCs w:val="22"/>
        </w:rPr>
        <w:t>B</w:t>
      </w:r>
      <w:r w:rsidRPr="00225B62">
        <w:rPr>
          <w:szCs w:val="22"/>
        </w:rPr>
        <w:t xml:space="preserve">and (617-652 MHz / 663-698 MHz) may continue operating until a 600 MHz </w:t>
      </w:r>
      <w:r w:rsidR="000C075F" w:rsidRPr="00225B62">
        <w:rPr>
          <w:szCs w:val="22"/>
        </w:rPr>
        <w:t xml:space="preserve">Band </w:t>
      </w:r>
      <w:r w:rsidRPr="00225B62">
        <w:rPr>
          <w:szCs w:val="22"/>
        </w:rPr>
        <w:t xml:space="preserve">wireless licensee commences operations (as defined below) or conducts FFA testing in </w:t>
      </w:r>
      <w:r w:rsidR="00AF4006" w:rsidRPr="00225B62">
        <w:rPr>
          <w:szCs w:val="22"/>
        </w:rPr>
        <w:t xml:space="preserve">an </w:t>
      </w:r>
      <w:r w:rsidRPr="00225B62">
        <w:rPr>
          <w:szCs w:val="22"/>
        </w:rPr>
        <w:t xml:space="preserve">area where </w:t>
      </w:r>
      <w:r w:rsidR="00AF4006" w:rsidRPr="00225B62">
        <w:rPr>
          <w:szCs w:val="22"/>
        </w:rPr>
        <w:t xml:space="preserve">a </w:t>
      </w:r>
      <w:r w:rsidRPr="00225B62">
        <w:rPr>
          <w:szCs w:val="22"/>
        </w:rPr>
        <w:t>station operate</w:t>
      </w:r>
      <w:r w:rsidR="00AF4006" w:rsidRPr="00225B62">
        <w:rPr>
          <w:szCs w:val="22"/>
        </w:rPr>
        <w:t>s</w:t>
      </w:r>
      <w:r w:rsidRPr="00225B62">
        <w:rPr>
          <w:szCs w:val="22"/>
        </w:rPr>
        <w:t>.</w:t>
      </w:r>
      <w:r w:rsidRPr="00225B62">
        <w:rPr>
          <w:rStyle w:val="FootnoteReference"/>
          <w:sz w:val="22"/>
          <w:szCs w:val="22"/>
        </w:rPr>
        <w:footnoteReference w:id="73"/>
      </w:r>
      <w:r w:rsidRPr="00225B62">
        <w:rPr>
          <w:szCs w:val="22"/>
        </w:rPr>
        <w:t xml:space="preserve">  As illustrated above, the 600 MHz Band for wireless services overlap</w:t>
      </w:r>
      <w:r w:rsidR="00265D97">
        <w:rPr>
          <w:szCs w:val="22"/>
        </w:rPr>
        <w:t>s</w:t>
      </w:r>
      <w:r w:rsidRPr="00225B62">
        <w:rPr>
          <w:szCs w:val="22"/>
        </w:rPr>
        <w:t xml:space="preserve"> wit</w:t>
      </w:r>
      <w:r w:rsidR="00A162EF" w:rsidRPr="00225B62">
        <w:rPr>
          <w:szCs w:val="22"/>
        </w:rPr>
        <w:t>h frequencies associated with television</w:t>
      </w:r>
      <w:r w:rsidRPr="00225B62">
        <w:rPr>
          <w:szCs w:val="22"/>
        </w:rPr>
        <w:t xml:space="preserve"> channels 38-51, except channel 45.</w:t>
      </w:r>
      <w:r w:rsidRPr="00225B62">
        <w:rPr>
          <w:rStyle w:val="FootnoteReference"/>
          <w:sz w:val="22"/>
          <w:szCs w:val="22"/>
        </w:rPr>
        <w:footnoteReference w:id="74"/>
      </w:r>
      <w:r w:rsidRPr="00225B62">
        <w:rPr>
          <w:szCs w:val="22"/>
        </w:rPr>
        <w:t xml:space="preserve">  The obligation to cease operations </w:t>
      </w:r>
      <w:r w:rsidR="00A60F60" w:rsidRPr="00225B62">
        <w:rPr>
          <w:szCs w:val="22"/>
        </w:rPr>
        <w:t xml:space="preserve">or eliminate the likelihood of harmful interference </w:t>
      </w:r>
      <w:r w:rsidRPr="00225B62">
        <w:rPr>
          <w:szCs w:val="22"/>
        </w:rPr>
        <w:t xml:space="preserve">will apply even if the LPTV/translator station has </w:t>
      </w:r>
      <w:r w:rsidR="0095461C" w:rsidRPr="00225B62">
        <w:rPr>
          <w:szCs w:val="22"/>
        </w:rPr>
        <w:t xml:space="preserve">yet to receive a </w:t>
      </w:r>
      <w:r w:rsidRPr="00225B62">
        <w:rPr>
          <w:szCs w:val="22"/>
        </w:rPr>
        <w:t xml:space="preserve">displacement </w:t>
      </w:r>
      <w:r w:rsidR="0095461C" w:rsidRPr="00225B62">
        <w:rPr>
          <w:szCs w:val="22"/>
        </w:rPr>
        <w:t>construction permit</w:t>
      </w:r>
      <w:r w:rsidRPr="00225B62">
        <w:rPr>
          <w:szCs w:val="22"/>
        </w:rPr>
        <w:t>.</w:t>
      </w:r>
      <w:r w:rsidRPr="00225B62">
        <w:rPr>
          <w:rStyle w:val="FootnoteReference"/>
          <w:sz w:val="22"/>
          <w:szCs w:val="22"/>
        </w:rPr>
        <w:footnoteReference w:id="75"/>
      </w:r>
      <w:r w:rsidRPr="00225B62">
        <w:rPr>
          <w:szCs w:val="22"/>
        </w:rPr>
        <w:t xml:space="preserve">  To the extent that a 600 MHz wireless licensee commences operations or conduct</w:t>
      </w:r>
      <w:r w:rsidR="00A60F60" w:rsidRPr="00225B62">
        <w:rPr>
          <w:szCs w:val="22"/>
        </w:rPr>
        <w:t>s</w:t>
      </w:r>
      <w:r w:rsidRPr="00225B62">
        <w:rPr>
          <w:szCs w:val="22"/>
        </w:rPr>
        <w:t xml:space="preserve"> FFA testing in an area of its geographic license where harmful interference from LPTV/translator stations would not be</w:t>
      </w:r>
      <w:r w:rsidR="0095461C" w:rsidRPr="00225B62">
        <w:rPr>
          <w:szCs w:val="22"/>
        </w:rPr>
        <w:t xml:space="preserve"> likely, these stations may continue to operate</w:t>
      </w:r>
      <w:r w:rsidRPr="00225B62">
        <w:rPr>
          <w:szCs w:val="22"/>
        </w:rPr>
        <w:t>.</w:t>
      </w:r>
      <w:r w:rsidRPr="00225B62">
        <w:rPr>
          <w:rStyle w:val="FootnoteReference"/>
          <w:sz w:val="22"/>
          <w:szCs w:val="22"/>
        </w:rPr>
        <w:footnoteReference w:id="76"/>
      </w:r>
    </w:p>
    <w:p w14:paraId="5B582D00" w14:textId="7E3797B1" w:rsidR="00CA379B" w:rsidRPr="00225B62" w:rsidRDefault="00994645" w:rsidP="00CA379B">
      <w:pPr>
        <w:numPr>
          <w:ilvl w:val="0"/>
          <w:numId w:val="2"/>
        </w:numPr>
        <w:tabs>
          <w:tab w:val="clear" w:pos="1080"/>
          <w:tab w:val="num" w:pos="1440"/>
        </w:tabs>
        <w:autoSpaceDE w:val="0"/>
        <w:autoSpaceDN w:val="0"/>
        <w:adjustRightInd w:val="0"/>
        <w:spacing w:after="120"/>
        <w:ind w:left="90"/>
        <w:rPr>
          <w:szCs w:val="22"/>
        </w:rPr>
      </w:pPr>
      <w:r w:rsidRPr="00225B62">
        <w:rPr>
          <w:szCs w:val="22"/>
        </w:rPr>
        <w:t xml:space="preserve">As discussed in the </w:t>
      </w:r>
      <w:r w:rsidR="00792529" w:rsidRPr="00225B62">
        <w:rPr>
          <w:i/>
          <w:szCs w:val="22"/>
        </w:rPr>
        <w:t xml:space="preserve">Commencing </w:t>
      </w:r>
      <w:r w:rsidRPr="00225B62">
        <w:rPr>
          <w:i/>
          <w:szCs w:val="22"/>
        </w:rPr>
        <w:t>Operations R&amp;O</w:t>
      </w:r>
      <w:r w:rsidRPr="00225B62">
        <w:rPr>
          <w:szCs w:val="22"/>
        </w:rPr>
        <w:t xml:space="preserve">, </w:t>
      </w:r>
      <w:r w:rsidR="00792529" w:rsidRPr="00225B62">
        <w:rPr>
          <w:szCs w:val="22"/>
        </w:rPr>
        <w:t>“</w:t>
      </w:r>
      <w:r w:rsidRPr="00225B62">
        <w:rPr>
          <w:szCs w:val="22"/>
        </w:rPr>
        <w:t>c</w:t>
      </w:r>
      <w:r w:rsidR="00792529" w:rsidRPr="00225B62">
        <w:rPr>
          <w:szCs w:val="22"/>
        </w:rPr>
        <w:t>ommencing operations” is defined as the time when a 600 MHz Band wireless licensee conducts site commissioning tests.</w:t>
      </w:r>
      <w:r w:rsidR="00792529" w:rsidRPr="00225B62">
        <w:rPr>
          <w:rStyle w:val="FootnoteReference"/>
          <w:sz w:val="22"/>
          <w:szCs w:val="22"/>
        </w:rPr>
        <w:footnoteReference w:id="77"/>
      </w:r>
      <w:r w:rsidR="00792529" w:rsidRPr="00225B62">
        <w:rPr>
          <w:szCs w:val="22"/>
        </w:rPr>
        <w:t xml:space="preserve">  In this context, “site commissioning tests” include site activation and commissioning tests using permanent base station equipment, antennas and/or tower locations as part of </w:t>
      </w:r>
      <w:r w:rsidR="00A24255" w:rsidRPr="00225B62">
        <w:rPr>
          <w:szCs w:val="22"/>
        </w:rPr>
        <w:t>wireless licensee’s</w:t>
      </w:r>
      <w:r w:rsidR="00792529" w:rsidRPr="00225B62">
        <w:rPr>
          <w:szCs w:val="22"/>
        </w:rPr>
        <w:t xml:space="preserve"> site and system optimization in the area of its planned commercial service infrastructure deployment.</w:t>
      </w:r>
      <w:r w:rsidR="00792529" w:rsidRPr="00225B62">
        <w:rPr>
          <w:rStyle w:val="FootnoteReference"/>
          <w:sz w:val="22"/>
          <w:szCs w:val="22"/>
        </w:rPr>
        <w:footnoteReference w:id="78"/>
      </w:r>
      <w:r w:rsidR="00792529" w:rsidRPr="00225B62">
        <w:rPr>
          <w:szCs w:val="22"/>
        </w:rPr>
        <w:t xml:space="preserve">  The Commission provided for a limited exception to permit 600 MHz Band wireless licensees to undertake FFA testing (which occurs prior to site commissioning tests) on their licensed 600 MHz Band frequencies in limited areas, free from potential interference from secondary and unlicensed users, because such testing will speed deployment of the 600 MHz Band.</w:t>
      </w:r>
      <w:r w:rsidR="00792529" w:rsidRPr="00225B62">
        <w:rPr>
          <w:rStyle w:val="FootnoteReference"/>
          <w:sz w:val="22"/>
          <w:szCs w:val="22"/>
        </w:rPr>
        <w:footnoteReference w:id="79"/>
      </w:r>
    </w:p>
    <w:p w14:paraId="0E0ADB14" w14:textId="77777777" w:rsidR="00CA379B" w:rsidRPr="00225B62" w:rsidRDefault="00792529" w:rsidP="00CA379B">
      <w:pPr>
        <w:numPr>
          <w:ilvl w:val="0"/>
          <w:numId w:val="2"/>
        </w:numPr>
        <w:tabs>
          <w:tab w:val="clear" w:pos="1080"/>
          <w:tab w:val="num" w:pos="1440"/>
        </w:tabs>
        <w:autoSpaceDE w:val="0"/>
        <w:autoSpaceDN w:val="0"/>
        <w:adjustRightInd w:val="0"/>
        <w:spacing w:after="120"/>
        <w:ind w:left="90"/>
        <w:rPr>
          <w:szCs w:val="22"/>
        </w:rPr>
      </w:pPr>
      <w:r w:rsidRPr="00225B62">
        <w:rPr>
          <w:szCs w:val="22"/>
        </w:rPr>
        <w:t>The 600 MHz wireless licensee</w:t>
      </w:r>
      <w:r w:rsidR="00A162EF" w:rsidRPr="00225B62">
        <w:rPr>
          <w:szCs w:val="22"/>
        </w:rPr>
        <w:t xml:space="preserve"> must provide notice</w:t>
      </w:r>
      <w:r w:rsidRPr="00225B62">
        <w:rPr>
          <w:szCs w:val="22"/>
        </w:rPr>
        <w:t xml:space="preserve"> </w:t>
      </w:r>
      <w:r w:rsidR="00A162EF" w:rsidRPr="00225B62">
        <w:rPr>
          <w:szCs w:val="22"/>
        </w:rPr>
        <w:t xml:space="preserve">to the LPTV/translator station </w:t>
      </w:r>
      <w:r w:rsidRPr="00225B62">
        <w:rPr>
          <w:szCs w:val="22"/>
        </w:rPr>
        <w:t>of its intent to commence operations and the likelihood of receiving harmful inter</w:t>
      </w:r>
      <w:r w:rsidR="00A162EF" w:rsidRPr="00225B62">
        <w:rPr>
          <w:szCs w:val="22"/>
        </w:rPr>
        <w:t>ference from the</w:t>
      </w:r>
      <w:r w:rsidRPr="00225B62">
        <w:rPr>
          <w:szCs w:val="22"/>
        </w:rPr>
        <w:t xml:space="preserve"> station in the form of a letter, by certified mail, return receipt requested.</w:t>
      </w:r>
      <w:r w:rsidRPr="00225B62">
        <w:rPr>
          <w:szCs w:val="22"/>
          <w:vertAlign w:val="superscript"/>
        </w:rPr>
        <w:footnoteReference w:id="80"/>
      </w:r>
      <w:r w:rsidRPr="00225B62">
        <w:rPr>
          <w:szCs w:val="22"/>
        </w:rPr>
        <w:t xml:space="preserve">  The notice must indicate the date that the 600 MHz Band licensee intends to commence operations or conduct FFA testing, and must be delivered to the LPTV</w:t>
      </w:r>
      <w:r w:rsidR="00A162EF" w:rsidRPr="00225B62">
        <w:rPr>
          <w:szCs w:val="22"/>
        </w:rPr>
        <w:t>/translator</w:t>
      </w:r>
      <w:r w:rsidRPr="00225B62">
        <w:rPr>
          <w:szCs w:val="22"/>
        </w:rPr>
        <w:t xml:space="preserve"> station not less than 120 days in advance of that date.</w:t>
      </w:r>
      <w:r w:rsidRPr="00225B62">
        <w:rPr>
          <w:rStyle w:val="FootnoteReference"/>
          <w:sz w:val="22"/>
          <w:szCs w:val="22"/>
        </w:rPr>
        <w:footnoteReference w:id="81"/>
      </w:r>
    </w:p>
    <w:p w14:paraId="09E436AF" w14:textId="7679F725" w:rsidR="00792529" w:rsidRPr="00225B62" w:rsidRDefault="00792529" w:rsidP="00CA379B">
      <w:pPr>
        <w:numPr>
          <w:ilvl w:val="0"/>
          <w:numId w:val="2"/>
        </w:numPr>
        <w:tabs>
          <w:tab w:val="clear" w:pos="1080"/>
          <w:tab w:val="num" w:pos="1440"/>
        </w:tabs>
        <w:autoSpaceDE w:val="0"/>
        <w:autoSpaceDN w:val="0"/>
        <w:adjustRightInd w:val="0"/>
        <w:spacing w:after="120"/>
        <w:ind w:left="90"/>
        <w:rPr>
          <w:szCs w:val="22"/>
        </w:rPr>
      </w:pPr>
      <w:r w:rsidRPr="00225B62">
        <w:rPr>
          <w:i/>
          <w:szCs w:val="22"/>
        </w:rPr>
        <w:t xml:space="preserve">Operations in the 600 MHz Guard Band and Duplex Gap.  </w:t>
      </w:r>
      <w:r w:rsidR="00A162EF" w:rsidRPr="00225B62">
        <w:rPr>
          <w:szCs w:val="22"/>
        </w:rPr>
        <w:t>LPTV/</w:t>
      </w:r>
      <w:r w:rsidRPr="00225B62">
        <w:rPr>
          <w:szCs w:val="22"/>
        </w:rPr>
        <w:t xml:space="preserve">TV translator stations must cease operations on the 600 MHz guard band (614-617 MHz) and the </w:t>
      </w:r>
      <w:r w:rsidR="00994645" w:rsidRPr="00225B62">
        <w:rPr>
          <w:szCs w:val="22"/>
        </w:rPr>
        <w:t xml:space="preserve">600 MHz </w:t>
      </w:r>
      <w:r w:rsidRPr="00225B62">
        <w:rPr>
          <w:szCs w:val="22"/>
        </w:rPr>
        <w:t>duplex gap (652-663 MHz) no later the end of the transition period (July 13, 2020).</w:t>
      </w:r>
      <w:r w:rsidRPr="00225B62">
        <w:rPr>
          <w:rStyle w:val="FootnoteReference"/>
          <w:sz w:val="22"/>
          <w:szCs w:val="22"/>
        </w:rPr>
        <w:footnoteReference w:id="82"/>
      </w:r>
      <w:r w:rsidRPr="00225B62">
        <w:rPr>
          <w:szCs w:val="22"/>
        </w:rPr>
        <w:t xml:space="preserve">  The </w:t>
      </w:r>
      <w:r w:rsidR="00994645" w:rsidRPr="00225B62">
        <w:rPr>
          <w:szCs w:val="22"/>
        </w:rPr>
        <w:t xml:space="preserve">600 MHz </w:t>
      </w:r>
      <w:r w:rsidRPr="00225B62">
        <w:rPr>
          <w:szCs w:val="22"/>
        </w:rPr>
        <w:t xml:space="preserve">guard band at 614-617 MHz band overlaps with </w:t>
      </w:r>
      <w:r w:rsidR="00A162EF" w:rsidRPr="00225B62">
        <w:rPr>
          <w:szCs w:val="22"/>
        </w:rPr>
        <w:t>a portion of television</w:t>
      </w:r>
      <w:r w:rsidRPr="00225B62">
        <w:rPr>
          <w:szCs w:val="22"/>
        </w:rPr>
        <w:t xml:space="preserve"> channel 38, and the </w:t>
      </w:r>
      <w:r w:rsidR="00994645" w:rsidRPr="00225B62">
        <w:rPr>
          <w:szCs w:val="22"/>
        </w:rPr>
        <w:t xml:space="preserve">600 MHz </w:t>
      </w:r>
      <w:r w:rsidRPr="00225B62">
        <w:rPr>
          <w:szCs w:val="22"/>
        </w:rPr>
        <w:t xml:space="preserve">duplex gap at 652-663 MHz overlaps with </w:t>
      </w:r>
      <w:r w:rsidR="00A162EF" w:rsidRPr="00225B62">
        <w:rPr>
          <w:szCs w:val="22"/>
        </w:rPr>
        <w:t>all of television</w:t>
      </w:r>
      <w:r w:rsidRPr="00225B62">
        <w:rPr>
          <w:szCs w:val="22"/>
        </w:rPr>
        <w:t xml:space="preserve"> channel 45 and portions of channels 44 and 46. </w:t>
      </w:r>
      <w:r w:rsidRPr="00225B62">
        <w:rPr>
          <w:i/>
          <w:szCs w:val="22"/>
        </w:rPr>
        <w:t xml:space="preserve"> </w:t>
      </w:r>
      <w:r w:rsidRPr="00225B62">
        <w:rPr>
          <w:szCs w:val="22"/>
        </w:rPr>
        <w:t xml:space="preserve">LPTV/TV translator stations may need to cease operations on these channels earlier than the end of the transition period to the extent that the station operations on specific frequencies associated with these channels are likely to cause harmful interference to 600 MHz </w:t>
      </w:r>
      <w:r w:rsidR="000C075F" w:rsidRPr="00225B62">
        <w:rPr>
          <w:szCs w:val="22"/>
        </w:rPr>
        <w:t xml:space="preserve">Band </w:t>
      </w:r>
      <w:r w:rsidRPr="00225B62">
        <w:rPr>
          <w:szCs w:val="22"/>
        </w:rPr>
        <w:t>wireless licensees that commence operations or conduct FFA testing</w:t>
      </w:r>
      <w:r w:rsidR="00A60F60" w:rsidRPr="00225B62">
        <w:rPr>
          <w:szCs w:val="22"/>
        </w:rPr>
        <w:t xml:space="preserve">, subject to the advance notification requirements </w:t>
      </w:r>
      <w:r w:rsidR="00840760" w:rsidRPr="00225B62">
        <w:rPr>
          <w:szCs w:val="22"/>
        </w:rPr>
        <w:t>summarized above</w:t>
      </w:r>
      <w:r w:rsidRPr="00225B62">
        <w:rPr>
          <w:szCs w:val="22"/>
        </w:rPr>
        <w:t xml:space="preserve">. </w:t>
      </w:r>
    </w:p>
    <w:p w14:paraId="13128CB4" w14:textId="77777777" w:rsidR="006D322F" w:rsidRPr="00225B62" w:rsidRDefault="006D322F" w:rsidP="00567F0B">
      <w:pPr>
        <w:pStyle w:val="Heading2"/>
        <w:rPr>
          <w:szCs w:val="22"/>
        </w:rPr>
      </w:pPr>
      <w:bookmarkStart w:id="13" w:name="_Toc477506815"/>
      <w:r w:rsidRPr="00225B62">
        <w:rPr>
          <w:szCs w:val="22"/>
        </w:rPr>
        <w:t xml:space="preserve">Stations on </w:t>
      </w:r>
      <w:r w:rsidR="003F6B92" w:rsidRPr="00225B62">
        <w:rPr>
          <w:szCs w:val="22"/>
        </w:rPr>
        <w:t>Channels 2-36</w:t>
      </w:r>
      <w:bookmarkEnd w:id="13"/>
    </w:p>
    <w:p w14:paraId="49AC808D" w14:textId="702E8AA2" w:rsidR="00B22690" w:rsidRPr="00225B62" w:rsidRDefault="00D80960" w:rsidP="007D298D">
      <w:pPr>
        <w:numPr>
          <w:ilvl w:val="0"/>
          <w:numId w:val="2"/>
        </w:numPr>
        <w:tabs>
          <w:tab w:val="clear" w:pos="1080"/>
        </w:tabs>
        <w:spacing w:after="120"/>
        <w:rPr>
          <w:szCs w:val="22"/>
        </w:rPr>
      </w:pPr>
      <w:r w:rsidRPr="00225B62">
        <w:rPr>
          <w:szCs w:val="22"/>
        </w:rPr>
        <w:t>LPTV/translator stations</w:t>
      </w:r>
      <w:r w:rsidR="005C04F5" w:rsidRPr="00225B62">
        <w:rPr>
          <w:szCs w:val="22"/>
        </w:rPr>
        <w:t xml:space="preserve"> </w:t>
      </w:r>
      <w:r w:rsidR="00045F3E" w:rsidRPr="00225B62">
        <w:rPr>
          <w:szCs w:val="22"/>
        </w:rPr>
        <w:t xml:space="preserve">on channels 2-36 </w:t>
      </w:r>
      <w:r w:rsidR="005C04F5" w:rsidRPr="00225B62">
        <w:rPr>
          <w:szCs w:val="22"/>
        </w:rPr>
        <w:t>displaced by full power and Class A television stations</w:t>
      </w:r>
      <w:r w:rsidR="001358BE" w:rsidRPr="00225B62">
        <w:rPr>
          <w:szCs w:val="22"/>
        </w:rPr>
        <w:t xml:space="preserve"> as a result of the incentive auction and repacking process</w:t>
      </w:r>
      <w:r w:rsidR="005C04F5" w:rsidRPr="00225B62">
        <w:rPr>
          <w:szCs w:val="22"/>
        </w:rPr>
        <w:t xml:space="preserve"> must </w:t>
      </w:r>
      <w:r w:rsidR="00840760" w:rsidRPr="00225B62">
        <w:rPr>
          <w:szCs w:val="22"/>
        </w:rPr>
        <w:t>eliminate the</w:t>
      </w:r>
      <w:r w:rsidR="0095461C" w:rsidRPr="00225B62">
        <w:rPr>
          <w:szCs w:val="22"/>
        </w:rPr>
        <w:t xml:space="preserve"> actual</w:t>
      </w:r>
      <w:r w:rsidR="00D02BC0" w:rsidRPr="00225B62">
        <w:rPr>
          <w:szCs w:val="22"/>
        </w:rPr>
        <w:t xml:space="preserve"> or </w:t>
      </w:r>
      <w:r w:rsidR="00840760" w:rsidRPr="00225B62">
        <w:rPr>
          <w:szCs w:val="22"/>
        </w:rPr>
        <w:t xml:space="preserve">predicted harmful interference or </w:t>
      </w:r>
      <w:r w:rsidR="005C04F5" w:rsidRPr="00225B62">
        <w:rPr>
          <w:szCs w:val="22"/>
        </w:rPr>
        <w:t xml:space="preserve">discontinue operations </w:t>
      </w:r>
      <w:r w:rsidR="0095461C" w:rsidRPr="00225B62">
        <w:rPr>
          <w:szCs w:val="22"/>
        </w:rPr>
        <w:t xml:space="preserve">upon initiation of service by </w:t>
      </w:r>
      <w:r w:rsidR="005C04F5" w:rsidRPr="00225B62">
        <w:rPr>
          <w:szCs w:val="22"/>
        </w:rPr>
        <w:t xml:space="preserve">the displacing full power or Class A </w:t>
      </w:r>
      <w:r w:rsidR="00A162EF" w:rsidRPr="00225B62">
        <w:rPr>
          <w:szCs w:val="22"/>
        </w:rPr>
        <w:t xml:space="preserve">television </w:t>
      </w:r>
      <w:r w:rsidR="005C04F5" w:rsidRPr="00225B62">
        <w:rPr>
          <w:szCs w:val="22"/>
        </w:rPr>
        <w:t>station on its new c</w:t>
      </w:r>
      <w:r w:rsidR="00045F3E" w:rsidRPr="00225B62">
        <w:rPr>
          <w:szCs w:val="22"/>
        </w:rPr>
        <w:t>hannel.</w:t>
      </w:r>
      <w:r w:rsidR="00E172D9" w:rsidRPr="00225B62">
        <w:rPr>
          <w:rStyle w:val="FootnoteReference"/>
          <w:sz w:val="22"/>
          <w:szCs w:val="22"/>
        </w:rPr>
        <w:footnoteReference w:id="83"/>
      </w:r>
      <w:r w:rsidR="005C04F5" w:rsidRPr="00225B62">
        <w:rPr>
          <w:szCs w:val="22"/>
        </w:rPr>
        <w:t xml:space="preserve">  </w:t>
      </w:r>
    </w:p>
    <w:p w14:paraId="5A5C9194" w14:textId="77777777" w:rsidR="00ED7B74" w:rsidRPr="00225B62" w:rsidRDefault="00ED7B74" w:rsidP="00ED7B74">
      <w:pPr>
        <w:pStyle w:val="Heading1"/>
        <w:rPr>
          <w:rFonts w:ascii="Times New Roman" w:hAnsi="Times New Roman"/>
          <w:szCs w:val="22"/>
        </w:rPr>
      </w:pPr>
      <w:r w:rsidRPr="00225B62">
        <w:rPr>
          <w:rFonts w:ascii="Times New Roman" w:hAnsi="Times New Roman"/>
          <w:szCs w:val="22"/>
        </w:rPr>
        <w:t xml:space="preserve">CHANNEL SHARING </w:t>
      </w:r>
    </w:p>
    <w:p w14:paraId="23B383B2" w14:textId="026E7874" w:rsidR="00876586" w:rsidRPr="00225B62" w:rsidRDefault="00D212BC" w:rsidP="00707B6E">
      <w:pPr>
        <w:numPr>
          <w:ilvl w:val="0"/>
          <w:numId w:val="2"/>
        </w:numPr>
        <w:tabs>
          <w:tab w:val="clear" w:pos="1080"/>
          <w:tab w:val="num" w:pos="1440"/>
        </w:tabs>
        <w:spacing w:after="120"/>
        <w:rPr>
          <w:szCs w:val="22"/>
        </w:rPr>
      </w:pPr>
      <w:r w:rsidRPr="00225B62">
        <w:rPr>
          <w:szCs w:val="22"/>
        </w:rPr>
        <w:t xml:space="preserve">In the </w:t>
      </w:r>
      <w:r w:rsidRPr="00225B62">
        <w:rPr>
          <w:i/>
          <w:szCs w:val="22"/>
        </w:rPr>
        <w:t>LPTV DTV Third R&amp;O</w:t>
      </w:r>
      <w:r w:rsidRPr="00225B62">
        <w:rPr>
          <w:szCs w:val="22"/>
        </w:rPr>
        <w:t xml:space="preserve">, the Commission adopted rules to permit </w:t>
      </w:r>
      <w:r w:rsidR="00892559" w:rsidRPr="00225B62">
        <w:rPr>
          <w:szCs w:val="22"/>
        </w:rPr>
        <w:t>c</w:t>
      </w:r>
      <w:r w:rsidR="00BD3A1B" w:rsidRPr="00225B62">
        <w:rPr>
          <w:szCs w:val="22"/>
        </w:rPr>
        <w:t>hannel shar</w:t>
      </w:r>
      <w:r w:rsidR="00FB0E4B" w:rsidRPr="00225B62">
        <w:rPr>
          <w:szCs w:val="22"/>
        </w:rPr>
        <w:t>ing</w:t>
      </w:r>
      <w:r w:rsidR="00A70586" w:rsidRPr="00225B62">
        <w:rPr>
          <w:szCs w:val="22"/>
        </w:rPr>
        <w:t xml:space="preserve"> </w:t>
      </w:r>
      <w:r w:rsidR="00BD3A1B" w:rsidRPr="00225B62">
        <w:rPr>
          <w:szCs w:val="22"/>
        </w:rPr>
        <w:t xml:space="preserve">between </w:t>
      </w:r>
      <w:r w:rsidR="005262F1" w:rsidRPr="00225B62">
        <w:rPr>
          <w:szCs w:val="22"/>
        </w:rPr>
        <w:t>LPTV and TV translator stations</w:t>
      </w:r>
      <w:r w:rsidRPr="00225B62">
        <w:rPr>
          <w:szCs w:val="22"/>
        </w:rPr>
        <w:t>.</w:t>
      </w:r>
      <w:r w:rsidRPr="00225B62">
        <w:rPr>
          <w:rStyle w:val="FootnoteReference"/>
          <w:sz w:val="22"/>
          <w:szCs w:val="22"/>
        </w:rPr>
        <w:footnoteReference w:id="84"/>
      </w:r>
      <w:r w:rsidR="00235CFA" w:rsidRPr="00225B62">
        <w:rPr>
          <w:szCs w:val="22"/>
        </w:rPr>
        <w:t xml:space="preserve">  </w:t>
      </w:r>
      <w:r w:rsidR="007013CC" w:rsidRPr="00225B62">
        <w:rPr>
          <w:szCs w:val="22"/>
        </w:rPr>
        <w:t xml:space="preserve">In the event </w:t>
      </w:r>
      <w:r w:rsidR="00A44226" w:rsidRPr="00225B62">
        <w:rPr>
          <w:szCs w:val="22"/>
        </w:rPr>
        <w:t xml:space="preserve">that the incentive auction </w:t>
      </w:r>
      <w:r w:rsidR="00066353" w:rsidRPr="00225B62">
        <w:rPr>
          <w:szCs w:val="22"/>
        </w:rPr>
        <w:t xml:space="preserve">and </w:t>
      </w:r>
      <w:r w:rsidR="00A44226" w:rsidRPr="00225B62">
        <w:rPr>
          <w:szCs w:val="22"/>
        </w:rPr>
        <w:t xml:space="preserve">repacking process </w:t>
      </w:r>
      <w:r w:rsidR="00066353" w:rsidRPr="00225B62">
        <w:rPr>
          <w:szCs w:val="22"/>
        </w:rPr>
        <w:t xml:space="preserve">causes </w:t>
      </w:r>
      <w:r w:rsidR="00A44226" w:rsidRPr="00225B62">
        <w:rPr>
          <w:szCs w:val="22"/>
        </w:rPr>
        <w:t>either (</w:t>
      </w:r>
      <w:r w:rsidR="0070044C" w:rsidRPr="00225B62">
        <w:rPr>
          <w:szCs w:val="22"/>
        </w:rPr>
        <w:t>1</w:t>
      </w:r>
      <w:r w:rsidR="00A44226" w:rsidRPr="00225B62">
        <w:rPr>
          <w:szCs w:val="22"/>
        </w:rPr>
        <w:t xml:space="preserve">) </w:t>
      </w:r>
      <w:r w:rsidR="007013CC" w:rsidRPr="00225B62">
        <w:rPr>
          <w:szCs w:val="22"/>
        </w:rPr>
        <w:t>the shar</w:t>
      </w:r>
      <w:r w:rsidR="00557BDD" w:rsidRPr="00225B62">
        <w:rPr>
          <w:szCs w:val="22"/>
        </w:rPr>
        <w:t xml:space="preserve">er station </w:t>
      </w:r>
      <w:r w:rsidR="00066353" w:rsidRPr="00225B62">
        <w:rPr>
          <w:szCs w:val="22"/>
        </w:rPr>
        <w:t>to be</w:t>
      </w:r>
      <w:r w:rsidR="00A44226" w:rsidRPr="00225B62">
        <w:rPr>
          <w:szCs w:val="22"/>
        </w:rPr>
        <w:t xml:space="preserve"> </w:t>
      </w:r>
      <w:r w:rsidR="00840760" w:rsidRPr="00225B62">
        <w:rPr>
          <w:szCs w:val="22"/>
        </w:rPr>
        <w:t xml:space="preserve">subject to displacement </w:t>
      </w:r>
      <w:r w:rsidR="00A44226" w:rsidRPr="00225B62">
        <w:rPr>
          <w:szCs w:val="22"/>
        </w:rPr>
        <w:t>or (</w:t>
      </w:r>
      <w:r w:rsidR="0070044C" w:rsidRPr="00225B62">
        <w:rPr>
          <w:szCs w:val="22"/>
        </w:rPr>
        <w:t>2</w:t>
      </w:r>
      <w:r w:rsidR="00A44226" w:rsidRPr="00225B62">
        <w:rPr>
          <w:szCs w:val="22"/>
        </w:rPr>
        <w:t>) both the sharer and the share</w:t>
      </w:r>
      <w:r w:rsidR="00557BDD" w:rsidRPr="00225B62">
        <w:rPr>
          <w:szCs w:val="22"/>
        </w:rPr>
        <w:t>e</w:t>
      </w:r>
      <w:r w:rsidR="009F1C86" w:rsidRPr="00225B62">
        <w:rPr>
          <w:rStyle w:val="FootnoteReference"/>
          <w:sz w:val="22"/>
          <w:szCs w:val="22"/>
        </w:rPr>
        <w:footnoteReference w:id="85"/>
      </w:r>
      <w:r w:rsidR="00A44226" w:rsidRPr="00225B62">
        <w:rPr>
          <w:szCs w:val="22"/>
        </w:rPr>
        <w:t xml:space="preserve"> stations </w:t>
      </w:r>
      <w:r w:rsidR="004538F9" w:rsidRPr="00225B62">
        <w:rPr>
          <w:szCs w:val="22"/>
        </w:rPr>
        <w:t>t</w:t>
      </w:r>
      <w:r w:rsidR="00066353" w:rsidRPr="00225B62">
        <w:rPr>
          <w:szCs w:val="22"/>
        </w:rPr>
        <w:t>o be</w:t>
      </w:r>
      <w:r w:rsidR="007013CC" w:rsidRPr="00225B62">
        <w:rPr>
          <w:szCs w:val="22"/>
        </w:rPr>
        <w:t xml:space="preserve"> </w:t>
      </w:r>
      <w:r w:rsidR="00840760" w:rsidRPr="00225B62">
        <w:rPr>
          <w:szCs w:val="22"/>
        </w:rPr>
        <w:t>subject to displacement</w:t>
      </w:r>
      <w:r w:rsidR="007013CC" w:rsidRPr="00225B62">
        <w:rPr>
          <w:szCs w:val="22"/>
        </w:rPr>
        <w:t xml:space="preserve">, </w:t>
      </w:r>
      <w:r w:rsidR="00D80960" w:rsidRPr="00225B62">
        <w:rPr>
          <w:szCs w:val="22"/>
        </w:rPr>
        <w:t>the applicable</w:t>
      </w:r>
      <w:r w:rsidR="007013CC" w:rsidRPr="00225B62">
        <w:rPr>
          <w:szCs w:val="22"/>
        </w:rPr>
        <w:t xml:space="preserve"> station</w:t>
      </w:r>
      <w:r w:rsidR="00D80960" w:rsidRPr="00225B62">
        <w:rPr>
          <w:szCs w:val="22"/>
        </w:rPr>
        <w:t>(s)</w:t>
      </w:r>
      <w:r w:rsidR="007013CC" w:rsidRPr="00225B62">
        <w:rPr>
          <w:szCs w:val="22"/>
        </w:rPr>
        <w:t xml:space="preserve"> </w:t>
      </w:r>
      <w:r w:rsidR="00D80960" w:rsidRPr="00225B62">
        <w:rPr>
          <w:szCs w:val="22"/>
        </w:rPr>
        <w:t xml:space="preserve">must </w:t>
      </w:r>
      <w:r w:rsidR="007013CC" w:rsidRPr="00225B62">
        <w:rPr>
          <w:szCs w:val="22"/>
        </w:rPr>
        <w:t xml:space="preserve">file </w:t>
      </w:r>
      <w:r w:rsidR="006323FF" w:rsidRPr="00225B62">
        <w:rPr>
          <w:szCs w:val="22"/>
        </w:rPr>
        <w:t xml:space="preserve">FCC Form 2100 Schedule C - </w:t>
      </w:r>
      <w:r w:rsidR="007013CC" w:rsidRPr="00225B62">
        <w:rPr>
          <w:szCs w:val="22"/>
        </w:rPr>
        <w:t xml:space="preserve">application for a construction permit </w:t>
      </w:r>
      <w:r w:rsidR="006323FF" w:rsidRPr="00225B62">
        <w:rPr>
          <w:szCs w:val="22"/>
        </w:rPr>
        <w:t xml:space="preserve">– specifying the </w:t>
      </w:r>
      <w:r w:rsidR="007013CC" w:rsidRPr="00225B62">
        <w:rPr>
          <w:szCs w:val="22"/>
        </w:rPr>
        <w:t>identical technical facilities during the</w:t>
      </w:r>
      <w:r w:rsidR="00A44226" w:rsidRPr="00225B62">
        <w:rPr>
          <w:szCs w:val="22"/>
        </w:rPr>
        <w:t xml:space="preserve"> Special Displacement Window described </w:t>
      </w:r>
      <w:r w:rsidR="00BB046B" w:rsidRPr="00225B62">
        <w:rPr>
          <w:szCs w:val="22"/>
        </w:rPr>
        <w:t>in Section III</w:t>
      </w:r>
      <w:r w:rsidR="00A44226" w:rsidRPr="00225B62">
        <w:rPr>
          <w:szCs w:val="22"/>
        </w:rPr>
        <w:t xml:space="preserve"> </w:t>
      </w:r>
      <w:r w:rsidR="007013CC" w:rsidRPr="00225B62">
        <w:rPr>
          <w:szCs w:val="22"/>
        </w:rPr>
        <w:t xml:space="preserve">proposing to share the channel, including a copy of the </w:t>
      </w:r>
      <w:r w:rsidR="00D96D52" w:rsidRPr="00225B62">
        <w:rPr>
          <w:szCs w:val="22"/>
        </w:rPr>
        <w:t xml:space="preserve">channel sharing agreement </w:t>
      </w:r>
      <w:r w:rsidR="007013CC" w:rsidRPr="00225B62">
        <w:rPr>
          <w:szCs w:val="22"/>
        </w:rPr>
        <w:t xml:space="preserve">as an exhibit. </w:t>
      </w:r>
      <w:r w:rsidR="00A44226" w:rsidRPr="00225B62">
        <w:rPr>
          <w:szCs w:val="22"/>
        </w:rPr>
        <w:t xml:space="preserve"> </w:t>
      </w:r>
      <w:r w:rsidR="007013CC" w:rsidRPr="00225B62">
        <w:rPr>
          <w:szCs w:val="22"/>
        </w:rPr>
        <w:t xml:space="preserve">If </w:t>
      </w:r>
      <w:r w:rsidR="00A44226" w:rsidRPr="00225B62">
        <w:rPr>
          <w:szCs w:val="22"/>
        </w:rPr>
        <w:t xml:space="preserve">only </w:t>
      </w:r>
      <w:r w:rsidR="006F0429" w:rsidRPr="00225B62">
        <w:rPr>
          <w:szCs w:val="22"/>
        </w:rPr>
        <w:t xml:space="preserve">a potential </w:t>
      </w:r>
      <w:r w:rsidR="00A44226" w:rsidRPr="00225B62">
        <w:rPr>
          <w:szCs w:val="22"/>
        </w:rPr>
        <w:t>share</w:t>
      </w:r>
      <w:r w:rsidR="00573461" w:rsidRPr="00225B62">
        <w:rPr>
          <w:szCs w:val="22"/>
        </w:rPr>
        <w:t>e</w:t>
      </w:r>
      <w:r w:rsidR="006F0429" w:rsidRPr="00225B62">
        <w:rPr>
          <w:szCs w:val="22"/>
        </w:rPr>
        <w:t>’s</w:t>
      </w:r>
      <w:r w:rsidR="00A44226" w:rsidRPr="00225B62">
        <w:rPr>
          <w:szCs w:val="22"/>
        </w:rPr>
        <w:t xml:space="preserve"> station is </w:t>
      </w:r>
      <w:r w:rsidR="00840760" w:rsidRPr="00225B62">
        <w:rPr>
          <w:szCs w:val="22"/>
        </w:rPr>
        <w:t xml:space="preserve">subject to displacement </w:t>
      </w:r>
      <w:r w:rsidR="00235CFA" w:rsidRPr="00225B62">
        <w:rPr>
          <w:szCs w:val="22"/>
        </w:rPr>
        <w:t xml:space="preserve">as a result of </w:t>
      </w:r>
      <w:r w:rsidR="00A44226" w:rsidRPr="00225B62">
        <w:rPr>
          <w:szCs w:val="22"/>
        </w:rPr>
        <w:t xml:space="preserve">the incentive auction </w:t>
      </w:r>
      <w:r w:rsidR="00557BDD" w:rsidRPr="00225B62">
        <w:rPr>
          <w:szCs w:val="22"/>
        </w:rPr>
        <w:t xml:space="preserve">and </w:t>
      </w:r>
      <w:r w:rsidR="00A44226" w:rsidRPr="00225B62">
        <w:rPr>
          <w:szCs w:val="22"/>
        </w:rPr>
        <w:t>repacking process</w:t>
      </w:r>
      <w:r w:rsidR="00557BDD" w:rsidRPr="00225B62">
        <w:rPr>
          <w:szCs w:val="22"/>
        </w:rPr>
        <w:t>, the</w:t>
      </w:r>
      <w:r w:rsidR="00840760" w:rsidRPr="00225B62">
        <w:rPr>
          <w:szCs w:val="22"/>
        </w:rPr>
        <w:t xml:space="preserve"> </w:t>
      </w:r>
      <w:r w:rsidR="006F0429" w:rsidRPr="00225B62">
        <w:rPr>
          <w:szCs w:val="22"/>
        </w:rPr>
        <w:t xml:space="preserve">potential </w:t>
      </w:r>
      <w:r w:rsidR="00557BDD" w:rsidRPr="00225B62">
        <w:rPr>
          <w:szCs w:val="22"/>
        </w:rPr>
        <w:t>sharee</w:t>
      </w:r>
      <w:r w:rsidR="007013CC" w:rsidRPr="00225B62">
        <w:rPr>
          <w:szCs w:val="22"/>
        </w:rPr>
        <w:t xml:space="preserve"> station </w:t>
      </w:r>
      <w:r w:rsidR="00A44226" w:rsidRPr="00225B62">
        <w:rPr>
          <w:szCs w:val="22"/>
        </w:rPr>
        <w:t>may</w:t>
      </w:r>
      <w:r w:rsidR="007013CC" w:rsidRPr="00225B62">
        <w:rPr>
          <w:szCs w:val="22"/>
        </w:rPr>
        <w:t xml:space="preserve"> file </w:t>
      </w:r>
      <w:r w:rsidR="006F0429" w:rsidRPr="00225B62">
        <w:rPr>
          <w:szCs w:val="22"/>
        </w:rPr>
        <w:t xml:space="preserve">an </w:t>
      </w:r>
      <w:r w:rsidR="007013CC" w:rsidRPr="00225B62">
        <w:rPr>
          <w:szCs w:val="22"/>
        </w:rPr>
        <w:t>application to propose sharing the sharer</w:t>
      </w:r>
      <w:r w:rsidR="006F0429" w:rsidRPr="00225B62">
        <w:rPr>
          <w:szCs w:val="22"/>
        </w:rPr>
        <w:t>’s</w:t>
      </w:r>
      <w:r w:rsidR="007013CC" w:rsidRPr="00225B62">
        <w:rPr>
          <w:szCs w:val="22"/>
        </w:rPr>
        <w:t xml:space="preserve"> </w:t>
      </w:r>
      <w:r w:rsidR="00557BDD" w:rsidRPr="00225B62">
        <w:rPr>
          <w:szCs w:val="22"/>
        </w:rPr>
        <w:t xml:space="preserve">non-displaced </w:t>
      </w:r>
      <w:r w:rsidR="007013CC" w:rsidRPr="00225B62">
        <w:rPr>
          <w:szCs w:val="22"/>
        </w:rPr>
        <w:t xml:space="preserve">facilities at any time after </w:t>
      </w:r>
      <w:r w:rsidR="00D306F4" w:rsidRPr="00225B62">
        <w:rPr>
          <w:szCs w:val="22"/>
        </w:rPr>
        <w:t xml:space="preserve">April 13, 2017 </w:t>
      </w:r>
      <w:r w:rsidR="00A44226" w:rsidRPr="00225B62">
        <w:rPr>
          <w:szCs w:val="22"/>
        </w:rPr>
        <w:t xml:space="preserve">and is not limited to filing during the </w:t>
      </w:r>
      <w:r w:rsidR="00BB046B" w:rsidRPr="00225B62">
        <w:rPr>
          <w:szCs w:val="22"/>
        </w:rPr>
        <w:t>Special</w:t>
      </w:r>
      <w:r w:rsidR="00A44226" w:rsidRPr="00225B62">
        <w:rPr>
          <w:szCs w:val="22"/>
        </w:rPr>
        <w:t xml:space="preserve"> Displacement Window</w:t>
      </w:r>
      <w:r w:rsidR="007013CC" w:rsidRPr="00225B62">
        <w:rPr>
          <w:szCs w:val="22"/>
        </w:rPr>
        <w:t>.</w:t>
      </w:r>
      <w:r w:rsidR="0094495E" w:rsidRPr="00225B62">
        <w:rPr>
          <w:rStyle w:val="FootnoteReference"/>
          <w:sz w:val="22"/>
          <w:szCs w:val="22"/>
        </w:rPr>
        <w:footnoteReference w:id="86"/>
      </w:r>
      <w:r w:rsidR="00235CFA" w:rsidRPr="00225B62">
        <w:rPr>
          <w:szCs w:val="22"/>
        </w:rPr>
        <w:t xml:space="preserve"> </w:t>
      </w:r>
      <w:r w:rsidR="004538F9" w:rsidRPr="00225B62">
        <w:rPr>
          <w:szCs w:val="22"/>
        </w:rPr>
        <w:t xml:space="preserve"> </w:t>
      </w:r>
      <w:r w:rsidR="00235CFA" w:rsidRPr="00225B62">
        <w:rPr>
          <w:szCs w:val="22"/>
        </w:rPr>
        <w:t>Channel sharing stations will have three years to implement their shared facilities and may avail themselves of the extension and tolling provisions outlined in Section III.</w:t>
      </w:r>
      <w:r w:rsidR="00991CB3" w:rsidRPr="00225B62">
        <w:rPr>
          <w:szCs w:val="22"/>
        </w:rPr>
        <w:t>F</w:t>
      </w:r>
      <w:r w:rsidR="00235CFA" w:rsidRPr="00225B62">
        <w:rPr>
          <w:szCs w:val="22"/>
        </w:rPr>
        <w:t>.</w:t>
      </w:r>
      <w:r w:rsidR="00235CFA" w:rsidRPr="00225B62">
        <w:rPr>
          <w:rStyle w:val="FootnoteReference"/>
          <w:sz w:val="22"/>
          <w:szCs w:val="22"/>
        </w:rPr>
        <w:footnoteReference w:id="87"/>
      </w:r>
    </w:p>
    <w:p w14:paraId="38D01530" w14:textId="77777777" w:rsidR="00ED7B74" w:rsidRPr="00225B62" w:rsidRDefault="00ED7B74" w:rsidP="00ED7B74">
      <w:pPr>
        <w:pStyle w:val="Heading1"/>
        <w:rPr>
          <w:rFonts w:ascii="Times New Roman" w:hAnsi="Times New Roman"/>
          <w:szCs w:val="22"/>
        </w:rPr>
      </w:pPr>
      <w:r w:rsidRPr="00225B62">
        <w:rPr>
          <w:rFonts w:ascii="Times New Roman" w:hAnsi="Times New Roman"/>
          <w:szCs w:val="22"/>
        </w:rPr>
        <w:t>NEW DIGITAL-TO-DIGITAL REPLACEMENT TRANSLATORS</w:t>
      </w:r>
    </w:p>
    <w:p w14:paraId="21C99DE4" w14:textId="41568E15" w:rsidR="00ED7B74" w:rsidRPr="00225B62" w:rsidRDefault="00ED3939" w:rsidP="00ED7B74">
      <w:pPr>
        <w:pStyle w:val="ParaNum"/>
        <w:tabs>
          <w:tab w:val="clear" w:pos="1080"/>
          <w:tab w:val="num" w:pos="1440"/>
        </w:tabs>
        <w:rPr>
          <w:szCs w:val="22"/>
        </w:rPr>
      </w:pPr>
      <w:r w:rsidRPr="00225B62">
        <w:rPr>
          <w:szCs w:val="22"/>
        </w:rPr>
        <w:t xml:space="preserve">In the </w:t>
      </w:r>
      <w:r w:rsidR="009D724A" w:rsidRPr="00225B62">
        <w:rPr>
          <w:i/>
          <w:szCs w:val="22"/>
        </w:rPr>
        <w:t>LPTV DTV Third R&amp;O</w:t>
      </w:r>
      <w:r w:rsidRPr="00225B62">
        <w:rPr>
          <w:szCs w:val="22"/>
        </w:rPr>
        <w:t xml:space="preserve">, the Commission established a new </w:t>
      </w:r>
      <w:r w:rsidR="00A17184" w:rsidRPr="00225B62">
        <w:rPr>
          <w:szCs w:val="22"/>
        </w:rPr>
        <w:t>digital-to-digital replacement translator (</w:t>
      </w:r>
      <w:r w:rsidR="00E65890" w:rsidRPr="00225B62">
        <w:rPr>
          <w:szCs w:val="22"/>
        </w:rPr>
        <w:t>DTDRT</w:t>
      </w:r>
      <w:r w:rsidR="00A17184" w:rsidRPr="00225B62">
        <w:rPr>
          <w:szCs w:val="22"/>
        </w:rPr>
        <w:t>)</w:t>
      </w:r>
      <w:r w:rsidR="00E65890" w:rsidRPr="00225B62">
        <w:rPr>
          <w:szCs w:val="22"/>
        </w:rPr>
        <w:t xml:space="preserve"> </w:t>
      </w:r>
      <w:r w:rsidRPr="00225B62">
        <w:rPr>
          <w:szCs w:val="22"/>
        </w:rPr>
        <w:t>service to allow eligible full power television stations to recover lost digital service area</w:t>
      </w:r>
      <w:r w:rsidR="004B169C" w:rsidRPr="00225B62">
        <w:rPr>
          <w:szCs w:val="22"/>
        </w:rPr>
        <w:t xml:space="preserve"> that could result from the repacking process</w:t>
      </w:r>
      <w:r w:rsidRPr="00225B62">
        <w:rPr>
          <w:szCs w:val="22"/>
        </w:rPr>
        <w:t>.</w:t>
      </w:r>
      <w:r w:rsidRPr="00225B62">
        <w:rPr>
          <w:rStyle w:val="FootnoteReference"/>
          <w:sz w:val="22"/>
          <w:szCs w:val="22"/>
        </w:rPr>
        <w:footnoteReference w:id="88"/>
      </w:r>
      <w:r w:rsidRPr="00225B62">
        <w:rPr>
          <w:szCs w:val="22"/>
        </w:rPr>
        <w:t xml:space="preserve">  The Commission concluded that full power stations may begin to file for DTDRTs beginning with the opening </w:t>
      </w:r>
      <w:r w:rsidR="00C5100E" w:rsidRPr="00225B62">
        <w:rPr>
          <w:szCs w:val="22"/>
        </w:rPr>
        <w:t xml:space="preserve">of the </w:t>
      </w:r>
      <w:r w:rsidR="00D05C8F" w:rsidRPr="00225B62">
        <w:rPr>
          <w:szCs w:val="22"/>
        </w:rPr>
        <w:t>S</w:t>
      </w:r>
      <w:r w:rsidRPr="00225B62">
        <w:rPr>
          <w:szCs w:val="22"/>
        </w:rPr>
        <w:t xml:space="preserve">pecial </w:t>
      </w:r>
      <w:r w:rsidR="00D05C8F" w:rsidRPr="00225B62">
        <w:rPr>
          <w:szCs w:val="22"/>
        </w:rPr>
        <w:t>Displacement W</w:t>
      </w:r>
      <w:r w:rsidRPr="00225B62">
        <w:rPr>
          <w:szCs w:val="22"/>
        </w:rPr>
        <w:t>indow outlined in Section III and ending one year after completion of</w:t>
      </w:r>
      <w:r w:rsidR="00C5100E" w:rsidRPr="00225B62">
        <w:rPr>
          <w:szCs w:val="22"/>
        </w:rPr>
        <w:t xml:space="preserve"> the</w:t>
      </w:r>
      <w:r w:rsidRPr="00225B62">
        <w:rPr>
          <w:szCs w:val="22"/>
        </w:rPr>
        <w:t xml:space="preserve"> incentive auction </w:t>
      </w:r>
      <w:r w:rsidR="00DA6EFB">
        <w:rPr>
          <w:szCs w:val="22"/>
        </w:rPr>
        <w:br/>
      </w:r>
      <w:r w:rsidRPr="00225B62">
        <w:rPr>
          <w:szCs w:val="22"/>
        </w:rPr>
        <w:t>transition period</w:t>
      </w:r>
      <w:r w:rsidR="00D212BC" w:rsidRPr="00225B62">
        <w:rPr>
          <w:szCs w:val="22"/>
        </w:rPr>
        <w:t>.</w:t>
      </w:r>
      <w:r w:rsidR="00D212BC" w:rsidRPr="00225B62">
        <w:rPr>
          <w:rStyle w:val="FootnoteReference"/>
          <w:sz w:val="22"/>
          <w:szCs w:val="22"/>
        </w:rPr>
        <w:t xml:space="preserve"> </w:t>
      </w:r>
      <w:r w:rsidR="00D212BC" w:rsidRPr="00225B62">
        <w:rPr>
          <w:rStyle w:val="FootnoteReference"/>
          <w:sz w:val="22"/>
          <w:szCs w:val="22"/>
        </w:rPr>
        <w:footnoteReference w:id="89"/>
      </w:r>
      <w:r w:rsidR="00D212BC" w:rsidRPr="00225B62">
        <w:rPr>
          <w:szCs w:val="22"/>
        </w:rPr>
        <w:t xml:space="preserve">  Accordingly, DTDRT applications must be filed by </w:t>
      </w:r>
      <w:r w:rsidRPr="00225B62">
        <w:rPr>
          <w:szCs w:val="22"/>
        </w:rPr>
        <w:t>July 13, 2021.</w:t>
      </w:r>
      <w:r w:rsidR="004B169C" w:rsidRPr="00225B62">
        <w:rPr>
          <w:szCs w:val="22"/>
        </w:rPr>
        <w:t xml:space="preserve">  T</w:t>
      </w:r>
      <w:r w:rsidRPr="00225B62">
        <w:rPr>
          <w:szCs w:val="22"/>
        </w:rPr>
        <w:t xml:space="preserve">his </w:t>
      </w:r>
      <w:r w:rsidR="00C5100E" w:rsidRPr="00225B62">
        <w:rPr>
          <w:szCs w:val="22"/>
        </w:rPr>
        <w:t>s</w:t>
      </w:r>
      <w:r w:rsidRPr="00225B62">
        <w:rPr>
          <w:szCs w:val="22"/>
        </w:rPr>
        <w:t>ection</w:t>
      </w:r>
      <w:r w:rsidR="004B169C" w:rsidRPr="00225B62">
        <w:rPr>
          <w:szCs w:val="22"/>
        </w:rPr>
        <w:t xml:space="preserve"> </w:t>
      </w:r>
      <w:r w:rsidR="00E65890" w:rsidRPr="00225B62">
        <w:rPr>
          <w:szCs w:val="22"/>
        </w:rPr>
        <w:t>describes</w:t>
      </w:r>
      <w:r w:rsidRPr="00225B62">
        <w:rPr>
          <w:szCs w:val="22"/>
        </w:rPr>
        <w:t xml:space="preserve"> the eligibility requirements, filing procedures</w:t>
      </w:r>
      <w:r w:rsidR="002B7DF5" w:rsidRPr="00225B62">
        <w:rPr>
          <w:szCs w:val="22"/>
        </w:rPr>
        <w:t>,</w:t>
      </w:r>
      <w:r w:rsidRPr="00225B62">
        <w:rPr>
          <w:szCs w:val="22"/>
        </w:rPr>
        <w:t xml:space="preserve"> and licensing and operating rules for </w:t>
      </w:r>
      <w:r w:rsidR="00DA6EFB">
        <w:rPr>
          <w:szCs w:val="22"/>
        </w:rPr>
        <w:br/>
      </w:r>
      <w:r w:rsidR="00CD0098" w:rsidRPr="00225B62">
        <w:rPr>
          <w:szCs w:val="22"/>
        </w:rPr>
        <w:t xml:space="preserve">DTDRT </w:t>
      </w:r>
      <w:r w:rsidRPr="00225B62">
        <w:rPr>
          <w:szCs w:val="22"/>
        </w:rPr>
        <w:t>service.</w:t>
      </w:r>
    </w:p>
    <w:p w14:paraId="4EBB0A4B" w14:textId="77777777" w:rsidR="00ED7B74" w:rsidRPr="00225B62" w:rsidRDefault="00ED7B74" w:rsidP="00567F0B">
      <w:pPr>
        <w:pStyle w:val="Heading2"/>
        <w:rPr>
          <w:szCs w:val="22"/>
        </w:rPr>
      </w:pPr>
      <w:r w:rsidRPr="00225B62">
        <w:rPr>
          <w:szCs w:val="22"/>
        </w:rPr>
        <w:t>Eligibility</w:t>
      </w:r>
    </w:p>
    <w:p w14:paraId="7886D09C" w14:textId="7B65F4BB" w:rsidR="00ED7B74" w:rsidRPr="00225B62" w:rsidRDefault="00ED3939" w:rsidP="00ED7B74">
      <w:pPr>
        <w:pStyle w:val="ParaNum"/>
        <w:tabs>
          <w:tab w:val="clear" w:pos="1080"/>
          <w:tab w:val="num" w:pos="1440"/>
        </w:tabs>
        <w:rPr>
          <w:szCs w:val="22"/>
        </w:rPr>
      </w:pPr>
      <w:r w:rsidRPr="00225B62">
        <w:rPr>
          <w:szCs w:val="22"/>
        </w:rPr>
        <w:t>Eligibility for DTDRTs is limited to full power television stations reassigned in the repacking process that can demonstrate: (1) a loss of a portion of their pre-auction digital service area;</w:t>
      </w:r>
      <w:r w:rsidRPr="00225B62">
        <w:rPr>
          <w:rStyle w:val="FootnoteReference"/>
          <w:sz w:val="22"/>
          <w:szCs w:val="22"/>
        </w:rPr>
        <w:t xml:space="preserve"> </w:t>
      </w:r>
      <w:r w:rsidRPr="00225B62">
        <w:rPr>
          <w:rStyle w:val="FootnoteReference"/>
          <w:sz w:val="22"/>
          <w:szCs w:val="22"/>
        </w:rPr>
        <w:footnoteReference w:id="90"/>
      </w:r>
      <w:r w:rsidRPr="00225B62">
        <w:rPr>
          <w:szCs w:val="22"/>
        </w:rPr>
        <w:t xml:space="preserve"> and (2) that the proposed DTDRT will be used solely to fill in such loss areas, subject to an allowance for a </w:t>
      </w:r>
      <w:r w:rsidRPr="00225B62">
        <w:rPr>
          <w:i/>
          <w:szCs w:val="22"/>
        </w:rPr>
        <w:t>de minimis</w:t>
      </w:r>
      <w:r w:rsidRPr="00225B62">
        <w:rPr>
          <w:szCs w:val="22"/>
        </w:rPr>
        <w:t xml:space="preserve"> expansion of the station’s pre-auction digital service area.</w:t>
      </w:r>
      <w:r w:rsidRPr="00225B62">
        <w:rPr>
          <w:rStyle w:val="FootnoteReference"/>
          <w:sz w:val="22"/>
          <w:szCs w:val="22"/>
        </w:rPr>
        <w:footnoteReference w:id="91"/>
      </w:r>
      <w:r w:rsidRPr="00225B62">
        <w:rPr>
          <w:szCs w:val="22"/>
        </w:rPr>
        <w:t xml:space="preserve">  Applicants for DTDRTs must demonstrat</w:t>
      </w:r>
      <w:r w:rsidR="00CD0098" w:rsidRPr="00225B62">
        <w:rPr>
          <w:szCs w:val="22"/>
        </w:rPr>
        <w:t>e</w:t>
      </w:r>
      <w:r w:rsidRPr="00225B62">
        <w:rPr>
          <w:szCs w:val="22"/>
        </w:rPr>
        <w:t xml:space="preserve"> a digital loss area through an engineering study that depicts the station</w:t>
      </w:r>
      <w:r w:rsidR="002B7DF5" w:rsidRPr="00225B62">
        <w:rPr>
          <w:szCs w:val="22"/>
        </w:rPr>
        <w:t>’</w:t>
      </w:r>
      <w:r w:rsidRPr="00225B62">
        <w:rPr>
          <w:szCs w:val="22"/>
        </w:rPr>
        <w:t>s pre- and post-incentive auction digital service areas.</w:t>
      </w:r>
      <w:r w:rsidRPr="00225B62">
        <w:rPr>
          <w:rStyle w:val="FootnoteReference"/>
          <w:sz w:val="22"/>
          <w:szCs w:val="22"/>
        </w:rPr>
        <w:footnoteReference w:id="92"/>
      </w:r>
      <w:r w:rsidRPr="00225B62">
        <w:rPr>
          <w:szCs w:val="22"/>
        </w:rPr>
        <w:t xml:space="preserve">  In addition, applicants must demonstrate that the loss </w:t>
      </w:r>
      <w:r w:rsidR="00E7398F" w:rsidRPr="00225B62">
        <w:rPr>
          <w:szCs w:val="22"/>
        </w:rPr>
        <w:t>resulted from the station being repacked</w:t>
      </w:r>
      <w:r w:rsidRPr="00225B62">
        <w:rPr>
          <w:szCs w:val="22"/>
        </w:rPr>
        <w:t>.</w:t>
      </w:r>
      <w:r w:rsidRPr="00225B62">
        <w:rPr>
          <w:rStyle w:val="FootnoteReference"/>
          <w:sz w:val="22"/>
          <w:szCs w:val="22"/>
        </w:rPr>
        <w:footnoteReference w:id="93"/>
      </w:r>
    </w:p>
    <w:p w14:paraId="66FDEA0E" w14:textId="50AB6CDD" w:rsidR="00955C5C" w:rsidRPr="00225B62" w:rsidRDefault="00ED3939" w:rsidP="00FF48AF">
      <w:pPr>
        <w:pStyle w:val="ParaNum"/>
      </w:pPr>
      <w:r w:rsidRPr="00225B62">
        <w:t xml:space="preserve">The Commission has recognized that it may be impossible to locate a DTDRT that replaces </w:t>
      </w:r>
      <w:r w:rsidR="00265D97">
        <w:t xml:space="preserve">a </w:t>
      </w:r>
      <w:r w:rsidRPr="00225B62">
        <w:t>digital</w:t>
      </w:r>
      <w:r w:rsidR="002B7DF5" w:rsidRPr="00225B62">
        <w:t xml:space="preserve"> </w:t>
      </w:r>
      <w:r w:rsidRPr="00225B62">
        <w:t>loss area without also slightly expanding the station’s pre-auction digital service area.</w:t>
      </w:r>
      <w:r w:rsidRPr="00225B62">
        <w:rPr>
          <w:rStyle w:val="FootnoteReference"/>
          <w:sz w:val="22"/>
          <w:szCs w:val="22"/>
        </w:rPr>
        <w:footnoteReference w:id="94"/>
      </w:r>
      <w:r w:rsidRPr="00225B62">
        <w:t xml:space="preserve">  To accommodate such situations,</w:t>
      </w:r>
      <w:r w:rsidR="00817BC6" w:rsidRPr="00225B62">
        <w:t xml:space="preserve"> the Bureau may grant</w:t>
      </w:r>
      <w:r w:rsidRPr="00225B62">
        <w:t xml:space="preserve"> </w:t>
      </w:r>
      <w:r w:rsidRPr="00225B62">
        <w:rPr>
          <w:i/>
        </w:rPr>
        <w:t>de minimis</w:t>
      </w:r>
      <w:r w:rsidRPr="00225B62">
        <w:t xml:space="preserve"> expansions of pre-auction digital service areas.</w:t>
      </w:r>
      <w:r w:rsidR="00E7398F" w:rsidRPr="00225B62">
        <w:rPr>
          <w:rStyle w:val="FootnoteReference"/>
          <w:sz w:val="22"/>
          <w:szCs w:val="22"/>
        </w:rPr>
        <w:footnoteReference w:id="95"/>
      </w:r>
      <w:r w:rsidRPr="00225B62">
        <w:t xml:space="preserve">  </w:t>
      </w:r>
      <w:r w:rsidR="00FF48AF" w:rsidRPr="00FF48AF">
        <w:rPr>
          <w:szCs w:val="22"/>
        </w:rPr>
        <w:t xml:space="preserve">Stations are required to show the need to site their proposed DTDRT facility with a </w:t>
      </w:r>
      <w:r w:rsidR="00FF48AF" w:rsidRPr="002E11CD">
        <w:rPr>
          <w:i/>
          <w:szCs w:val="22"/>
        </w:rPr>
        <w:t>de minimis</w:t>
      </w:r>
      <w:r w:rsidR="00FF48AF" w:rsidRPr="00FF48AF">
        <w:rPr>
          <w:szCs w:val="22"/>
        </w:rPr>
        <w:t xml:space="preserve"> expansion of the station’s pre-auction digital service area</w:t>
      </w:r>
      <w:r w:rsidR="00F74865" w:rsidRPr="00225B62">
        <w:t>.</w:t>
      </w:r>
      <w:r w:rsidR="00F74865" w:rsidRPr="00225B62">
        <w:rPr>
          <w:rStyle w:val="FootnoteReference"/>
          <w:sz w:val="22"/>
          <w:szCs w:val="22"/>
        </w:rPr>
        <w:footnoteReference w:id="96"/>
      </w:r>
      <w:r w:rsidR="00F74865" w:rsidRPr="00225B62">
        <w:t xml:space="preserve">  The Bureau will determine whether an expansion is </w:t>
      </w:r>
      <w:r w:rsidRPr="00225B62">
        <w:rPr>
          <w:i/>
        </w:rPr>
        <w:t>de minimis</w:t>
      </w:r>
      <w:r w:rsidRPr="00225B62">
        <w:t xml:space="preserve"> on a case-by-case basis.</w:t>
      </w:r>
      <w:r w:rsidR="004B169C" w:rsidRPr="00225B62">
        <w:rPr>
          <w:rStyle w:val="FootnoteReference"/>
          <w:sz w:val="22"/>
          <w:szCs w:val="22"/>
        </w:rPr>
        <w:footnoteReference w:id="97"/>
      </w:r>
      <w:r w:rsidRPr="00225B62">
        <w:t xml:space="preserve">  </w:t>
      </w:r>
    </w:p>
    <w:p w14:paraId="3608FED1" w14:textId="77777777" w:rsidR="00955C5C" w:rsidRPr="00225B62" w:rsidRDefault="00955C5C" w:rsidP="00567F0B">
      <w:pPr>
        <w:pStyle w:val="Heading2"/>
        <w:rPr>
          <w:szCs w:val="22"/>
        </w:rPr>
      </w:pPr>
      <w:r w:rsidRPr="00225B62">
        <w:rPr>
          <w:szCs w:val="22"/>
        </w:rPr>
        <w:t>DTDRT Application Filing Procedures</w:t>
      </w:r>
    </w:p>
    <w:p w14:paraId="122468B4" w14:textId="30959CD0" w:rsidR="00955C5C" w:rsidRPr="00225B62" w:rsidRDefault="00ED3939" w:rsidP="00955C5C">
      <w:pPr>
        <w:pStyle w:val="ParaNum"/>
        <w:tabs>
          <w:tab w:val="clear" w:pos="1080"/>
          <w:tab w:val="num" w:pos="1440"/>
        </w:tabs>
        <w:rPr>
          <w:szCs w:val="22"/>
        </w:rPr>
      </w:pPr>
      <w:r w:rsidRPr="00225B62">
        <w:rPr>
          <w:szCs w:val="22"/>
        </w:rPr>
        <w:t xml:space="preserve">Eligible stations may file an application for </w:t>
      </w:r>
      <w:r w:rsidR="004B169C" w:rsidRPr="00225B62">
        <w:rPr>
          <w:szCs w:val="22"/>
        </w:rPr>
        <w:t xml:space="preserve">a </w:t>
      </w:r>
      <w:r w:rsidRPr="00225B62">
        <w:rPr>
          <w:szCs w:val="22"/>
        </w:rPr>
        <w:t>DTDRT electronically through LMS on FCC Form 2100 – Schedule C</w:t>
      </w:r>
      <w:r w:rsidR="00817BC6" w:rsidRPr="00225B62">
        <w:rPr>
          <w:szCs w:val="22"/>
        </w:rPr>
        <w:t>,</w:t>
      </w:r>
      <w:r w:rsidRPr="00225B62">
        <w:rPr>
          <w:szCs w:val="22"/>
        </w:rPr>
        <w:t xml:space="preserve"> following the instructions in Appendix A.  DTDRT applications will be minor change applications, and will be exempt from filing fees.</w:t>
      </w:r>
      <w:r w:rsidRPr="00225B62">
        <w:rPr>
          <w:rStyle w:val="FootnoteReference"/>
          <w:sz w:val="22"/>
          <w:szCs w:val="22"/>
        </w:rPr>
        <w:footnoteReference w:id="98"/>
      </w:r>
      <w:r w:rsidRPr="00225B62">
        <w:rPr>
          <w:szCs w:val="22"/>
        </w:rPr>
        <w:t xml:space="preserve">  Full power television stations shall have a three-year construction period to build their </w:t>
      </w:r>
      <w:r w:rsidR="00817BC6" w:rsidRPr="00225B62">
        <w:rPr>
          <w:szCs w:val="22"/>
        </w:rPr>
        <w:t xml:space="preserve">authorized </w:t>
      </w:r>
      <w:r w:rsidRPr="00225B62">
        <w:rPr>
          <w:szCs w:val="22"/>
        </w:rPr>
        <w:t>DTDRT</w:t>
      </w:r>
      <w:r w:rsidR="00817BC6" w:rsidRPr="00225B62">
        <w:rPr>
          <w:szCs w:val="22"/>
        </w:rPr>
        <w:t xml:space="preserve"> facilities</w:t>
      </w:r>
      <w:r w:rsidRPr="00225B62">
        <w:rPr>
          <w:szCs w:val="22"/>
        </w:rPr>
        <w:t>.</w:t>
      </w:r>
      <w:r w:rsidRPr="00225B62">
        <w:rPr>
          <w:rStyle w:val="FootnoteReference"/>
          <w:sz w:val="22"/>
          <w:szCs w:val="22"/>
        </w:rPr>
        <w:footnoteReference w:id="99"/>
      </w:r>
      <w:r w:rsidRPr="00225B62">
        <w:rPr>
          <w:szCs w:val="22"/>
        </w:rPr>
        <w:t xml:space="preserve">  The provisions for extension of time and tolling</w:t>
      </w:r>
      <w:r w:rsidR="006A4B86" w:rsidRPr="00225B62">
        <w:rPr>
          <w:szCs w:val="22"/>
        </w:rPr>
        <w:t>, including the tolling waiver policy,</w:t>
      </w:r>
      <w:r w:rsidRPr="00225B62">
        <w:rPr>
          <w:szCs w:val="22"/>
        </w:rPr>
        <w:t xml:space="preserve"> outlined in Section III. </w:t>
      </w:r>
      <w:r w:rsidR="006A4B86" w:rsidRPr="00225B62">
        <w:rPr>
          <w:szCs w:val="22"/>
        </w:rPr>
        <w:t>F</w:t>
      </w:r>
      <w:r w:rsidRPr="00225B62">
        <w:rPr>
          <w:szCs w:val="22"/>
        </w:rPr>
        <w:t>. apply to DTDRTs.</w:t>
      </w:r>
      <w:r w:rsidR="002E5A0B" w:rsidRPr="00225B62">
        <w:rPr>
          <w:rStyle w:val="FootnoteReference"/>
          <w:sz w:val="22"/>
          <w:szCs w:val="22"/>
        </w:rPr>
        <w:footnoteReference w:id="100"/>
      </w:r>
      <w:r w:rsidR="00DA6EFB">
        <w:rPr>
          <w:szCs w:val="22"/>
        </w:rPr>
        <w:br/>
      </w:r>
    </w:p>
    <w:p w14:paraId="19D16D87" w14:textId="77777777" w:rsidR="00955C5C" w:rsidRPr="00225B62" w:rsidRDefault="00955C5C" w:rsidP="00567F0B">
      <w:pPr>
        <w:pStyle w:val="Heading2"/>
        <w:rPr>
          <w:szCs w:val="22"/>
        </w:rPr>
      </w:pPr>
      <w:r w:rsidRPr="00225B62">
        <w:rPr>
          <w:szCs w:val="22"/>
        </w:rPr>
        <w:t>Processing Priority</w:t>
      </w:r>
    </w:p>
    <w:p w14:paraId="126386FF" w14:textId="0F4DAA6A" w:rsidR="00955C5C" w:rsidRPr="00225B62" w:rsidRDefault="00ED3939" w:rsidP="00955C5C">
      <w:pPr>
        <w:pStyle w:val="ParaNum"/>
        <w:tabs>
          <w:tab w:val="clear" w:pos="1080"/>
          <w:tab w:val="num" w:pos="1440"/>
        </w:tabs>
        <w:rPr>
          <w:szCs w:val="22"/>
        </w:rPr>
      </w:pPr>
      <w:r w:rsidRPr="00225B62">
        <w:rPr>
          <w:szCs w:val="22"/>
        </w:rPr>
        <w:t xml:space="preserve">DTDRT applications will be afforded co-equal processing priority with displacement applications filed by </w:t>
      </w:r>
      <w:r w:rsidR="004B169C" w:rsidRPr="00225B62">
        <w:rPr>
          <w:szCs w:val="22"/>
        </w:rPr>
        <w:t xml:space="preserve">full power television stations for their displaced </w:t>
      </w:r>
      <w:r w:rsidRPr="00225B62">
        <w:rPr>
          <w:szCs w:val="22"/>
        </w:rPr>
        <w:t>analog-to-digital replacement translator stations (DRTs).</w:t>
      </w:r>
      <w:r w:rsidRPr="00225B62">
        <w:rPr>
          <w:rStyle w:val="FootnoteReference"/>
          <w:sz w:val="22"/>
          <w:szCs w:val="22"/>
        </w:rPr>
        <w:footnoteReference w:id="101"/>
      </w:r>
      <w:r w:rsidRPr="00225B62">
        <w:rPr>
          <w:szCs w:val="22"/>
        </w:rPr>
        <w:t xml:space="preserve">  Therefore, applications for new DTDRTs and displacement applications for existing DRTs will have processing priority over all other LPTV and TV translator applications including new, minor change, and displacement applications.</w:t>
      </w:r>
      <w:r w:rsidRPr="00225B62">
        <w:rPr>
          <w:rStyle w:val="FootnoteReference"/>
          <w:sz w:val="22"/>
          <w:szCs w:val="22"/>
        </w:rPr>
        <w:footnoteReference w:id="102"/>
      </w:r>
      <w:r w:rsidRPr="00225B62">
        <w:rPr>
          <w:szCs w:val="22"/>
        </w:rPr>
        <w:t xml:space="preserve">  As noted above, applications for DTDRTs </w:t>
      </w:r>
      <w:r w:rsidR="008E5E46" w:rsidRPr="00225B62">
        <w:rPr>
          <w:szCs w:val="22"/>
        </w:rPr>
        <w:t xml:space="preserve">may be filed </w:t>
      </w:r>
      <w:r w:rsidRPr="00225B62">
        <w:rPr>
          <w:szCs w:val="22"/>
        </w:rPr>
        <w:t xml:space="preserve">commencing with the opening of the Special Displacement Window.  All applications for new DTDRTs and displacement applications for existing DRTs filed during the </w:t>
      </w:r>
      <w:r w:rsidR="00817BC6" w:rsidRPr="00225B62">
        <w:rPr>
          <w:szCs w:val="22"/>
        </w:rPr>
        <w:t>Special Displacement Window</w:t>
      </w:r>
      <w:r w:rsidRPr="00225B62">
        <w:rPr>
          <w:szCs w:val="22"/>
        </w:rPr>
        <w:t xml:space="preserve"> will be considered filed on the last day of the window, will have priority over all other displacement applications filed during the window by </w:t>
      </w:r>
      <w:r w:rsidR="008E5E46" w:rsidRPr="00225B62">
        <w:rPr>
          <w:szCs w:val="22"/>
        </w:rPr>
        <w:t>LPTV</w:t>
      </w:r>
      <w:r w:rsidRPr="00225B62">
        <w:rPr>
          <w:szCs w:val="22"/>
        </w:rPr>
        <w:t xml:space="preserve"> and </w:t>
      </w:r>
      <w:r w:rsidR="008E5E46" w:rsidRPr="00225B62">
        <w:rPr>
          <w:szCs w:val="22"/>
        </w:rPr>
        <w:t>TV</w:t>
      </w:r>
      <w:r w:rsidRPr="00225B62">
        <w:rPr>
          <w:szCs w:val="22"/>
        </w:rPr>
        <w:t xml:space="preserve"> translator stations, and will be considered co-equal if mutually exclusive.</w:t>
      </w:r>
      <w:r w:rsidRPr="00225B62">
        <w:rPr>
          <w:rStyle w:val="FootnoteReference"/>
          <w:sz w:val="22"/>
          <w:szCs w:val="22"/>
        </w:rPr>
        <w:footnoteReference w:id="103"/>
      </w:r>
      <w:r w:rsidRPr="00225B62">
        <w:rPr>
          <w:szCs w:val="22"/>
        </w:rPr>
        <w:t xml:space="preserve">  Following the close of the </w:t>
      </w:r>
      <w:r w:rsidR="008E5E46" w:rsidRPr="00225B62">
        <w:rPr>
          <w:szCs w:val="22"/>
        </w:rPr>
        <w:t>Special D</w:t>
      </w:r>
      <w:r w:rsidRPr="00225B62">
        <w:rPr>
          <w:szCs w:val="22"/>
        </w:rPr>
        <w:t xml:space="preserve">isplacement </w:t>
      </w:r>
      <w:r w:rsidR="008E5E46" w:rsidRPr="00225B62">
        <w:rPr>
          <w:szCs w:val="22"/>
        </w:rPr>
        <w:t>W</w:t>
      </w:r>
      <w:r w:rsidRPr="00225B62">
        <w:rPr>
          <w:szCs w:val="22"/>
        </w:rPr>
        <w:t xml:space="preserve">indow, applications for new DTDRTs will be accepted on a first-come, first-served basis, will continue to have priority over all </w:t>
      </w:r>
      <w:r w:rsidR="008E5E46" w:rsidRPr="00225B62">
        <w:rPr>
          <w:szCs w:val="22"/>
        </w:rPr>
        <w:t>LPTV and TV</w:t>
      </w:r>
      <w:r w:rsidRPr="00225B62">
        <w:rPr>
          <w:szCs w:val="22"/>
        </w:rPr>
        <w:t xml:space="preserve"> translator </w:t>
      </w:r>
      <w:r w:rsidR="00FF48AF">
        <w:rPr>
          <w:szCs w:val="22"/>
        </w:rPr>
        <w:t xml:space="preserve">new, </w:t>
      </w:r>
      <w:r w:rsidRPr="00225B62">
        <w:rPr>
          <w:szCs w:val="22"/>
        </w:rPr>
        <w:t xml:space="preserve">minor change or displacement applications, even if </w:t>
      </w:r>
      <w:r w:rsidR="00817BC6" w:rsidRPr="00225B62">
        <w:rPr>
          <w:szCs w:val="22"/>
        </w:rPr>
        <w:t xml:space="preserve">those applications were </w:t>
      </w:r>
      <w:r w:rsidRPr="00225B62">
        <w:rPr>
          <w:szCs w:val="22"/>
        </w:rPr>
        <w:t>first-filed, and co-equal priority with displacement applications for existing DRTs filed on the same day.</w:t>
      </w:r>
      <w:r w:rsidRPr="00225B62">
        <w:rPr>
          <w:rStyle w:val="FootnoteReference"/>
          <w:sz w:val="22"/>
          <w:szCs w:val="22"/>
        </w:rPr>
        <w:footnoteReference w:id="104"/>
      </w:r>
    </w:p>
    <w:p w14:paraId="0F3EABE6" w14:textId="29F9BD9B" w:rsidR="00955C5C" w:rsidRPr="00225B62" w:rsidRDefault="00955C5C" w:rsidP="00955C5C">
      <w:pPr>
        <w:pStyle w:val="Heading1"/>
        <w:rPr>
          <w:rFonts w:ascii="Times New Roman" w:hAnsi="Times New Roman"/>
          <w:szCs w:val="22"/>
        </w:rPr>
      </w:pPr>
      <w:r w:rsidRPr="00225B62">
        <w:rPr>
          <w:rFonts w:ascii="Times New Roman" w:hAnsi="Times New Roman"/>
          <w:szCs w:val="22"/>
        </w:rPr>
        <w:t>DATE FOR LPTV</w:t>
      </w:r>
      <w:r w:rsidR="00EF039A" w:rsidRPr="00225B62">
        <w:rPr>
          <w:rFonts w:ascii="Times New Roman" w:hAnsi="Times New Roman"/>
          <w:szCs w:val="22"/>
        </w:rPr>
        <w:t xml:space="preserve"> and tv Translator</w:t>
      </w:r>
      <w:r w:rsidRPr="00225B62">
        <w:rPr>
          <w:rFonts w:ascii="Times New Roman" w:hAnsi="Times New Roman"/>
          <w:szCs w:val="22"/>
        </w:rPr>
        <w:t xml:space="preserve"> DTV TRANSITION – JULY 13, 2021</w:t>
      </w:r>
    </w:p>
    <w:p w14:paraId="6ADC37B7" w14:textId="2EEB0EB8" w:rsidR="00481C0B" w:rsidRPr="00225B62" w:rsidRDefault="00481C0B" w:rsidP="00481C0B">
      <w:pPr>
        <w:pStyle w:val="ParaNum"/>
        <w:tabs>
          <w:tab w:val="clear" w:pos="1080"/>
          <w:tab w:val="num" w:pos="1440"/>
        </w:tabs>
        <w:rPr>
          <w:szCs w:val="22"/>
        </w:rPr>
      </w:pPr>
      <w:r w:rsidRPr="00225B62">
        <w:rPr>
          <w:szCs w:val="22"/>
        </w:rPr>
        <w:t xml:space="preserve">In the </w:t>
      </w:r>
      <w:r w:rsidR="00A162EF" w:rsidRPr="00225B62">
        <w:rPr>
          <w:i/>
          <w:szCs w:val="22"/>
        </w:rPr>
        <w:t>LPTV DTV Third R&amp;O</w:t>
      </w:r>
      <w:r w:rsidRPr="00225B62">
        <w:rPr>
          <w:szCs w:val="22"/>
        </w:rPr>
        <w:t>, the Commission extended the September 1, 2015 digital transition date until July 13, 2021.</w:t>
      </w:r>
      <w:r w:rsidRPr="00225B62">
        <w:rPr>
          <w:rStyle w:val="FootnoteReference"/>
          <w:sz w:val="22"/>
          <w:szCs w:val="22"/>
        </w:rPr>
        <w:t xml:space="preserve"> </w:t>
      </w:r>
      <w:r w:rsidRPr="00225B62">
        <w:rPr>
          <w:rStyle w:val="FootnoteReference"/>
          <w:sz w:val="22"/>
          <w:szCs w:val="22"/>
        </w:rPr>
        <w:footnoteReference w:id="105"/>
      </w:r>
      <w:r w:rsidRPr="00225B62">
        <w:rPr>
          <w:szCs w:val="22"/>
        </w:rPr>
        <w:t xml:space="preserve">  All construction permits related to the LPTV</w:t>
      </w:r>
      <w:r w:rsidR="00A56F36" w:rsidRPr="00225B62">
        <w:rPr>
          <w:szCs w:val="22"/>
        </w:rPr>
        <w:t xml:space="preserve"> and TV </w:t>
      </w:r>
      <w:r w:rsidR="00EF039A" w:rsidRPr="00225B62">
        <w:rPr>
          <w:szCs w:val="22"/>
        </w:rPr>
        <w:t>translator</w:t>
      </w:r>
      <w:r w:rsidRPr="00225B62">
        <w:rPr>
          <w:szCs w:val="22"/>
        </w:rPr>
        <w:t xml:space="preserve"> digital transition and construction permits for new digital LPTV and TV translator stations are hereby extended to July 13, 2021</w:t>
      </w:r>
      <w:r w:rsidR="00A162EF" w:rsidRPr="00225B62">
        <w:rPr>
          <w:szCs w:val="22"/>
        </w:rPr>
        <w:t xml:space="preserve">, and </w:t>
      </w:r>
      <w:r w:rsidR="00EF039A" w:rsidRPr="00225B62">
        <w:rPr>
          <w:szCs w:val="22"/>
        </w:rPr>
        <w:t xml:space="preserve">stations’ records in </w:t>
      </w:r>
      <w:r w:rsidRPr="00225B62">
        <w:rPr>
          <w:szCs w:val="22"/>
        </w:rPr>
        <w:t>LMS will be updated to reflect this date.  All LPTV and TV translator stations must terminate all analog operations by 11:59 p.m. local time on July 13, 2021 regardless of whether their digital facilities are operational.</w:t>
      </w:r>
      <w:r w:rsidRPr="00225B62">
        <w:rPr>
          <w:rStyle w:val="FootnoteReference"/>
          <w:sz w:val="22"/>
          <w:szCs w:val="22"/>
        </w:rPr>
        <w:footnoteReference w:id="106"/>
      </w:r>
    </w:p>
    <w:p w14:paraId="1D525E18" w14:textId="37FD31A2" w:rsidR="00481C0B" w:rsidRPr="00225B62" w:rsidRDefault="00481C0B" w:rsidP="00481C0B">
      <w:pPr>
        <w:pStyle w:val="ParaNum"/>
        <w:tabs>
          <w:tab w:val="clear" w:pos="1080"/>
          <w:tab w:val="num" w:pos="1440"/>
        </w:tabs>
        <w:rPr>
          <w:szCs w:val="22"/>
        </w:rPr>
      </w:pPr>
      <w:r w:rsidRPr="00225B62">
        <w:rPr>
          <w:szCs w:val="22"/>
        </w:rPr>
        <w:t xml:space="preserve">As the Commission stated in the </w:t>
      </w:r>
      <w:r w:rsidRPr="00225B62">
        <w:rPr>
          <w:i/>
          <w:szCs w:val="22"/>
        </w:rPr>
        <w:t xml:space="preserve">LPTV DTV Third </w:t>
      </w:r>
      <w:r w:rsidR="00BF216B" w:rsidRPr="00225B62">
        <w:rPr>
          <w:i/>
          <w:szCs w:val="22"/>
        </w:rPr>
        <w:t>R&amp;O</w:t>
      </w:r>
      <w:r w:rsidRPr="00225B62">
        <w:rPr>
          <w:szCs w:val="22"/>
        </w:rPr>
        <w:t>, although the digital deadline has been extended, stations that are not affected by the incentive auction “are encouraged to complete their transition to digital as soon as feasible after the completion of the auction.”</w:t>
      </w:r>
      <w:r w:rsidRPr="00225B62">
        <w:rPr>
          <w:rStyle w:val="FootnoteReference"/>
          <w:sz w:val="22"/>
          <w:szCs w:val="22"/>
        </w:rPr>
        <w:footnoteReference w:id="107"/>
      </w:r>
    </w:p>
    <w:p w14:paraId="09A1DD37" w14:textId="029D6096" w:rsidR="00481C0B" w:rsidRPr="00225B62" w:rsidRDefault="00481C0B" w:rsidP="00BF216B">
      <w:pPr>
        <w:pStyle w:val="ParaNum"/>
        <w:tabs>
          <w:tab w:val="clear" w:pos="1080"/>
          <w:tab w:val="num" w:pos="1440"/>
        </w:tabs>
        <w:rPr>
          <w:szCs w:val="22"/>
        </w:rPr>
      </w:pPr>
      <w:r w:rsidRPr="00225B62">
        <w:rPr>
          <w:szCs w:val="22"/>
        </w:rPr>
        <w:t>Transitioning LPTV and TV translator stations</w:t>
      </w:r>
      <w:r w:rsidR="006A4B86" w:rsidRPr="00225B62">
        <w:rPr>
          <w:szCs w:val="22"/>
        </w:rPr>
        <w:t>, including permittees of new digital LPTV/TV translator stations,</w:t>
      </w:r>
      <w:r w:rsidRPr="00225B62">
        <w:rPr>
          <w:szCs w:val="22"/>
        </w:rPr>
        <w:t xml:space="preserve"> that experience delays in completing their digital facilities may seek one last extension of time, of not more than six months, to be filed not later than March 13, 2021, which is four months prior to the new transition date of July 13, 2021.</w:t>
      </w:r>
      <w:r w:rsidRPr="00225B62">
        <w:rPr>
          <w:rStyle w:val="FootnoteReference"/>
          <w:sz w:val="22"/>
          <w:szCs w:val="22"/>
        </w:rPr>
        <w:footnoteReference w:id="108"/>
      </w:r>
      <w:r w:rsidRPr="00225B62">
        <w:rPr>
          <w:szCs w:val="22"/>
        </w:rPr>
        <w:t xml:space="preserve">  Instructions for filing an extension application are included in Appendix A.  After March 13, 2021, LPTV and TV translator stations seeking additional time to construct digital facilities will be able to obtain additional time to construct only through the tolling provisions in the rules.  Instructions for filing a tolling request are also included in Appendix A.  Stations may also seek a waiver of the tolling rule to receive additional time to construct in the case where “rare or exceptional circumstances” prevent construction.  Instructions for filing a tolling waiver </w:t>
      </w:r>
      <w:r w:rsidR="006A4B86" w:rsidRPr="00225B62">
        <w:rPr>
          <w:szCs w:val="22"/>
        </w:rPr>
        <w:t xml:space="preserve">request </w:t>
      </w:r>
      <w:r w:rsidRPr="00225B62">
        <w:rPr>
          <w:szCs w:val="22"/>
        </w:rPr>
        <w:t>are a</w:t>
      </w:r>
      <w:r w:rsidR="006511D1" w:rsidRPr="00225B62">
        <w:rPr>
          <w:szCs w:val="22"/>
        </w:rPr>
        <w:t>lso included in Appendix A.  We</w:t>
      </w:r>
      <w:r w:rsidR="00BF216B" w:rsidRPr="00225B62">
        <w:rPr>
          <w:szCs w:val="22"/>
        </w:rPr>
        <w:t xml:space="preserve"> </w:t>
      </w:r>
      <w:r w:rsidR="00857C36" w:rsidRPr="00225B62">
        <w:rPr>
          <w:szCs w:val="22"/>
        </w:rPr>
        <w:t>expect to</w:t>
      </w:r>
      <w:r w:rsidRPr="00225B62">
        <w:rPr>
          <w:szCs w:val="22"/>
        </w:rPr>
        <w:t xml:space="preserve"> look favorably upon waiver requests where a station can demonstrate that it is unable to construct due to circumstances resulting directly from the post-auction transition, such as the inability to procure necessary resources because </w:t>
      </w:r>
      <w:r w:rsidR="006A4B86" w:rsidRPr="00225B62">
        <w:rPr>
          <w:szCs w:val="22"/>
        </w:rPr>
        <w:t>such resources are unavailable due</w:t>
      </w:r>
      <w:r w:rsidR="00BF216B" w:rsidRPr="00225B62">
        <w:rPr>
          <w:szCs w:val="22"/>
        </w:rPr>
        <w:t xml:space="preserve"> to the full </w:t>
      </w:r>
      <w:r w:rsidRPr="00225B62">
        <w:rPr>
          <w:szCs w:val="22"/>
        </w:rPr>
        <w:t>power and Class A post-auction transition.</w:t>
      </w:r>
    </w:p>
    <w:p w14:paraId="55731624" w14:textId="77777777" w:rsidR="00481C0B" w:rsidRPr="00225B62" w:rsidRDefault="00481C0B" w:rsidP="00481C0B">
      <w:pPr>
        <w:pStyle w:val="ParaNum"/>
        <w:tabs>
          <w:tab w:val="clear" w:pos="1080"/>
          <w:tab w:val="num" w:pos="1440"/>
        </w:tabs>
        <w:rPr>
          <w:szCs w:val="22"/>
        </w:rPr>
      </w:pPr>
      <w:r w:rsidRPr="00225B62">
        <w:rPr>
          <w:szCs w:val="22"/>
        </w:rPr>
        <w:t>To ensure that viewers are aware of the impending termination of analog service, stations must provide notification to viewers of their planned transition to digital.</w:t>
      </w:r>
      <w:r w:rsidRPr="00225B62">
        <w:rPr>
          <w:rStyle w:val="FootnoteReference"/>
          <w:sz w:val="22"/>
          <w:szCs w:val="22"/>
        </w:rPr>
        <w:footnoteReference w:id="109"/>
      </w:r>
      <w:r w:rsidRPr="00225B62">
        <w:rPr>
          <w:szCs w:val="22"/>
        </w:rPr>
        <w:t xml:space="preserve">  Stations have the flexibility to determine the frequency, length, and content of their notifications.</w:t>
      </w:r>
      <w:r w:rsidRPr="00225B62">
        <w:rPr>
          <w:rStyle w:val="FootnoteReference"/>
          <w:sz w:val="22"/>
          <w:szCs w:val="22"/>
        </w:rPr>
        <w:footnoteReference w:id="110"/>
      </w:r>
      <w:r w:rsidRPr="00225B62">
        <w:rPr>
          <w:szCs w:val="22"/>
        </w:rPr>
        <w:t xml:space="preserve">  For those stations with the technical ability to locally originate programming,</w:t>
      </w:r>
      <w:r w:rsidRPr="00225B62">
        <w:rPr>
          <w:rStyle w:val="FootnoteReference"/>
          <w:sz w:val="22"/>
          <w:szCs w:val="22"/>
        </w:rPr>
        <w:footnoteReference w:id="111"/>
      </w:r>
      <w:r w:rsidRPr="00225B62">
        <w:rPr>
          <w:szCs w:val="22"/>
        </w:rPr>
        <w:t xml:space="preserve"> viewer notification must be done on the air at a time when the highest number of viewers are watching.</w:t>
      </w:r>
      <w:r w:rsidRPr="00225B62">
        <w:rPr>
          <w:rStyle w:val="FootnoteReference"/>
          <w:sz w:val="22"/>
          <w:szCs w:val="22"/>
        </w:rPr>
        <w:footnoteReference w:id="112"/>
      </w:r>
      <w:r w:rsidRPr="00225B62">
        <w:rPr>
          <w:szCs w:val="22"/>
        </w:rPr>
        <w:t xml:space="preserve">  For those stations that lack the technical ability to locally originate programming, or conclude that airing of viewer notifications would pose a hardship, they may notify viewers by some other reasonable means, e.g</w:t>
      </w:r>
      <w:r w:rsidRPr="00225B62">
        <w:rPr>
          <w:i/>
          <w:szCs w:val="22"/>
        </w:rPr>
        <w:t>.</w:t>
      </w:r>
      <w:r w:rsidRPr="00225B62">
        <w:rPr>
          <w:szCs w:val="22"/>
        </w:rPr>
        <w:t>, publication of a notification in a local newspaper or by contacting the originating station to relay a crawl or service advisory to the communities that would be affected.</w:t>
      </w:r>
      <w:r w:rsidRPr="00225B62">
        <w:rPr>
          <w:rStyle w:val="FootnoteReference"/>
          <w:sz w:val="22"/>
          <w:szCs w:val="22"/>
        </w:rPr>
        <w:footnoteReference w:id="113"/>
      </w:r>
    </w:p>
    <w:p w14:paraId="4A757D0B" w14:textId="25351150" w:rsidR="00955C5C" w:rsidRPr="00225B62" w:rsidRDefault="00031C40" w:rsidP="00955C5C">
      <w:pPr>
        <w:pStyle w:val="Heading1"/>
        <w:rPr>
          <w:rFonts w:ascii="Times New Roman" w:hAnsi="Times New Roman"/>
          <w:szCs w:val="22"/>
        </w:rPr>
      </w:pPr>
      <w:r w:rsidRPr="00225B62">
        <w:rPr>
          <w:rFonts w:ascii="Times New Roman" w:hAnsi="Times New Roman"/>
          <w:szCs w:val="22"/>
        </w:rPr>
        <w:t xml:space="preserve">Lifting oF </w:t>
      </w:r>
      <w:r w:rsidR="00955C5C" w:rsidRPr="00225B62">
        <w:rPr>
          <w:rFonts w:ascii="Times New Roman" w:hAnsi="Times New Roman"/>
          <w:szCs w:val="22"/>
        </w:rPr>
        <w:t xml:space="preserve">FREEZE </w:t>
      </w:r>
      <w:r w:rsidR="00B362A9" w:rsidRPr="00225B62">
        <w:rPr>
          <w:rFonts w:ascii="Times New Roman" w:hAnsi="Times New Roman"/>
          <w:szCs w:val="22"/>
        </w:rPr>
        <w:t xml:space="preserve">ON </w:t>
      </w:r>
      <w:r w:rsidR="00955C5C" w:rsidRPr="00225B62">
        <w:rPr>
          <w:rFonts w:ascii="Times New Roman" w:hAnsi="Times New Roman"/>
          <w:szCs w:val="22"/>
        </w:rPr>
        <w:t>FILING OF DISPLACEMENT AND DIGITAL COMPANION CHANNEL APPLICATIONS</w:t>
      </w:r>
      <w:r w:rsidR="00B362A9" w:rsidRPr="00225B62">
        <w:rPr>
          <w:rFonts w:ascii="Times New Roman" w:hAnsi="Times New Roman"/>
          <w:szCs w:val="22"/>
        </w:rPr>
        <w:t xml:space="preserve"> </w:t>
      </w:r>
      <w:r w:rsidRPr="00225B62">
        <w:rPr>
          <w:rFonts w:ascii="Times New Roman" w:hAnsi="Times New Roman"/>
          <w:szCs w:val="22"/>
        </w:rPr>
        <w:t>to Be Announced in Future Public Notice</w:t>
      </w:r>
    </w:p>
    <w:p w14:paraId="59388EDB" w14:textId="6A8EFE15" w:rsidR="00A56F36" w:rsidRPr="00225B62" w:rsidRDefault="00ED3939" w:rsidP="00A56F36">
      <w:pPr>
        <w:pStyle w:val="ParaNum"/>
        <w:tabs>
          <w:tab w:val="clear" w:pos="1080"/>
          <w:tab w:val="num" w:pos="1440"/>
        </w:tabs>
        <w:rPr>
          <w:szCs w:val="22"/>
        </w:rPr>
      </w:pPr>
      <w:r w:rsidRPr="00225B62">
        <w:rPr>
          <w:szCs w:val="22"/>
        </w:rPr>
        <w:t>To facilitate the Special Displacement Window outlined in Section II</w:t>
      </w:r>
      <w:r w:rsidR="00D05C8F" w:rsidRPr="00225B62">
        <w:rPr>
          <w:szCs w:val="22"/>
        </w:rPr>
        <w:t>I</w:t>
      </w:r>
      <w:r w:rsidR="00992C82" w:rsidRPr="00225B62">
        <w:rPr>
          <w:szCs w:val="22"/>
        </w:rPr>
        <w:t>,</w:t>
      </w:r>
      <w:r w:rsidRPr="00225B62">
        <w:rPr>
          <w:szCs w:val="22"/>
        </w:rPr>
        <w:t xml:space="preserve"> and to protect the opportunity for </w:t>
      </w:r>
      <w:r w:rsidR="00D80960" w:rsidRPr="00225B62">
        <w:rPr>
          <w:szCs w:val="22"/>
        </w:rPr>
        <w:t>LPTV/translator stations</w:t>
      </w:r>
      <w:r w:rsidRPr="00225B62">
        <w:rPr>
          <w:szCs w:val="22"/>
        </w:rPr>
        <w:t xml:space="preserve"> displaced </w:t>
      </w:r>
      <w:r w:rsidR="00235CFA" w:rsidRPr="00225B62">
        <w:rPr>
          <w:szCs w:val="22"/>
        </w:rPr>
        <w:t xml:space="preserve">as a result of </w:t>
      </w:r>
      <w:r w:rsidRPr="00225B62">
        <w:rPr>
          <w:szCs w:val="22"/>
        </w:rPr>
        <w:t>the incentive auction and repacking process to obtain a new channel from the limited number of channels likely to be available, the Media Bureau, on January 19, 2017, froze the filing of digital companion channel (DCC) applications.</w:t>
      </w:r>
      <w:r w:rsidRPr="00225B62">
        <w:rPr>
          <w:rStyle w:val="FootnoteReference"/>
          <w:sz w:val="22"/>
          <w:szCs w:val="22"/>
        </w:rPr>
        <w:footnoteReference w:id="114"/>
      </w:r>
      <w:r w:rsidRPr="00225B62">
        <w:rPr>
          <w:szCs w:val="22"/>
        </w:rPr>
        <w:t xml:space="preserve">  For similar reasons, the Media Bureau, on June 11, 2014, froze the filing of displacement applications.</w:t>
      </w:r>
      <w:r w:rsidRPr="00225B62">
        <w:rPr>
          <w:rStyle w:val="FootnoteReference"/>
          <w:sz w:val="22"/>
          <w:szCs w:val="22"/>
        </w:rPr>
        <w:footnoteReference w:id="115"/>
      </w:r>
      <w:r w:rsidRPr="00225B62">
        <w:rPr>
          <w:szCs w:val="22"/>
        </w:rPr>
        <w:t xml:space="preserve">  The DCC and displacement application freeze </w:t>
      </w:r>
      <w:r w:rsidR="005100C3" w:rsidRPr="00225B62">
        <w:rPr>
          <w:szCs w:val="22"/>
        </w:rPr>
        <w:t xml:space="preserve">will be lifted </w:t>
      </w:r>
      <w:r w:rsidR="00B362A9" w:rsidRPr="00225B62">
        <w:rPr>
          <w:szCs w:val="22"/>
        </w:rPr>
        <w:t xml:space="preserve">after the closing of </w:t>
      </w:r>
      <w:r w:rsidRPr="00225B62">
        <w:rPr>
          <w:szCs w:val="22"/>
        </w:rPr>
        <w:t>the Special Displacement Window</w:t>
      </w:r>
      <w:r w:rsidR="00031C40" w:rsidRPr="00225B62">
        <w:rPr>
          <w:szCs w:val="22"/>
        </w:rPr>
        <w:t>.  The Media Bureau will announce the date the freeze</w:t>
      </w:r>
      <w:r w:rsidR="00A56F36" w:rsidRPr="00225B62">
        <w:rPr>
          <w:szCs w:val="22"/>
        </w:rPr>
        <w:t>s are</w:t>
      </w:r>
      <w:r w:rsidR="00031C40" w:rsidRPr="00225B62">
        <w:rPr>
          <w:szCs w:val="22"/>
        </w:rPr>
        <w:t xml:space="preserve"> lifted in a future </w:t>
      </w:r>
      <w:r w:rsidR="00992C82" w:rsidRPr="00225B62">
        <w:rPr>
          <w:szCs w:val="22"/>
        </w:rPr>
        <w:t>p</w:t>
      </w:r>
      <w:r w:rsidR="00031C40" w:rsidRPr="00225B62">
        <w:rPr>
          <w:szCs w:val="22"/>
        </w:rPr>
        <w:t xml:space="preserve">ublic </w:t>
      </w:r>
      <w:r w:rsidR="00992C82" w:rsidRPr="00225B62">
        <w:rPr>
          <w:szCs w:val="22"/>
        </w:rPr>
        <w:t>n</w:t>
      </w:r>
      <w:r w:rsidR="00031C40" w:rsidRPr="00225B62">
        <w:rPr>
          <w:szCs w:val="22"/>
        </w:rPr>
        <w:t xml:space="preserve">otice, </w:t>
      </w:r>
      <w:r w:rsidR="00FC493B" w:rsidRPr="00225B62">
        <w:rPr>
          <w:szCs w:val="22"/>
        </w:rPr>
        <w:t xml:space="preserve">whereupon the Commission will once again accept DCC applications and </w:t>
      </w:r>
      <w:r w:rsidR="00BF216B" w:rsidRPr="00225B62">
        <w:rPr>
          <w:szCs w:val="22"/>
        </w:rPr>
        <w:t xml:space="preserve">displacement </w:t>
      </w:r>
      <w:r w:rsidR="00FC493B" w:rsidRPr="00225B62">
        <w:rPr>
          <w:szCs w:val="22"/>
        </w:rPr>
        <w:t>applications by LPTV</w:t>
      </w:r>
      <w:r w:rsidR="00BF216B" w:rsidRPr="00225B62">
        <w:rPr>
          <w:szCs w:val="22"/>
        </w:rPr>
        <w:t xml:space="preserve">/translator stations </w:t>
      </w:r>
      <w:r w:rsidR="00FC493B" w:rsidRPr="00225B62">
        <w:rPr>
          <w:szCs w:val="22"/>
        </w:rPr>
        <w:t>that are displaced pursuant to the rules</w:t>
      </w:r>
      <w:r w:rsidRPr="00225B62">
        <w:rPr>
          <w:szCs w:val="22"/>
        </w:rPr>
        <w:t>.</w:t>
      </w:r>
    </w:p>
    <w:p w14:paraId="55DBBD6E" w14:textId="198A4EC2" w:rsidR="00A56F36" w:rsidRPr="00225B62" w:rsidRDefault="004F3C6C" w:rsidP="00A56F36">
      <w:pPr>
        <w:pStyle w:val="ParaNum"/>
        <w:tabs>
          <w:tab w:val="clear" w:pos="1080"/>
          <w:tab w:val="num" w:pos="1440"/>
        </w:tabs>
        <w:rPr>
          <w:szCs w:val="22"/>
        </w:rPr>
      </w:pPr>
      <w:r w:rsidRPr="00225B62">
        <w:rPr>
          <w:szCs w:val="22"/>
        </w:rPr>
        <w:t>We remind displaced LPTV</w:t>
      </w:r>
      <w:r w:rsidR="00BF216B" w:rsidRPr="00225B62">
        <w:rPr>
          <w:szCs w:val="22"/>
        </w:rPr>
        <w:t xml:space="preserve">/translator </w:t>
      </w:r>
      <w:r w:rsidRPr="00225B62">
        <w:rPr>
          <w:szCs w:val="22"/>
        </w:rPr>
        <w:t>station</w:t>
      </w:r>
      <w:r w:rsidR="00BF216B" w:rsidRPr="00225B62">
        <w:rPr>
          <w:szCs w:val="22"/>
        </w:rPr>
        <w:t>s that d</w:t>
      </w:r>
      <w:r w:rsidR="00FB63B4" w:rsidRPr="00225B62">
        <w:rPr>
          <w:szCs w:val="22"/>
        </w:rPr>
        <w:t>o</w:t>
      </w:r>
      <w:r w:rsidR="00BF216B" w:rsidRPr="00225B62">
        <w:rPr>
          <w:szCs w:val="22"/>
        </w:rPr>
        <w:t xml:space="preserve"> not qualify for the Special Displacement W</w:t>
      </w:r>
      <w:r w:rsidRPr="00225B62">
        <w:rPr>
          <w:szCs w:val="22"/>
        </w:rPr>
        <w:t>indow (</w:t>
      </w:r>
      <w:r w:rsidR="00BF216B" w:rsidRPr="00225B62">
        <w:rPr>
          <w:szCs w:val="22"/>
        </w:rPr>
        <w:t xml:space="preserve">e.g., </w:t>
      </w:r>
      <w:r w:rsidRPr="00225B62">
        <w:rPr>
          <w:szCs w:val="22"/>
        </w:rPr>
        <w:t xml:space="preserve">permittees that were not operating as of the </w:t>
      </w:r>
      <w:r w:rsidRPr="00225B62">
        <w:rPr>
          <w:i/>
          <w:szCs w:val="22"/>
        </w:rPr>
        <w:t>Closing and Channel Reassignment Public Notice</w:t>
      </w:r>
      <w:r w:rsidRPr="00225B62">
        <w:rPr>
          <w:szCs w:val="22"/>
        </w:rPr>
        <w:t>) and stations that were eligible but d</w:t>
      </w:r>
      <w:r w:rsidR="00FB63B4" w:rsidRPr="00225B62">
        <w:rPr>
          <w:szCs w:val="22"/>
        </w:rPr>
        <w:t>o</w:t>
      </w:r>
      <w:r w:rsidRPr="00225B62">
        <w:rPr>
          <w:szCs w:val="22"/>
        </w:rPr>
        <w:t xml:space="preserve"> not file during the </w:t>
      </w:r>
      <w:r w:rsidR="00BF216B" w:rsidRPr="00225B62">
        <w:rPr>
          <w:szCs w:val="22"/>
        </w:rPr>
        <w:t>Special D</w:t>
      </w:r>
      <w:r w:rsidRPr="00225B62">
        <w:rPr>
          <w:szCs w:val="22"/>
        </w:rPr>
        <w:t xml:space="preserve">isplacement </w:t>
      </w:r>
      <w:r w:rsidR="00992C82" w:rsidRPr="00225B62">
        <w:rPr>
          <w:szCs w:val="22"/>
        </w:rPr>
        <w:t>W</w:t>
      </w:r>
      <w:r w:rsidRPr="00225B62">
        <w:rPr>
          <w:szCs w:val="22"/>
        </w:rPr>
        <w:t>indow that they must wait until the freeze is lifted to submit a displacement application.  In addition, the prov</w:t>
      </w:r>
      <w:r w:rsidR="00FB6772" w:rsidRPr="00225B62">
        <w:rPr>
          <w:szCs w:val="22"/>
        </w:rPr>
        <w:t>isions concerning construction p</w:t>
      </w:r>
      <w:r w:rsidRPr="00225B62">
        <w:rPr>
          <w:szCs w:val="22"/>
        </w:rPr>
        <w:t>eriod</w:t>
      </w:r>
      <w:r w:rsidR="00992C82" w:rsidRPr="00225B62">
        <w:rPr>
          <w:szCs w:val="22"/>
        </w:rPr>
        <w:t>s</w:t>
      </w:r>
      <w:r w:rsidRPr="00225B62">
        <w:rPr>
          <w:szCs w:val="22"/>
        </w:rPr>
        <w:t>, extensions of time, tolling and tolling waivers outlined in Section III. F. apply to these displaced</w:t>
      </w:r>
      <w:r w:rsidR="00934F08" w:rsidRPr="00225B62">
        <w:rPr>
          <w:szCs w:val="22"/>
        </w:rPr>
        <w:t xml:space="preserve"> </w:t>
      </w:r>
      <w:r w:rsidR="00992C82" w:rsidRPr="00225B62">
        <w:rPr>
          <w:szCs w:val="22"/>
        </w:rPr>
        <w:t>permittees/</w:t>
      </w:r>
      <w:r w:rsidR="00934F08" w:rsidRPr="00225B62">
        <w:rPr>
          <w:szCs w:val="22"/>
        </w:rPr>
        <w:t>stations.</w:t>
      </w:r>
    </w:p>
    <w:p w14:paraId="184AEC0F" w14:textId="3AFD9AE4" w:rsidR="00ED3939" w:rsidRPr="00225B62" w:rsidRDefault="004F3C6C" w:rsidP="00A56F36">
      <w:pPr>
        <w:pStyle w:val="ParaNum"/>
        <w:tabs>
          <w:tab w:val="clear" w:pos="1080"/>
          <w:tab w:val="num" w:pos="1440"/>
        </w:tabs>
        <w:rPr>
          <w:szCs w:val="22"/>
        </w:rPr>
      </w:pPr>
      <w:r w:rsidRPr="00225B62">
        <w:rPr>
          <w:szCs w:val="22"/>
        </w:rPr>
        <w:t>With respect to tolling waivers</w:t>
      </w:r>
      <w:r w:rsidR="00FB6772" w:rsidRPr="00225B62">
        <w:rPr>
          <w:szCs w:val="22"/>
        </w:rPr>
        <w:t xml:space="preserve"> submitted by these displaced stations</w:t>
      </w:r>
      <w:r w:rsidRPr="00225B62">
        <w:rPr>
          <w:szCs w:val="22"/>
        </w:rPr>
        <w:t xml:space="preserve">, we announce that we </w:t>
      </w:r>
      <w:r w:rsidR="00857C36" w:rsidRPr="00225B62">
        <w:rPr>
          <w:szCs w:val="22"/>
        </w:rPr>
        <w:t xml:space="preserve">expect to </w:t>
      </w:r>
      <w:r w:rsidRPr="00225B62">
        <w:rPr>
          <w:szCs w:val="22"/>
        </w:rPr>
        <w:t>look favorably upon requests where a displaced station can demonstrate that it is unable to construct due to circumstances resulting directly from the post-auction transition, such as the inability to</w:t>
      </w:r>
      <w:r w:rsidR="00DA6EFB">
        <w:rPr>
          <w:szCs w:val="22"/>
        </w:rPr>
        <w:br/>
      </w:r>
      <w:r w:rsidR="00DA6EFB">
        <w:rPr>
          <w:szCs w:val="22"/>
        </w:rPr>
        <w:br/>
      </w:r>
      <w:r w:rsidRPr="00225B62">
        <w:rPr>
          <w:szCs w:val="22"/>
        </w:rPr>
        <w:t xml:space="preserve">procure necessary resources because </w:t>
      </w:r>
      <w:r w:rsidR="006A4B86" w:rsidRPr="00225B62">
        <w:rPr>
          <w:szCs w:val="22"/>
        </w:rPr>
        <w:t>such resources are unavailable due</w:t>
      </w:r>
      <w:r w:rsidR="006A4B86" w:rsidRPr="00225B62" w:rsidDel="001A58E0">
        <w:rPr>
          <w:szCs w:val="22"/>
        </w:rPr>
        <w:t xml:space="preserve"> </w:t>
      </w:r>
      <w:r w:rsidR="00BF216B" w:rsidRPr="00225B62">
        <w:rPr>
          <w:szCs w:val="22"/>
        </w:rPr>
        <w:t xml:space="preserve">to the full </w:t>
      </w:r>
      <w:r w:rsidRPr="00225B62">
        <w:rPr>
          <w:szCs w:val="22"/>
        </w:rPr>
        <w:t xml:space="preserve">power and Class A post-auction transition.    </w:t>
      </w:r>
    </w:p>
    <w:p w14:paraId="0D4EC5DB" w14:textId="77777777" w:rsidR="00D60987" w:rsidRPr="00225B62" w:rsidRDefault="00D60987" w:rsidP="00D60987">
      <w:pPr>
        <w:pStyle w:val="Heading1"/>
        <w:rPr>
          <w:rFonts w:ascii="Times New Roman" w:hAnsi="Times New Roman"/>
          <w:szCs w:val="22"/>
        </w:rPr>
      </w:pPr>
      <w:bookmarkStart w:id="14" w:name="_Toc477506826"/>
      <w:r w:rsidRPr="00225B62">
        <w:rPr>
          <w:rFonts w:ascii="Times New Roman" w:hAnsi="Times New Roman"/>
          <w:szCs w:val="22"/>
        </w:rPr>
        <w:t>Contacts</w:t>
      </w:r>
      <w:bookmarkEnd w:id="14"/>
    </w:p>
    <w:p w14:paraId="22092433" w14:textId="77777777" w:rsidR="00D60987" w:rsidRPr="00225B62" w:rsidRDefault="00D60987" w:rsidP="007D298D">
      <w:pPr>
        <w:numPr>
          <w:ilvl w:val="0"/>
          <w:numId w:val="2"/>
        </w:numPr>
        <w:tabs>
          <w:tab w:val="clear" w:pos="1080"/>
          <w:tab w:val="num" w:pos="1440"/>
        </w:tabs>
        <w:spacing w:after="120"/>
        <w:rPr>
          <w:szCs w:val="22"/>
        </w:rPr>
      </w:pPr>
      <w:r w:rsidRPr="00225B62">
        <w:rPr>
          <w:szCs w:val="22"/>
        </w:rPr>
        <w:t>Additional questions concerning the matters addressed in this Public Notice may be referred to the contact persons below.</w:t>
      </w:r>
    </w:p>
    <w:p w14:paraId="53BE707F" w14:textId="77777777" w:rsidR="00ED7B74" w:rsidRPr="00225B62" w:rsidRDefault="00ED7B74" w:rsidP="00D60987">
      <w:pPr>
        <w:widowControl/>
        <w:snapToGrid w:val="0"/>
        <w:rPr>
          <w:szCs w:val="22"/>
        </w:rPr>
      </w:pPr>
    </w:p>
    <w:p w14:paraId="4BEEAC46" w14:textId="77777777" w:rsidR="00D60987" w:rsidRPr="00225B62" w:rsidRDefault="00ED7B74" w:rsidP="00D60987">
      <w:pPr>
        <w:widowControl/>
        <w:snapToGrid w:val="0"/>
        <w:rPr>
          <w:szCs w:val="22"/>
        </w:rPr>
      </w:pPr>
      <w:r w:rsidRPr="00225B62">
        <w:rPr>
          <w:b/>
          <w:szCs w:val="22"/>
        </w:rPr>
        <w:t>L</w:t>
      </w:r>
      <w:r w:rsidR="00D60987" w:rsidRPr="00225B62">
        <w:rPr>
          <w:b/>
          <w:szCs w:val="22"/>
        </w:rPr>
        <w:t>icensing (legal)</w:t>
      </w:r>
      <w:r w:rsidR="00D60987" w:rsidRPr="00225B62">
        <w:rPr>
          <w:szCs w:val="22"/>
        </w:rPr>
        <w:t>:</w:t>
      </w:r>
      <w:r w:rsidRPr="00225B62">
        <w:rPr>
          <w:szCs w:val="22"/>
        </w:rPr>
        <w:tab/>
      </w:r>
      <w:r w:rsidRPr="00225B62">
        <w:rPr>
          <w:szCs w:val="22"/>
        </w:rPr>
        <w:tab/>
      </w:r>
      <w:r w:rsidR="00D60987" w:rsidRPr="00225B62">
        <w:rPr>
          <w:szCs w:val="22"/>
        </w:rPr>
        <w:tab/>
      </w:r>
      <w:r w:rsidR="00D60987" w:rsidRPr="00225B62">
        <w:rPr>
          <w:szCs w:val="22"/>
        </w:rPr>
        <w:tab/>
        <w:t>Shaun Maher at 202-418-2324 or</w:t>
      </w:r>
    </w:p>
    <w:p w14:paraId="1E53E81A" w14:textId="24A638D0" w:rsidR="00D60987" w:rsidRPr="00225B62" w:rsidRDefault="00CC52AE" w:rsidP="00D60987">
      <w:pPr>
        <w:widowControl/>
        <w:snapToGrid w:val="0"/>
        <w:ind w:left="3600" w:firstLine="720"/>
        <w:rPr>
          <w:szCs w:val="22"/>
        </w:rPr>
      </w:pPr>
      <w:hyperlink r:id="rId15" w:history="1">
        <w:r w:rsidR="00D60987" w:rsidRPr="00225B62">
          <w:rPr>
            <w:szCs w:val="22"/>
            <w:u w:val="single"/>
          </w:rPr>
          <w:t>Shaun.Maher@fcc.gov</w:t>
        </w:r>
      </w:hyperlink>
      <w:r w:rsidR="00D60987" w:rsidRPr="00225B62">
        <w:rPr>
          <w:szCs w:val="22"/>
        </w:rPr>
        <w:t xml:space="preserve"> </w:t>
      </w:r>
    </w:p>
    <w:p w14:paraId="557F194E" w14:textId="77777777" w:rsidR="00E41740" w:rsidRPr="00225B62" w:rsidRDefault="00E41740" w:rsidP="00D60987">
      <w:pPr>
        <w:widowControl/>
        <w:snapToGrid w:val="0"/>
        <w:rPr>
          <w:szCs w:val="22"/>
        </w:rPr>
      </w:pPr>
    </w:p>
    <w:p w14:paraId="42915CA7" w14:textId="77777777" w:rsidR="00D60987" w:rsidRPr="00225B62" w:rsidRDefault="00ED7B74" w:rsidP="00D60987">
      <w:pPr>
        <w:widowControl/>
        <w:snapToGrid w:val="0"/>
        <w:rPr>
          <w:szCs w:val="22"/>
        </w:rPr>
      </w:pPr>
      <w:r w:rsidRPr="00225B62">
        <w:rPr>
          <w:b/>
          <w:szCs w:val="22"/>
        </w:rPr>
        <w:t>Li</w:t>
      </w:r>
      <w:r w:rsidR="00D60987" w:rsidRPr="00225B62">
        <w:rPr>
          <w:b/>
          <w:szCs w:val="22"/>
        </w:rPr>
        <w:t>censing (technical):</w:t>
      </w:r>
      <w:r w:rsidRPr="00225B62">
        <w:rPr>
          <w:b/>
          <w:szCs w:val="22"/>
        </w:rPr>
        <w:tab/>
      </w:r>
      <w:r w:rsidRPr="00225B62">
        <w:rPr>
          <w:b/>
          <w:szCs w:val="22"/>
        </w:rPr>
        <w:tab/>
      </w:r>
      <w:r w:rsidR="00D60987" w:rsidRPr="00225B62">
        <w:rPr>
          <w:szCs w:val="22"/>
        </w:rPr>
        <w:tab/>
      </w:r>
      <w:r w:rsidR="00D60987" w:rsidRPr="00225B62">
        <w:rPr>
          <w:szCs w:val="22"/>
        </w:rPr>
        <w:tab/>
        <w:t>Hossein Hashemzadeh at 202-418-1658 or</w:t>
      </w:r>
    </w:p>
    <w:p w14:paraId="5D9C5C51" w14:textId="3F130FCA" w:rsidR="00D60987" w:rsidRPr="00225B62" w:rsidRDefault="00CC52AE" w:rsidP="00D60987">
      <w:pPr>
        <w:widowControl/>
        <w:snapToGrid w:val="0"/>
        <w:ind w:left="3600" w:firstLine="720"/>
        <w:rPr>
          <w:szCs w:val="22"/>
        </w:rPr>
      </w:pPr>
      <w:hyperlink r:id="rId16" w:history="1">
        <w:r w:rsidR="00D60987" w:rsidRPr="00225B62">
          <w:rPr>
            <w:szCs w:val="22"/>
            <w:u w:val="single"/>
          </w:rPr>
          <w:t>Hossein.Hashemzadah@fcc.gov</w:t>
        </w:r>
      </w:hyperlink>
      <w:r w:rsidR="00D60987" w:rsidRPr="00225B62">
        <w:rPr>
          <w:szCs w:val="22"/>
        </w:rPr>
        <w:t xml:space="preserve"> </w:t>
      </w:r>
    </w:p>
    <w:p w14:paraId="528E6D9C" w14:textId="77777777" w:rsidR="00D60987" w:rsidRPr="00225B62" w:rsidRDefault="00D60987" w:rsidP="00D60987">
      <w:pPr>
        <w:widowControl/>
        <w:snapToGrid w:val="0"/>
        <w:rPr>
          <w:szCs w:val="22"/>
        </w:rPr>
      </w:pPr>
    </w:p>
    <w:p w14:paraId="3D0FDFE0" w14:textId="77777777" w:rsidR="00D60987" w:rsidRPr="00225B62" w:rsidRDefault="00D60987" w:rsidP="00D60987">
      <w:pPr>
        <w:widowControl/>
        <w:snapToGrid w:val="0"/>
        <w:rPr>
          <w:b/>
          <w:szCs w:val="22"/>
        </w:rPr>
      </w:pPr>
      <w:r w:rsidRPr="00225B62">
        <w:rPr>
          <w:b/>
          <w:szCs w:val="22"/>
        </w:rPr>
        <w:t>LMS:</w:t>
      </w:r>
      <w:r w:rsidRPr="00225B62">
        <w:rPr>
          <w:b/>
          <w:szCs w:val="22"/>
        </w:rPr>
        <w:tab/>
      </w:r>
      <w:r w:rsidRPr="00225B62">
        <w:rPr>
          <w:b/>
          <w:szCs w:val="22"/>
        </w:rPr>
        <w:tab/>
      </w:r>
      <w:r w:rsidRPr="00225B62">
        <w:rPr>
          <w:b/>
          <w:szCs w:val="22"/>
        </w:rPr>
        <w:tab/>
      </w:r>
      <w:r w:rsidRPr="00225B62">
        <w:rPr>
          <w:b/>
          <w:szCs w:val="22"/>
        </w:rPr>
        <w:tab/>
      </w:r>
      <w:r w:rsidRPr="00225B62">
        <w:rPr>
          <w:b/>
          <w:szCs w:val="22"/>
        </w:rPr>
        <w:tab/>
      </w:r>
      <w:r w:rsidRPr="00225B62">
        <w:rPr>
          <w:b/>
          <w:szCs w:val="22"/>
        </w:rPr>
        <w:tab/>
      </w:r>
      <w:r w:rsidRPr="00225B62">
        <w:rPr>
          <w:szCs w:val="22"/>
        </w:rPr>
        <w:t>(877) 480-3210 TTY: (717) 333-2824</w:t>
      </w:r>
    </w:p>
    <w:p w14:paraId="250C64ED" w14:textId="77777777" w:rsidR="00D60987" w:rsidRPr="00225B62" w:rsidRDefault="00D60987" w:rsidP="00D60987">
      <w:pPr>
        <w:widowControl/>
        <w:snapToGrid w:val="0"/>
        <w:rPr>
          <w:b/>
          <w:szCs w:val="22"/>
        </w:rPr>
      </w:pPr>
    </w:p>
    <w:p w14:paraId="14A6D275" w14:textId="43E4CDD0" w:rsidR="00DA6EFB" w:rsidRDefault="00D60987" w:rsidP="00F76828">
      <w:pPr>
        <w:widowControl/>
        <w:snapToGrid w:val="0"/>
        <w:rPr>
          <w:szCs w:val="22"/>
        </w:rPr>
      </w:pPr>
      <w:r w:rsidRPr="00225B62">
        <w:rPr>
          <w:b/>
          <w:szCs w:val="22"/>
        </w:rPr>
        <w:t>General Auction 1000 Information:</w:t>
      </w:r>
      <w:r w:rsidRPr="00225B62">
        <w:rPr>
          <w:b/>
          <w:szCs w:val="22"/>
        </w:rPr>
        <w:tab/>
      </w:r>
      <w:r w:rsidRPr="00225B62">
        <w:rPr>
          <w:b/>
          <w:szCs w:val="22"/>
        </w:rPr>
        <w:tab/>
      </w:r>
      <w:hyperlink r:id="rId17" w:history="1">
        <w:r w:rsidRPr="00225B62">
          <w:rPr>
            <w:szCs w:val="22"/>
            <w:u w:val="single"/>
          </w:rPr>
          <w:t>www.fcc.gov/auctions/1000</w:t>
        </w:r>
      </w:hyperlink>
      <w:r w:rsidRPr="00225B62">
        <w:rPr>
          <w:szCs w:val="22"/>
        </w:rPr>
        <w:t xml:space="preserve"> </w:t>
      </w:r>
    </w:p>
    <w:p w14:paraId="6925111D" w14:textId="77777777" w:rsidR="00DA6EFB" w:rsidRDefault="00DA6EFB" w:rsidP="00F76828">
      <w:pPr>
        <w:widowControl/>
        <w:snapToGrid w:val="0"/>
        <w:rPr>
          <w:szCs w:val="22"/>
        </w:rPr>
      </w:pPr>
    </w:p>
    <w:p w14:paraId="4E0E8088" w14:textId="77777777" w:rsidR="00DA6EFB" w:rsidRDefault="00DA6EFB" w:rsidP="00F76828">
      <w:pPr>
        <w:widowControl/>
        <w:snapToGrid w:val="0"/>
        <w:rPr>
          <w:szCs w:val="22"/>
        </w:rPr>
      </w:pPr>
    </w:p>
    <w:p w14:paraId="00D215E7" w14:textId="77777777" w:rsidR="00DA6EFB" w:rsidRDefault="00DA6EFB" w:rsidP="00F76828">
      <w:pPr>
        <w:widowControl/>
        <w:snapToGrid w:val="0"/>
        <w:rPr>
          <w:szCs w:val="22"/>
        </w:rPr>
      </w:pPr>
    </w:p>
    <w:p w14:paraId="169EE788" w14:textId="77777777" w:rsidR="00DA6EFB" w:rsidRPr="00E84A1B" w:rsidRDefault="00DA6EFB" w:rsidP="00DA6EFB">
      <w:pPr>
        <w:jc w:val="center"/>
        <w:rPr>
          <w:szCs w:val="22"/>
        </w:rPr>
      </w:pPr>
      <w:r w:rsidRPr="00E84A1B">
        <w:rPr>
          <w:szCs w:val="22"/>
        </w:rPr>
        <w:t>– FCC –</w:t>
      </w:r>
    </w:p>
    <w:p w14:paraId="678895B0" w14:textId="5EE48BBF" w:rsidR="00A754AF" w:rsidRPr="00225B62" w:rsidRDefault="00A754AF" w:rsidP="00F76828">
      <w:pPr>
        <w:widowControl/>
        <w:snapToGrid w:val="0"/>
        <w:rPr>
          <w:szCs w:val="22"/>
        </w:rPr>
      </w:pPr>
      <w:r w:rsidRPr="00225B62">
        <w:rPr>
          <w:szCs w:val="22"/>
        </w:rPr>
        <w:br w:type="page"/>
      </w:r>
    </w:p>
    <w:p w14:paraId="7DE3669D" w14:textId="77777777" w:rsidR="004B4ABA" w:rsidRPr="00225B62" w:rsidRDefault="00A754AF" w:rsidP="008D554D">
      <w:pPr>
        <w:pStyle w:val="ListParagraph"/>
        <w:spacing w:before="120" w:after="240"/>
        <w:ind w:left="0"/>
        <w:jc w:val="center"/>
        <w:rPr>
          <w:b/>
          <w:szCs w:val="22"/>
        </w:rPr>
      </w:pPr>
      <w:r w:rsidRPr="00225B62">
        <w:rPr>
          <w:b/>
          <w:szCs w:val="22"/>
        </w:rPr>
        <w:t>APPENDIX A</w:t>
      </w:r>
    </w:p>
    <w:p w14:paraId="17E48189" w14:textId="77777777" w:rsidR="00A754AF" w:rsidRPr="00225B62" w:rsidRDefault="00A754AF" w:rsidP="00C1196B">
      <w:pPr>
        <w:spacing w:before="120" w:after="240"/>
        <w:contextualSpacing/>
        <w:jc w:val="center"/>
        <w:rPr>
          <w:b/>
          <w:szCs w:val="22"/>
        </w:rPr>
      </w:pPr>
      <w:r w:rsidRPr="00225B62">
        <w:rPr>
          <w:b/>
          <w:szCs w:val="22"/>
        </w:rPr>
        <w:t>INSTRUCTIONS FOR ACCESSING AND FILING ON LMS</w:t>
      </w:r>
    </w:p>
    <w:p w14:paraId="344A18D9" w14:textId="77777777" w:rsidR="00A754AF" w:rsidRPr="00225B62" w:rsidRDefault="00A754AF" w:rsidP="00C1196B">
      <w:pPr>
        <w:spacing w:before="120" w:after="240"/>
        <w:contextualSpacing/>
        <w:jc w:val="center"/>
        <w:rPr>
          <w:b/>
          <w:szCs w:val="22"/>
        </w:rPr>
      </w:pPr>
    </w:p>
    <w:p w14:paraId="19A7F987" w14:textId="77777777" w:rsidR="00A754AF" w:rsidRPr="00225B62" w:rsidRDefault="00A754AF" w:rsidP="00A754AF">
      <w:pPr>
        <w:spacing w:before="120" w:after="240"/>
        <w:contextualSpacing/>
        <w:rPr>
          <w:b/>
          <w:szCs w:val="22"/>
          <w:u w:val="single"/>
        </w:rPr>
      </w:pPr>
      <w:r w:rsidRPr="00225B62">
        <w:rPr>
          <w:b/>
          <w:szCs w:val="22"/>
          <w:u w:val="single"/>
        </w:rPr>
        <w:t>General Log-in Instructions</w:t>
      </w:r>
    </w:p>
    <w:p w14:paraId="6F878748" w14:textId="77777777" w:rsidR="00265D97" w:rsidRDefault="00265D97" w:rsidP="00A754AF">
      <w:pPr>
        <w:spacing w:before="120" w:after="240"/>
        <w:ind w:firstLine="720"/>
        <w:contextualSpacing/>
        <w:rPr>
          <w:szCs w:val="22"/>
          <w:lang w:eastAsia="x-none"/>
        </w:rPr>
      </w:pPr>
    </w:p>
    <w:p w14:paraId="48E06E74" w14:textId="77777777" w:rsidR="00A754AF" w:rsidRPr="00225B62" w:rsidRDefault="00A754AF" w:rsidP="00A754AF">
      <w:pPr>
        <w:spacing w:before="120" w:after="240"/>
        <w:ind w:firstLine="720"/>
        <w:contextualSpacing/>
        <w:rPr>
          <w:szCs w:val="22"/>
        </w:rPr>
      </w:pPr>
      <w:r w:rsidRPr="00225B62">
        <w:rPr>
          <w:szCs w:val="22"/>
          <w:lang w:eastAsia="x-none"/>
        </w:rPr>
        <w:t>Access the LMS applicant data entry home page here:</w:t>
      </w:r>
    </w:p>
    <w:p w14:paraId="64FA2E15" w14:textId="77777777" w:rsidR="00A754AF" w:rsidRPr="00225B62" w:rsidRDefault="00A754AF" w:rsidP="00A754AF">
      <w:pPr>
        <w:spacing w:before="120" w:after="240"/>
        <w:contextualSpacing/>
        <w:jc w:val="center"/>
        <w:rPr>
          <w:szCs w:val="22"/>
        </w:rPr>
      </w:pPr>
    </w:p>
    <w:p w14:paraId="6CC6C294" w14:textId="1D81F1A6" w:rsidR="00A754AF" w:rsidRPr="00225B62" w:rsidRDefault="00CC52AE" w:rsidP="00A754AF">
      <w:pPr>
        <w:spacing w:before="120" w:after="120"/>
        <w:contextualSpacing/>
        <w:jc w:val="center"/>
        <w:rPr>
          <w:szCs w:val="22"/>
          <w:u w:val="single"/>
        </w:rPr>
      </w:pPr>
      <w:hyperlink r:id="rId18" w:history="1">
        <w:r w:rsidR="00A754AF" w:rsidRPr="00225B62">
          <w:rPr>
            <w:szCs w:val="22"/>
            <w:u w:val="single"/>
          </w:rPr>
          <w:t>https://enterpriseefiling.fcc.gov/dataentry/login.html</w:t>
        </w:r>
      </w:hyperlink>
    </w:p>
    <w:p w14:paraId="202397A3" w14:textId="77777777" w:rsidR="00A754AF" w:rsidRPr="00225B62" w:rsidRDefault="00A754AF" w:rsidP="00A754AF">
      <w:pPr>
        <w:spacing w:before="120" w:after="120"/>
        <w:contextualSpacing/>
        <w:jc w:val="center"/>
        <w:rPr>
          <w:szCs w:val="22"/>
        </w:rPr>
      </w:pPr>
    </w:p>
    <w:p w14:paraId="107D0309" w14:textId="77777777" w:rsidR="00A754AF" w:rsidRPr="00225B62" w:rsidRDefault="00A754AF" w:rsidP="00A754AF">
      <w:pPr>
        <w:spacing w:before="120" w:after="240"/>
        <w:ind w:firstLine="720"/>
        <w:contextualSpacing/>
        <w:rPr>
          <w:szCs w:val="22"/>
        </w:rPr>
      </w:pPr>
      <w:r w:rsidRPr="00225B62">
        <w:rPr>
          <w:szCs w:val="22"/>
          <w:lang w:eastAsia="x-none"/>
        </w:rPr>
        <w:t>L</w:t>
      </w:r>
      <w:r w:rsidRPr="00225B62">
        <w:rPr>
          <w:szCs w:val="22"/>
          <w:lang w:val="x-none"/>
        </w:rPr>
        <w:t xml:space="preserve">ogin using </w:t>
      </w:r>
      <w:r w:rsidRPr="00225B62">
        <w:rPr>
          <w:szCs w:val="22"/>
          <w:lang w:val="x-none" w:eastAsia="x-none"/>
        </w:rPr>
        <w:t>the</w:t>
      </w:r>
      <w:r w:rsidRPr="00225B62">
        <w:rPr>
          <w:szCs w:val="22"/>
          <w:lang w:val="x-none"/>
        </w:rPr>
        <w:t xml:space="preserve"> FRN </w:t>
      </w:r>
      <w:r w:rsidRPr="00225B62">
        <w:rPr>
          <w:szCs w:val="22"/>
          <w:lang w:val="x-none" w:eastAsia="x-none"/>
        </w:rPr>
        <w:t>associated with</w:t>
      </w:r>
      <w:r w:rsidRPr="00225B62">
        <w:rPr>
          <w:szCs w:val="22"/>
          <w:lang w:val="x-none"/>
        </w:rPr>
        <w:t xml:space="preserve"> the station.</w:t>
      </w:r>
      <w:r w:rsidRPr="00225B62">
        <w:rPr>
          <w:szCs w:val="22"/>
        </w:rPr>
        <w:t xml:space="preserve">  </w:t>
      </w:r>
    </w:p>
    <w:p w14:paraId="26EA3A4D" w14:textId="77777777" w:rsidR="00A754AF" w:rsidRPr="00225B62" w:rsidRDefault="00A754AF" w:rsidP="00A754AF">
      <w:pPr>
        <w:spacing w:before="120" w:after="240"/>
        <w:ind w:firstLine="720"/>
        <w:contextualSpacing/>
        <w:rPr>
          <w:szCs w:val="22"/>
        </w:rPr>
      </w:pPr>
    </w:p>
    <w:p w14:paraId="02CB6123" w14:textId="77777777" w:rsidR="00A754AF" w:rsidRPr="00225B62" w:rsidRDefault="00A754AF" w:rsidP="00A754AF">
      <w:pPr>
        <w:spacing w:before="120" w:after="240"/>
        <w:ind w:firstLine="720"/>
        <w:contextualSpacing/>
        <w:rPr>
          <w:szCs w:val="22"/>
        </w:rPr>
      </w:pPr>
      <w:r w:rsidRPr="00225B62">
        <w:rPr>
          <w:szCs w:val="22"/>
        </w:rPr>
        <w:t>For more information and help using the LMS system, contact: (877) 480-3201 TTY: (717) 333-2824.</w:t>
      </w:r>
    </w:p>
    <w:p w14:paraId="4F5A21ED" w14:textId="77777777" w:rsidR="00FC493B" w:rsidRPr="00225B62" w:rsidRDefault="00FC493B" w:rsidP="00FC493B">
      <w:pPr>
        <w:spacing w:before="120" w:after="240"/>
        <w:contextualSpacing/>
        <w:rPr>
          <w:szCs w:val="22"/>
        </w:rPr>
      </w:pPr>
    </w:p>
    <w:p w14:paraId="4FD4735D" w14:textId="77777777" w:rsidR="00FC493B" w:rsidRPr="00225B62" w:rsidRDefault="00FC493B" w:rsidP="00FC493B">
      <w:pPr>
        <w:spacing w:before="120" w:after="240"/>
        <w:contextualSpacing/>
        <w:rPr>
          <w:b/>
          <w:szCs w:val="22"/>
          <w:u w:val="single"/>
        </w:rPr>
      </w:pPr>
      <w:r w:rsidRPr="00225B62">
        <w:rPr>
          <w:b/>
          <w:szCs w:val="22"/>
          <w:u w:val="single"/>
        </w:rPr>
        <w:t>Fees</w:t>
      </w:r>
    </w:p>
    <w:p w14:paraId="245AA7B4" w14:textId="77777777" w:rsidR="00FC493B" w:rsidRPr="00225B62" w:rsidRDefault="00FC493B" w:rsidP="00FC493B">
      <w:pPr>
        <w:spacing w:before="120" w:after="240"/>
        <w:contextualSpacing/>
        <w:rPr>
          <w:b/>
          <w:szCs w:val="22"/>
        </w:rPr>
      </w:pPr>
    </w:p>
    <w:p w14:paraId="44E073F7" w14:textId="77777777" w:rsidR="00FC493B" w:rsidRPr="00225B62" w:rsidRDefault="00FC493B" w:rsidP="00FC493B">
      <w:pPr>
        <w:spacing w:before="120" w:after="240"/>
        <w:ind w:firstLine="720"/>
        <w:contextualSpacing/>
        <w:rPr>
          <w:szCs w:val="22"/>
        </w:rPr>
      </w:pPr>
      <w:r w:rsidRPr="00225B62">
        <w:rPr>
          <w:szCs w:val="22"/>
        </w:rPr>
        <w:t xml:space="preserve">Applicants must pay the requisite filing fee where applicable. </w:t>
      </w:r>
    </w:p>
    <w:p w14:paraId="71CDA0D2" w14:textId="77777777" w:rsidR="00A754AF" w:rsidRPr="00225B62" w:rsidRDefault="00A754AF" w:rsidP="00A754AF">
      <w:pPr>
        <w:spacing w:before="120" w:after="240"/>
        <w:ind w:firstLine="720"/>
        <w:contextualSpacing/>
        <w:rPr>
          <w:szCs w:val="22"/>
        </w:rPr>
      </w:pPr>
    </w:p>
    <w:p w14:paraId="789F8D2D" w14:textId="77777777" w:rsidR="00A754AF" w:rsidRPr="00225B62" w:rsidRDefault="00A754AF" w:rsidP="00A56F36">
      <w:pPr>
        <w:tabs>
          <w:tab w:val="left" w:pos="360"/>
        </w:tabs>
        <w:spacing w:before="120" w:after="240"/>
        <w:ind w:left="720" w:hanging="720"/>
        <w:rPr>
          <w:b/>
          <w:szCs w:val="22"/>
          <w:u w:val="single"/>
        </w:rPr>
      </w:pPr>
      <w:r w:rsidRPr="00225B62">
        <w:rPr>
          <w:b/>
          <w:szCs w:val="22"/>
          <w:u w:val="single"/>
        </w:rPr>
        <w:t>Instructions For Specific Filings</w:t>
      </w:r>
    </w:p>
    <w:p w14:paraId="1BF7DEFA" w14:textId="77777777" w:rsidR="00A754AF" w:rsidRPr="00225B62" w:rsidRDefault="00A754AF" w:rsidP="00A56F36">
      <w:pPr>
        <w:tabs>
          <w:tab w:val="left" w:pos="360"/>
        </w:tabs>
        <w:spacing w:before="120" w:after="240"/>
        <w:ind w:left="720" w:hanging="720"/>
        <w:contextualSpacing/>
        <w:rPr>
          <w:szCs w:val="22"/>
        </w:rPr>
      </w:pPr>
      <w:r w:rsidRPr="00225B62">
        <w:rPr>
          <w:szCs w:val="22"/>
        </w:rPr>
        <w:t>After logging into LMS, follow these instructions for the particular type of filing.</w:t>
      </w:r>
    </w:p>
    <w:p w14:paraId="0F31D864" w14:textId="77777777" w:rsidR="00A754AF" w:rsidRPr="00225B62" w:rsidRDefault="00A754AF" w:rsidP="00A56F36">
      <w:pPr>
        <w:tabs>
          <w:tab w:val="left" w:pos="360"/>
        </w:tabs>
        <w:spacing w:before="120" w:after="240"/>
        <w:ind w:left="720" w:hanging="720"/>
        <w:contextualSpacing/>
        <w:rPr>
          <w:szCs w:val="22"/>
        </w:rPr>
      </w:pPr>
      <w:r w:rsidRPr="00225B62">
        <w:rPr>
          <w:szCs w:val="22"/>
        </w:rPr>
        <w:t xml:space="preserve">  </w:t>
      </w:r>
    </w:p>
    <w:p w14:paraId="06473751" w14:textId="77777777" w:rsidR="00B22690" w:rsidRPr="00225B62" w:rsidRDefault="00B22690" w:rsidP="00A56F36">
      <w:pPr>
        <w:tabs>
          <w:tab w:val="left" w:pos="360"/>
        </w:tabs>
        <w:spacing w:before="120" w:after="240"/>
        <w:ind w:left="720" w:hanging="720"/>
        <w:contextualSpacing/>
        <w:rPr>
          <w:szCs w:val="22"/>
          <w:u w:val="single"/>
        </w:rPr>
      </w:pPr>
      <w:r w:rsidRPr="00225B62">
        <w:rPr>
          <w:szCs w:val="22"/>
          <w:u w:val="single"/>
        </w:rPr>
        <w:t>FCC Form 2100 – Schedule C</w:t>
      </w:r>
      <w:r w:rsidR="00D44D1E" w:rsidRPr="00225B62">
        <w:rPr>
          <w:szCs w:val="22"/>
          <w:u w:val="single"/>
        </w:rPr>
        <w:t xml:space="preserve"> – Displacement Application</w:t>
      </w:r>
    </w:p>
    <w:p w14:paraId="7521E0BC" w14:textId="77777777" w:rsidR="00B22690" w:rsidRPr="00225B62" w:rsidRDefault="00B22690" w:rsidP="00A56F36">
      <w:pPr>
        <w:tabs>
          <w:tab w:val="left" w:pos="360"/>
        </w:tabs>
        <w:ind w:left="720" w:hanging="720"/>
        <w:rPr>
          <w:szCs w:val="22"/>
          <w:u w:val="single"/>
        </w:rPr>
      </w:pPr>
    </w:p>
    <w:p w14:paraId="2FB782FC" w14:textId="5CBC79B3" w:rsidR="00B22690" w:rsidRPr="00225B62" w:rsidRDefault="00B22690" w:rsidP="00A56F36">
      <w:pPr>
        <w:tabs>
          <w:tab w:val="left" w:pos="360"/>
        </w:tabs>
        <w:ind w:left="720" w:hanging="720"/>
        <w:rPr>
          <w:szCs w:val="22"/>
        </w:rPr>
      </w:pPr>
      <w:r w:rsidRPr="00225B62">
        <w:rPr>
          <w:szCs w:val="22"/>
        </w:rPr>
        <w:t xml:space="preserve">1. </w:t>
      </w:r>
      <w:r w:rsidR="00A56F36" w:rsidRPr="00225B62">
        <w:rPr>
          <w:szCs w:val="22"/>
        </w:rPr>
        <w:tab/>
      </w:r>
      <w:r w:rsidRPr="00225B62">
        <w:rPr>
          <w:szCs w:val="22"/>
        </w:rPr>
        <w:t>Login using station’s FRN and password;</w:t>
      </w:r>
    </w:p>
    <w:p w14:paraId="2E28CC99" w14:textId="4595A490" w:rsidR="00B22690" w:rsidRPr="00225B62" w:rsidRDefault="00B22690" w:rsidP="00A56F36">
      <w:pPr>
        <w:tabs>
          <w:tab w:val="left" w:pos="360"/>
        </w:tabs>
        <w:ind w:left="720" w:hanging="720"/>
        <w:rPr>
          <w:szCs w:val="22"/>
        </w:rPr>
      </w:pPr>
      <w:r w:rsidRPr="00225B62">
        <w:rPr>
          <w:szCs w:val="22"/>
        </w:rPr>
        <w:t xml:space="preserve">2. </w:t>
      </w:r>
      <w:r w:rsidR="00A56F36" w:rsidRPr="00225B62">
        <w:rPr>
          <w:szCs w:val="22"/>
        </w:rPr>
        <w:tab/>
      </w:r>
      <w:r w:rsidRPr="00225B62">
        <w:rPr>
          <w:szCs w:val="22"/>
        </w:rPr>
        <w:t>Click on the facility tab on top of the page;</w:t>
      </w:r>
    </w:p>
    <w:p w14:paraId="6E3DD542" w14:textId="18D70EAB" w:rsidR="00B22690" w:rsidRPr="00225B62" w:rsidRDefault="00B22690" w:rsidP="00A56F36">
      <w:pPr>
        <w:tabs>
          <w:tab w:val="left" w:pos="360"/>
        </w:tabs>
        <w:ind w:left="720" w:hanging="720"/>
        <w:rPr>
          <w:szCs w:val="22"/>
        </w:rPr>
      </w:pPr>
      <w:r w:rsidRPr="00225B62">
        <w:rPr>
          <w:szCs w:val="22"/>
        </w:rPr>
        <w:t xml:space="preserve">3. </w:t>
      </w:r>
      <w:r w:rsidR="00A56F36" w:rsidRPr="00225B62">
        <w:rPr>
          <w:szCs w:val="22"/>
        </w:rPr>
        <w:tab/>
      </w:r>
      <w:r w:rsidRPr="00225B62">
        <w:rPr>
          <w:szCs w:val="22"/>
        </w:rPr>
        <w:t>Click on facility ID of the desired station;</w:t>
      </w:r>
    </w:p>
    <w:p w14:paraId="552B3059" w14:textId="0D5A6E3F" w:rsidR="00B22690" w:rsidRPr="00225B62" w:rsidRDefault="00B22690" w:rsidP="00A56F36">
      <w:pPr>
        <w:tabs>
          <w:tab w:val="left" w:pos="360"/>
        </w:tabs>
        <w:ind w:left="720" w:hanging="720"/>
        <w:rPr>
          <w:szCs w:val="22"/>
        </w:rPr>
      </w:pPr>
      <w:r w:rsidRPr="00225B62">
        <w:rPr>
          <w:szCs w:val="22"/>
        </w:rPr>
        <w:t xml:space="preserve">4. </w:t>
      </w:r>
      <w:r w:rsidR="00A56F36" w:rsidRPr="00225B62">
        <w:rPr>
          <w:szCs w:val="22"/>
        </w:rPr>
        <w:tab/>
      </w:r>
      <w:r w:rsidRPr="00225B62">
        <w:rPr>
          <w:szCs w:val="22"/>
        </w:rPr>
        <w:t>Click on “file an application</w:t>
      </w:r>
      <w:r w:rsidR="00FC493B" w:rsidRPr="00225B62">
        <w:rPr>
          <w:szCs w:val="22"/>
        </w:rPr>
        <w:t>;”</w:t>
      </w:r>
    </w:p>
    <w:p w14:paraId="74EAAB68" w14:textId="61441C3C" w:rsidR="00B22690" w:rsidRPr="00225B62" w:rsidRDefault="00B22690" w:rsidP="00A56F36">
      <w:pPr>
        <w:tabs>
          <w:tab w:val="left" w:pos="360"/>
        </w:tabs>
        <w:ind w:left="720" w:hanging="720"/>
        <w:rPr>
          <w:szCs w:val="22"/>
        </w:rPr>
      </w:pPr>
      <w:r w:rsidRPr="00225B62">
        <w:rPr>
          <w:szCs w:val="22"/>
        </w:rPr>
        <w:t xml:space="preserve">5. </w:t>
      </w:r>
      <w:r w:rsidR="00A56F36" w:rsidRPr="00225B62">
        <w:rPr>
          <w:szCs w:val="22"/>
        </w:rPr>
        <w:tab/>
      </w:r>
      <w:r w:rsidRPr="00225B62">
        <w:rPr>
          <w:szCs w:val="22"/>
        </w:rPr>
        <w:t xml:space="preserve">Select Form 2100 – Schedule C from the drop down menu. </w:t>
      </w:r>
    </w:p>
    <w:p w14:paraId="69BEB641" w14:textId="77777777" w:rsidR="00D44D1E" w:rsidRPr="00225B62" w:rsidRDefault="00D44D1E" w:rsidP="00A56F36">
      <w:pPr>
        <w:tabs>
          <w:tab w:val="left" w:pos="360"/>
        </w:tabs>
        <w:ind w:left="720" w:hanging="720"/>
        <w:rPr>
          <w:szCs w:val="22"/>
        </w:rPr>
      </w:pPr>
    </w:p>
    <w:p w14:paraId="5462D705" w14:textId="77777777" w:rsidR="00D44D1E" w:rsidRPr="00225B62" w:rsidRDefault="00D44D1E" w:rsidP="00A56F36">
      <w:pPr>
        <w:tabs>
          <w:tab w:val="left" w:pos="360"/>
        </w:tabs>
        <w:spacing w:before="120" w:after="240"/>
        <w:ind w:left="720" w:hanging="720"/>
        <w:rPr>
          <w:szCs w:val="22"/>
          <w:u w:val="single"/>
        </w:rPr>
      </w:pPr>
      <w:r w:rsidRPr="00225B62">
        <w:rPr>
          <w:szCs w:val="22"/>
          <w:u w:val="single"/>
        </w:rPr>
        <w:t>FCC Form 2100 – Schedule F – Application for License</w:t>
      </w:r>
    </w:p>
    <w:p w14:paraId="6EDFBADF" w14:textId="77777777" w:rsidR="00D44D1E" w:rsidRPr="00225B62" w:rsidRDefault="00D44D1E" w:rsidP="00A56F36">
      <w:pPr>
        <w:numPr>
          <w:ilvl w:val="0"/>
          <w:numId w:val="32"/>
        </w:numPr>
        <w:tabs>
          <w:tab w:val="left" w:pos="360"/>
        </w:tabs>
        <w:spacing w:before="120" w:after="240"/>
        <w:ind w:left="720"/>
        <w:contextualSpacing/>
        <w:rPr>
          <w:szCs w:val="22"/>
        </w:rPr>
      </w:pPr>
      <w:r w:rsidRPr="00225B62">
        <w:rPr>
          <w:szCs w:val="22"/>
        </w:rPr>
        <w:t>Click on “Authorizations” tab on the left top of the page.</w:t>
      </w:r>
    </w:p>
    <w:p w14:paraId="1810F7F9" w14:textId="77777777" w:rsidR="00D44D1E" w:rsidRPr="00225B62" w:rsidRDefault="00D44D1E" w:rsidP="00A56F36">
      <w:pPr>
        <w:numPr>
          <w:ilvl w:val="0"/>
          <w:numId w:val="32"/>
        </w:numPr>
        <w:tabs>
          <w:tab w:val="left" w:pos="360"/>
        </w:tabs>
        <w:spacing w:before="120" w:after="240"/>
        <w:ind w:left="720"/>
        <w:contextualSpacing/>
        <w:rPr>
          <w:szCs w:val="22"/>
        </w:rPr>
      </w:pPr>
      <w:r w:rsidRPr="00225B62">
        <w:rPr>
          <w:szCs w:val="22"/>
        </w:rPr>
        <w:t>Click on construction permit authorization.</w:t>
      </w:r>
    </w:p>
    <w:p w14:paraId="5E05C1C7" w14:textId="77777777" w:rsidR="00D44D1E" w:rsidRPr="00225B62" w:rsidRDefault="00D44D1E" w:rsidP="00A56F36">
      <w:pPr>
        <w:numPr>
          <w:ilvl w:val="0"/>
          <w:numId w:val="32"/>
        </w:numPr>
        <w:tabs>
          <w:tab w:val="left" w:pos="360"/>
        </w:tabs>
        <w:spacing w:before="120" w:after="240"/>
        <w:ind w:left="720"/>
        <w:contextualSpacing/>
        <w:rPr>
          <w:szCs w:val="22"/>
        </w:rPr>
      </w:pPr>
      <w:r w:rsidRPr="00225B62">
        <w:rPr>
          <w:szCs w:val="22"/>
        </w:rPr>
        <w:t>Click on “File an Application” button.</w:t>
      </w:r>
    </w:p>
    <w:p w14:paraId="1DE7E396" w14:textId="77777777" w:rsidR="00D44D1E" w:rsidRPr="00225B62" w:rsidRDefault="00D44D1E" w:rsidP="00A56F36">
      <w:pPr>
        <w:numPr>
          <w:ilvl w:val="0"/>
          <w:numId w:val="32"/>
        </w:numPr>
        <w:tabs>
          <w:tab w:val="left" w:pos="360"/>
        </w:tabs>
        <w:spacing w:before="120" w:after="240"/>
        <w:ind w:left="720"/>
        <w:contextualSpacing/>
        <w:rPr>
          <w:szCs w:val="22"/>
        </w:rPr>
      </w:pPr>
      <w:r w:rsidRPr="00225B62">
        <w:rPr>
          <w:szCs w:val="22"/>
        </w:rPr>
        <w:t>Select “license to cover” from drop down menu.</w:t>
      </w:r>
    </w:p>
    <w:p w14:paraId="6412A15F" w14:textId="77777777" w:rsidR="00D44D1E" w:rsidRPr="00225B62" w:rsidRDefault="00D44D1E" w:rsidP="00A56F36">
      <w:pPr>
        <w:numPr>
          <w:ilvl w:val="0"/>
          <w:numId w:val="32"/>
        </w:numPr>
        <w:tabs>
          <w:tab w:val="left" w:pos="360"/>
        </w:tabs>
        <w:spacing w:before="120" w:after="240"/>
        <w:ind w:left="720"/>
        <w:contextualSpacing/>
        <w:rPr>
          <w:szCs w:val="22"/>
        </w:rPr>
      </w:pPr>
      <w:r w:rsidRPr="00225B62">
        <w:rPr>
          <w:szCs w:val="22"/>
        </w:rPr>
        <w:t>Complete the application and click “Submit.”</w:t>
      </w:r>
    </w:p>
    <w:p w14:paraId="39C595F9" w14:textId="77777777" w:rsidR="00B22690" w:rsidRPr="00225B62" w:rsidRDefault="00B22690" w:rsidP="00A56F36">
      <w:pPr>
        <w:tabs>
          <w:tab w:val="left" w:pos="360"/>
        </w:tabs>
        <w:ind w:left="720" w:hanging="720"/>
        <w:rPr>
          <w:szCs w:val="22"/>
        </w:rPr>
      </w:pPr>
    </w:p>
    <w:p w14:paraId="6C1750D7" w14:textId="01781B6A" w:rsidR="00C1196B" w:rsidRPr="00225B62" w:rsidRDefault="00C1196B" w:rsidP="00A56F36">
      <w:pPr>
        <w:tabs>
          <w:tab w:val="left" w:pos="360"/>
        </w:tabs>
        <w:spacing w:before="120" w:after="240"/>
        <w:ind w:left="720" w:hanging="720"/>
        <w:contextualSpacing/>
        <w:rPr>
          <w:szCs w:val="22"/>
          <w:u w:val="single"/>
        </w:rPr>
      </w:pPr>
      <w:r w:rsidRPr="00225B62">
        <w:rPr>
          <w:szCs w:val="22"/>
          <w:u w:val="single"/>
        </w:rPr>
        <w:t>FCC Form 2100 – Schedule C</w:t>
      </w:r>
      <w:r w:rsidR="00AC796B" w:rsidRPr="00225B62">
        <w:rPr>
          <w:szCs w:val="22"/>
          <w:u w:val="single"/>
        </w:rPr>
        <w:t xml:space="preserve"> - Digital-to-Digital Replacement Translator</w:t>
      </w:r>
      <w:r w:rsidR="00AC27E1" w:rsidRPr="00225B62">
        <w:rPr>
          <w:szCs w:val="22"/>
          <w:u w:val="single"/>
        </w:rPr>
        <w:t xml:space="preserve"> (DRT)</w:t>
      </w:r>
      <w:r w:rsidR="00AC796B" w:rsidRPr="00225B62">
        <w:rPr>
          <w:szCs w:val="22"/>
          <w:u w:val="single"/>
        </w:rPr>
        <w:t xml:space="preserve"> Application</w:t>
      </w:r>
    </w:p>
    <w:p w14:paraId="55852AB6" w14:textId="77777777" w:rsidR="00C1196B" w:rsidRPr="00225B62" w:rsidRDefault="00C1196B" w:rsidP="00A56F36">
      <w:pPr>
        <w:tabs>
          <w:tab w:val="left" w:pos="360"/>
        </w:tabs>
        <w:ind w:left="720" w:hanging="720"/>
        <w:rPr>
          <w:szCs w:val="22"/>
          <w:u w:val="single"/>
        </w:rPr>
      </w:pPr>
    </w:p>
    <w:p w14:paraId="70C46374" w14:textId="0CFC103A" w:rsidR="00C1196B" w:rsidRPr="00225B62" w:rsidRDefault="00C1196B" w:rsidP="00A56F36">
      <w:pPr>
        <w:tabs>
          <w:tab w:val="left" w:pos="360"/>
        </w:tabs>
        <w:ind w:left="720" w:hanging="720"/>
        <w:rPr>
          <w:szCs w:val="22"/>
        </w:rPr>
      </w:pPr>
      <w:r w:rsidRPr="00225B62">
        <w:rPr>
          <w:szCs w:val="22"/>
        </w:rPr>
        <w:t xml:space="preserve">1. </w:t>
      </w:r>
      <w:r w:rsidR="00A56F36" w:rsidRPr="00225B62">
        <w:rPr>
          <w:szCs w:val="22"/>
        </w:rPr>
        <w:tab/>
      </w:r>
      <w:r w:rsidRPr="00225B62">
        <w:rPr>
          <w:szCs w:val="22"/>
        </w:rPr>
        <w:t>Login using station’s FRN and password;</w:t>
      </w:r>
    </w:p>
    <w:p w14:paraId="39284317" w14:textId="475E47D9" w:rsidR="00C1196B" w:rsidRPr="00225B62" w:rsidRDefault="00C1196B" w:rsidP="00A56F36">
      <w:pPr>
        <w:tabs>
          <w:tab w:val="left" w:pos="360"/>
        </w:tabs>
        <w:ind w:left="720" w:hanging="720"/>
        <w:rPr>
          <w:szCs w:val="22"/>
        </w:rPr>
      </w:pPr>
      <w:r w:rsidRPr="00225B62">
        <w:rPr>
          <w:szCs w:val="22"/>
        </w:rPr>
        <w:t>2.</w:t>
      </w:r>
      <w:r w:rsidR="00A56F36" w:rsidRPr="00225B62">
        <w:rPr>
          <w:szCs w:val="22"/>
        </w:rPr>
        <w:tab/>
      </w:r>
      <w:r w:rsidRPr="00225B62">
        <w:rPr>
          <w:szCs w:val="22"/>
        </w:rPr>
        <w:t>Click on the facility tab on top of the page;</w:t>
      </w:r>
    </w:p>
    <w:p w14:paraId="58A29D33" w14:textId="5A353C7C" w:rsidR="00C1196B" w:rsidRPr="00225B62" w:rsidRDefault="00C1196B" w:rsidP="00A56F36">
      <w:pPr>
        <w:tabs>
          <w:tab w:val="left" w:pos="360"/>
        </w:tabs>
        <w:ind w:left="720" w:hanging="720"/>
        <w:rPr>
          <w:szCs w:val="22"/>
        </w:rPr>
      </w:pPr>
      <w:r w:rsidRPr="00225B62">
        <w:rPr>
          <w:szCs w:val="22"/>
        </w:rPr>
        <w:t xml:space="preserve">3. </w:t>
      </w:r>
      <w:r w:rsidR="00A56F36" w:rsidRPr="00225B62">
        <w:rPr>
          <w:szCs w:val="22"/>
        </w:rPr>
        <w:tab/>
      </w:r>
      <w:r w:rsidRPr="00225B62">
        <w:rPr>
          <w:szCs w:val="22"/>
        </w:rPr>
        <w:t>Click on facility ID of the desired station;</w:t>
      </w:r>
    </w:p>
    <w:p w14:paraId="7175912E" w14:textId="3EAFA036" w:rsidR="00C1196B" w:rsidRPr="00225B62" w:rsidRDefault="00C1196B" w:rsidP="00A56F36">
      <w:pPr>
        <w:tabs>
          <w:tab w:val="left" w:pos="360"/>
        </w:tabs>
        <w:ind w:left="720" w:hanging="720"/>
        <w:rPr>
          <w:szCs w:val="22"/>
        </w:rPr>
      </w:pPr>
      <w:r w:rsidRPr="00225B62">
        <w:rPr>
          <w:szCs w:val="22"/>
        </w:rPr>
        <w:t xml:space="preserve">4. </w:t>
      </w:r>
      <w:r w:rsidR="00A56F36" w:rsidRPr="00225B62">
        <w:rPr>
          <w:szCs w:val="22"/>
        </w:rPr>
        <w:tab/>
      </w:r>
      <w:r w:rsidRPr="00225B62">
        <w:rPr>
          <w:szCs w:val="22"/>
        </w:rPr>
        <w:t>Click on “file an application</w:t>
      </w:r>
      <w:r w:rsidR="00AC27E1" w:rsidRPr="00225B62">
        <w:rPr>
          <w:szCs w:val="22"/>
        </w:rPr>
        <w:t>;</w:t>
      </w:r>
      <w:r w:rsidRPr="00225B62">
        <w:rPr>
          <w:szCs w:val="22"/>
        </w:rPr>
        <w:t>”</w:t>
      </w:r>
    </w:p>
    <w:p w14:paraId="464F81E1" w14:textId="543CEF30" w:rsidR="00C1196B" w:rsidRPr="00225B62" w:rsidRDefault="00C1196B" w:rsidP="00A56F36">
      <w:pPr>
        <w:tabs>
          <w:tab w:val="left" w:pos="360"/>
        </w:tabs>
        <w:ind w:left="720" w:hanging="720"/>
        <w:rPr>
          <w:szCs w:val="22"/>
        </w:rPr>
      </w:pPr>
      <w:r w:rsidRPr="00225B62">
        <w:rPr>
          <w:szCs w:val="22"/>
        </w:rPr>
        <w:t xml:space="preserve">5. </w:t>
      </w:r>
      <w:r w:rsidR="00A56F36" w:rsidRPr="00225B62">
        <w:rPr>
          <w:szCs w:val="22"/>
        </w:rPr>
        <w:tab/>
      </w:r>
      <w:r w:rsidRPr="00225B62">
        <w:rPr>
          <w:szCs w:val="22"/>
        </w:rPr>
        <w:t xml:space="preserve">Select Form 2100 – Schedule C from the drop down menu. </w:t>
      </w:r>
    </w:p>
    <w:p w14:paraId="2617DBFA" w14:textId="77777777" w:rsidR="00AC796B" w:rsidRPr="00225B62" w:rsidRDefault="00AC796B" w:rsidP="00A56F36">
      <w:pPr>
        <w:tabs>
          <w:tab w:val="left" w:pos="360"/>
        </w:tabs>
        <w:ind w:left="720" w:hanging="720"/>
        <w:rPr>
          <w:szCs w:val="22"/>
        </w:rPr>
      </w:pPr>
    </w:p>
    <w:p w14:paraId="5BC609F3" w14:textId="77777777" w:rsidR="00C1196B" w:rsidRPr="00225B62" w:rsidRDefault="00C1196B" w:rsidP="00265D97">
      <w:pPr>
        <w:tabs>
          <w:tab w:val="left" w:pos="360"/>
        </w:tabs>
        <w:spacing w:before="120" w:after="240"/>
        <w:contextualSpacing/>
        <w:rPr>
          <w:szCs w:val="22"/>
          <w:u w:val="single"/>
        </w:rPr>
      </w:pPr>
      <w:r w:rsidRPr="00225B62">
        <w:rPr>
          <w:szCs w:val="22"/>
          <w:u w:val="single"/>
        </w:rPr>
        <w:t>FCC Form 2100 – Schedule C</w:t>
      </w:r>
      <w:r w:rsidR="00AC796B" w:rsidRPr="00225B62">
        <w:rPr>
          <w:szCs w:val="22"/>
          <w:u w:val="single"/>
        </w:rPr>
        <w:t xml:space="preserve"> - Digital Companion Channel Application</w:t>
      </w:r>
    </w:p>
    <w:p w14:paraId="57788E36" w14:textId="77777777" w:rsidR="00C1196B" w:rsidRPr="00225B62" w:rsidRDefault="00C1196B" w:rsidP="00A56F36">
      <w:pPr>
        <w:tabs>
          <w:tab w:val="left" w:pos="360"/>
        </w:tabs>
        <w:ind w:left="720" w:hanging="720"/>
        <w:rPr>
          <w:szCs w:val="22"/>
          <w:u w:val="single"/>
        </w:rPr>
      </w:pPr>
    </w:p>
    <w:p w14:paraId="46F48CC7" w14:textId="40B0ED1D" w:rsidR="00C1196B" w:rsidRPr="00225B62" w:rsidRDefault="00C1196B" w:rsidP="00A56F36">
      <w:pPr>
        <w:tabs>
          <w:tab w:val="left" w:pos="360"/>
        </w:tabs>
        <w:ind w:left="720" w:hanging="720"/>
        <w:rPr>
          <w:szCs w:val="22"/>
        </w:rPr>
      </w:pPr>
      <w:r w:rsidRPr="00225B62">
        <w:rPr>
          <w:szCs w:val="22"/>
        </w:rPr>
        <w:t xml:space="preserve">1. </w:t>
      </w:r>
      <w:r w:rsidR="00A56F36" w:rsidRPr="00225B62">
        <w:rPr>
          <w:szCs w:val="22"/>
        </w:rPr>
        <w:tab/>
      </w:r>
      <w:r w:rsidRPr="00225B62">
        <w:rPr>
          <w:szCs w:val="22"/>
        </w:rPr>
        <w:t>Login using station’s FRN and password;</w:t>
      </w:r>
    </w:p>
    <w:p w14:paraId="2EC97BFF" w14:textId="5E8541DB" w:rsidR="00C1196B" w:rsidRPr="00225B62" w:rsidRDefault="00C1196B" w:rsidP="00A56F36">
      <w:pPr>
        <w:tabs>
          <w:tab w:val="left" w:pos="360"/>
        </w:tabs>
        <w:ind w:left="720" w:hanging="720"/>
        <w:rPr>
          <w:szCs w:val="22"/>
        </w:rPr>
      </w:pPr>
      <w:r w:rsidRPr="00225B62">
        <w:rPr>
          <w:szCs w:val="22"/>
        </w:rPr>
        <w:t xml:space="preserve">2. </w:t>
      </w:r>
      <w:r w:rsidR="00A56F36" w:rsidRPr="00225B62">
        <w:rPr>
          <w:szCs w:val="22"/>
        </w:rPr>
        <w:tab/>
      </w:r>
      <w:r w:rsidRPr="00225B62">
        <w:rPr>
          <w:szCs w:val="22"/>
        </w:rPr>
        <w:t>Click on the facility tab on top of the page;</w:t>
      </w:r>
    </w:p>
    <w:p w14:paraId="02A6A6FA" w14:textId="393C63F9" w:rsidR="00C1196B" w:rsidRPr="00225B62" w:rsidRDefault="00C1196B" w:rsidP="00A56F36">
      <w:pPr>
        <w:tabs>
          <w:tab w:val="left" w:pos="360"/>
        </w:tabs>
        <w:ind w:left="720" w:hanging="720"/>
        <w:rPr>
          <w:szCs w:val="22"/>
        </w:rPr>
      </w:pPr>
      <w:r w:rsidRPr="00225B62">
        <w:rPr>
          <w:szCs w:val="22"/>
        </w:rPr>
        <w:t xml:space="preserve">3. </w:t>
      </w:r>
      <w:r w:rsidR="00A56F36" w:rsidRPr="00225B62">
        <w:rPr>
          <w:szCs w:val="22"/>
        </w:rPr>
        <w:tab/>
      </w:r>
      <w:r w:rsidRPr="00225B62">
        <w:rPr>
          <w:szCs w:val="22"/>
        </w:rPr>
        <w:t>Click on facility ID of the desired station;</w:t>
      </w:r>
    </w:p>
    <w:p w14:paraId="4E608748" w14:textId="5CD41322" w:rsidR="00C1196B" w:rsidRPr="00225B62" w:rsidRDefault="00C1196B" w:rsidP="00A56F36">
      <w:pPr>
        <w:tabs>
          <w:tab w:val="left" w:pos="360"/>
        </w:tabs>
        <w:ind w:left="720" w:hanging="720"/>
        <w:rPr>
          <w:szCs w:val="22"/>
        </w:rPr>
      </w:pPr>
      <w:r w:rsidRPr="00225B62">
        <w:rPr>
          <w:szCs w:val="22"/>
        </w:rPr>
        <w:t xml:space="preserve">4. </w:t>
      </w:r>
      <w:r w:rsidR="00A56F36" w:rsidRPr="00225B62">
        <w:rPr>
          <w:szCs w:val="22"/>
        </w:rPr>
        <w:tab/>
      </w:r>
      <w:r w:rsidRPr="00225B62">
        <w:rPr>
          <w:szCs w:val="22"/>
        </w:rPr>
        <w:t>Click on “file an application”;</w:t>
      </w:r>
    </w:p>
    <w:p w14:paraId="6832B36B" w14:textId="4EEEEAB9" w:rsidR="00C1196B" w:rsidRPr="00225B62" w:rsidRDefault="00C1196B" w:rsidP="00A56F36">
      <w:pPr>
        <w:tabs>
          <w:tab w:val="left" w:pos="360"/>
        </w:tabs>
        <w:ind w:left="720" w:hanging="720"/>
        <w:rPr>
          <w:szCs w:val="22"/>
        </w:rPr>
      </w:pPr>
      <w:r w:rsidRPr="00225B62">
        <w:rPr>
          <w:szCs w:val="22"/>
        </w:rPr>
        <w:t xml:space="preserve">5. </w:t>
      </w:r>
      <w:r w:rsidR="00A56F36" w:rsidRPr="00225B62">
        <w:rPr>
          <w:szCs w:val="22"/>
        </w:rPr>
        <w:tab/>
      </w:r>
      <w:r w:rsidRPr="00225B62">
        <w:rPr>
          <w:szCs w:val="22"/>
        </w:rPr>
        <w:t xml:space="preserve">Select Form 2100 – Schedule C from the drop down menu. </w:t>
      </w:r>
    </w:p>
    <w:p w14:paraId="7C19EDAE" w14:textId="77777777" w:rsidR="00AC796B" w:rsidRPr="00225B62" w:rsidRDefault="00AC796B" w:rsidP="00A56F36">
      <w:pPr>
        <w:tabs>
          <w:tab w:val="left" w:pos="360"/>
        </w:tabs>
        <w:spacing w:before="120" w:after="240"/>
        <w:ind w:left="720" w:hanging="720"/>
        <w:rPr>
          <w:szCs w:val="22"/>
          <w:u w:val="single"/>
        </w:rPr>
      </w:pPr>
      <w:r w:rsidRPr="00225B62">
        <w:rPr>
          <w:szCs w:val="22"/>
          <w:u w:val="single"/>
        </w:rPr>
        <w:t>Engineering, Legal, and Silent STAs</w:t>
      </w:r>
    </w:p>
    <w:p w14:paraId="09C015F0" w14:textId="77777777" w:rsidR="00AC796B" w:rsidRPr="00225B62" w:rsidRDefault="00AC796B" w:rsidP="00A56F36">
      <w:pPr>
        <w:numPr>
          <w:ilvl w:val="0"/>
          <w:numId w:val="33"/>
        </w:numPr>
        <w:tabs>
          <w:tab w:val="left" w:pos="360"/>
        </w:tabs>
        <w:spacing w:before="120" w:after="240"/>
        <w:ind w:left="720"/>
        <w:contextualSpacing/>
        <w:rPr>
          <w:szCs w:val="22"/>
        </w:rPr>
      </w:pPr>
      <w:r w:rsidRPr="00225B62">
        <w:rPr>
          <w:szCs w:val="22"/>
        </w:rPr>
        <w:t xml:space="preserve">Click on “Facilities” tab on the left top of the page. </w:t>
      </w:r>
    </w:p>
    <w:p w14:paraId="2916570E" w14:textId="77777777" w:rsidR="00AC796B" w:rsidRPr="00225B62" w:rsidRDefault="00AC796B" w:rsidP="00A56F36">
      <w:pPr>
        <w:numPr>
          <w:ilvl w:val="0"/>
          <w:numId w:val="33"/>
        </w:numPr>
        <w:tabs>
          <w:tab w:val="left" w:pos="360"/>
        </w:tabs>
        <w:spacing w:before="120" w:after="240"/>
        <w:ind w:left="720"/>
        <w:contextualSpacing/>
        <w:rPr>
          <w:szCs w:val="22"/>
        </w:rPr>
      </w:pPr>
      <w:r w:rsidRPr="00225B62">
        <w:rPr>
          <w:szCs w:val="22"/>
        </w:rPr>
        <w:t>Click on Facility ID of the station.</w:t>
      </w:r>
    </w:p>
    <w:p w14:paraId="591676C5" w14:textId="77777777" w:rsidR="00AC796B" w:rsidRPr="00225B62" w:rsidRDefault="00AC796B" w:rsidP="00A56F36">
      <w:pPr>
        <w:numPr>
          <w:ilvl w:val="0"/>
          <w:numId w:val="33"/>
        </w:numPr>
        <w:tabs>
          <w:tab w:val="left" w:pos="360"/>
        </w:tabs>
        <w:spacing w:before="120" w:after="240"/>
        <w:ind w:left="720"/>
        <w:contextualSpacing/>
        <w:rPr>
          <w:szCs w:val="22"/>
        </w:rPr>
      </w:pPr>
      <w:r w:rsidRPr="00225B62">
        <w:rPr>
          <w:szCs w:val="22"/>
        </w:rPr>
        <w:t>Click on “File an Application” button.</w:t>
      </w:r>
    </w:p>
    <w:p w14:paraId="4DD756BB" w14:textId="77777777" w:rsidR="00AC796B" w:rsidRPr="00225B62" w:rsidRDefault="00AC796B" w:rsidP="00A56F36">
      <w:pPr>
        <w:numPr>
          <w:ilvl w:val="0"/>
          <w:numId w:val="33"/>
        </w:numPr>
        <w:tabs>
          <w:tab w:val="left" w:pos="360"/>
        </w:tabs>
        <w:spacing w:before="120" w:after="240"/>
        <w:ind w:left="720"/>
        <w:contextualSpacing/>
        <w:rPr>
          <w:szCs w:val="22"/>
        </w:rPr>
      </w:pPr>
      <w:r w:rsidRPr="00225B62">
        <w:rPr>
          <w:szCs w:val="22"/>
        </w:rPr>
        <w:t>Select “STA – engineering, legal or silent” from the drop down menu.</w:t>
      </w:r>
    </w:p>
    <w:p w14:paraId="592724BD" w14:textId="77777777" w:rsidR="00C1196B" w:rsidRPr="00225B62" w:rsidRDefault="00AC796B" w:rsidP="00A56F36">
      <w:pPr>
        <w:numPr>
          <w:ilvl w:val="0"/>
          <w:numId w:val="33"/>
        </w:numPr>
        <w:tabs>
          <w:tab w:val="left" w:pos="360"/>
        </w:tabs>
        <w:spacing w:before="120" w:after="240"/>
        <w:ind w:left="720"/>
        <w:contextualSpacing/>
        <w:rPr>
          <w:szCs w:val="22"/>
        </w:rPr>
      </w:pPr>
      <w:r w:rsidRPr="00225B62">
        <w:rPr>
          <w:szCs w:val="22"/>
        </w:rPr>
        <w:t>Complete the application and click “Submit.”</w:t>
      </w:r>
    </w:p>
    <w:p w14:paraId="4DB95A93" w14:textId="77777777" w:rsidR="00C1196B" w:rsidRPr="00225B62" w:rsidRDefault="00C1196B" w:rsidP="00A56F36">
      <w:pPr>
        <w:tabs>
          <w:tab w:val="left" w:pos="360"/>
        </w:tabs>
        <w:ind w:left="720" w:hanging="720"/>
        <w:rPr>
          <w:szCs w:val="22"/>
        </w:rPr>
      </w:pPr>
    </w:p>
    <w:p w14:paraId="5AD4932A" w14:textId="77777777" w:rsidR="00B22690" w:rsidRPr="00225B62" w:rsidRDefault="00B22690" w:rsidP="00A56F36">
      <w:pPr>
        <w:tabs>
          <w:tab w:val="left" w:pos="360"/>
        </w:tabs>
        <w:spacing w:before="120" w:after="240"/>
        <w:ind w:left="720" w:hanging="720"/>
        <w:rPr>
          <w:szCs w:val="22"/>
          <w:u w:val="single"/>
        </w:rPr>
      </w:pPr>
      <w:r w:rsidRPr="00225B62">
        <w:rPr>
          <w:szCs w:val="22"/>
          <w:u w:val="single"/>
        </w:rPr>
        <w:t>Suspension of Operations Notification</w:t>
      </w:r>
    </w:p>
    <w:p w14:paraId="281EA354" w14:textId="77777777" w:rsidR="00B22690" w:rsidRPr="00225B62" w:rsidRDefault="00B22690" w:rsidP="00A56F36">
      <w:pPr>
        <w:numPr>
          <w:ilvl w:val="0"/>
          <w:numId w:val="27"/>
        </w:numPr>
        <w:tabs>
          <w:tab w:val="left" w:pos="360"/>
        </w:tabs>
        <w:spacing w:before="120" w:after="240"/>
        <w:ind w:left="720" w:hanging="720"/>
        <w:contextualSpacing/>
        <w:rPr>
          <w:szCs w:val="22"/>
        </w:rPr>
      </w:pPr>
      <w:r w:rsidRPr="00225B62">
        <w:rPr>
          <w:szCs w:val="22"/>
        </w:rPr>
        <w:t>Click on “Facility” tab on the left top of the page.</w:t>
      </w:r>
    </w:p>
    <w:p w14:paraId="3A6C84AA" w14:textId="77777777" w:rsidR="00B22690" w:rsidRPr="00225B62" w:rsidRDefault="00B22690" w:rsidP="00A56F36">
      <w:pPr>
        <w:numPr>
          <w:ilvl w:val="0"/>
          <w:numId w:val="27"/>
        </w:numPr>
        <w:tabs>
          <w:tab w:val="left" w:pos="360"/>
        </w:tabs>
        <w:spacing w:before="120" w:after="240"/>
        <w:ind w:left="720" w:hanging="720"/>
        <w:contextualSpacing/>
        <w:rPr>
          <w:szCs w:val="22"/>
        </w:rPr>
      </w:pPr>
      <w:r w:rsidRPr="00225B62">
        <w:rPr>
          <w:szCs w:val="22"/>
        </w:rPr>
        <w:t>Click on facility ID of the station.</w:t>
      </w:r>
    </w:p>
    <w:p w14:paraId="702A3B9B" w14:textId="77777777" w:rsidR="00B22690" w:rsidRPr="00225B62" w:rsidRDefault="00B22690" w:rsidP="00A56F36">
      <w:pPr>
        <w:numPr>
          <w:ilvl w:val="0"/>
          <w:numId w:val="27"/>
        </w:numPr>
        <w:tabs>
          <w:tab w:val="left" w:pos="360"/>
        </w:tabs>
        <w:spacing w:before="120" w:after="240"/>
        <w:ind w:left="720" w:hanging="720"/>
        <w:contextualSpacing/>
        <w:rPr>
          <w:szCs w:val="22"/>
        </w:rPr>
      </w:pPr>
      <w:r w:rsidRPr="00225B62">
        <w:rPr>
          <w:szCs w:val="22"/>
        </w:rPr>
        <w:t>Click on “File an Application” button.</w:t>
      </w:r>
    </w:p>
    <w:p w14:paraId="1F3D9EF3" w14:textId="77777777" w:rsidR="00B22690" w:rsidRPr="00225B62" w:rsidRDefault="00B22690" w:rsidP="00A56F36">
      <w:pPr>
        <w:numPr>
          <w:ilvl w:val="0"/>
          <w:numId w:val="27"/>
        </w:numPr>
        <w:tabs>
          <w:tab w:val="left" w:pos="360"/>
        </w:tabs>
        <w:spacing w:before="120" w:after="240"/>
        <w:ind w:left="720" w:hanging="720"/>
        <w:contextualSpacing/>
        <w:rPr>
          <w:szCs w:val="22"/>
        </w:rPr>
      </w:pPr>
      <w:r w:rsidRPr="00225B62">
        <w:rPr>
          <w:szCs w:val="22"/>
        </w:rPr>
        <w:t>Select “Suspension of Operations Notification” from the drop down menu.</w:t>
      </w:r>
    </w:p>
    <w:p w14:paraId="1A078AA6" w14:textId="77777777" w:rsidR="00B22690" w:rsidRPr="00225B62" w:rsidRDefault="00B22690" w:rsidP="00A56F36">
      <w:pPr>
        <w:numPr>
          <w:ilvl w:val="0"/>
          <w:numId w:val="27"/>
        </w:numPr>
        <w:tabs>
          <w:tab w:val="left" w:pos="360"/>
        </w:tabs>
        <w:spacing w:before="120" w:after="240"/>
        <w:ind w:left="720" w:hanging="720"/>
        <w:contextualSpacing/>
        <w:rPr>
          <w:szCs w:val="22"/>
        </w:rPr>
      </w:pPr>
      <w:r w:rsidRPr="00225B62">
        <w:rPr>
          <w:szCs w:val="22"/>
        </w:rPr>
        <w:t>Complete the application and click “Submit.”</w:t>
      </w:r>
    </w:p>
    <w:p w14:paraId="2E5EC8E3" w14:textId="77777777" w:rsidR="00C1196B" w:rsidRPr="00225B62" w:rsidRDefault="00C1196B" w:rsidP="00A56F36">
      <w:pPr>
        <w:tabs>
          <w:tab w:val="left" w:pos="360"/>
        </w:tabs>
        <w:spacing w:before="120" w:after="240"/>
        <w:ind w:left="720" w:hanging="720"/>
        <w:contextualSpacing/>
        <w:rPr>
          <w:szCs w:val="22"/>
          <w:u w:val="single"/>
        </w:rPr>
      </w:pPr>
    </w:p>
    <w:p w14:paraId="054D8A5B" w14:textId="77777777" w:rsidR="00B22690" w:rsidRPr="00225B62" w:rsidRDefault="00B22690" w:rsidP="00A56F36">
      <w:pPr>
        <w:tabs>
          <w:tab w:val="left" w:pos="360"/>
        </w:tabs>
        <w:spacing w:before="120" w:after="240"/>
        <w:ind w:left="720" w:hanging="720"/>
        <w:rPr>
          <w:szCs w:val="22"/>
          <w:u w:val="single"/>
        </w:rPr>
      </w:pPr>
      <w:r w:rsidRPr="00225B62">
        <w:rPr>
          <w:szCs w:val="22"/>
          <w:u w:val="single"/>
        </w:rPr>
        <w:t>Request to Cancel License</w:t>
      </w:r>
    </w:p>
    <w:p w14:paraId="0AC16907" w14:textId="77777777" w:rsidR="00B22690" w:rsidRPr="00225B62" w:rsidRDefault="00B22690" w:rsidP="00A56F36">
      <w:pPr>
        <w:tabs>
          <w:tab w:val="left" w:pos="360"/>
        </w:tabs>
        <w:spacing w:before="120" w:after="240"/>
        <w:ind w:left="720" w:hanging="720"/>
        <w:contextualSpacing/>
        <w:rPr>
          <w:szCs w:val="22"/>
        </w:rPr>
      </w:pPr>
      <w:r w:rsidRPr="00225B62">
        <w:rPr>
          <w:szCs w:val="22"/>
        </w:rPr>
        <w:t>1.</w:t>
      </w:r>
      <w:r w:rsidRPr="00225B62">
        <w:rPr>
          <w:szCs w:val="22"/>
        </w:rPr>
        <w:tab/>
        <w:t>Click on “Facility” tab on the left top of the page.</w:t>
      </w:r>
    </w:p>
    <w:p w14:paraId="38E6EC36" w14:textId="77777777" w:rsidR="00B22690" w:rsidRPr="00225B62" w:rsidRDefault="00B22690" w:rsidP="00A56F36">
      <w:pPr>
        <w:tabs>
          <w:tab w:val="left" w:pos="360"/>
        </w:tabs>
        <w:spacing w:before="120" w:after="240"/>
        <w:ind w:left="720" w:hanging="720"/>
        <w:contextualSpacing/>
        <w:rPr>
          <w:szCs w:val="22"/>
        </w:rPr>
      </w:pPr>
      <w:r w:rsidRPr="00225B62">
        <w:rPr>
          <w:szCs w:val="22"/>
        </w:rPr>
        <w:t>2.</w:t>
      </w:r>
      <w:r w:rsidRPr="00225B62">
        <w:rPr>
          <w:szCs w:val="22"/>
        </w:rPr>
        <w:tab/>
        <w:t>Click on facility ID of the station.</w:t>
      </w:r>
    </w:p>
    <w:p w14:paraId="0E00B614" w14:textId="77777777" w:rsidR="00B22690" w:rsidRPr="00225B62" w:rsidRDefault="00B22690" w:rsidP="00A56F36">
      <w:pPr>
        <w:tabs>
          <w:tab w:val="left" w:pos="360"/>
        </w:tabs>
        <w:spacing w:before="120" w:after="240"/>
        <w:ind w:left="720" w:hanging="720"/>
        <w:contextualSpacing/>
        <w:rPr>
          <w:szCs w:val="22"/>
        </w:rPr>
      </w:pPr>
      <w:r w:rsidRPr="00225B62">
        <w:rPr>
          <w:szCs w:val="22"/>
        </w:rPr>
        <w:t>3.</w:t>
      </w:r>
      <w:r w:rsidRPr="00225B62">
        <w:rPr>
          <w:szCs w:val="22"/>
        </w:rPr>
        <w:tab/>
        <w:t>Click on “File an Application” button.</w:t>
      </w:r>
    </w:p>
    <w:p w14:paraId="4C55C44E" w14:textId="77777777" w:rsidR="00B22690" w:rsidRPr="00225B62" w:rsidRDefault="00B22690" w:rsidP="00A56F36">
      <w:pPr>
        <w:tabs>
          <w:tab w:val="left" w:pos="360"/>
        </w:tabs>
        <w:spacing w:before="120" w:after="240"/>
        <w:ind w:left="720" w:hanging="720"/>
        <w:contextualSpacing/>
        <w:rPr>
          <w:szCs w:val="22"/>
        </w:rPr>
      </w:pPr>
      <w:r w:rsidRPr="00225B62">
        <w:rPr>
          <w:szCs w:val="22"/>
        </w:rPr>
        <w:t>4.</w:t>
      </w:r>
      <w:r w:rsidRPr="00225B62">
        <w:rPr>
          <w:szCs w:val="22"/>
        </w:rPr>
        <w:tab/>
        <w:t>Select “Request to Cancel License” from the drop down menu.</w:t>
      </w:r>
    </w:p>
    <w:p w14:paraId="1158B02B" w14:textId="77777777" w:rsidR="00A754AF" w:rsidRPr="00225B62" w:rsidRDefault="00B22690" w:rsidP="00A56F36">
      <w:pPr>
        <w:tabs>
          <w:tab w:val="left" w:pos="360"/>
        </w:tabs>
        <w:spacing w:before="120" w:after="240"/>
        <w:ind w:left="720" w:hanging="720"/>
        <w:contextualSpacing/>
        <w:rPr>
          <w:szCs w:val="22"/>
        </w:rPr>
      </w:pPr>
      <w:r w:rsidRPr="00225B62">
        <w:rPr>
          <w:szCs w:val="22"/>
        </w:rPr>
        <w:t>5.</w:t>
      </w:r>
      <w:r w:rsidRPr="00225B62">
        <w:rPr>
          <w:szCs w:val="22"/>
        </w:rPr>
        <w:tab/>
        <w:t>Complete the application and click “Submit.”</w:t>
      </w:r>
    </w:p>
    <w:p w14:paraId="126B0E35" w14:textId="77777777" w:rsidR="0088431A" w:rsidRPr="00225B62" w:rsidRDefault="0088431A" w:rsidP="00A56F36">
      <w:pPr>
        <w:tabs>
          <w:tab w:val="left" w:pos="360"/>
        </w:tabs>
        <w:spacing w:before="120" w:after="240"/>
        <w:ind w:left="720" w:hanging="720"/>
        <w:contextualSpacing/>
        <w:rPr>
          <w:szCs w:val="22"/>
        </w:rPr>
      </w:pPr>
    </w:p>
    <w:p w14:paraId="300CBDA7" w14:textId="77777777" w:rsidR="0088431A" w:rsidRPr="00225B62" w:rsidRDefault="0088431A" w:rsidP="00A56F36">
      <w:pPr>
        <w:tabs>
          <w:tab w:val="left" w:pos="360"/>
        </w:tabs>
        <w:spacing w:before="120" w:after="120"/>
        <w:ind w:left="720" w:hanging="720"/>
        <w:rPr>
          <w:szCs w:val="22"/>
          <w:u w:val="single"/>
        </w:rPr>
      </w:pPr>
      <w:r w:rsidRPr="00225B62">
        <w:rPr>
          <w:szCs w:val="22"/>
          <w:u w:val="single"/>
        </w:rPr>
        <w:t>FCC Form 2100 – Schedule 337 – Application for Extension of Time</w:t>
      </w:r>
    </w:p>
    <w:p w14:paraId="73D4848F" w14:textId="77777777" w:rsidR="0088431A" w:rsidRPr="00225B62" w:rsidRDefault="0088431A" w:rsidP="00A56F36">
      <w:pPr>
        <w:numPr>
          <w:ilvl w:val="0"/>
          <w:numId w:val="34"/>
        </w:numPr>
        <w:tabs>
          <w:tab w:val="left" w:pos="360"/>
        </w:tabs>
        <w:spacing w:before="120" w:after="240"/>
        <w:ind w:left="720" w:hanging="720"/>
        <w:contextualSpacing/>
        <w:rPr>
          <w:szCs w:val="22"/>
        </w:rPr>
      </w:pPr>
      <w:r w:rsidRPr="00225B62">
        <w:rPr>
          <w:szCs w:val="22"/>
        </w:rPr>
        <w:t>Click on “Authorization” tab on the left top of the page.</w:t>
      </w:r>
    </w:p>
    <w:p w14:paraId="3AEE5A6F" w14:textId="77777777" w:rsidR="0088431A" w:rsidRPr="00225B62" w:rsidRDefault="0088431A" w:rsidP="00A56F36">
      <w:pPr>
        <w:numPr>
          <w:ilvl w:val="0"/>
          <w:numId w:val="34"/>
        </w:numPr>
        <w:tabs>
          <w:tab w:val="left" w:pos="360"/>
        </w:tabs>
        <w:spacing w:before="120" w:after="240"/>
        <w:ind w:left="720" w:hanging="720"/>
        <w:contextualSpacing/>
        <w:rPr>
          <w:szCs w:val="22"/>
        </w:rPr>
      </w:pPr>
      <w:r w:rsidRPr="00225B62">
        <w:rPr>
          <w:szCs w:val="22"/>
        </w:rPr>
        <w:t>Click on construction permit authorization.</w:t>
      </w:r>
    </w:p>
    <w:p w14:paraId="65103129" w14:textId="77777777" w:rsidR="0088431A" w:rsidRPr="00225B62" w:rsidRDefault="0088431A" w:rsidP="00A56F36">
      <w:pPr>
        <w:numPr>
          <w:ilvl w:val="0"/>
          <w:numId w:val="34"/>
        </w:numPr>
        <w:tabs>
          <w:tab w:val="left" w:pos="360"/>
        </w:tabs>
        <w:spacing w:before="120" w:after="240"/>
        <w:ind w:left="720" w:hanging="720"/>
        <w:contextualSpacing/>
        <w:rPr>
          <w:szCs w:val="22"/>
        </w:rPr>
      </w:pPr>
      <w:r w:rsidRPr="00225B62">
        <w:rPr>
          <w:szCs w:val="22"/>
        </w:rPr>
        <w:t>Click on “File an Application” button.</w:t>
      </w:r>
    </w:p>
    <w:p w14:paraId="393ACDC2" w14:textId="77777777" w:rsidR="0088431A" w:rsidRPr="00225B62" w:rsidRDefault="0088431A" w:rsidP="00A56F36">
      <w:pPr>
        <w:numPr>
          <w:ilvl w:val="0"/>
          <w:numId w:val="34"/>
        </w:numPr>
        <w:tabs>
          <w:tab w:val="left" w:pos="360"/>
        </w:tabs>
        <w:spacing w:before="120" w:after="240"/>
        <w:ind w:left="720" w:hanging="720"/>
        <w:contextualSpacing/>
        <w:rPr>
          <w:szCs w:val="22"/>
        </w:rPr>
      </w:pPr>
      <w:r w:rsidRPr="00225B62">
        <w:rPr>
          <w:szCs w:val="22"/>
        </w:rPr>
        <w:t>Select “Schedule 337” from the drop down menu.</w:t>
      </w:r>
    </w:p>
    <w:p w14:paraId="1FF4597B" w14:textId="77777777" w:rsidR="0088431A" w:rsidRPr="00225B62" w:rsidRDefault="0088431A" w:rsidP="00A56F36">
      <w:pPr>
        <w:numPr>
          <w:ilvl w:val="0"/>
          <w:numId w:val="34"/>
        </w:numPr>
        <w:tabs>
          <w:tab w:val="left" w:pos="360"/>
        </w:tabs>
        <w:ind w:left="720" w:hanging="720"/>
        <w:contextualSpacing/>
        <w:rPr>
          <w:szCs w:val="22"/>
        </w:rPr>
      </w:pPr>
      <w:r w:rsidRPr="00225B62">
        <w:rPr>
          <w:szCs w:val="22"/>
        </w:rPr>
        <w:t>Complete the application and click “Submit”</w:t>
      </w:r>
    </w:p>
    <w:p w14:paraId="7C197A87" w14:textId="77777777" w:rsidR="00AC796B" w:rsidRPr="00225B62" w:rsidRDefault="00AC796B" w:rsidP="00A56F36">
      <w:pPr>
        <w:tabs>
          <w:tab w:val="left" w:pos="360"/>
        </w:tabs>
        <w:spacing w:before="120" w:after="240"/>
        <w:ind w:left="720" w:hanging="720"/>
        <w:contextualSpacing/>
        <w:rPr>
          <w:szCs w:val="22"/>
        </w:rPr>
      </w:pPr>
    </w:p>
    <w:p w14:paraId="787E8BBE" w14:textId="77777777" w:rsidR="00AC796B" w:rsidRPr="00225B62" w:rsidRDefault="00AC796B" w:rsidP="00A56F36">
      <w:pPr>
        <w:tabs>
          <w:tab w:val="left" w:pos="360"/>
        </w:tabs>
        <w:spacing w:before="120" w:after="240"/>
        <w:ind w:left="720" w:hanging="720"/>
        <w:rPr>
          <w:szCs w:val="22"/>
          <w:u w:val="single"/>
        </w:rPr>
      </w:pPr>
      <w:r w:rsidRPr="00225B62">
        <w:rPr>
          <w:szCs w:val="22"/>
          <w:u w:val="single"/>
        </w:rPr>
        <w:t>FCC Form 2100 – Schedule Tolling – Application for Tolling or Waiver of Tolling Rule</w:t>
      </w:r>
    </w:p>
    <w:p w14:paraId="29C3FE39" w14:textId="77777777" w:rsidR="00AC796B" w:rsidRPr="00225B62" w:rsidRDefault="00AC796B" w:rsidP="00A56F36">
      <w:pPr>
        <w:pStyle w:val="ParaNum"/>
        <w:numPr>
          <w:ilvl w:val="0"/>
          <w:numId w:val="0"/>
        </w:numPr>
        <w:tabs>
          <w:tab w:val="left" w:pos="360"/>
        </w:tabs>
        <w:spacing w:after="0"/>
        <w:ind w:left="720" w:hanging="720"/>
        <w:rPr>
          <w:szCs w:val="22"/>
        </w:rPr>
      </w:pPr>
      <w:r w:rsidRPr="00225B62">
        <w:rPr>
          <w:szCs w:val="22"/>
        </w:rPr>
        <w:t>1.</w:t>
      </w:r>
      <w:r w:rsidRPr="00225B62">
        <w:rPr>
          <w:szCs w:val="22"/>
        </w:rPr>
        <w:tab/>
        <w:t>Click on “Authorizations” tab on the left top of the page.</w:t>
      </w:r>
    </w:p>
    <w:p w14:paraId="5EFC9078" w14:textId="77777777" w:rsidR="00AC796B" w:rsidRPr="00225B62" w:rsidRDefault="00AC796B" w:rsidP="00A56F36">
      <w:pPr>
        <w:pStyle w:val="ParaNum"/>
        <w:numPr>
          <w:ilvl w:val="0"/>
          <w:numId w:val="0"/>
        </w:numPr>
        <w:tabs>
          <w:tab w:val="left" w:pos="360"/>
        </w:tabs>
        <w:spacing w:after="0"/>
        <w:ind w:left="720" w:hanging="720"/>
        <w:rPr>
          <w:szCs w:val="22"/>
        </w:rPr>
      </w:pPr>
      <w:r w:rsidRPr="00225B62">
        <w:rPr>
          <w:szCs w:val="22"/>
        </w:rPr>
        <w:t>2.</w:t>
      </w:r>
      <w:r w:rsidRPr="00225B62">
        <w:rPr>
          <w:szCs w:val="22"/>
        </w:rPr>
        <w:tab/>
        <w:t>Click on construction permit authorization.</w:t>
      </w:r>
    </w:p>
    <w:p w14:paraId="1A3F3B8A" w14:textId="77777777" w:rsidR="00AC796B" w:rsidRPr="00225B62" w:rsidRDefault="00AC796B" w:rsidP="00A56F36">
      <w:pPr>
        <w:pStyle w:val="ParaNum"/>
        <w:numPr>
          <w:ilvl w:val="0"/>
          <w:numId w:val="0"/>
        </w:numPr>
        <w:tabs>
          <w:tab w:val="left" w:pos="360"/>
          <w:tab w:val="left" w:pos="720"/>
          <w:tab w:val="left" w:pos="1440"/>
          <w:tab w:val="left" w:pos="2160"/>
          <w:tab w:val="left" w:pos="2880"/>
          <w:tab w:val="left" w:pos="3600"/>
          <w:tab w:val="left" w:pos="4260"/>
        </w:tabs>
        <w:spacing w:after="0"/>
        <w:ind w:left="720" w:hanging="720"/>
        <w:rPr>
          <w:szCs w:val="22"/>
        </w:rPr>
      </w:pPr>
      <w:r w:rsidRPr="00225B62">
        <w:rPr>
          <w:szCs w:val="22"/>
        </w:rPr>
        <w:t>3.</w:t>
      </w:r>
      <w:r w:rsidRPr="00225B62">
        <w:rPr>
          <w:szCs w:val="22"/>
        </w:rPr>
        <w:tab/>
        <w:t>Select “File an Application” button.</w:t>
      </w:r>
      <w:r w:rsidRPr="00225B62">
        <w:rPr>
          <w:szCs w:val="22"/>
        </w:rPr>
        <w:tab/>
      </w:r>
    </w:p>
    <w:p w14:paraId="06DBDED9" w14:textId="77777777" w:rsidR="00AC796B" w:rsidRPr="00225B62" w:rsidRDefault="00AC796B" w:rsidP="00A56F36">
      <w:pPr>
        <w:pStyle w:val="ParaNum"/>
        <w:numPr>
          <w:ilvl w:val="0"/>
          <w:numId w:val="0"/>
        </w:numPr>
        <w:tabs>
          <w:tab w:val="left" w:pos="360"/>
        </w:tabs>
        <w:spacing w:after="0"/>
        <w:ind w:left="720" w:hanging="720"/>
        <w:rPr>
          <w:szCs w:val="22"/>
        </w:rPr>
      </w:pPr>
      <w:r w:rsidRPr="00225B62">
        <w:rPr>
          <w:szCs w:val="22"/>
        </w:rPr>
        <w:t>4.</w:t>
      </w:r>
      <w:r w:rsidRPr="00225B62">
        <w:rPr>
          <w:szCs w:val="22"/>
        </w:rPr>
        <w:tab/>
        <w:t>Select “Tolling” from the drop down menu.</w:t>
      </w:r>
    </w:p>
    <w:p w14:paraId="3C00E9C6" w14:textId="77777777" w:rsidR="00AC796B" w:rsidRPr="00225B62" w:rsidRDefault="00AC796B" w:rsidP="00A56F36">
      <w:pPr>
        <w:pStyle w:val="ParaNum"/>
        <w:numPr>
          <w:ilvl w:val="0"/>
          <w:numId w:val="0"/>
        </w:numPr>
        <w:tabs>
          <w:tab w:val="left" w:pos="360"/>
        </w:tabs>
        <w:spacing w:after="0"/>
        <w:ind w:left="720" w:hanging="720"/>
        <w:rPr>
          <w:szCs w:val="22"/>
        </w:rPr>
      </w:pPr>
      <w:r w:rsidRPr="00225B62">
        <w:rPr>
          <w:szCs w:val="22"/>
        </w:rPr>
        <w:t>5.</w:t>
      </w:r>
      <w:r w:rsidRPr="00225B62">
        <w:rPr>
          <w:szCs w:val="22"/>
        </w:rPr>
        <w:tab/>
        <w:t>Complete the application and click “Submit.”</w:t>
      </w:r>
    </w:p>
    <w:sectPr w:rsidR="00AC796B" w:rsidRPr="00225B62" w:rsidSect="00225B62">
      <w:headerReference w:type="first" r:id="rId19"/>
      <w:footerReference w:type="first" r:id="rId20"/>
      <w:endnotePr>
        <w:numFmt w:val="decimal"/>
      </w:endnotePr>
      <w:pgSz w:w="12240" w:h="15840" w:code="1"/>
      <w:pgMar w:top="1440" w:right="1440" w:bottom="720" w:left="1440" w:header="720" w:footer="576"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F6D8B" w14:textId="77777777" w:rsidR="00707B6E" w:rsidRDefault="00707B6E">
      <w:pPr>
        <w:spacing w:line="20" w:lineRule="exact"/>
      </w:pPr>
    </w:p>
  </w:endnote>
  <w:endnote w:type="continuationSeparator" w:id="0">
    <w:p w14:paraId="61BC5553" w14:textId="77777777" w:rsidR="00707B6E" w:rsidRDefault="00707B6E">
      <w:r>
        <w:t xml:space="preserve"> </w:t>
      </w:r>
    </w:p>
  </w:endnote>
  <w:endnote w:type="continuationNotice" w:id="1">
    <w:p w14:paraId="68E06C89" w14:textId="77777777" w:rsidR="00707B6E" w:rsidRDefault="00707B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C6B1" w14:textId="77777777" w:rsidR="00A56F36" w:rsidRDefault="00A56F36" w:rsidP="0055614C">
    <w:pPr>
      <w:pStyle w:val="Footer"/>
      <w:framePr w:wrap="around" w:vAnchor="text" w:hAnchor="margin" w:xAlign="center" w:y="1"/>
    </w:pPr>
    <w:r>
      <w:fldChar w:fldCharType="begin"/>
    </w:r>
    <w:r>
      <w:instrText xml:space="preserve">PAGE  </w:instrText>
    </w:r>
    <w:r>
      <w:fldChar w:fldCharType="separate"/>
    </w:r>
    <w:r w:rsidR="008E7505">
      <w:rPr>
        <w:noProof/>
      </w:rPr>
      <w:t>3</w:t>
    </w:r>
    <w:r>
      <w:fldChar w:fldCharType="end"/>
    </w:r>
  </w:p>
  <w:p w14:paraId="530141DA" w14:textId="77777777" w:rsidR="00A56F36" w:rsidRDefault="00A56F36">
    <w:pPr>
      <w:pStyle w:val="Footer"/>
    </w:pPr>
  </w:p>
  <w:p w14:paraId="724821F5" w14:textId="77777777" w:rsidR="00A56F36" w:rsidRDefault="00A56F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811F" w14:textId="77777777" w:rsidR="00A56F36" w:rsidRDefault="00A56F36" w:rsidP="0055614C">
    <w:pPr>
      <w:pStyle w:val="Footer"/>
      <w:framePr w:wrap="around" w:vAnchor="text" w:hAnchor="margin" w:xAlign="center" w:y="1"/>
    </w:pPr>
    <w:r>
      <w:fldChar w:fldCharType="begin"/>
    </w:r>
    <w:r>
      <w:instrText xml:space="preserve">PAGE  </w:instrText>
    </w:r>
    <w:r>
      <w:fldChar w:fldCharType="separate"/>
    </w:r>
    <w:r w:rsidR="00CC52AE">
      <w:rPr>
        <w:noProof/>
      </w:rPr>
      <w:t>2</w:t>
    </w:r>
    <w:r>
      <w:fldChar w:fldCharType="end"/>
    </w:r>
  </w:p>
  <w:p w14:paraId="624E7D71" w14:textId="77777777" w:rsidR="00A56F36" w:rsidRDefault="00A56F36"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7239" w14:textId="77777777" w:rsidR="00A56F36" w:rsidRDefault="00A56F36" w:rsidP="00B2036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B736" w14:textId="34765AC6" w:rsidR="00051A4E" w:rsidRDefault="00051A4E" w:rsidP="00051A4E">
    <w:pPr>
      <w:pStyle w:val="Footer"/>
    </w:pPr>
  </w:p>
  <w:p w14:paraId="0654883E" w14:textId="459F538C" w:rsidR="00051A4E" w:rsidRDefault="00051A4E" w:rsidP="00B20363">
    <w:pPr>
      <w:pStyle w:val="Footer"/>
      <w:jc w:val="center"/>
    </w:pPr>
    <w:r>
      <w:fldChar w:fldCharType="begin"/>
    </w:r>
    <w:r>
      <w:instrText xml:space="preserve"> PAGE   \* MERGEFORMAT </w:instrText>
    </w:r>
    <w:r>
      <w:fldChar w:fldCharType="separate"/>
    </w:r>
    <w:r w:rsidR="008E750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62EA" w14:textId="77777777" w:rsidR="00707B6E" w:rsidRDefault="00707B6E">
      <w:r>
        <w:separator/>
      </w:r>
    </w:p>
  </w:footnote>
  <w:footnote w:type="continuationSeparator" w:id="0">
    <w:p w14:paraId="31C8BA8B" w14:textId="77777777" w:rsidR="00707B6E" w:rsidRDefault="00707B6E" w:rsidP="00C721AC">
      <w:pPr>
        <w:spacing w:before="120"/>
        <w:rPr>
          <w:sz w:val="20"/>
        </w:rPr>
      </w:pPr>
      <w:r>
        <w:rPr>
          <w:sz w:val="20"/>
        </w:rPr>
        <w:t xml:space="preserve">(Continued from previous page)  </w:t>
      </w:r>
      <w:r>
        <w:rPr>
          <w:sz w:val="20"/>
        </w:rPr>
        <w:separator/>
      </w:r>
    </w:p>
  </w:footnote>
  <w:footnote w:type="continuationNotice" w:id="1">
    <w:p w14:paraId="03389EE0" w14:textId="77777777" w:rsidR="00707B6E" w:rsidRDefault="00707B6E" w:rsidP="00C721AC">
      <w:pPr>
        <w:jc w:val="right"/>
        <w:rPr>
          <w:sz w:val="20"/>
        </w:rPr>
      </w:pPr>
      <w:r>
        <w:rPr>
          <w:sz w:val="20"/>
        </w:rPr>
        <w:t>(continued….)</w:t>
      </w:r>
    </w:p>
  </w:footnote>
  <w:footnote w:id="2">
    <w:p w14:paraId="0D146441" w14:textId="0F8983A2" w:rsidR="00A56F36" w:rsidRPr="00225B62" w:rsidRDefault="00A56F36">
      <w:pPr>
        <w:pStyle w:val="FootnoteText"/>
      </w:pPr>
      <w:r w:rsidRPr="00225B62">
        <w:rPr>
          <w:rStyle w:val="FootnoteReference"/>
        </w:rPr>
        <w:footnoteRef/>
      </w:r>
      <w:r w:rsidRPr="00225B62">
        <w:t xml:space="preserve"> </w:t>
      </w:r>
      <w:r w:rsidRPr="00225B62">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225B62">
        <w:t>, Public Notice, DA 17-314 (rel. April 13, 2017) (</w:t>
      </w:r>
      <w:r w:rsidRPr="00225B62">
        <w:rPr>
          <w:i/>
        </w:rPr>
        <w:t>Closing and Channel Reassignment Public Notice</w:t>
      </w:r>
      <w:r w:rsidRPr="00225B62">
        <w:t xml:space="preserve">).  </w:t>
      </w:r>
      <w:r w:rsidRPr="00225B62">
        <w:rPr>
          <w:i/>
        </w:rPr>
        <w:t>See also Expanding the Economic and Innovation Opportunities of Spectrum Through Incentive Auctions</w:t>
      </w:r>
      <w:r w:rsidRPr="00225B62">
        <w:t>, Report and Order, 29 FCC Rcd 6567 (2014) (</w:t>
      </w:r>
      <w:r w:rsidRPr="00225B62">
        <w:rPr>
          <w:i/>
        </w:rPr>
        <w:t>Incentive Auction R&amp;O</w:t>
      </w:r>
      <w:r w:rsidRPr="00225B62">
        <w:t xml:space="preserve">), </w:t>
      </w:r>
      <w:r w:rsidRPr="00225B62">
        <w:rPr>
          <w:i/>
        </w:rPr>
        <w:t>aff’d, Nat’l Assoc. of Broadcasters, et al v. FCC</w:t>
      </w:r>
      <w:r w:rsidRPr="00225B62">
        <w:t xml:space="preserve">, 789 F.3d 165 (D.C. Cir.  2015); </w:t>
      </w:r>
      <w:r w:rsidRPr="00225B62">
        <w:rPr>
          <w:i/>
        </w:rPr>
        <w:t>Mako Comm</w:t>
      </w:r>
      <w:r w:rsidR="002E11CD">
        <w:rPr>
          <w:i/>
        </w:rPr>
        <w:t>unications</w:t>
      </w:r>
      <w:r w:rsidRPr="00225B62">
        <w:rPr>
          <w:i/>
        </w:rPr>
        <w:t>, LLC v. FCC</w:t>
      </w:r>
      <w:r w:rsidRPr="00225B62">
        <w:t>, 835 F.3d 146 (D.C. Cir. 2016)</w:t>
      </w:r>
      <w:r w:rsidR="002E11CD">
        <w:t xml:space="preserve"> (</w:t>
      </w:r>
      <w:r w:rsidR="002E11CD">
        <w:rPr>
          <w:i/>
        </w:rPr>
        <w:t>Mako</w:t>
      </w:r>
      <w:r w:rsidR="002E11CD">
        <w:t>)</w:t>
      </w:r>
      <w:r w:rsidRPr="00225B62">
        <w:t>; Second Order on Reconsideration, 30 FCC Rcd 6746 (2015) (</w:t>
      </w:r>
      <w:r w:rsidRPr="00225B62">
        <w:rPr>
          <w:i/>
        </w:rPr>
        <w:t>Second Reconsideration</w:t>
      </w:r>
      <w:r w:rsidRPr="00225B62">
        <w:t>); Third Report and Order and First Order on Reconsideration, 31 FCC Rcd 14927 (2015) (</w:t>
      </w:r>
      <w:r w:rsidRPr="00225B62">
        <w:rPr>
          <w:i/>
        </w:rPr>
        <w:t>Third Report and Order</w:t>
      </w:r>
      <w:r w:rsidRPr="00225B62">
        <w:t>)</w:t>
      </w:r>
      <w:r w:rsidR="00001DC3" w:rsidRPr="00225B62">
        <w:t>;</w:t>
      </w:r>
      <w:r w:rsidRPr="00225B62">
        <w:t xml:space="preserve"> </w:t>
      </w:r>
      <w:r w:rsidRPr="00225B62">
        <w:rPr>
          <w:i/>
        </w:rPr>
        <w:t>Expanding the Economic and Innovation Opportunities of Spectrum Through Incentive Auctions</w:t>
      </w:r>
      <w:r w:rsidRPr="00225B62">
        <w:t>, Report and Order, 30 FCC Rcd 12025 (2015) (</w:t>
      </w:r>
      <w:r w:rsidRPr="00225B62">
        <w:rPr>
          <w:i/>
        </w:rPr>
        <w:t>Commencing Operations R&amp;O</w:t>
      </w:r>
      <w:r w:rsidRPr="00225B62">
        <w:t>). The Commission or Media Bureau may amend or supplement the information contained in its public notices at any time, so licensees and other entitles also should continue to monitor public notices pertaining to the transition.</w:t>
      </w:r>
    </w:p>
  </w:footnote>
  <w:footnote w:id="3">
    <w:p w14:paraId="6256DC2A" w14:textId="751480FD" w:rsidR="00A56F36" w:rsidRPr="00265D97" w:rsidRDefault="00A56F36">
      <w:pPr>
        <w:pStyle w:val="FootnoteText"/>
      </w:pPr>
      <w:r w:rsidRPr="00265D97">
        <w:rPr>
          <w:rStyle w:val="FootnoteReference"/>
        </w:rPr>
        <w:footnoteRef/>
      </w:r>
      <w:r w:rsidRPr="00265D97">
        <w:t xml:space="preserve"> </w:t>
      </w:r>
      <w:r w:rsidRPr="00265D97">
        <w:rPr>
          <w:i/>
        </w:rPr>
        <w:t xml:space="preserve">See </w:t>
      </w:r>
      <w:r w:rsidRPr="00265D97">
        <w:t>Section III, paras</w:t>
      </w:r>
      <w:r w:rsidR="00E50423" w:rsidRPr="00265D97">
        <w:t>. 6-21</w:t>
      </w:r>
      <w:r w:rsidRPr="00265D97">
        <w:t>.</w:t>
      </w:r>
    </w:p>
  </w:footnote>
  <w:footnote w:id="4">
    <w:p w14:paraId="39492D32" w14:textId="31928368" w:rsidR="00A56F36" w:rsidRPr="00265D97" w:rsidRDefault="00A56F36">
      <w:pPr>
        <w:pStyle w:val="FootnoteText"/>
      </w:pPr>
      <w:r w:rsidRPr="00265D97">
        <w:rPr>
          <w:rStyle w:val="FootnoteReference"/>
        </w:rPr>
        <w:footnoteRef/>
      </w:r>
      <w:r w:rsidRPr="00265D97">
        <w:t xml:space="preserve"> </w:t>
      </w:r>
      <w:r w:rsidRPr="00265D97">
        <w:rPr>
          <w:i/>
        </w:rPr>
        <w:t xml:space="preserve">See </w:t>
      </w:r>
      <w:r w:rsidRPr="00265D97">
        <w:t xml:space="preserve">Section IV, paras. </w:t>
      </w:r>
      <w:r w:rsidR="00E50423" w:rsidRPr="00265D97">
        <w:t>22-29</w:t>
      </w:r>
      <w:r w:rsidRPr="00265D97">
        <w:t>.</w:t>
      </w:r>
    </w:p>
  </w:footnote>
  <w:footnote w:id="5">
    <w:p w14:paraId="4757AD42" w14:textId="5D946D9A" w:rsidR="00A56F36" w:rsidRPr="00265D97" w:rsidRDefault="00A56F36">
      <w:pPr>
        <w:pStyle w:val="FootnoteText"/>
      </w:pPr>
      <w:r w:rsidRPr="00265D97">
        <w:rPr>
          <w:rStyle w:val="FootnoteReference"/>
        </w:rPr>
        <w:footnoteRef/>
      </w:r>
      <w:r w:rsidRPr="00265D97">
        <w:t xml:space="preserve"> </w:t>
      </w:r>
      <w:r w:rsidRPr="00265D97">
        <w:rPr>
          <w:i/>
        </w:rPr>
        <w:t xml:space="preserve">See </w:t>
      </w:r>
      <w:r w:rsidR="002544C8">
        <w:t>Section V, para</w:t>
      </w:r>
      <w:r w:rsidRPr="00265D97">
        <w:t xml:space="preserve">. </w:t>
      </w:r>
      <w:r w:rsidR="002544C8">
        <w:t>30.</w:t>
      </w:r>
    </w:p>
  </w:footnote>
  <w:footnote w:id="6">
    <w:p w14:paraId="099E8B81" w14:textId="7854F2CA" w:rsidR="00A56F36" w:rsidRPr="00265D97" w:rsidRDefault="00A56F36">
      <w:pPr>
        <w:pStyle w:val="FootnoteText"/>
      </w:pPr>
      <w:r w:rsidRPr="00265D97">
        <w:rPr>
          <w:rStyle w:val="FootnoteReference"/>
        </w:rPr>
        <w:footnoteRef/>
      </w:r>
      <w:r w:rsidRPr="00265D97">
        <w:t xml:space="preserve"> </w:t>
      </w:r>
      <w:r w:rsidRPr="00265D97">
        <w:rPr>
          <w:i/>
        </w:rPr>
        <w:t xml:space="preserve">See </w:t>
      </w:r>
      <w:r w:rsidRPr="00265D97">
        <w:t xml:space="preserve">Section VI, paras. </w:t>
      </w:r>
      <w:r w:rsidR="002544C8">
        <w:t>31-35</w:t>
      </w:r>
      <w:r w:rsidRPr="00265D97">
        <w:t>.</w:t>
      </w:r>
    </w:p>
  </w:footnote>
  <w:footnote w:id="7">
    <w:p w14:paraId="225A9521" w14:textId="25E7A129" w:rsidR="00A56F36" w:rsidRPr="00265D97" w:rsidRDefault="00A56F36">
      <w:pPr>
        <w:pStyle w:val="FootnoteText"/>
      </w:pPr>
      <w:r w:rsidRPr="00265D97">
        <w:rPr>
          <w:rStyle w:val="FootnoteReference"/>
        </w:rPr>
        <w:footnoteRef/>
      </w:r>
      <w:r w:rsidRPr="00265D97">
        <w:t xml:space="preserve"> </w:t>
      </w:r>
      <w:r w:rsidRPr="00265D97">
        <w:rPr>
          <w:i/>
        </w:rPr>
        <w:t xml:space="preserve">See </w:t>
      </w:r>
      <w:r w:rsidRPr="00265D97">
        <w:t xml:space="preserve">Section VII, paras. </w:t>
      </w:r>
      <w:r w:rsidR="002544C8">
        <w:t>36-39.</w:t>
      </w:r>
    </w:p>
  </w:footnote>
  <w:footnote w:id="8">
    <w:p w14:paraId="0817CE7C" w14:textId="5BB006EB" w:rsidR="00A56F36" w:rsidRPr="00225B62" w:rsidRDefault="00A56F36">
      <w:pPr>
        <w:pStyle w:val="FootnoteText"/>
      </w:pPr>
      <w:r w:rsidRPr="00265D97">
        <w:rPr>
          <w:rStyle w:val="FootnoteReference"/>
        </w:rPr>
        <w:footnoteRef/>
      </w:r>
      <w:r w:rsidRPr="00265D97">
        <w:t xml:space="preserve"> </w:t>
      </w:r>
      <w:r w:rsidRPr="00265D97">
        <w:rPr>
          <w:i/>
        </w:rPr>
        <w:t xml:space="preserve">See </w:t>
      </w:r>
      <w:r w:rsidRPr="00265D97">
        <w:t xml:space="preserve">Section VIII, paras. </w:t>
      </w:r>
      <w:r w:rsidR="002544C8">
        <w:t>40-42</w:t>
      </w:r>
      <w:r w:rsidRPr="00265D97">
        <w:t>.</w:t>
      </w:r>
    </w:p>
  </w:footnote>
  <w:footnote w:id="9">
    <w:p w14:paraId="14592711" w14:textId="77777777" w:rsidR="00A56F36" w:rsidRPr="00225B62" w:rsidRDefault="00A56F36" w:rsidP="002E27E1">
      <w:pPr>
        <w:pStyle w:val="FootnoteText"/>
      </w:pPr>
      <w:r w:rsidRPr="00225B62">
        <w:rPr>
          <w:rStyle w:val="FootnoteReference"/>
        </w:rPr>
        <w:footnoteRef/>
      </w:r>
      <w:r w:rsidRPr="00225B62">
        <w:t xml:space="preserve"> Middle Class Tax Relief and Job Creation Act of 2012, Pub. L. No. 112-96, §§ 6402 (codified at 47 U.S.C. § 309(j)(8)(G)), 6403 (codified at 47 U.S.C. § 1452), 126 Stat. 156 (2012).  “The Act responds to the rapidly growing demand for mobile broadband services by granting the Federal Communications Commission authority to reallocate a portion of the licensed airwaves from television broadcasters to mobile broadband providers.” </w:t>
      </w:r>
      <w:r w:rsidRPr="00225B62">
        <w:rPr>
          <w:i/>
        </w:rPr>
        <w:t>Mako</w:t>
      </w:r>
      <w:r w:rsidRPr="00225B62">
        <w:t>, 835 F.3d at 147.</w:t>
      </w:r>
    </w:p>
  </w:footnote>
  <w:footnote w:id="10">
    <w:p w14:paraId="3B3C7D9C" w14:textId="4CEE0192" w:rsidR="00A56F36" w:rsidRPr="00225B62" w:rsidRDefault="00A56F36" w:rsidP="002E27E1">
      <w:pPr>
        <w:pStyle w:val="FootnoteText"/>
        <w:rPr>
          <w:i/>
        </w:rPr>
      </w:pPr>
      <w:r w:rsidRPr="00225B62">
        <w:rPr>
          <w:rStyle w:val="FootnoteReference"/>
        </w:rPr>
        <w:footnoteRef/>
      </w:r>
      <w:r w:rsidRPr="00225B62">
        <w:t xml:space="preserve"> </w:t>
      </w:r>
      <w:r w:rsidRPr="00225B62">
        <w:rPr>
          <w:i/>
        </w:rPr>
        <w:t xml:space="preserve">Incentive Auction R&amp;O, </w:t>
      </w:r>
      <w:r w:rsidRPr="00225B62">
        <w:t>29 FCC Rcd</w:t>
      </w:r>
      <w:r w:rsidRPr="00225B62">
        <w:rPr>
          <w:i/>
        </w:rPr>
        <w:t xml:space="preserve"> </w:t>
      </w:r>
      <w:r w:rsidRPr="00225B62">
        <w:t>at 6617–80, paras. 109–257.</w:t>
      </w:r>
      <w:r w:rsidRPr="00225B62">
        <w:rPr>
          <w:i/>
        </w:rPr>
        <w:t xml:space="preserve"> </w:t>
      </w:r>
    </w:p>
  </w:footnote>
  <w:footnote w:id="11">
    <w:p w14:paraId="1AAB999F" w14:textId="29FCA208" w:rsidR="00A56F36" w:rsidRPr="00225B62" w:rsidRDefault="00A56F36" w:rsidP="002E27E1">
      <w:pPr>
        <w:pStyle w:val="FootnoteText"/>
      </w:pPr>
      <w:r w:rsidRPr="00225B62">
        <w:rPr>
          <w:rStyle w:val="FootnoteReference"/>
        </w:rPr>
        <w:footnoteRef/>
      </w:r>
      <w:r w:rsidRPr="00225B62">
        <w:t xml:space="preserve"> </w:t>
      </w:r>
      <w:r w:rsidRPr="00225B62">
        <w:rPr>
          <w:i/>
        </w:rPr>
        <w:t>Closing and Channel Reassignment Public Notice,</w:t>
      </w:r>
      <w:r w:rsidRPr="00225B62">
        <w:t xml:space="preserve"> </w:t>
      </w:r>
      <w:r w:rsidRPr="00225B62">
        <w:rPr>
          <w:i/>
        </w:rPr>
        <w:t>supra</w:t>
      </w:r>
      <w:r w:rsidRPr="00225B62">
        <w:t xml:space="preserve"> at n.1.</w:t>
      </w:r>
    </w:p>
  </w:footnote>
  <w:footnote w:id="12">
    <w:p w14:paraId="44313B55" w14:textId="0E83A5D3" w:rsidR="00A56F36" w:rsidRPr="00225B62" w:rsidRDefault="00A56F36">
      <w:pPr>
        <w:pStyle w:val="FootnoteText"/>
      </w:pPr>
      <w:r w:rsidRPr="00225B62">
        <w:rPr>
          <w:rStyle w:val="FootnoteReference"/>
        </w:rPr>
        <w:footnoteRef/>
      </w:r>
      <w:r w:rsidRPr="00225B62">
        <w:t xml:space="preserve">  </w:t>
      </w:r>
      <w:r w:rsidRPr="00225B62">
        <w:rPr>
          <w:i/>
        </w:rPr>
        <w:t>See</w:t>
      </w:r>
      <w:r w:rsidRPr="00225B62">
        <w:t xml:space="preserve"> Section IV.</w:t>
      </w:r>
    </w:p>
  </w:footnote>
  <w:footnote w:id="13">
    <w:p w14:paraId="2FBE0C2A" w14:textId="46F310AF" w:rsidR="00A56F36" w:rsidRPr="00225B62" w:rsidRDefault="00A56F36" w:rsidP="002E27E1">
      <w:pPr>
        <w:pStyle w:val="FootnoteText"/>
      </w:pPr>
      <w:r w:rsidRPr="00225B62">
        <w:rPr>
          <w:rStyle w:val="FootnoteReference"/>
        </w:rPr>
        <w:footnoteRef/>
      </w:r>
      <w:r w:rsidRPr="00225B62">
        <w:t xml:space="preserve"> 47 CFR</w:t>
      </w:r>
      <w:r w:rsidRPr="00225B62">
        <w:rPr>
          <w:i/>
        </w:rPr>
        <w:t xml:space="preserve"> </w:t>
      </w:r>
      <w:r w:rsidRPr="00225B62">
        <w:t xml:space="preserve">§ 27.4; </w:t>
      </w:r>
      <w:r w:rsidRPr="00225B62">
        <w:rPr>
          <w:i/>
        </w:rPr>
        <w:t>see</w:t>
      </w:r>
      <w:r w:rsidRPr="00225B62">
        <w:t xml:space="preserve"> </w:t>
      </w:r>
      <w:r w:rsidRPr="00225B62">
        <w:rPr>
          <w:i/>
        </w:rPr>
        <w:t>Incentive Auction R&amp;O,</w:t>
      </w:r>
      <w:r w:rsidRPr="00225B62">
        <w:t xml:space="preserve"> 29 FCC Rcd at 6796, para. 559 and </w:t>
      </w:r>
      <w:r w:rsidRPr="00225B62" w:rsidDel="00B974C8">
        <w:t>6</w:t>
      </w:r>
      <w:r w:rsidRPr="00225B62">
        <w:t>799-80, para. 568.</w:t>
      </w:r>
    </w:p>
  </w:footnote>
  <w:footnote w:id="14">
    <w:p w14:paraId="28E56A65" w14:textId="1CB198D8" w:rsidR="00A56F36" w:rsidRPr="00225B62" w:rsidRDefault="00A56F36" w:rsidP="002E27E1">
      <w:pPr>
        <w:pStyle w:val="FootnoteText"/>
      </w:pPr>
      <w:r w:rsidRPr="00225B62">
        <w:rPr>
          <w:rStyle w:val="FootnoteReference"/>
        </w:rPr>
        <w:footnoteRef/>
      </w:r>
      <w:r w:rsidRPr="00225B62">
        <w:t xml:space="preserve"> </w:t>
      </w:r>
      <w:r w:rsidRPr="00225B62">
        <w:rPr>
          <w:i/>
        </w:rPr>
        <w:t>See Incentive Auction Task Force and Media Bureau Adopt Post-Incentive Auction Transition Scheduling Plan</w:t>
      </w:r>
      <w:r w:rsidRPr="00225B62">
        <w:t>, Public Notice, 32 FCC Rcd 890 (MB 2017) (</w:t>
      </w:r>
      <w:r w:rsidRPr="00225B62">
        <w:rPr>
          <w:i/>
        </w:rPr>
        <w:t>Transition Scheduling Adoption Public Notice</w:t>
      </w:r>
      <w:r w:rsidR="000E446C" w:rsidRPr="00225B62">
        <w:t xml:space="preserve">); </w:t>
      </w:r>
      <w:r w:rsidR="000E446C" w:rsidRPr="00225B62">
        <w:rPr>
          <w:i/>
        </w:rPr>
        <w:t>Closing and Channel Reassignment Public Notice</w:t>
      </w:r>
      <w:r w:rsidR="000E446C" w:rsidRPr="00225B62">
        <w:t xml:space="preserve"> at paras. 61-65.</w:t>
      </w:r>
    </w:p>
  </w:footnote>
  <w:footnote w:id="15">
    <w:p w14:paraId="042F74F2" w14:textId="77777777" w:rsidR="00A56F36" w:rsidRPr="00225B62" w:rsidRDefault="00A56F36" w:rsidP="002E27E1">
      <w:pPr>
        <w:pStyle w:val="FootnoteText"/>
      </w:pPr>
      <w:r w:rsidRPr="00225B62">
        <w:rPr>
          <w:rStyle w:val="FootnoteReference"/>
        </w:rPr>
        <w:footnoteRef/>
      </w:r>
      <w:r w:rsidRPr="00225B62">
        <w:t xml:space="preserve"> </w:t>
      </w:r>
      <w:r w:rsidRPr="00225B62">
        <w:rPr>
          <w:i/>
        </w:rPr>
        <w:t>Id.</w:t>
      </w:r>
      <w:r w:rsidRPr="00225B62">
        <w:t xml:space="preserve">; 47 CFR § 73.3700(b)(4)(iii).  </w:t>
      </w:r>
    </w:p>
  </w:footnote>
  <w:footnote w:id="16">
    <w:p w14:paraId="2BA609A2" w14:textId="5C5DCFF7" w:rsidR="00A56F36" w:rsidRPr="00225B62" w:rsidRDefault="00A56F36">
      <w:pPr>
        <w:pStyle w:val="FootnoteText"/>
      </w:pPr>
      <w:r w:rsidRPr="00225B62">
        <w:rPr>
          <w:rStyle w:val="FootnoteReference"/>
        </w:rPr>
        <w:footnoteRef/>
      </w:r>
      <w:r w:rsidRPr="00225B62">
        <w:t xml:space="preserve"> </w:t>
      </w:r>
      <w:r w:rsidRPr="00225B62">
        <w:rPr>
          <w:i/>
        </w:rPr>
        <w:t>See Incentive Auction R&amp;O</w:t>
      </w:r>
      <w:r w:rsidRPr="00225B62">
        <w:t>, 29 FCC Rcd at 6672-73, para. 237 and 6716-17, para. 352.</w:t>
      </w:r>
    </w:p>
  </w:footnote>
  <w:footnote w:id="17">
    <w:p w14:paraId="1BCC5BA7" w14:textId="37C0AF3F" w:rsidR="00A56F36" w:rsidRPr="00225B62" w:rsidRDefault="00A56F36">
      <w:pPr>
        <w:pStyle w:val="FootnoteText"/>
      </w:pPr>
      <w:r w:rsidRPr="00225B62">
        <w:rPr>
          <w:rStyle w:val="FootnoteReference"/>
        </w:rPr>
        <w:footnoteRef/>
      </w:r>
      <w:r w:rsidRPr="00225B62">
        <w:t xml:space="preserve"> </w:t>
      </w:r>
      <w:r w:rsidRPr="00225B62">
        <w:rPr>
          <w:i/>
        </w:rPr>
        <w:t xml:space="preserve">See Incentive Auction R&amp;O, </w:t>
      </w:r>
      <w:r w:rsidRPr="00225B62">
        <w:t xml:space="preserve">29 FCC Fcd at 6835-36, para. 659; </w:t>
      </w:r>
      <w:r w:rsidRPr="00225B62">
        <w:rPr>
          <w:i/>
        </w:rPr>
        <w:t>see also Amendment of Parts 73 and 74 of the Commission’s Rules to Establish Rules for Digital Low Power Television and Television Translator Stations,</w:t>
      </w:r>
      <w:r w:rsidRPr="00225B62">
        <w:t xml:space="preserve"> MB Docket No. 03-185, Third Report and Order and Fourth Notice of Proposed Rulemaking, 30 FCC Rcd 14927, 14946 (2015) (</w:t>
      </w:r>
      <w:r w:rsidRPr="00225B62">
        <w:rPr>
          <w:i/>
        </w:rPr>
        <w:t>LPTV DTV Third R&amp;O</w:t>
      </w:r>
      <w:r w:rsidRPr="00225B62">
        <w:t xml:space="preserve">).  The Commission also allowed LPTV/translator stations with mutually exclusive applications (i.e., those that cannot be granted without causing interference to each other) to explore engineering solutions or agree on a settlement to resolve the mutual exclusivity, rather than being resolved through an auction.  </w:t>
      </w:r>
      <w:r w:rsidRPr="00225B62">
        <w:rPr>
          <w:i/>
        </w:rPr>
        <w:t>Incentive Auction R&amp;O</w:t>
      </w:r>
      <w:r w:rsidRPr="00225B62">
        <w:t>, 29 FCC Rcd at 6836-37, para. 661.</w:t>
      </w:r>
    </w:p>
  </w:footnote>
  <w:footnote w:id="18">
    <w:p w14:paraId="09E4DA4E" w14:textId="77777777" w:rsidR="00A56F36" w:rsidRPr="00225B62" w:rsidRDefault="00A56F36" w:rsidP="000F5FBD">
      <w:pPr>
        <w:pStyle w:val="FootnoteText"/>
      </w:pPr>
      <w:r w:rsidRPr="00225B62">
        <w:rPr>
          <w:rStyle w:val="FootnoteReference"/>
        </w:rPr>
        <w:footnoteRef/>
      </w:r>
      <w:r w:rsidRPr="00225B62">
        <w:t xml:space="preserve"> </w:t>
      </w:r>
      <w:r w:rsidRPr="00225B62">
        <w:rPr>
          <w:i/>
        </w:rPr>
        <w:t>See LPTV DTV Third R&amp;O</w:t>
      </w:r>
      <w:r w:rsidRPr="00225B62">
        <w:t>, 30 FCC Rcd at 14946, para 41.</w:t>
      </w:r>
    </w:p>
  </w:footnote>
  <w:footnote w:id="19">
    <w:p w14:paraId="2B97A480" w14:textId="64414B11" w:rsidR="00A56F36" w:rsidRPr="00225B62" w:rsidRDefault="00A56F36">
      <w:pPr>
        <w:pStyle w:val="FootnoteText"/>
      </w:pPr>
      <w:r w:rsidRPr="00225B62">
        <w:rPr>
          <w:rStyle w:val="FootnoteReference"/>
        </w:rPr>
        <w:footnoteRef/>
      </w:r>
      <w:r w:rsidRPr="00225B62">
        <w:t xml:space="preserve"> </w:t>
      </w:r>
      <w:r w:rsidRPr="00225B62">
        <w:rPr>
          <w:i/>
        </w:rPr>
        <w:t xml:space="preserve">See Incentive Auction R&amp;O, </w:t>
      </w:r>
      <w:r w:rsidRPr="00225B62">
        <w:t xml:space="preserve">29 FCC Rcd at 6841-2, paras. 668-71; </w:t>
      </w:r>
      <w:r w:rsidRPr="00225B62">
        <w:rPr>
          <w:i/>
        </w:rPr>
        <w:t>Commencing Operations R&amp;O,</w:t>
      </w:r>
      <w:r w:rsidRPr="00225B62">
        <w:t xml:space="preserve"> </w:t>
      </w:r>
      <w:r w:rsidRPr="00225B62">
        <w:rPr>
          <w:i/>
        </w:rPr>
        <w:t>supra</w:t>
      </w:r>
      <w:r w:rsidRPr="00225B62">
        <w:t xml:space="preserve"> at n.1. </w:t>
      </w:r>
      <w:r w:rsidRPr="00225B62">
        <w:rPr>
          <w:i/>
        </w:rPr>
        <w:t xml:space="preserve">See Incentive Auction R&amp;O, </w:t>
      </w:r>
      <w:r w:rsidRPr="00225B62">
        <w:t>29 FCC Rcd at 6841-42, paras. 668-71;</w:t>
      </w:r>
      <w:r w:rsidRPr="00225B62">
        <w:rPr>
          <w:i/>
        </w:rPr>
        <w:t xml:space="preserve"> id. </w:t>
      </w:r>
      <w:r w:rsidRPr="00225B62">
        <w:t xml:space="preserve">at 6840 n.1863 (“To the extent that 600 MHz Band licensees are commencing operations in areas of their geographic licenses where harmful interference from LPTV or TV translator stations would not be likely, these stations are not required to cease operations.”); </w:t>
      </w:r>
      <w:r w:rsidRPr="00225B62">
        <w:rPr>
          <w:i/>
        </w:rPr>
        <w:t>see also</w:t>
      </w:r>
      <w:r w:rsidRPr="00225B62">
        <w:t xml:space="preserve"> </w:t>
      </w:r>
      <w:r w:rsidRPr="00225B62">
        <w:rPr>
          <w:i/>
        </w:rPr>
        <w:t>Commencing Operations R&amp;O,</w:t>
      </w:r>
      <w:r w:rsidRPr="00225B62">
        <w:t xml:space="preserve"> </w:t>
      </w:r>
      <w:r w:rsidRPr="00225B62">
        <w:rPr>
          <w:i/>
        </w:rPr>
        <w:t>supra</w:t>
      </w:r>
      <w:r w:rsidRPr="00225B62">
        <w:t xml:space="preserve"> at n.1 (defining the term “commence operations” for purposes of the displacement notification process).  LPTV/translator stations will be required to cease operations on the frequencies in the 600 MHz guard band and duplex gap no later than the end of the post-auction transition period.  </w:t>
      </w:r>
      <w:r w:rsidRPr="00225B62">
        <w:rPr>
          <w:i/>
        </w:rPr>
        <w:t>See Incentive Auction R&amp;O</w:t>
      </w:r>
      <w:r w:rsidRPr="00225B62">
        <w:t>, 29 FCC Rcd</w:t>
      </w:r>
      <w:r w:rsidRPr="00225B62">
        <w:rPr>
          <w:i/>
        </w:rPr>
        <w:t xml:space="preserve"> </w:t>
      </w:r>
      <w:r w:rsidRPr="00225B62">
        <w:t>at 6841, para. 672.</w:t>
      </w:r>
    </w:p>
  </w:footnote>
  <w:footnote w:id="20">
    <w:p w14:paraId="3D8CCFC2" w14:textId="164EBB69" w:rsidR="00A56F36" w:rsidRPr="00225B62" w:rsidRDefault="00A56F36">
      <w:pPr>
        <w:pStyle w:val="FootnoteText"/>
      </w:pPr>
      <w:r w:rsidRPr="00225B62">
        <w:rPr>
          <w:rStyle w:val="FootnoteReference"/>
        </w:rPr>
        <w:footnoteRef/>
      </w:r>
      <w:r w:rsidRPr="00225B62">
        <w:t xml:space="preserve"> </w:t>
      </w:r>
      <w:r w:rsidRPr="00225B62">
        <w:rPr>
          <w:i/>
        </w:rPr>
        <w:t>See Incentive Auction R&amp;O</w:t>
      </w:r>
      <w:r w:rsidRPr="00225B62">
        <w:t>, 29 FCC Rcd at 6840, para. 670.</w:t>
      </w:r>
    </w:p>
  </w:footnote>
  <w:footnote w:id="21">
    <w:p w14:paraId="698411B4" w14:textId="2CDEC42F" w:rsidR="00A56F36" w:rsidRPr="00225B62" w:rsidRDefault="00A56F36">
      <w:pPr>
        <w:pStyle w:val="FootnoteText"/>
      </w:pPr>
      <w:r w:rsidRPr="00225B62">
        <w:rPr>
          <w:rStyle w:val="FootnoteReference"/>
        </w:rPr>
        <w:footnoteRef/>
      </w:r>
      <w:r w:rsidRPr="00225B62">
        <w:t xml:space="preserve"> </w:t>
      </w:r>
      <w:r w:rsidRPr="00225B62">
        <w:rPr>
          <w:i/>
        </w:rPr>
        <w:t>See</w:t>
      </w:r>
      <w:r w:rsidRPr="00225B62">
        <w:t xml:space="preserve"> Section VII.</w:t>
      </w:r>
    </w:p>
  </w:footnote>
  <w:footnote w:id="22">
    <w:p w14:paraId="0AA80A20" w14:textId="363A534B" w:rsidR="00A56F36" w:rsidRPr="00225B62" w:rsidRDefault="00A56F36" w:rsidP="00181931">
      <w:pPr>
        <w:pStyle w:val="FootnoteText"/>
      </w:pPr>
      <w:r w:rsidRPr="00225B62">
        <w:rPr>
          <w:rStyle w:val="FootnoteReference"/>
        </w:rPr>
        <w:footnoteRef/>
      </w:r>
      <w:r w:rsidRPr="00225B62">
        <w:t xml:space="preserve"> </w:t>
      </w:r>
      <w:r w:rsidRPr="00225B62">
        <w:rPr>
          <w:i/>
        </w:rPr>
        <w:t>Incentive Auction R&amp;O</w:t>
      </w:r>
      <w:r w:rsidRPr="00225B62">
        <w:t>, 29 FCC Rcd at 6835-36, para. 659.</w:t>
      </w:r>
    </w:p>
  </w:footnote>
  <w:footnote w:id="23">
    <w:p w14:paraId="6B991808" w14:textId="05CCDE37" w:rsidR="00A56F36" w:rsidRPr="00225B62" w:rsidRDefault="00A56F36" w:rsidP="00E006C9">
      <w:pPr>
        <w:pStyle w:val="FootnoteText"/>
      </w:pPr>
      <w:r w:rsidRPr="00225B62">
        <w:rPr>
          <w:rStyle w:val="FootnoteReference"/>
        </w:rPr>
        <w:footnoteRef/>
      </w:r>
      <w:r w:rsidRPr="00225B62">
        <w:t xml:space="preserve"> </w:t>
      </w:r>
      <w:r w:rsidRPr="00225B62">
        <w:rPr>
          <w:i/>
        </w:rPr>
        <w:t>See Incentive Auction Task Force and Media Bureau Announce Procedures for the Post-Incentive Auction Broadcast Transition</w:t>
      </w:r>
      <w:r w:rsidRPr="00225B62">
        <w:t>, Public Notice, 32 FCC Rcd 858, 863-64, para. 16 (MB 2017) (</w:t>
      </w:r>
      <w:r w:rsidRPr="00225B62">
        <w:rPr>
          <w:i/>
        </w:rPr>
        <w:t>Transition Procedures Public Notice</w:t>
      </w:r>
      <w:r w:rsidRPr="00225B62">
        <w:t xml:space="preserve">); </w:t>
      </w:r>
      <w:r w:rsidRPr="00225B62">
        <w:rPr>
          <w:i/>
        </w:rPr>
        <w:t>Incentive Auction R&amp;O</w:t>
      </w:r>
      <w:r w:rsidRPr="00225B62">
        <w:t>, 29 FCC Rcd at 6793-94, paras. 553-54 (providing for two filing windows for stations reassigned to new channels in the repacking process to propose alternate channels and expanded facilities).</w:t>
      </w:r>
    </w:p>
  </w:footnote>
  <w:footnote w:id="24">
    <w:p w14:paraId="6B3BE3C3" w14:textId="1F759C67" w:rsidR="00A56F36" w:rsidRPr="00225B62" w:rsidRDefault="00A56F36">
      <w:pPr>
        <w:pStyle w:val="FootnoteText"/>
      </w:pPr>
      <w:r w:rsidRPr="00225B62">
        <w:rPr>
          <w:rStyle w:val="FootnoteReference"/>
        </w:rPr>
        <w:footnoteRef/>
      </w:r>
      <w:r w:rsidRPr="00225B62">
        <w:t xml:space="preserve"> This approximate time frame was calculated based on the release date of the </w:t>
      </w:r>
      <w:r w:rsidRPr="00225B62">
        <w:rPr>
          <w:i/>
        </w:rPr>
        <w:t>Closing and Channel Reassignment Public Notice</w:t>
      </w:r>
      <w:r w:rsidRPr="00225B62">
        <w:t xml:space="preserve"> on April 13, 2017, the completion of the 90-day initial filing window, and the completion of the two 30-day alternate channels/expanded facilities windows.  The Displacement Public Notice will be released after all of these transition events.</w:t>
      </w:r>
    </w:p>
  </w:footnote>
  <w:footnote w:id="25">
    <w:p w14:paraId="739DAF97" w14:textId="45B638DD" w:rsidR="00A56F36" w:rsidRPr="00225B62" w:rsidRDefault="00A56F36">
      <w:pPr>
        <w:pStyle w:val="FootnoteText"/>
      </w:pPr>
      <w:r w:rsidRPr="00225B62">
        <w:rPr>
          <w:rStyle w:val="FootnoteReference"/>
        </w:rPr>
        <w:footnoteRef/>
      </w:r>
      <w:r w:rsidRPr="00225B62">
        <w:t xml:space="preserve"> </w:t>
      </w:r>
      <w:r w:rsidRPr="00225B62">
        <w:rPr>
          <w:i/>
        </w:rPr>
        <w:t>LPTV DTV Third R&amp;O</w:t>
      </w:r>
      <w:r w:rsidRPr="00225B62">
        <w:t>, 30 FCC Rcd at 14946, para. 41.</w:t>
      </w:r>
    </w:p>
  </w:footnote>
  <w:footnote w:id="26">
    <w:p w14:paraId="03662886" w14:textId="37E9B8A6" w:rsidR="00A56F36" w:rsidRPr="00225B62" w:rsidRDefault="00A56F36" w:rsidP="00EC2248">
      <w:pPr>
        <w:pStyle w:val="FootnoteText"/>
      </w:pPr>
      <w:r w:rsidRPr="00225B62">
        <w:rPr>
          <w:rStyle w:val="FootnoteReference"/>
        </w:rPr>
        <w:footnoteRef/>
      </w:r>
      <w:r w:rsidRPr="00225B62">
        <w:t xml:space="preserve"> </w:t>
      </w:r>
      <w:r w:rsidRPr="00225B62">
        <w:rPr>
          <w:i/>
        </w:rPr>
        <w:t>Id.</w:t>
      </w:r>
      <w:r w:rsidRPr="00225B62">
        <w:t xml:space="preserve"> at 14946, para. 40.  The Commission concluded that “use of the repacking and optimization software for this purpose will expedite and ease the post-auction transition and help many low power stations find new channel homes.”  </w:t>
      </w:r>
      <w:r w:rsidRPr="00225B62">
        <w:rPr>
          <w:i/>
        </w:rPr>
        <w:t xml:space="preserve">Id.  </w:t>
      </w:r>
      <w:r w:rsidRPr="00225B62">
        <w:t xml:space="preserve">Providing this data after the filing windows for full power and Class A stations that are reassigned to new channels in the repacking process will ensure a stable database for displaced stations.  With the release of the </w:t>
      </w:r>
      <w:r w:rsidRPr="00225B62">
        <w:rPr>
          <w:i/>
        </w:rPr>
        <w:t>Closing and Channel Reassignment Public Notice</w:t>
      </w:r>
      <w:r w:rsidRPr="00225B62">
        <w:t xml:space="preserve">, however, LPTV/translator stations can independently start analyzing potential displacement and alternative channel availability.    </w:t>
      </w:r>
      <w:r w:rsidRPr="00225B62">
        <w:rPr>
          <w:i/>
        </w:rPr>
        <w:t xml:space="preserve">  </w:t>
      </w:r>
    </w:p>
  </w:footnote>
  <w:footnote w:id="27">
    <w:p w14:paraId="132D7E76" w14:textId="79745C10" w:rsidR="00065726" w:rsidRPr="00225B62" w:rsidRDefault="00065726">
      <w:pPr>
        <w:pStyle w:val="FootnoteText"/>
      </w:pPr>
      <w:r w:rsidRPr="00225B62">
        <w:rPr>
          <w:rStyle w:val="FootnoteReference"/>
        </w:rPr>
        <w:footnoteRef/>
      </w:r>
      <w:r w:rsidRPr="00225B62">
        <w:t xml:space="preserve"> </w:t>
      </w:r>
      <w:r w:rsidRPr="00225B62">
        <w:rPr>
          <w:i/>
        </w:rPr>
        <w:t>See</w:t>
      </w:r>
      <w:r w:rsidRPr="00225B62">
        <w:t xml:space="preserve"> 47 CFR § 74.709.</w:t>
      </w:r>
    </w:p>
  </w:footnote>
  <w:footnote w:id="28">
    <w:p w14:paraId="6D9974CC" w14:textId="2D8DB450" w:rsidR="00A95259" w:rsidRPr="00225B62" w:rsidRDefault="00A95259">
      <w:pPr>
        <w:pStyle w:val="FootnoteText"/>
      </w:pPr>
      <w:r w:rsidRPr="00225B62">
        <w:rPr>
          <w:rStyle w:val="FootnoteReference"/>
        </w:rPr>
        <w:footnoteRef/>
      </w:r>
      <w:r w:rsidRPr="00225B62">
        <w:t xml:space="preserve"> This data will reflect the baseline and subsequently modified full power and Class A television coverage of stations up to the point in time that it is generated, after the first two full power and Class A alternate channel/expanded facilities filing windows.  It will also reflect coverage of non-displaced LPTV/translator stations.  The data will not, however, include coverage of any displaced LPTV/translator stations.  We further note that the data will not and cannot show interference predictions to full power, Class A, or other LPTV/translator stations, as such predictions would depend on the specific technical parameters of each LPTV/translator station.  Technical showings will be required to demonstrate that LPTV/translator station displacement applications are predicted to cause less than the amount of interference prescribed in our rules to other TV stations, including other LPTV/translator stations.</w:t>
      </w:r>
    </w:p>
  </w:footnote>
  <w:footnote w:id="29">
    <w:p w14:paraId="415AAC5C" w14:textId="24EAF5E3" w:rsidR="00A56F36" w:rsidRPr="00225B62" w:rsidRDefault="00A56F36" w:rsidP="00892559">
      <w:pPr>
        <w:pStyle w:val="FootnoteText"/>
      </w:pPr>
      <w:r w:rsidRPr="00225B62">
        <w:rPr>
          <w:rStyle w:val="FootnoteReference"/>
        </w:rPr>
        <w:footnoteRef/>
      </w:r>
      <w:r w:rsidRPr="00225B62">
        <w:t xml:space="preserve"> The latest version of the Commission’s </w:t>
      </w:r>
      <w:r w:rsidRPr="00225B62">
        <w:rPr>
          <w:i/>
        </w:rPr>
        <w:t>TVStudy</w:t>
      </w:r>
      <w:r w:rsidRPr="00225B62">
        <w:t xml:space="preserve"> software is available at </w:t>
      </w:r>
      <w:hyperlink r:id="rId1" w:history="1">
        <w:r w:rsidRPr="00225B62">
          <w:rPr>
            <w:rStyle w:val="Hyperlink"/>
            <w:color w:val="auto"/>
          </w:rPr>
          <w:t>https://www.fcc.gov/oet/tvstudy</w:t>
        </w:r>
      </w:hyperlink>
      <w:r w:rsidRPr="00225B62">
        <w:t xml:space="preserve">. The version of </w:t>
      </w:r>
      <w:r w:rsidRPr="00225B62">
        <w:rPr>
          <w:i/>
        </w:rPr>
        <w:t>TVStudy</w:t>
      </w:r>
      <w:r w:rsidRPr="00225B62">
        <w:t xml:space="preserve"> used during the incentive auction, Version 1.3.2 (Patched), remains available on the Commission’s LEARN website at </w:t>
      </w:r>
      <w:hyperlink r:id="rId2" w:history="1">
        <w:r w:rsidRPr="00225B62">
          <w:rPr>
            <w:rStyle w:val="Hyperlink"/>
            <w:color w:val="auto"/>
          </w:rPr>
          <w:t>http://data.fcc.gov/download/incentive-auctions/OET-69/</w:t>
        </w:r>
      </w:hyperlink>
      <w:r w:rsidRPr="00225B62">
        <w:t>.</w:t>
      </w:r>
    </w:p>
  </w:footnote>
  <w:footnote w:id="30">
    <w:p w14:paraId="1A566443" w14:textId="4D7530AD" w:rsidR="006B207B" w:rsidRPr="00225B62" w:rsidRDefault="006B207B">
      <w:pPr>
        <w:pStyle w:val="FootnoteText"/>
      </w:pPr>
      <w:r w:rsidRPr="00225B62">
        <w:rPr>
          <w:rStyle w:val="FootnoteReference"/>
        </w:rPr>
        <w:footnoteRef/>
      </w:r>
      <w:r w:rsidRPr="00225B62">
        <w:t xml:space="preserve"> </w:t>
      </w:r>
      <w:r w:rsidRPr="00225B62">
        <w:rPr>
          <w:i/>
        </w:rPr>
        <w:t xml:space="preserve">See </w:t>
      </w:r>
      <w:r w:rsidRPr="00225B62">
        <w:t>47 CFR §</w:t>
      </w:r>
      <w:r w:rsidR="00C62B5C" w:rsidRPr="00225B62">
        <w:t>§</w:t>
      </w:r>
      <w:r w:rsidRPr="00225B62">
        <w:t xml:space="preserve"> 74.793(e)</w:t>
      </w:r>
      <w:r w:rsidR="00C62B5C" w:rsidRPr="00225B62">
        <w:t xml:space="preserve">-(h) that define the levels of protection to the authorized facilities of full power, Class A, LPTV and TV translator stations. </w:t>
      </w:r>
    </w:p>
  </w:footnote>
  <w:footnote w:id="31">
    <w:p w14:paraId="7DA1A4C8" w14:textId="1A63351A" w:rsidR="00A56F36" w:rsidRPr="00225B62" w:rsidRDefault="00A56F36" w:rsidP="009D732D">
      <w:pPr>
        <w:pStyle w:val="FootnoteText"/>
      </w:pPr>
      <w:r w:rsidRPr="00225B62">
        <w:rPr>
          <w:rStyle w:val="FootnoteReference"/>
        </w:rPr>
        <w:footnoteRef/>
      </w:r>
      <w:r w:rsidRPr="00225B62">
        <w:t xml:space="preserve"> LPTV/translator stations have more flexibility to propose facilities than full power or Class A stations due to their ability to move transmitter site locations over large distances (up to 30 miles) and the lack of a requirement to replicate coverage areas.  </w:t>
      </w:r>
      <w:r w:rsidRPr="00225B62">
        <w:rPr>
          <w:i/>
        </w:rPr>
        <w:t>See</w:t>
      </w:r>
      <w:r w:rsidRPr="00225B62">
        <w:t xml:space="preserve"> Section III. D.  In addition, although they may not cause harmful interference to other TV stations, LPTV/translator stations may choose to accept interference from other stations.  Accordingly, the specific channels available to LPTV/translator stations during the Special Displacement Window, and the predicted interference caused by the proposed facilities, depends on the choices of individual applicants and cannot be known in advance of the Window.  </w:t>
      </w:r>
    </w:p>
  </w:footnote>
  <w:footnote w:id="32">
    <w:p w14:paraId="3D3B8EE2" w14:textId="77777777" w:rsidR="00A56F36" w:rsidRPr="00225B62" w:rsidRDefault="00A56F36">
      <w:pPr>
        <w:pStyle w:val="FootnoteText"/>
      </w:pPr>
      <w:r w:rsidRPr="00225B62">
        <w:rPr>
          <w:rStyle w:val="FootnoteReference"/>
        </w:rPr>
        <w:footnoteRef/>
      </w:r>
      <w:r w:rsidRPr="00225B62">
        <w:t xml:space="preserve"> </w:t>
      </w:r>
      <w:r w:rsidRPr="00225B62">
        <w:rPr>
          <w:i/>
        </w:rPr>
        <w:t xml:space="preserve">See </w:t>
      </w:r>
      <w:r w:rsidRPr="00225B62">
        <w:t xml:space="preserve">47 CFR § 73.3700(g)(1); </w:t>
      </w:r>
      <w:r w:rsidRPr="00225B62">
        <w:rPr>
          <w:i/>
        </w:rPr>
        <w:t>Incentive Auction R&amp;O</w:t>
      </w:r>
      <w:r w:rsidRPr="00225B62">
        <w:t>, 29 FCC Rcd at 6836, para. 659.</w:t>
      </w:r>
    </w:p>
  </w:footnote>
  <w:footnote w:id="33">
    <w:p w14:paraId="30E54241" w14:textId="77777777" w:rsidR="00A56F36" w:rsidRPr="00225B62" w:rsidRDefault="00A56F36" w:rsidP="005452EC">
      <w:pPr>
        <w:pStyle w:val="FootnoteText"/>
      </w:pPr>
      <w:r w:rsidRPr="00225B62">
        <w:rPr>
          <w:rStyle w:val="FootnoteReference"/>
        </w:rPr>
        <w:footnoteRef/>
      </w:r>
      <w:r w:rsidRPr="00225B62">
        <w:t xml:space="preserve"> </w:t>
      </w:r>
      <w:r w:rsidRPr="00225B62">
        <w:rPr>
          <w:i/>
        </w:rPr>
        <w:t>See</w:t>
      </w:r>
      <w:r w:rsidRPr="00225B62">
        <w:t xml:space="preserve"> </w:t>
      </w:r>
      <w:r w:rsidRPr="00225B62">
        <w:rPr>
          <w:i/>
        </w:rPr>
        <w:t>Media Bureau Announces Date By Which LPTV and TV Translator Stations Must Be “Operating” In Order To Participate In Post-Incentive Auction Special Displacement Window</w:t>
      </w:r>
      <w:r w:rsidRPr="00225B62">
        <w:t>, Public Notice, 31 FCC Rcd 5383 (MB 2016) (</w:t>
      </w:r>
      <w:r w:rsidRPr="00225B62">
        <w:rPr>
          <w:i/>
        </w:rPr>
        <w:t>Operating Public Notice</w:t>
      </w:r>
      <w:r w:rsidRPr="00225B62">
        <w:t>).</w:t>
      </w:r>
    </w:p>
  </w:footnote>
  <w:footnote w:id="34">
    <w:p w14:paraId="662B7C65" w14:textId="1C5D7A3E" w:rsidR="00A56F36" w:rsidRPr="00225B62" w:rsidRDefault="00A56F36">
      <w:pPr>
        <w:pStyle w:val="FootnoteText"/>
      </w:pPr>
      <w:r w:rsidRPr="00225B62">
        <w:rPr>
          <w:rStyle w:val="FootnoteReference"/>
        </w:rPr>
        <w:footnoteRef/>
      </w:r>
      <w:r w:rsidRPr="00225B62">
        <w:t xml:space="preserve"> With respect to the TV bands, the Commission’s rules define displacement as an analog LPTV or TV translator station being “predicted to cause or receive interference to or from an authorized TV broadcast station,” or a “digital low power television or television translator station … causing or receiving interference or [being] predicted to cause or receive interference to or from an authorized TV broadcast station, DTV station or allotment or other protected station or service . . . .”  </w:t>
      </w:r>
      <w:r w:rsidRPr="00225B62">
        <w:rPr>
          <w:i/>
        </w:rPr>
        <w:t xml:space="preserve">See </w:t>
      </w:r>
      <w:r w:rsidRPr="00225B62">
        <w:t>47 CFR § 73.3572(a)(4) (analog) and 74.787(a)(4) (digital).</w:t>
      </w:r>
    </w:p>
  </w:footnote>
  <w:footnote w:id="35">
    <w:p w14:paraId="2D502528" w14:textId="67C1DAC8" w:rsidR="00A56F36" w:rsidRPr="00225B62" w:rsidRDefault="00A56F36">
      <w:pPr>
        <w:pStyle w:val="FootnoteText"/>
      </w:pPr>
      <w:r w:rsidRPr="00225B62">
        <w:rPr>
          <w:rStyle w:val="FootnoteReference"/>
        </w:rPr>
        <w:footnoteRef/>
      </w:r>
      <w:r w:rsidRPr="00225B62">
        <w:t xml:space="preserve"> </w:t>
      </w:r>
      <w:r w:rsidRPr="00225B62">
        <w:rPr>
          <w:i/>
        </w:rPr>
        <w:t xml:space="preserve">See </w:t>
      </w:r>
      <w:r w:rsidRPr="00225B62">
        <w:t xml:space="preserve">47 CFR § 73.3700(g)(1); </w:t>
      </w:r>
      <w:r w:rsidRPr="00225B62">
        <w:rPr>
          <w:i/>
        </w:rPr>
        <w:t>Incentive Auction R&amp;O</w:t>
      </w:r>
      <w:r w:rsidRPr="00225B62">
        <w:t>, 29 FCC Rcd at 6836, para. 659.</w:t>
      </w:r>
    </w:p>
  </w:footnote>
  <w:footnote w:id="36">
    <w:p w14:paraId="76AE29AC" w14:textId="77777777" w:rsidR="00A56F36" w:rsidRPr="00225B62" w:rsidRDefault="00A56F36">
      <w:pPr>
        <w:pStyle w:val="FootnoteText"/>
      </w:pPr>
      <w:r w:rsidRPr="00225B62">
        <w:rPr>
          <w:rStyle w:val="FootnoteReference"/>
        </w:rPr>
        <w:footnoteRef/>
      </w:r>
      <w:r w:rsidRPr="00225B62">
        <w:t xml:space="preserve"> </w:t>
      </w:r>
      <w:r w:rsidRPr="00225B62">
        <w:rPr>
          <w:i/>
        </w:rPr>
        <w:t xml:space="preserve">See </w:t>
      </w:r>
      <w:r w:rsidRPr="00225B62">
        <w:t>47 CFR §§ 73.3572(a)(4), 74.787(a)(4).</w:t>
      </w:r>
    </w:p>
  </w:footnote>
  <w:footnote w:id="37">
    <w:p w14:paraId="1281A9E4" w14:textId="5F1DA25E" w:rsidR="00A56F36" w:rsidRPr="00225B62" w:rsidRDefault="00A56F36" w:rsidP="00D611C9">
      <w:pPr>
        <w:pStyle w:val="FootnoteText"/>
      </w:pPr>
      <w:r w:rsidRPr="00225B62">
        <w:rPr>
          <w:rStyle w:val="FootnoteReference"/>
        </w:rPr>
        <w:footnoteRef/>
      </w:r>
      <w:r w:rsidRPr="00225B62">
        <w:t xml:space="preserve"> </w:t>
      </w:r>
      <w:r w:rsidRPr="00225B62">
        <w:rPr>
          <w:i/>
        </w:rPr>
        <w:t>Incentive Auction R&amp;</w:t>
      </w:r>
      <w:r w:rsidRPr="00225B62">
        <w:t xml:space="preserve">O, 29 FCC Rcd at 6835 n.1833; </w:t>
      </w:r>
      <w:r w:rsidRPr="00225B62">
        <w:rPr>
          <w:i/>
        </w:rPr>
        <w:t>see</w:t>
      </w:r>
      <w:r w:rsidRPr="00225B62">
        <w:t xml:space="preserve"> 47 CFR §§ 73.3572(a)(4) and 74.787(a)(4).</w:t>
      </w:r>
    </w:p>
  </w:footnote>
  <w:footnote w:id="38">
    <w:p w14:paraId="135F53CB" w14:textId="6572859C" w:rsidR="00A56F36" w:rsidRPr="00225B62" w:rsidRDefault="00A56F36" w:rsidP="00D06C51">
      <w:pPr>
        <w:pStyle w:val="FootnoteText"/>
      </w:pPr>
      <w:r w:rsidRPr="00225B62">
        <w:rPr>
          <w:rStyle w:val="FootnoteReference"/>
        </w:rPr>
        <w:footnoteRef/>
      </w:r>
      <w:r w:rsidRPr="00225B62">
        <w:t xml:space="preserve"> </w:t>
      </w:r>
      <w:r w:rsidRPr="00225B62">
        <w:rPr>
          <w:i/>
        </w:rPr>
        <w:t>See</w:t>
      </w:r>
      <w:r w:rsidRPr="00225B62">
        <w:t xml:space="preserve"> 47 CFR §§ 76.53 (reference points list) and 74.787(a)(4) (digital displacement).</w:t>
      </w:r>
    </w:p>
  </w:footnote>
  <w:footnote w:id="39">
    <w:p w14:paraId="4B1E3C8E" w14:textId="77777777" w:rsidR="00A56F36" w:rsidRPr="00225B62" w:rsidRDefault="00A56F36">
      <w:pPr>
        <w:pStyle w:val="FootnoteText"/>
      </w:pPr>
      <w:r w:rsidRPr="00225B62">
        <w:rPr>
          <w:rStyle w:val="FootnoteReference"/>
        </w:rPr>
        <w:footnoteRef/>
      </w:r>
      <w:r w:rsidRPr="00225B62">
        <w:t xml:space="preserve"> </w:t>
      </w:r>
      <w:r w:rsidRPr="00225B62">
        <w:rPr>
          <w:i/>
        </w:rPr>
        <w:t xml:space="preserve">See </w:t>
      </w:r>
      <w:r w:rsidRPr="00225B62">
        <w:t>47 CFR § 73.3572(a)(4)(i) (analog displacement).</w:t>
      </w:r>
    </w:p>
  </w:footnote>
  <w:footnote w:id="40">
    <w:p w14:paraId="7FE8CEE9" w14:textId="09E7A184" w:rsidR="00A56F36" w:rsidRPr="00225B62" w:rsidRDefault="00A56F36" w:rsidP="00321B35">
      <w:pPr>
        <w:pStyle w:val="FootnoteText"/>
      </w:pPr>
      <w:r w:rsidRPr="00225B62">
        <w:rPr>
          <w:rStyle w:val="FootnoteReference"/>
        </w:rPr>
        <w:footnoteRef/>
      </w:r>
      <w:r w:rsidRPr="00225B62">
        <w:t xml:space="preserve">  Although channel 37 is one of the “television channels” identified in the Commission’s rules, it is “reserved exclusively” for the radio astronomy service (RAS) as well as for the wireless medical telemetry service (WMTS).  </w:t>
      </w:r>
      <w:r w:rsidRPr="00225B62">
        <w:rPr>
          <w:i/>
        </w:rPr>
        <w:t xml:space="preserve">See </w:t>
      </w:r>
      <w:r w:rsidRPr="00225B62">
        <w:t>47 CFR § 73.603(a), (c).</w:t>
      </w:r>
    </w:p>
  </w:footnote>
  <w:footnote w:id="41">
    <w:p w14:paraId="6205FB0F" w14:textId="77CC2EA0" w:rsidR="00A56F36" w:rsidRPr="00225B62" w:rsidRDefault="00A56F36">
      <w:pPr>
        <w:pStyle w:val="FootnoteText"/>
      </w:pPr>
      <w:r w:rsidRPr="00225B62">
        <w:rPr>
          <w:rStyle w:val="FootnoteReference"/>
        </w:rPr>
        <w:footnoteRef/>
      </w:r>
      <w:r w:rsidRPr="00225B62">
        <w:t xml:space="preserve"> </w:t>
      </w:r>
      <w:r w:rsidR="006178C7" w:rsidRPr="00225B62">
        <w:t xml:space="preserve">We note that the Commission in 2015 sought comment on whether to preserve a vacant television channel for use by unlicensed white space devices and wireless microphones in all areas of the country. </w:t>
      </w:r>
      <w:r w:rsidRPr="00225B62">
        <w:rPr>
          <w:i/>
        </w:rPr>
        <w:t>See In the Matter of Amendment of Parts 15, 73 and 74 of the Commission’s Rules to Provide for the Preservation of One Vacant Channel in the UHF Television Band For Use By White Space Devices and Wireless Microphones</w:t>
      </w:r>
      <w:r w:rsidRPr="00225B62">
        <w:t>, MB Docket No. 15-146, Notice of Proposed Rulem</w:t>
      </w:r>
      <w:r w:rsidR="008708CA" w:rsidRPr="00225B62">
        <w:t>aking, 30 FCC Rcd 6711 (2015).</w:t>
      </w:r>
    </w:p>
  </w:footnote>
  <w:footnote w:id="42">
    <w:p w14:paraId="2855825C" w14:textId="055D07DE" w:rsidR="002F6C6E" w:rsidRPr="00225B62" w:rsidRDefault="002F6C6E">
      <w:pPr>
        <w:pStyle w:val="FootnoteText"/>
      </w:pPr>
      <w:r w:rsidRPr="00225B62">
        <w:rPr>
          <w:rStyle w:val="FootnoteReference"/>
        </w:rPr>
        <w:footnoteRef/>
      </w:r>
      <w:r w:rsidRPr="00225B62">
        <w:t xml:space="preserve"> 47 CFR § 74.709.</w:t>
      </w:r>
    </w:p>
  </w:footnote>
  <w:footnote w:id="43">
    <w:p w14:paraId="1A7D68BC" w14:textId="241FDDDE" w:rsidR="00A56F36" w:rsidRPr="00225B62" w:rsidRDefault="00A56F36">
      <w:pPr>
        <w:pStyle w:val="FootnoteText"/>
      </w:pPr>
      <w:r w:rsidRPr="00225B62">
        <w:rPr>
          <w:rStyle w:val="FootnoteReference"/>
        </w:rPr>
        <w:footnoteRef/>
      </w:r>
      <w:r w:rsidRPr="00225B62">
        <w:t xml:space="preserve"> </w:t>
      </w:r>
      <w:r w:rsidRPr="00225B62">
        <w:rPr>
          <w:i/>
        </w:rPr>
        <w:t xml:space="preserve">See </w:t>
      </w:r>
      <w:r w:rsidRPr="00225B62">
        <w:t xml:space="preserve">47 CFR § 73.3700(g)(2); </w:t>
      </w:r>
      <w:r w:rsidRPr="00225B62">
        <w:rPr>
          <w:i/>
        </w:rPr>
        <w:t>Incentive Auction R&amp;O</w:t>
      </w:r>
      <w:r w:rsidRPr="00225B62">
        <w:t xml:space="preserve">, 29 FCC Rcd at 6836 n.1836.  If an application filed during </w:t>
      </w:r>
      <w:r w:rsidR="000455BB" w:rsidRPr="00225B62">
        <w:t xml:space="preserve">either of </w:t>
      </w:r>
      <w:r w:rsidRPr="00225B62">
        <w:t xml:space="preserve">the two alternate channel/expanded facilities </w:t>
      </w:r>
      <w:r w:rsidR="000455BB" w:rsidRPr="00225B62">
        <w:t xml:space="preserve">filing </w:t>
      </w:r>
      <w:r w:rsidRPr="00225B62">
        <w:t xml:space="preserve">windows is granted and supersedes the full power or Class A station’s facility </w:t>
      </w:r>
      <w:r w:rsidR="000455BB" w:rsidRPr="00225B62">
        <w:t xml:space="preserve">as </w:t>
      </w:r>
      <w:r w:rsidRPr="00225B62">
        <w:t xml:space="preserve">listed in the </w:t>
      </w:r>
      <w:r w:rsidRPr="00225B62">
        <w:rPr>
          <w:i/>
        </w:rPr>
        <w:t>Closing and Channel Reassignment Public Notice</w:t>
      </w:r>
      <w:r w:rsidRPr="00225B62">
        <w:t xml:space="preserve">, then an LPTV/translator station filing an application in the Special Displacement Window need only demonstrate that it will not cause interference to the facility authorized in the granted window application.  </w:t>
      </w:r>
    </w:p>
  </w:footnote>
  <w:footnote w:id="44">
    <w:p w14:paraId="463E20A1" w14:textId="23B31803" w:rsidR="00A56F36" w:rsidRPr="00225B62" w:rsidRDefault="00A56F36" w:rsidP="00891B8B">
      <w:pPr>
        <w:pStyle w:val="FootnoteText"/>
      </w:pPr>
      <w:r w:rsidRPr="00225B62">
        <w:rPr>
          <w:rStyle w:val="FootnoteReference"/>
        </w:rPr>
        <w:footnoteRef/>
      </w:r>
      <w:r w:rsidRPr="00225B62">
        <w:t xml:space="preserve"> </w:t>
      </w:r>
      <w:r w:rsidRPr="00225B62">
        <w:rPr>
          <w:i/>
        </w:rPr>
        <w:t>See</w:t>
      </w:r>
      <w:r w:rsidRPr="00225B62">
        <w:t xml:space="preserve"> 47 CFR § 73.3517.; </w:t>
      </w:r>
      <w:r w:rsidRPr="00225B62">
        <w:rPr>
          <w:i/>
        </w:rPr>
        <w:t xml:space="preserve">Savannah College of Art and Design, </w:t>
      </w:r>
      <w:r w:rsidRPr="00225B62">
        <w:t xml:space="preserve">Memorandum Opinion and Order, 18 FCC Rcd 26345, 26350 (2003) (“The reason for the rule against contingent applications is that it avoids burdening the Commission’s resources with applications that cannot be processed until the applicable contingencies are resolved, which may never occur.”) (citing </w:t>
      </w:r>
      <w:r w:rsidRPr="00225B62">
        <w:rPr>
          <w:i/>
        </w:rPr>
        <w:t>Contingent Applications in the Broadcast Services</w:t>
      </w:r>
      <w:r w:rsidRPr="00225B62">
        <w:t>,</w:t>
      </w:r>
      <w:r w:rsidRPr="00225B62">
        <w:rPr>
          <w:rStyle w:val="apple-converted-space"/>
        </w:rPr>
        <w:t> </w:t>
      </w:r>
      <w:r w:rsidRPr="00225B62">
        <w:rPr>
          <w:rStyle w:val="Emphasis"/>
          <w:i w:val="0"/>
        </w:rPr>
        <w:t>Report and Order</w:t>
      </w:r>
      <w:r w:rsidRPr="00225B62">
        <w:t>, 22 RR 299 (1961);</w:t>
      </w:r>
      <w:r w:rsidRPr="00225B62">
        <w:rPr>
          <w:rStyle w:val="apple-converted-space"/>
        </w:rPr>
        <w:t> </w:t>
      </w:r>
      <w:r w:rsidRPr="00225B62">
        <w:rPr>
          <w:i/>
        </w:rPr>
        <w:t>Amendment of Sections 1.517 and 1.520 of the Commission's Rules,</w:t>
      </w:r>
      <w:r w:rsidRPr="00225B62">
        <w:rPr>
          <w:rStyle w:val="apple-converted-space"/>
          <w:i/>
        </w:rPr>
        <w:t> </w:t>
      </w:r>
      <w:r w:rsidRPr="00225B62">
        <w:rPr>
          <w:rStyle w:val="Emphasis"/>
        </w:rPr>
        <w:t>Report and Order</w:t>
      </w:r>
      <w:r w:rsidRPr="00225B62">
        <w:t xml:space="preserve">, 61 F.C.C. 2d 238 (1976)), </w:t>
      </w:r>
      <w:r w:rsidRPr="00225B62">
        <w:rPr>
          <w:i/>
        </w:rPr>
        <w:t>affirmed sub nom</w:t>
      </w:r>
      <w:r w:rsidRPr="00225B62">
        <w:t>.</w:t>
      </w:r>
      <w:r w:rsidRPr="00225B62">
        <w:rPr>
          <w:i/>
        </w:rPr>
        <w:t xml:space="preserve"> Savannah College of Art and Design v. FCC</w:t>
      </w:r>
      <w:r w:rsidRPr="00225B62">
        <w:rPr>
          <w:b/>
          <w:i/>
        </w:rPr>
        <w:t xml:space="preserve">, </w:t>
      </w:r>
      <w:r w:rsidRPr="00225B62">
        <w:t xml:space="preserve">115 Fed. Appx. 444 (D.C. Cir. 2004) (unpublished).  </w:t>
      </w:r>
    </w:p>
  </w:footnote>
  <w:footnote w:id="45">
    <w:p w14:paraId="587691EF" w14:textId="0DEE2F4E" w:rsidR="00A56F36" w:rsidRPr="00225B62" w:rsidRDefault="00A56F36" w:rsidP="00891B8B">
      <w:pPr>
        <w:pStyle w:val="FootnoteText"/>
      </w:pPr>
      <w:r w:rsidRPr="00225B62">
        <w:rPr>
          <w:rStyle w:val="FootnoteReference"/>
        </w:rPr>
        <w:footnoteRef/>
      </w:r>
      <w:r w:rsidRPr="00225B62">
        <w:t xml:space="preserve"> </w:t>
      </w:r>
      <w:r w:rsidRPr="00225B62">
        <w:rPr>
          <w:i/>
        </w:rPr>
        <w:t>See</w:t>
      </w:r>
      <w:r w:rsidRPr="00225B62">
        <w:t xml:space="preserve"> </w:t>
      </w:r>
      <w:r w:rsidRPr="00225B62">
        <w:rPr>
          <w:rFonts w:eastAsia="TimesNewRoman"/>
        </w:rPr>
        <w:t xml:space="preserve">47 CFR 73.3700(g)(2) (requiring </w:t>
      </w:r>
      <w:r w:rsidRPr="00225B62">
        <w:rPr>
          <w:shd w:val="clear" w:color="auto" w:fill="FFFFFF"/>
        </w:rPr>
        <w:t xml:space="preserve">a displaced LPTV/translator station to demonstrate that its proposed operations on the requested channel “would not cause interference to the predicted service of broadcast television stations on . . . </w:t>
      </w:r>
      <w:r w:rsidRPr="00225B62">
        <w:rPr>
          <w:rFonts w:eastAsia="TimesNewRoman"/>
        </w:rPr>
        <w:t xml:space="preserve"> pre-auction channels”).   </w:t>
      </w:r>
      <w:r w:rsidRPr="00225B62">
        <w:t xml:space="preserve">Displaced stations that do </w:t>
      </w:r>
      <w:r w:rsidRPr="00225B62">
        <w:rPr>
          <w:i/>
        </w:rPr>
        <w:t xml:space="preserve">not </w:t>
      </w:r>
      <w:r w:rsidRPr="00225B62">
        <w:t xml:space="preserve">seek to operate on a pre-auction channel relinquished by a full power or Class A station and otherwise comply with our rules can begin operating at any time following the grant of the construction permit for their displacement facilities.  </w:t>
      </w:r>
      <w:r w:rsidRPr="00225B62">
        <w:rPr>
          <w:i/>
        </w:rPr>
        <w:t>See Transition Scheduling Adoption Public Notice</w:t>
      </w:r>
      <w:r w:rsidRPr="00225B62">
        <w:t>, 32 FCC Rcd at 925-26, para. 72.</w:t>
      </w:r>
    </w:p>
  </w:footnote>
  <w:footnote w:id="46">
    <w:p w14:paraId="229138B4" w14:textId="5D225E0C" w:rsidR="000455BB" w:rsidRPr="00225B62" w:rsidRDefault="000455BB">
      <w:pPr>
        <w:pStyle w:val="FootnoteText"/>
      </w:pPr>
      <w:r w:rsidRPr="00225B62">
        <w:rPr>
          <w:rStyle w:val="FootnoteReference"/>
        </w:rPr>
        <w:footnoteRef/>
      </w:r>
      <w:r w:rsidRPr="00225B62">
        <w:t xml:space="preserve"> </w:t>
      </w:r>
      <w:r w:rsidRPr="00225B62">
        <w:rPr>
          <w:i/>
        </w:rPr>
        <w:t>See infra</w:t>
      </w:r>
      <w:r w:rsidRPr="00225B62">
        <w:t xml:space="preserve"> Section III.</w:t>
      </w:r>
      <w:r w:rsidR="000E446C" w:rsidRPr="00225B62">
        <w:t xml:space="preserve"> </w:t>
      </w:r>
      <w:r w:rsidRPr="00225B62">
        <w:t>G.</w:t>
      </w:r>
    </w:p>
  </w:footnote>
  <w:footnote w:id="47">
    <w:p w14:paraId="5827B88E" w14:textId="05997218" w:rsidR="00A56F36" w:rsidRPr="00225B62" w:rsidRDefault="00A56F36" w:rsidP="00F91EFA">
      <w:pPr>
        <w:pStyle w:val="FootnoteText"/>
      </w:pPr>
      <w:r w:rsidRPr="00225B62">
        <w:rPr>
          <w:rStyle w:val="FootnoteReference"/>
        </w:rPr>
        <w:footnoteRef/>
      </w:r>
      <w:r w:rsidRPr="00225B62">
        <w:t xml:space="preserve"> </w:t>
      </w:r>
      <w:r w:rsidRPr="00225B62">
        <w:rPr>
          <w:i/>
        </w:rPr>
        <w:t>Incentive Auction R&amp;O</w:t>
      </w:r>
      <w:r w:rsidRPr="00225B62">
        <w:t xml:space="preserve">, 29 FCC Rcd at 6836 n.1837 </w:t>
      </w:r>
      <w:r w:rsidRPr="00225B62">
        <w:rPr>
          <w:i/>
        </w:rPr>
        <w:t>citing</w:t>
      </w:r>
      <w:r w:rsidRPr="00225B62">
        <w:t xml:space="preserve"> 47 CFR §§ 73.3572(a)(4) and 74.787(a)(4).</w:t>
      </w:r>
    </w:p>
  </w:footnote>
  <w:footnote w:id="48">
    <w:p w14:paraId="06E00BA3" w14:textId="77777777" w:rsidR="00A56F36" w:rsidRPr="00225B62" w:rsidRDefault="00A56F36" w:rsidP="00F91EFA">
      <w:pPr>
        <w:pStyle w:val="FootnoteText"/>
      </w:pPr>
      <w:r w:rsidRPr="00225B62">
        <w:rPr>
          <w:rStyle w:val="FootnoteReference"/>
        </w:rPr>
        <w:footnoteRef/>
      </w:r>
      <w:r w:rsidRPr="00225B62">
        <w:t xml:space="preserve"> 47 CFR § 73.3700(g)(3); </w:t>
      </w:r>
      <w:r w:rsidRPr="00225B62">
        <w:rPr>
          <w:i/>
        </w:rPr>
        <w:t>Incentive Auction R&amp;O</w:t>
      </w:r>
      <w:r w:rsidRPr="00225B62">
        <w:t xml:space="preserve">, 29 FCC Rcd at 6836-37, para. 661.  The Communications Act provides that the Commission shall use engineering solutions, negotiation, threshold qualifications, and other means to avoid mutual exclusivity where the Commission determines that doing so would serve the public interest.  </w:t>
      </w:r>
      <w:r w:rsidRPr="00225B62">
        <w:rPr>
          <w:i/>
        </w:rPr>
        <w:t>See</w:t>
      </w:r>
      <w:r w:rsidRPr="00225B62">
        <w:t xml:space="preserve"> 47 U.S.C. § 309(j)(6)(E).</w:t>
      </w:r>
    </w:p>
  </w:footnote>
  <w:footnote w:id="49">
    <w:p w14:paraId="08D1420F" w14:textId="77777777" w:rsidR="00480B57" w:rsidRPr="00225B62" w:rsidRDefault="00480B57" w:rsidP="00480B57">
      <w:pPr>
        <w:pStyle w:val="FootnoteText"/>
      </w:pPr>
      <w:r w:rsidRPr="00225B62">
        <w:rPr>
          <w:rStyle w:val="FootnoteReference"/>
        </w:rPr>
        <w:footnoteRef/>
      </w:r>
      <w:r w:rsidRPr="00225B62">
        <w:t xml:space="preserve"> 47 CFR § 73.3700(g)(3); 47 CFR § 74.787(a)(5)(iii); </w:t>
      </w:r>
      <w:r w:rsidRPr="00225B62">
        <w:rPr>
          <w:i/>
        </w:rPr>
        <w:t>Incentive Auction R&amp;O</w:t>
      </w:r>
      <w:r w:rsidRPr="00225B62">
        <w:t>, 29 FCC Rcd at 6837, para. 661.</w:t>
      </w:r>
    </w:p>
  </w:footnote>
  <w:footnote w:id="50">
    <w:p w14:paraId="5EDFF89D" w14:textId="77777777" w:rsidR="00480B57" w:rsidRPr="00225B62" w:rsidRDefault="00480B57" w:rsidP="00480B57">
      <w:pPr>
        <w:pStyle w:val="FootnoteText"/>
      </w:pPr>
      <w:r w:rsidRPr="00225B62">
        <w:rPr>
          <w:rStyle w:val="FootnoteReference"/>
        </w:rPr>
        <w:footnoteRef/>
      </w:r>
      <w:r w:rsidRPr="00225B62">
        <w:t xml:space="preserve"> </w:t>
      </w:r>
      <w:r w:rsidRPr="00225B62">
        <w:rPr>
          <w:i/>
        </w:rPr>
        <w:t xml:space="preserve">See </w:t>
      </w:r>
      <w:r w:rsidRPr="00225B62">
        <w:t xml:space="preserve">47 CFR § 74.787(a)(5)(iii); </w:t>
      </w:r>
      <w:r w:rsidRPr="00225B62">
        <w:rPr>
          <w:i/>
        </w:rPr>
        <w:t>LPTV DTV Third R&amp;O</w:t>
      </w:r>
      <w:r w:rsidRPr="00225B62">
        <w:t>, 30 FCC Rcd at 14960, para. 71 (“All applications for new DTDRTs and displacement applications for existing DRTs filed during the post-auction displacement window will be considered filed on the last day of the window, will have priority over all other displacement applications filed during the window by LPTV and TV translator stations, and will be considered co-equal if mutually exclusive.”).</w:t>
      </w:r>
    </w:p>
  </w:footnote>
  <w:footnote w:id="51">
    <w:p w14:paraId="51517D98" w14:textId="77777777" w:rsidR="00480B57" w:rsidRPr="00225B62" w:rsidRDefault="00480B57" w:rsidP="00480B57">
      <w:pPr>
        <w:pStyle w:val="FootnoteText"/>
      </w:pPr>
      <w:r w:rsidRPr="00225B62">
        <w:rPr>
          <w:rStyle w:val="FootnoteReference"/>
        </w:rPr>
        <w:footnoteRef/>
      </w:r>
      <w:r w:rsidRPr="00225B62">
        <w:t xml:space="preserve"> 47 CFR § 73.3700(g)(3); 47 CFR § 74.787(a)(5)(iii); </w:t>
      </w:r>
      <w:r w:rsidRPr="00225B62">
        <w:rPr>
          <w:i/>
        </w:rPr>
        <w:t>Incentive Auction R&amp;O</w:t>
      </w:r>
      <w:r w:rsidRPr="00225B62">
        <w:t>, 29 FCC Rcd at 6837, para. 661.</w:t>
      </w:r>
    </w:p>
  </w:footnote>
  <w:footnote w:id="52">
    <w:p w14:paraId="3E4C12E6" w14:textId="77777777" w:rsidR="00480B57" w:rsidRPr="00225B62" w:rsidRDefault="00480B57" w:rsidP="00480B57">
      <w:pPr>
        <w:pStyle w:val="FootnoteText"/>
      </w:pPr>
      <w:r w:rsidRPr="00225B62">
        <w:rPr>
          <w:rStyle w:val="FootnoteReference"/>
        </w:rPr>
        <w:footnoteRef/>
      </w:r>
      <w:r w:rsidRPr="00225B62">
        <w:t xml:space="preserve"> Consistent with Section 309(j) of the Communications Act, our rules require resolution of mutual exclusivity through competitive bidding. </w:t>
      </w:r>
      <w:r w:rsidRPr="00225B62">
        <w:rPr>
          <w:i/>
        </w:rPr>
        <w:t>See</w:t>
      </w:r>
      <w:r w:rsidRPr="00225B62">
        <w:t xml:space="preserve"> 47 C.F.R. § 73.5000, et seq.</w:t>
      </w:r>
    </w:p>
  </w:footnote>
  <w:footnote w:id="53">
    <w:p w14:paraId="077DE3DD" w14:textId="77777777" w:rsidR="00480B57" w:rsidRPr="00225B62" w:rsidRDefault="00480B57" w:rsidP="00480B57">
      <w:pPr>
        <w:pStyle w:val="FootnoteText"/>
      </w:pPr>
      <w:r w:rsidRPr="00225B62">
        <w:rPr>
          <w:rStyle w:val="FootnoteReference"/>
        </w:rPr>
        <w:footnoteRef/>
      </w:r>
      <w:r w:rsidRPr="00225B62">
        <w:t xml:space="preserve"> </w:t>
      </w:r>
      <w:r w:rsidRPr="00225B62">
        <w:rPr>
          <w:i/>
        </w:rPr>
        <w:t>Id</w:t>
      </w:r>
      <w:r w:rsidRPr="00225B62">
        <w:t>.</w:t>
      </w:r>
    </w:p>
  </w:footnote>
  <w:footnote w:id="54">
    <w:p w14:paraId="7F646FE3" w14:textId="39684A70" w:rsidR="00A56F36" w:rsidRPr="00225B62" w:rsidRDefault="00A56F36" w:rsidP="001E6BDC">
      <w:pPr>
        <w:pStyle w:val="FootnoteText"/>
      </w:pPr>
      <w:r w:rsidRPr="00225B62">
        <w:rPr>
          <w:rStyle w:val="FootnoteReference"/>
        </w:rPr>
        <w:footnoteRef/>
      </w:r>
      <w:r w:rsidRPr="00225B62">
        <w:t xml:space="preserve"> </w:t>
      </w:r>
      <w:r w:rsidRPr="00225B62">
        <w:rPr>
          <w:i/>
        </w:rPr>
        <w:t>See</w:t>
      </w:r>
      <w:r w:rsidRPr="00225B62">
        <w:t xml:space="preserve"> 47 CFR § 73.3598(b); </w:t>
      </w:r>
      <w:r w:rsidRPr="00225B62">
        <w:rPr>
          <w:i/>
        </w:rPr>
        <w:t>LPTV DTV Third R&amp;O</w:t>
      </w:r>
      <w:r w:rsidRPr="00225B62">
        <w:t>, 30 FCC Rcd at 14931 n.17.</w:t>
      </w:r>
    </w:p>
  </w:footnote>
  <w:footnote w:id="55">
    <w:p w14:paraId="4B2544C9" w14:textId="6ABAC361" w:rsidR="00A56F36" w:rsidRPr="00225B62" w:rsidRDefault="00A56F36" w:rsidP="001E6BDC">
      <w:pPr>
        <w:pStyle w:val="FootnoteText"/>
      </w:pPr>
      <w:r w:rsidRPr="00225B62">
        <w:rPr>
          <w:rStyle w:val="FootnoteReference"/>
        </w:rPr>
        <w:footnoteRef/>
      </w:r>
      <w:r w:rsidRPr="00225B62">
        <w:t xml:space="preserve"> </w:t>
      </w:r>
      <w:r w:rsidRPr="00225B62">
        <w:rPr>
          <w:i/>
        </w:rPr>
        <w:t xml:space="preserve">See </w:t>
      </w:r>
      <w:r w:rsidRPr="00225B62">
        <w:t xml:space="preserve">47 CFR § 74.731(m); </w:t>
      </w:r>
      <w:r w:rsidRPr="00225B62">
        <w:rPr>
          <w:i/>
        </w:rPr>
        <w:t>LPTV DTV Third R&amp;O</w:t>
      </w:r>
      <w:r w:rsidRPr="00225B62">
        <w:t xml:space="preserve">, 30 FCC Rcd at 14932-33, para. 9.  In that decision, the Commission extended the LPTV/translator station digital transition date until 12 months following the completion of the 39-month post-incentive auction transition period (or 51 months from the completion of the incentive auction and the release of the </w:t>
      </w:r>
      <w:r w:rsidRPr="00225B62">
        <w:rPr>
          <w:i/>
        </w:rPr>
        <w:t>Closing and Channel Reassignment Public Notice</w:t>
      </w:r>
      <w:r w:rsidRPr="00225B62">
        <w:t xml:space="preserve">).  Given the April 13, 2017 release date of the </w:t>
      </w:r>
      <w:r w:rsidRPr="00225B62">
        <w:rPr>
          <w:i/>
        </w:rPr>
        <w:t>Closing and Channel Reassignment Public Notice</w:t>
      </w:r>
      <w:r w:rsidRPr="00225B62">
        <w:t>, the new LPTV/translator station digital transition date is July 13, 2021.</w:t>
      </w:r>
    </w:p>
  </w:footnote>
  <w:footnote w:id="56">
    <w:p w14:paraId="6FCCAD75" w14:textId="7A484319" w:rsidR="00A56F36" w:rsidRPr="00225B62" w:rsidRDefault="00A56F36" w:rsidP="001E6BDC">
      <w:pPr>
        <w:spacing w:after="120"/>
        <w:rPr>
          <w:sz w:val="20"/>
        </w:rPr>
      </w:pPr>
      <w:r w:rsidRPr="00225B62">
        <w:rPr>
          <w:rStyle w:val="FootnoteReference"/>
        </w:rPr>
        <w:footnoteRef/>
      </w:r>
      <w:r w:rsidRPr="00225B62">
        <w:rPr>
          <w:sz w:val="20"/>
        </w:rPr>
        <w:t xml:space="preserve"> If a displaced analog LPTV/translator station is granted a construction permit for an analog displacement facility, it must nonetheless cease transmitting in analog no later than the new digital transition date – July 13, 2021.  Analog stations transitioning to digital must provide notification to viewers of their planned transition.  </w:t>
      </w:r>
      <w:r w:rsidRPr="00225B62">
        <w:rPr>
          <w:i/>
          <w:sz w:val="20"/>
        </w:rPr>
        <w:t>See infra</w:t>
      </w:r>
      <w:r w:rsidRPr="00225B62">
        <w:rPr>
          <w:sz w:val="20"/>
        </w:rPr>
        <w:t xml:space="preserve"> Section VII.   </w:t>
      </w:r>
    </w:p>
  </w:footnote>
  <w:footnote w:id="57">
    <w:p w14:paraId="6F7E00E1" w14:textId="77777777" w:rsidR="00A56F36" w:rsidRPr="00225B62" w:rsidRDefault="00A56F36" w:rsidP="001E6BDC">
      <w:pPr>
        <w:pStyle w:val="FootnoteText"/>
        <w:rPr>
          <w:i/>
        </w:rPr>
      </w:pPr>
      <w:r w:rsidRPr="00225B62">
        <w:rPr>
          <w:rStyle w:val="FootnoteReference"/>
        </w:rPr>
        <w:footnoteRef/>
      </w:r>
      <w:r w:rsidRPr="00225B62">
        <w:t xml:space="preserve"> </w:t>
      </w:r>
      <w:r w:rsidRPr="00225B62">
        <w:rPr>
          <w:i/>
        </w:rPr>
        <w:t xml:space="preserve">See </w:t>
      </w:r>
      <w:r w:rsidRPr="00225B62">
        <w:t>47 CFR § 73.1620(a)(1).</w:t>
      </w:r>
    </w:p>
  </w:footnote>
  <w:footnote w:id="58">
    <w:p w14:paraId="053A0DEE" w14:textId="77777777" w:rsidR="00A56F36" w:rsidRPr="00225B62" w:rsidRDefault="00A56F36" w:rsidP="001E6BDC">
      <w:pPr>
        <w:pStyle w:val="FootnoteText"/>
      </w:pPr>
      <w:r w:rsidRPr="00225B62">
        <w:rPr>
          <w:rStyle w:val="FootnoteReference"/>
        </w:rPr>
        <w:footnoteRef/>
      </w:r>
      <w:r w:rsidRPr="00225B62">
        <w:t xml:space="preserve"> </w:t>
      </w:r>
      <w:r w:rsidRPr="00225B62">
        <w:rPr>
          <w:i/>
        </w:rPr>
        <w:t>See</w:t>
      </w:r>
      <w:r w:rsidRPr="00225B62">
        <w:t xml:space="preserve"> 47 CFR § 74.788(c).</w:t>
      </w:r>
    </w:p>
  </w:footnote>
  <w:footnote w:id="59">
    <w:p w14:paraId="1F352926" w14:textId="77777777" w:rsidR="00A56F36" w:rsidRPr="00225B62" w:rsidRDefault="00A56F36" w:rsidP="001E6BDC">
      <w:pPr>
        <w:pStyle w:val="FootnoteText"/>
      </w:pPr>
      <w:r w:rsidRPr="00225B62">
        <w:rPr>
          <w:rStyle w:val="FootnoteReference"/>
        </w:rPr>
        <w:footnoteRef/>
      </w:r>
      <w:r w:rsidRPr="00225B62">
        <w:t xml:space="preserve"> </w:t>
      </w:r>
      <w:r w:rsidRPr="00225B62">
        <w:rPr>
          <w:i/>
        </w:rPr>
        <w:t>Id.</w:t>
      </w:r>
    </w:p>
  </w:footnote>
  <w:footnote w:id="60">
    <w:p w14:paraId="5578476F" w14:textId="77777777" w:rsidR="00A56F36" w:rsidRPr="00225B62" w:rsidRDefault="00A56F36" w:rsidP="001E6BDC">
      <w:pPr>
        <w:pStyle w:val="FootnoteText"/>
      </w:pPr>
      <w:r w:rsidRPr="00225B62">
        <w:rPr>
          <w:rStyle w:val="FootnoteReference"/>
        </w:rPr>
        <w:footnoteRef/>
      </w:r>
      <w:r w:rsidRPr="00225B62">
        <w:t xml:space="preserve"> </w:t>
      </w:r>
      <w:r w:rsidRPr="00225B62">
        <w:rPr>
          <w:i/>
        </w:rPr>
        <w:t>Id.</w:t>
      </w:r>
      <w:r w:rsidRPr="00225B62">
        <w:t xml:space="preserve"> </w:t>
      </w:r>
    </w:p>
  </w:footnote>
  <w:footnote w:id="61">
    <w:p w14:paraId="144A9452" w14:textId="77777777" w:rsidR="00A56F36" w:rsidRPr="00225B62" w:rsidRDefault="00A56F36" w:rsidP="001E6BDC">
      <w:pPr>
        <w:pStyle w:val="FootnoteText"/>
      </w:pPr>
      <w:r w:rsidRPr="00225B62">
        <w:rPr>
          <w:rStyle w:val="FootnoteReference"/>
        </w:rPr>
        <w:footnoteRef/>
      </w:r>
      <w:r w:rsidRPr="00225B62">
        <w:t xml:space="preserve"> </w:t>
      </w:r>
      <w:r w:rsidRPr="00225B62">
        <w:rPr>
          <w:i/>
        </w:rPr>
        <w:t>See LPTV DTV Third R&amp;O</w:t>
      </w:r>
      <w:r w:rsidRPr="00225B62">
        <w:t>, 30 FCC Rcd at 14934, para. 13.</w:t>
      </w:r>
    </w:p>
  </w:footnote>
  <w:footnote w:id="62">
    <w:p w14:paraId="0C28D69F" w14:textId="77777777" w:rsidR="00A56F36" w:rsidRPr="00225B62" w:rsidRDefault="00A56F36" w:rsidP="001E6BDC">
      <w:pPr>
        <w:pStyle w:val="FootnoteText"/>
      </w:pPr>
      <w:r w:rsidRPr="00225B62">
        <w:rPr>
          <w:rStyle w:val="FootnoteReference"/>
        </w:rPr>
        <w:footnoteRef/>
      </w:r>
      <w:r w:rsidRPr="00225B62">
        <w:t xml:space="preserve"> </w:t>
      </w:r>
      <w:r w:rsidRPr="00225B62">
        <w:rPr>
          <w:i/>
        </w:rPr>
        <w:t>See</w:t>
      </w:r>
      <w:r w:rsidRPr="00225B62">
        <w:t xml:space="preserve"> 47 CFR § 73.3598(b).</w:t>
      </w:r>
      <w:r w:rsidRPr="00225B62">
        <w:rPr>
          <w:i/>
        </w:rPr>
        <w:t xml:space="preserve">  </w:t>
      </w:r>
      <w:r w:rsidRPr="00225B62">
        <w:t xml:space="preserve">We note that the Section 73.3598(b) tolling standard does not provide relief for financial hardship, except that paragraph (b)(2) would toll the construction deadline for a station that could not build because of a pending bankruptcy court action.  </w:t>
      </w:r>
      <w:r w:rsidRPr="00225B62">
        <w:rPr>
          <w:i/>
        </w:rPr>
        <w:t>See</w:t>
      </w:r>
      <w:r w:rsidRPr="00225B62">
        <w:t xml:space="preserve"> </w:t>
      </w:r>
      <w:r w:rsidRPr="00225B62">
        <w:rPr>
          <w:i/>
        </w:rPr>
        <w:t>Implementation of the DTV Delay Act</w:t>
      </w:r>
      <w:r w:rsidRPr="00225B62">
        <w:t>, MB Docket No. 09-17, Third Report and Order and Order on Reconsideration, 24 FCC Rcd 3399, 3429 n.156 (2009).</w:t>
      </w:r>
    </w:p>
  </w:footnote>
  <w:footnote w:id="63">
    <w:p w14:paraId="15BE5A85" w14:textId="77777777" w:rsidR="00A56F36" w:rsidRPr="00225B62" w:rsidRDefault="00A56F36" w:rsidP="001E6BDC">
      <w:pPr>
        <w:pStyle w:val="FootnoteText"/>
      </w:pPr>
      <w:r w:rsidRPr="00225B62">
        <w:rPr>
          <w:rStyle w:val="FootnoteReference"/>
        </w:rPr>
        <w:footnoteRef/>
      </w:r>
      <w:r w:rsidRPr="00225B62">
        <w:t xml:space="preserve"> </w:t>
      </w:r>
      <w:r w:rsidRPr="00225B62">
        <w:rPr>
          <w:i/>
        </w:rPr>
        <w:t>See 1998 Regulatory Review - Streamlining of Mass Media Applications, Rules and Processes</w:t>
      </w:r>
      <w:r w:rsidRPr="00225B62">
        <w:t>, Memorandum Opinion and Order, 14 FCC Rcd 17525, 17536, para. 42 (1999).</w:t>
      </w:r>
    </w:p>
  </w:footnote>
  <w:footnote w:id="64">
    <w:p w14:paraId="06F4C351" w14:textId="41430AE5" w:rsidR="00A56F36" w:rsidRPr="00225B62" w:rsidRDefault="00A56F36" w:rsidP="00D44D1E">
      <w:pPr>
        <w:pStyle w:val="FootnoteText"/>
      </w:pPr>
      <w:r w:rsidRPr="00225B62">
        <w:rPr>
          <w:rStyle w:val="FootnoteReference"/>
        </w:rPr>
        <w:footnoteRef/>
      </w:r>
      <w:r w:rsidRPr="00225B62">
        <w:t xml:space="preserve"> </w:t>
      </w:r>
      <w:r w:rsidRPr="00225B62">
        <w:rPr>
          <w:i/>
        </w:rPr>
        <w:t>See</w:t>
      </w:r>
      <w:r w:rsidRPr="00225B62">
        <w:t xml:space="preserve"> 47 CFR §§ 73.1740(a)(4) and 74.763(b).</w:t>
      </w:r>
    </w:p>
  </w:footnote>
  <w:footnote w:id="65">
    <w:p w14:paraId="76F5BADC" w14:textId="77777777" w:rsidR="00A56F36" w:rsidRPr="00225B62" w:rsidRDefault="00A56F36" w:rsidP="00D44D1E">
      <w:pPr>
        <w:pStyle w:val="FootnoteText"/>
      </w:pPr>
      <w:r w:rsidRPr="00225B62">
        <w:rPr>
          <w:rStyle w:val="FootnoteReference"/>
        </w:rPr>
        <w:footnoteRef/>
      </w:r>
      <w:r w:rsidRPr="00225B62">
        <w:t xml:space="preserve"> </w:t>
      </w:r>
      <w:r w:rsidRPr="00225B62">
        <w:rPr>
          <w:i/>
        </w:rPr>
        <w:t>Id</w:t>
      </w:r>
      <w:r w:rsidRPr="00225B62">
        <w:t>.</w:t>
      </w:r>
    </w:p>
  </w:footnote>
  <w:footnote w:id="66">
    <w:p w14:paraId="4C0E9237" w14:textId="7D878DCF" w:rsidR="00A56F36" w:rsidRPr="00225B62" w:rsidRDefault="00A56F36" w:rsidP="00AC796B">
      <w:pPr>
        <w:pStyle w:val="FootnoteText"/>
      </w:pPr>
      <w:r w:rsidRPr="00225B62">
        <w:rPr>
          <w:rStyle w:val="FootnoteReference"/>
        </w:rPr>
        <w:footnoteRef/>
      </w:r>
      <w:r w:rsidRPr="00225B62">
        <w:t xml:space="preserve"> </w:t>
      </w:r>
      <w:r w:rsidRPr="00225B62">
        <w:rPr>
          <w:i/>
        </w:rPr>
        <w:t xml:space="preserve">See </w:t>
      </w:r>
      <w:r w:rsidRPr="00225B62">
        <w:t xml:space="preserve">47 U.S.C. § 312(g).  The Commission’s rules also provide that the “license of . . . [a]  TV translator or TV broadcast booster, or low power TV station will expire as a matter of law upon failure to transmit broadcast signals for any consecutive 12-month period notwithstanding any provision, term, or condition of the license to the contrary.”  47 CFR § 74.15(f).  </w:t>
      </w:r>
      <w:r w:rsidRPr="00225B62">
        <w:rPr>
          <w:i/>
        </w:rPr>
        <w:t>See</w:t>
      </w:r>
      <w:r w:rsidRPr="00225B62">
        <w:t xml:space="preserve"> 47 CFR § 74.763(c).  </w:t>
      </w:r>
      <w:r w:rsidRPr="00225B62">
        <w:rPr>
          <w:i/>
        </w:rPr>
        <w:t>See also</w:t>
      </w:r>
      <w:r w:rsidRPr="00225B62">
        <w:t xml:space="preserve"> 47 CFR §§ 73.1020(c), 73.1615(c)(2), 73.1635(a)(4), 73.1740(c), 73.1750.</w:t>
      </w:r>
    </w:p>
  </w:footnote>
  <w:footnote w:id="67">
    <w:p w14:paraId="6CBF6615" w14:textId="4405D3ED" w:rsidR="00A56F36" w:rsidRPr="00225B62" w:rsidRDefault="00A56F36" w:rsidP="00792529">
      <w:pPr>
        <w:pStyle w:val="FootnoteText"/>
      </w:pPr>
      <w:r w:rsidRPr="00225B62">
        <w:rPr>
          <w:rStyle w:val="FootnoteReference"/>
        </w:rPr>
        <w:footnoteRef/>
      </w:r>
      <w:r w:rsidRPr="00225B62">
        <w:t xml:space="preserve"> </w:t>
      </w:r>
      <w:r w:rsidRPr="00225B62">
        <w:rPr>
          <w:i/>
        </w:rPr>
        <w:t>See Incentive Auction R&amp;O</w:t>
      </w:r>
      <w:r w:rsidRPr="00225B62">
        <w:t xml:space="preserve">, 29 FCC Rcd at 6839-41, paras. 668-71; </w:t>
      </w:r>
      <w:r w:rsidRPr="00225B62">
        <w:rPr>
          <w:i/>
        </w:rPr>
        <w:t xml:space="preserve">see also </w:t>
      </w:r>
      <w:r w:rsidRPr="00225B62">
        <w:t>47 CFR §§ 74.704(b) and 73.3700(g)(4).</w:t>
      </w:r>
    </w:p>
  </w:footnote>
  <w:footnote w:id="68">
    <w:p w14:paraId="05BC1903" w14:textId="77777777" w:rsidR="00A56F36" w:rsidRPr="00225B62" w:rsidRDefault="00A56F36" w:rsidP="00792529">
      <w:pPr>
        <w:pStyle w:val="FootnoteText"/>
      </w:pPr>
      <w:r w:rsidRPr="00225B62">
        <w:rPr>
          <w:rStyle w:val="FootnoteReference"/>
        </w:rPr>
        <w:footnoteRef/>
      </w:r>
      <w:r w:rsidRPr="00225B62">
        <w:t xml:space="preserve"> </w:t>
      </w:r>
      <w:r w:rsidRPr="00225B62">
        <w:rPr>
          <w:i/>
        </w:rPr>
        <w:t>Incentive Auction R&amp;O</w:t>
      </w:r>
      <w:r w:rsidRPr="00225B62">
        <w:t>, 29 FCC Rcd</w:t>
      </w:r>
      <w:r w:rsidRPr="00225B62">
        <w:rPr>
          <w:i/>
        </w:rPr>
        <w:t xml:space="preserve"> </w:t>
      </w:r>
      <w:r w:rsidRPr="00225B62">
        <w:t>at 6841, para. 672.</w:t>
      </w:r>
    </w:p>
  </w:footnote>
  <w:footnote w:id="69">
    <w:p w14:paraId="1C18326D" w14:textId="666A3542" w:rsidR="00A56F36" w:rsidRPr="00225B62" w:rsidRDefault="00A56F36" w:rsidP="00792529">
      <w:pPr>
        <w:pStyle w:val="FootnoteText"/>
      </w:pPr>
      <w:r w:rsidRPr="00225B62">
        <w:rPr>
          <w:rStyle w:val="FootnoteReference"/>
        </w:rPr>
        <w:footnoteRef/>
      </w:r>
      <w:r w:rsidRPr="00225B62">
        <w:t xml:space="preserve"> </w:t>
      </w:r>
      <w:r w:rsidRPr="00225B62">
        <w:rPr>
          <w:i/>
        </w:rPr>
        <w:t xml:space="preserve">Id. </w:t>
      </w:r>
      <w:r w:rsidRPr="00225B62">
        <w:t>at 7021-22, paras. 128-29.</w:t>
      </w:r>
    </w:p>
  </w:footnote>
  <w:footnote w:id="70">
    <w:p w14:paraId="12EDAA81" w14:textId="177132A0" w:rsidR="00CA379B" w:rsidRPr="00225B62" w:rsidRDefault="00CA379B" w:rsidP="00CA379B">
      <w:pPr>
        <w:pStyle w:val="FootnoteText"/>
      </w:pPr>
      <w:r w:rsidRPr="00225B62">
        <w:rPr>
          <w:rStyle w:val="FootnoteReference"/>
        </w:rPr>
        <w:footnoteRef/>
      </w:r>
      <w:r w:rsidRPr="00225B62">
        <w:t xml:space="preserve"> The lettered squares in the chart represent the paired wireless blocks that will be licensed, while the sequentially</w:t>
      </w:r>
      <w:r w:rsidR="00C1482C" w:rsidRPr="00225B62">
        <w:t xml:space="preserve"> numbered squares (35 through 51</w:t>
      </w:r>
      <w:r w:rsidRPr="00225B62">
        <w:t xml:space="preserve">) represent television (TV) channels.  The rectangles labeled 3 and 11 are the guard band and duplex gap, with the numbers representing their respective sizes in megahertz.  </w:t>
      </w:r>
      <w:r w:rsidRPr="00225B62">
        <w:rPr>
          <w:i/>
        </w:rPr>
        <w:t>See Closing and Channel Reassignment Public Notice</w:t>
      </w:r>
      <w:r w:rsidRPr="00225B62">
        <w:t xml:space="preserve"> at 8, para. 15. </w:t>
      </w:r>
    </w:p>
  </w:footnote>
  <w:footnote w:id="71">
    <w:p w14:paraId="0175E811" w14:textId="2B3AB745" w:rsidR="00A56F36" w:rsidRPr="00225B62" w:rsidRDefault="00A56F36" w:rsidP="00792529">
      <w:pPr>
        <w:pStyle w:val="FootnoteText"/>
      </w:pPr>
      <w:r w:rsidRPr="00225B62">
        <w:rPr>
          <w:rStyle w:val="FootnoteReference"/>
        </w:rPr>
        <w:footnoteRef/>
      </w:r>
      <w:r w:rsidRPr="00225B62">
        <w:t xml:space="preserve"> </w:t>
      </w:r>
      <w:r w:rsidRPr="00225B62">
        <w:rPr>
          <w:i/>
        </w:rPr>
        <w:t xml:space="preserve">See </w:t>
      </w:r>
      <w:r w:rsidRPr="00225B62">
        <w:t xml:space="preserve">47 CFR § 73.3700(g)(4); </w:t>
      </w:r>
      <w:r w:rsidRPr="00225B62">
        <w:rPr>
          <w:i/>
        </w:rPr>
        <w:t>Incentive Auction R&amp;O</w:t>
      </w:r>
      <w:r w:rsidRPr="00225B62">
        <w:t xml:space="preserve">, 29 FCC Rcd at 6839-40, paras. 668-70. The wireless licensee must determine the likelihood of interference by applying the Commission’s interservice interference (ISIX) methodology.  </w:t>
      </w:r>
      <w:r w:rsidRPr="00225B62">
        <w:rPr>
          <w:i/>
        </w:rPr>
        <w:t xml:space="preserve">See id. </w:t>
      </w:r>
      <w:r w:rsidRPr="00225B62">
        <w:t xml:space="preserve">at n.1862; </w:t>
      </w:r>
      <w:r w:rsidRPr="00225B62">
        <w:rPr>
          <w:i/>
        </w:rPr>
        <w:t>see Second Report and Order</w:t>
      </w:r>
      <w:r w:rsidRPr="00225B62">
        <w:t>, 30 FCC Rcd at 55221, Appx. A paras. 8-14 (2014).</w:t>
      </w:r>
      <w:r w:rsidRPr="00225B62">
        <w:rPr>
          <w:rFonts w:eastAsiaTheme="minorHAnsi"/>
        </w:rPr>
        <w:t xml:space="preserve"> </w:t>
      </w:r>
      <w:r w:rsidRPr="00225B62">
        <w:t xml:space="preserve">In the subsequently released </w:t>
      </w:r>
      <w:r w:rsidRPr="00225B62">
        <w:rPr>
          <w:i/>
        </w:rPr>
        <w:t>Commencing Operations R&amp;O</w:t>
      </w:r>
      <w:r w:rsidRPr="00225B62">
        <w:t xml:space="preserve">, the Commission defined “commencing operations” and also provided for displacement on notice of likely interference with a 600 MHz Band licensee’s  first field application (FFA) testing.  </w:t>
      </w:r>
      <w:r w:rsidRPr="00225B62">
        <w:rPr>
          <w:i/>
        </w:rPr>
        <w:t xml:space="preserve">See Commencing Operations R&amp;O, </w:t>
      </w:r>
      <w:r w:rsidRPr="00225B62">
        <w:t>30 FCC Rcd at 12028, para. 7.</w:t>
      </w:r>
      <w:r w:rsidR="006511D1" w:rsidRPr="00225B62">
        <w:t xml:space="preserve"> </w:t>
      </w:r>
      <w:r w:rsidRPr="00225B62">
        <w:t>Appx. A paras. 8-14 (2014).</w:t>
      </w:r>
    </w:p>
  </w:footnote>
  <w:footnote w:id="72">
    <w:p w14:paraId="30E03B9B" w14:textId="77777777" w:rsidR="00A56F36" w:rsidRPr="00225B62" w:rsidRDefault="00A56F36">
      <w:pPr>
        <w:pStyle w:val="FootnoteText"/>
      </w:pPr>
      <w:r w:rsidRPr="00225B62">
        <w:rPr>
          <w:rStyle w:val="FootnoteReference"/>
        </w:rPr>
        <w:footnoteRef/>
      </w:r>
      <w:r w:rsidRPr="00225B62">
        <w:t xml:space="preserve"> </w:t>
      </w:r>
      <w:r w:rsidRPr="00225B62">
        <w:rPr>
          <w:i/>
        </w:rPr>
        <w:t>Incentive Auction R&amp;O</w:t>
      </w:r>
      <w:r w:rsidRPr="00225B62">
        <w:t>, 29 FCC Rcd at 6841, para. 672.</w:t>
      </w:r>
    </w:p>
  </w:footnote>
  <w:footnote w:id="73">
    <w:p w14:paraId="235474B2" w14:textId="384C14EF" w:rsidR="00A56F36" w:rsidRPr="00225B62" w:rsidRDefault="00A56F36" w:rsidP="00792529">
      <w:pPr>
        <w:pStyle w:val="FootnoteText"/>
      </w:pPr>
      <w:r w:rsidRPr="00225B62">
        <w:rPr>
          <w:rStyle w:val="FootnoteReference"/>
        </w:rPr>
        <w:footnoteRef/>
      </w:r>
      <w:r w:rsidRPr="00225B62">
        <w:t xml:space="preserve"> </w:t>
      </w:r>
      <w:r w:rsidRPr="00225B62">
        <w:rPr>
          <w:i/>
        </w:rPr>
        <w:t xml:space="preserve">Id. </w:t>
      </w:r>
      <w:r w:rsidRPr="00225B62">
        <w:t>at 6840, para. 670.</w:t>
      </w:r>
    </w:p>
  </w:footnote>
  <w:footnote w:id="74">
    <w:p w14:paraId="7A0DA40F" w14:textId="32CEE48C" w:rsidR="00A56F36" w:rsidRPr="00225B62" w:rsidRDefault="00A56F36" w:rsidP="00792529">
      <w:pPr>
        <w:pStyle w:val="FootnoteText"/>
      </w:pPr>
      <w:r w:rsidRPr="00225B62">
        <w:rPr>
          <w:rStyle w:val="FootnoteReference"/>
        </w:rPr>
        <w:footnoteRef/>
      </w:r>
      <w:r w:rsidRPr="00225B62">
        <w:t xml:space="preserve"> More specifically, the 600 MHz Band corresponds with all of channels 39-43 and 47-51, and portions of channels 38, 44, and 46.</w:t>
      </w:r>
    </w:p>
  </w:footnote>
  <w:footnote w:id="75">
    <w:p w14:paraId="785BBF28" w14:textId="77777777" w:rsidR="00A56F36" w:rsidRPr="00225B62" w:rsidRDefault="00A56F36" w:rsidP="00792529">
      <w:pPr>
        <w:pStyle w:val="FootnoteText"/>
        <w:rPr>
          <w:i/>
        </w:rPr>
      </w:pPr>
      <w:r w:rsidRPr="00225B62">
        <w:rPr>
          <w:rStyle w:val="FootnoteReference"/>
        </w:rPr>
        <w:footnoteRef/>
      </w:r>
      <w:r w:rsidRPr="00225B62">
        <w:t xml:space="preserve"> </w:t>
      </w:r>
      <w:r w:rsidRPr="00225B62">
        <w:rPr>
          <w:i/>
        </w:rPr>
        <w:t>Incentive Auction R&amp;O</w:t>
      </w:r>
      <w:r w:rsidRPr="00225B62">
        <w:t xml:space="preserve">, 29 FCC Rcd at 6840, para. 669.  </w:t>
      </w:r>
      <w:r w:rsidRPr="00225B62">
        <w:rPr>
          <w:i/>
        </w:rPr>
        <w:t xml:space="preserve"> </w:t>
      </w:r>
    </w:p>
  </w:footnote>
  <w:footnote w:id="76">
    <w:p w14:paraId="72C152BF" w14:textId="77777777" w:rsidR="00A56F36" w:rsidRPr="00225B62" w:rsidRDefault="00A56F36" w:rsidP="00792529">
      <w:pPr>
        <w:pStyle w:val="FootnoteText"/>
      </w:pPr>
      <w:r w:rsidRPr="00225B62">
        <w:rPr>
          <w:rStyle w:val="FootnoteReference"/>
        </w:rPr>
        <w:footnoteRef/>
      </w:r>
      <w:r w:rsidRPr="00225B62">
        <w:t xml:space="preserve"> </w:t>
      </w:r>
      <w:r w:rsidRPr="00225B62">
        <w:rPr>
          <w:i/>
        </w:rPr>
        <w:t>Id.</w:t>
      </w:r>
      <w:r w:rsidRPr="00225B62">
        <w:t xml:space="preserve"> at 6840 n.1863.</w:t>
      </w:r>
    </w:p>
  </w:footnote>
  <w:footnote w:id="77">
    <w:p w14:paraId="7D9054E8" w14:textId="77777777" w:rsidR="00A56F36" w:rsidRPr="00225B62" w:rsidRDefault="00A56F36" w:rsidP="00792529">
      <w:pPr>
        <w:pStyle w:val="FootnoteText"/>
      </w:pPr>
      <w:r w:rsidRPr="00225B62">
        <w:rPr>
          <w:rStyle w:val="FootnoteReference"/>
        </w:rPr>
        <w:footnoteRef/>
      </w:r>
      <w:r w:rsidRPr="00225B62">
        <w:t xml:space="preserve"> </w:t>
      </w:r>
      <w:r w:rsidRPr="00225B62">
        <w:rPr>
          <w:i/>
        </w:rPr>
        <w:t>See Commencing Operations R&amp;</w:t>
      </w:r>
      <w:r w:rsidRPr="00225B62">
        <w:t>O, 30 FCC Rcd at 12028, para. 7.</w:t>
      </w:r>
    </w:p>
  </w:footnote>
  <w:footnote w:id="78">
    <w:p w14:paraId="25163B4C" w14:textId="77777777" w:rsidR="00A56F36" w:rsidRPr="00225B62" w:rsidRDefault="00A56F36" w:rsidP="00792529">
      <w:pPr>
        <w:pStyle w:val="FootnoteText"/>
        <w:rPr>
          <w:i/>
        </w:rPr>
      </w:pPr>
      <w:r w:rsidRPr="00225B62">
        <w:rPr>
          <w:rStyle w:val="FootnoteReference"/>
        </w:rPr>
        <w:footnoteRef/>
      </w:r>
      <w:r w:rsidRPr="00225B62">
        <w:t xml:space="preserve"> </w:t>
      </w:r>
      <w:r w:rsidRPr="00225B62">
        <w:rPr>
          <w:i/>
        </w:rPr>
        <w:t>Id.</w:t>
      </w:r>
    </w:p>
  </w:footnote>
  <w:footnote w:id="79">
    <w:p w14:paraId="60EDA58E" w14:textId="0AB61EFF" w:rsidR="00A56F36" w:rsidRPr="00225B62" w:rsidRDefault="00A56F36" w:rsidP="00792529">
      <w:pPr>
        <w:pStyle w:val="FootnoteText"/>
        <w:rPr>
          <w:i/>
        </w:rPr>
      </w:pPr>
      <w:r w:rsidRPr="00225B62">
        <w:rPr>
          <w:rStyle w:val="FootnoteReference"/>
        </w:rPr>
        <w:footnoteRef/>
      </w:r>
      <w:r w:rsidRPr="00225B62">
        <w:t xml:space="preserve"> </w:t>
      </w:r>
      <w:r w:rsidRPr="00225B62">
        <w:rPr>
          <w:i/>
        </w:rPr>
        <w:t xml:space="preserve">Id. </w:t>
      </w:r>
      <w:r w:rsidRPr="00225B62">
        <w:t xml:space="preserve">at 12034-35, paras. 18 and 20. </w:t>
      </w:r>
    </w:p>
  </w:footnote>
  <w:footnote w:id="80">
    <w:p w14:paraId="17F5155A" w14:textId="627A6750" w:rsidR="00A56F36" w:rsidRPr="00225B62" w:rsidRDefault="00A56F36" w:rsidP="00792529">
      <w:pPr>
        <w:pStyle w:val="FootnoteText"/>
        <w:rPr>
          <w:i/>
        </w:rPr>
      </w:pPr>
      <w:r w:rsidRPr="00225B62">
        <w:rPr>
          <w:rStyle w:val="FootnoteReference"/>
        </w:rPr>
        <w:footnoteRef/>
      </w:r>
      <w:r w:rsidRPr="00225B62">
        <w:t xml:space="preserve"> 47 CFR § 73.3700(g)(4); </w:t>
      </w:r>
      <w:r w:rsidRPr="00225B62">
        <w:rPr>
          <w:i/>
        </w:rPr>
        <w:t>see Incentive Auction R&amp;O</w:t>
      </w:r>
      <w:r w:rsidRPr="00225B62">
        <w:t>, 29 FCC Rcd at 6840, para. 669.</w:t>
      </w:r>
    </w:p>
  </w:footnote>
  <w:footnote w:id="81">
    <w:p w14:paraId="3040CC3A" w14:textId="77777777" w:rsidR="00A56F36" w:rsidRPr="00225B62" w:rsidRDefault="00A56F36" w:rsidP="00792529">
      <w:pPr>
        <w:pStyle w:val="FootnoteText"/>
      </w:pPr>
      <w:r w:rsidRPr="00225B62">
        <w:rPr>
          <w:rStyle w:val="FootnoteReference"/>
        </w:rPr>
        <w:footnoteRef/>
      </w:r>
      <w:r w:rsidRPr="00225B62">
        <w:t xml:space="preserve"> </w:t>
      </w:r>
      <w:r w:rsidRPr="00225B62">
        <w:rPr>
          <w:i/>
        </w:rPr>
        <w:t>Incentive Auction R&amp;O</w:t>
      </w:r>
      <w:r w:rsidRPr="00225B62">
        <w:t>, 29 FCC Rcd at 6840, para. 669.</w:t>
      </w:r>
    </w:p>
  </w:footnote>
  <w:footnote w:id="82">
    <w:p w14:paraId="40E79F31" w14:textId="77777777" w:rsidR="00A56F36" w:rsidRPr="00225B62" w:rsidRDefault="00A56F36" w:rsidP="00792529">
      <w:pPr>
        <w:pStyle w:val="FootnoteText"/>
      </w:pPr>
      <w:r w:rsidRPr="00225B62">
        <w:rPr>
          <w:rStyle w:val="FootnoteReference"/>
        </w:rPr>
        <w:footnoteRef/>
      </w:r>
      <w:r w:rsidRPr="00225B62">
        <w:t xml:space="preserve"> </w:t>
      </w:r>
      <w:r w:rsidRPr="00225B62">
        <w:rPr>
          <w:i/>
        </w:rPr>
        <w:t xml:space="preserve">Id. </w:t>
      </w:r>
      <w:r w:rsidRPr="00225B62">
        <w:t>at 6841, para. 672.</w:t>
      </w:r>
    </w:p>
  </w:footnote>
  <w:footnote w:id="83">
    <w:p w14:paraId="10D2F7A4" w14:textId="7E35C75F" w:rsidR="00A56F36" w:rsidRPr="00225B62" w:rsidRDefault="00A56F36" w:rsidP="00E41740">
      <w:pPr>
        <w:pStyle w:val="FootnoteText"/>
      </w:pPr>
      <w:r w:rsidRPr="00225B62">
        <w:rPr>
          <w:rStyle w:val="FootnoteReference"/>
        </w:rPr>
        <w:footnoteRef/>
      </w:r>
      <w:r w:rsidRPr="00225B62">
        <w:t xml:space="preserve"> </w:t>
      </w:r>
      <w:r w:rsidRPr="00225B62">
        <w:rPr>
          <w:i/>
        </w:rPr>
        <w:t>See</w:t>
      </w:r>
      <w:r w:rsidRPr="00225B62">
        <w:t xml:space="preserve"> </w:t>
      </w:r>
      <w:r w:rsidRPr="00225B62">
        <w:rPr>
          <w:i/>
        </w:rPr>
        <w:t>Advanced Television Systems and Their Impact upon the Existing Television Broadcast Service</w:t>
      </w:r>
      <w:r w:rsidRPr="00225B62">
        <w:t>, Sixth Report and Order, 12 FCC Rcd 14588, 14654, para. 142</w:t>
      </w:r>
      <w:r w:rsidR="006511D1" w:rsidRPr="00225B62">
        <w:t xml:space="preserve"> (1998)</w:t>
      </w:r>
      <w:r w:rsidRPr="00225B62">
        <w:t xml:space="preserve"> (“LPTV and TV translator stations will be able to continue to operate until a displacing DTV station . . . is operational and would receive interference from the low power TV or TV translator station.”); 47 CFR § 74.703(b).  Because full power and LPTV/translator stations follow informal notification procedures with respect to interference and displacement, the Commission declined to adopt notification requirements for these situations.  </w:t>
      </w:r>
      <w:r w:rsidRPr="00225B62">
        <w:rPr>
          <w:i/>
        </w:rPr>
        <w:t>Incentive Auction R&amp;O</w:t>
      </w:r>
      <w:r w:rsidRPr="00225B62">
        <w:t>, 29 FCC Rcd at 6840 n.1866.</w:t>
      </w:r>
      <w:r w:rsidR="005F6026" w:rsidRPr="00225B62">
        <w:t xml:space="preserve">  In this context “initiation of service” includes operation by the full-power or Class A station after the testing period start date for that station. </w:t>
      </w:r>
      <w:r w:rsidR="000E446C" w:rsidRPr="00225B62">
        <w:t xml:space="preserve"> </w:t>
      </w:r>
      <w:r w:rsidR="000E446C" w:rsidRPr="00225B62">
        <w:rPr>
          <w:i/>
        </w:rPr>
        <w:t xml:space="preserve">See Closing and Channel Reassignment Public Notice </w:t>
      </w:r>
      <w:r w:rsidR="000E446C" w:rsidRPr="00225B62">
        <w:t>at para. 64.</w:t>
      </w:r>
    </w:p>
  </w:footnote>
  <w:footnote w:id="84">
    <w:p w14:paraId="5084AAEA" w14:textId="0211ECAB" w:rsidR="00A56F36" w:rsidRPr="00225B62" w:rsidRDefault="00A56F36">
      <w:pPr>
        <w:pStyle w:val="FootnoteText"/>
        <w:rPr>
          <w:i/>
        </w:rPr>
      </w:pPr>
      <w:r w:rsidRPr="00225B62">
        <w:rPr>
          <w:rStyle w:val="FootnoteReference"/>
        </w:rPr>
        <w:footnoteRef/>
      </w:r>
      <w:r w:rsidRPr="00225B62">
        <w:t xml:space="preserve"> </w:t>
      </w:r>
      <w:r w:rsidRPr="00225B62">
        <w:rPr>
          <w:i/>
        </w:rPr>
        <w:t>See LPTV DTV Third R&amp;O</w:t>
      </w:r>
      <w:r w:rsidRPr="00225B62">
        <w:t xml:space="preserve">, 30 FCC Rcd at 14937, para. 20. We note that on March 23, 2017, the Commission adopted rules to allow </w:t>
      </w:r>
      <w:r w:rsidR="009F1C86" w:rsidRPr="00225B62">
        <w:t>channel sharing outside of the auction between primary (full power and Class A) and secondary (LPTV and TV translator) stations</w:t>
      </w:r>
      <w:r w:rsidRPr="00225B62">
        <w:t xml:space="preserve">. </w:t>
      </w:r>
      <w:r w:rsidRPr="00225B62">
        <w:rPr>
          <w:i/>
        </w:rPr>
        <w:t>See Channel Sharing by Full Power and Class A Stations Outside the Broadcast Television Spectrum Incentive Auction Context</w:t>
      </w:r>
      <w:r w:rsidRPr="00225B62">
        <w:t xml:space="preserve">, MB Docket 15-137, Report and Order, FCC 17-29 (rel. Mar. 24, 2017).  Authority to apply to channel share under these newly-adopted rules will commence upon a date specified by the Media Bureau in a Public Notice issued after the approval of the new rules and form changes by the Office of Management and Budget (OMB).  </w:t>
      </w:r>
      <w:r w:rsidRPr="00225B62">
        <w:rPr>
          <w:i/>
        </w:rPr>
        <w:t>Id.</w:t>
      </w:r>
      <w:r w:rsidRPr="00225B62">
        <w:t xml:space="preserve"> at para. 35 n. 112.</w:t>
      </w:r>
      <w:r w:rsidRPr="00225B62">
        <w:rPr>
          <w:i/>
        </w:rPr>
        <w:t xml:space="preserve"> </w:t>
      </w:r>
    </w:p>
  </w:footnote>
  <w:footnote w:id="85">
    <w:p w14:paraId="13670821" w14:textId="38CF1E3E" w:rsidR="009F1C86" w:rsidRPr="00225B62" w:rsidRDefault="009F1C86" w:rsidP="009F1C86">
      <w:pPr>
        <w:pStyle w:val="FootnoteText"/>
      </w:pPr>
      <w:r w:rsidRPr="00225B62">
        <w:rPr>
          <w:rStyle w:val="FootnoteReference"/>
        </w:rPr>
        <w:footnoteRef/>
      </w:r>
      <w:r w:rsidRPr="00225B62">
        <w:t xml:space="preserve"> “Sharee” stations are stations that return their channel to the Commission in order to share with another “sharer” station. </w:t>
      </w:r>
    </w:p>
  </w:footnote>
  <w:footnote w:id="86">
    <w:p w14:paraId="7BA15185" w14:textId="7F733B0A" w:rsidR="00A56F36" w:rsidRPr="00225B62" w:rsidRDefault="00A56F36">
      <w:pPr>
        <w:pStyle w:val="FootnoteText"/>
      </w:pPr>
      <w:r w:rsidRPr="00225B62">
        <w:rPr>
          <w:rStyle w:val="FootnoteReference"/>
        </w:rPr>
        <w:footnoteRef/>
      </w:r>
      <w:r w:rsidRPr="00225B62">
        <w:t xml:space="preserve"> We clarify that an LPTV</w:t>
      </w:r>
      <w:r w:rsidR="006511D1" w:rsidRPr="00225B62">
        <w:t xml:space="preserve"> or TV translator</w:t>
      </w:r>
      <w:r w:rsidRPr="00225B62">
        <w:t xml:space="preserve"> station that is subject to displacement but is not yet required to discontinue operations on its current channel may act as a sharer for another displaced station that is required to discontinue operations.</w:t>
      </w:r>
    </w:p>
  </w:footnote>
  <w:footnote w:id="87">
    <w:p w14:paraId="3BA43271" w14:textId="294D3FF4" w:rsidR="00A56F36" w:rsidRPr="00225B62" w:rsidRDefault="00A56F36" w:rsidP="00235CFA">
      <w:pPr>
        <w:pStyle w:val="FootnoteText"/>
      </w:pPr>
      <w:r w:rsidRPr="00225B62">
        <w:rPr>
          <w:rStyle w:val="FootnoteReference"/>
        </w:rPr>
        <w:footnoteRef/>
      </w:r>
      <w:r w:rsidRPr="00225B62">
        <w:t xml:space="preserve"> </w:t>
      </w:r>
      <w:r w:rsidRPr="00225B62">
        <w:rPr>
          <w:i/>
        </w:rPr>
        <w:t>See</w:t>
      </w:r>
      <w:r w:rsidRPr="00225B62">
        <w:t xml:space="preserve"> </w:t>
      </w:r>
      <w:r w:rsidRPr="00225B62">
        <w:rPr>
          <w:i/>
        </w:rPr>
        <w:t>LPTV DTV Third R&amp;O,</w:t>
      </w:r>
      <w:r w:rsidR="006511D1" w:rsidRPr="00225B62">
        <w:rPr>
          <w:i/>
        </w:rPr>
        <w:t xml:space="preserve"> </w:t>
      </w:r>
      <w:r w:rsidRPr="00225B62">
        <w:t>30 FCC Rcd</w:t>
      </w:r>
      <w:r w:rsidRPr="00225B62">
        <w:rPr>
          <w:i/>
        </w:rPr>
        <w:t xml:space="preserve"> </w:t>
      </w:r>
      <w:r w:rsidRPr="00225B62">
        <w:t>at 14942, para. 31.</w:t>
      </w:r>
    </w:p>
  </w:footnote>
  <w:footnote w:id="88">
    <w:p w14:paraId="252FDFC9" w14:textId="2AF041B7" w:rsidR="00A56F36" w:rsidRPr="00225B62" w:rsidRDefault="00A56F36" w:rsidP="00ED3939">
      <w:pPr>
        <w:pStyle w:val="FootnoteText"/>
      </w:pPr>
      <w:r w:rsidRPr="00225B62">
        <w:rPr>
          <w:rStyle w:val="FootnoteReference"/>
        </w:rPr>
        <w:footnoteRef/>
      </w:r>
      <w:r w:rsidRPr="00225B62">
        <w:t xml:space="preserve"> </w:t>
      </w:r>
      <w:r w:rsidRPr="00225B62">
        <w:rPr>
          <w:i/>
        </w:rPr>
        <w:t>Id.</w:t>
      </w:r>
      <w:r w:rsidRPr="00225B62">
        <w:t xml:space="preserve"> at 14956-57, para. 65.</w:t>
      </w:r>
    </w:p>
  </w:footnote>
  <w:footnote w:id="89">
    <w:p w14:paraId="38A8E77B" w14:textId="77777777" w:rsidR="00A56F36" w:rsidRPr="00225B62" w:rsidRDefault="00A56F36" w:rsidP="00D212BC">
      <w:pPr>
        <w:pStyle w:val="FootnoteText"/>
      </w:pPr>
      <w:r w:rsidRPr="00225B62">
        <w:rPr>
          <w:rStyle w:val="FootnoteReference"/>
        </w:rPr>
        <w:footnoteRef/>
      </w:r>
      <w:r w:rsidRPr="00225B62">
        <w:t xml:space="preserve"> 47 CFR § 74.787(a)(5)(i); </w:t>
      </w:r>
      <w:r w:rsidRPr="00225B62">
        <w:rPr>
          <w:i/>
        </w:rPr>
        <w:t>LPTV DTV Third R&amp;O</w:t>
      </w:r>
      <w:r w:rsidRPr="00225B62">
        <w:t>, 30 FCC Rcd</w:t>
      </w:r>
      <w:r w:rsidRPr="00225B62">
        <w:rPr>
          <w:i/>
        </w:rPr>
        <w:t xml:space="preserve"> </w:t>
      </w:r>
      <w:r w:rsidRPr="00225B62">
        <w:t>at 14959, para. 70.</w:t>
      </w:r>
    </w:p>
  </w:footnote>
  <w:footnote w:id="90">
    <w:p w14:paraId="42C51BC5" w14:textId="6F0323DE" w:rsidR="00A56F36" w:rsidRPr="00225B62" w:rsidRDefault="00A56F36" w:rsidP="00ED3939">
      <w:pPr>
        <w:pStyle w:val="FootnoteText"/>
        <w:rPr>
          <w:i/>
        </w:rPr>
      </w:pPr>
      <w:r w:rsidRPr="00225B62">
        <w:rPr>
          <w:rStyle w:val="FootnoteReference"/>
        </w:rPr>
        <w:footnoteRef/>
      </w:r>
      <w:r w:rsidRPr="00225B62">
        <w:t xml:space="preserve"> The station’s “pre-auction digital service area” is defined as the geographic area within the full power station’s noise-limited contour of its facility as set forth in the </w:t>
      </w:r>
      <w:r w:rsidRPr="00225B62">
        <w:rPr>
          <w:i/>
        </w:rPr>
        <w:t>Baseline Public Notice</w:t>
      </w:r>
      <w:r w:rsidRPr="00225B62">
        <w:t xml:space="preserve">.  47 CFR § 74.787(a)(5)(v); </w:t>
      </w:r>
      <w:r w:rsidRPr="00225B62">
        <w:rPr>
          <w:i/>
        </w:rPr>
        <w:t>LPTV DTV Third R&amp;O</w:t>
      </w:r>
      <w:r w:rsidRPr="00225B62">
        <w:t xml:space="preserve">, 29 FCC Rcd at 14958, para. 68 </w:t>
      </w:r>
      <w:r w:rsidRPr="00225B62">
        <w:rPr>
          <w:i/>
        </w:rPr>
        <w:t>citing Incentive Auction Task Force Releases Revised Baseline Data and Prices For Reverse Auction</w:t>
      </w:r>
      <w:r w:rsidRPr="00225B62">
        <w:t>, 30 FCC Rcd 12559 (WTB 2015) (</w:t>
      </w:r>
      <w:r w:rsidRPr="00225B62">
        <w:rPr>
          <w:i/>
        </w:rPr>
        <w:t>Baseline Public Notice</w:t>
      </w:r>
      <w:r w:rsidRPr="00225B62">
        <w:t xml:space="preserve">).  In the </w:t>
      </w:r>
      <w:r w:rsidRPr="00225B62">
        <w:rPr>
          <w:i/>
        </w:rPr>
        <w:t>Baseline Public Notice</w:t>
      </w:r>
      <w:r w:rsidRPr="00225B62">
        <w:t xml:space="preserve">, the Commission established the final baseline facility for each full power and Class A television station that will be used in the incentive auction and repacking. </w:t>
      </w:r>
      <w:r w:rsidRPr="00225B62">
        <w:rPr>
          <w:i/>
        </w:rPr>
        <w:t>Id.</w:t>
      </w:r>
    </w:p>
  </w:footnote>
  <w:footnote w:id="91">
    <w:p w14:paraId="1EC7365A" w14:textId="77777777" w:rsidR="00A56F36" w:rsidRPr="00225B62" w:rsidRDefault="00A56F36" w:rsidP="004B169C">
      <w:pPr>
        <w:pStyle w:val="FootnoteText"/>
      </w:pPr>
      <w:r w:rsidRPr="00225B62">
        <w:rPr>
          <w:rStyle w:val="FootnoteReference"/>
        </w:rPr>
        <w:footnoteRef/>
      </w:r>
      <w:r w:rsidRPr="00225B62">
        <w:t xml:space="preserve"> 47 CFR § 74.787(a)(5)(v); </w:t>
      </w:r>
      <w:r w:rsidRPr="00225B62">
        <w:rPr>
          <w:i/>
        </w:rPr>
        <w:t>LPTV DTV Third R&amp;O</w:t>
      </w:r>
      <w:r w:rsidRPr="00225B62">
        <w:t xml:space="preserve">, 30 FCC Rcd at 14958, para. 67. The Commission concluded that such limits were “consistent with the limited scope of our objective in proposing this new service: to assist full power television stations to maintain their pre-auction digital service areas following the completion of the repacking process and auction . . . but not to expand such service areas.”  </w:t>
      </w:r>
      <w:r w:rsidRPr="00225B62">
        <w:rPr>
          <w:i/>
        </w:rPr>
        <w:t>Id</w:t>
      </w:r>
      <w:r w:rsidRPr="00225B62">
        <w:t>.</w:t>
      </w:r>
    </w:p>
  </w:footnote>
  <w:footnote w:id="92">
    <w:p w14:paraId="5B7CCFBE" w14:textId="77777777" w:rsidR="00A56F36" w:rsidRPr="00225B62" w:rsidRDefault="00A56F36" w:rsidP="00ED3939">
      <w:pPr>
        <w:pStyle w:val="FootnoteText"/>
      </w:pPr>
      <w:r w:rsidRPr="00225B62">
        <w:rPr>
          <w:rStyle w:val="FootnoteReference"/>
        </w:rPr>
        <w:footnoteRef/>
      </w:r>
      <w:r w:rsidRPr="00225B62">
        <w:t xml:space="preserve"> 47 CFR § 74.787(a)(5)(v); </w:t>
      </w:r>
      <w:r w:rsidRPr="00225B62">
        <w:rPr>
          <w:i/>
        </w:rPr>
        <w:t>LPTV DTV Third R&amp;O</w:t>
      </w:r>
      <w:r w:rsidRPr="00225B62">
        <w:t>, 30 FCC Rcd at 14958, para. 68.</w:t>
      </w:r>
    </w:p>
  </w:footnote>
  <w:footnote w:id="93">
    <w:p w14:paraId="5E3A9CF0" w14:textId="77777777" w:rsidR="00A56F36" w:rsidRPr="00225B62" w:rsidRDefault="00A56F36" w:rsidP="00ED3939">
      <w:pPr>
        <w:pStyle w:val="FootnoteText"/>
        <w:rPr>
          <w:i/>
        </w:rPr>
      </w:pPr>
      <w:r w:rsidRPr="00225B62">
        <w:rPr>
          <w:rStyle w:val="FootnoteReference"/>
        </w:rPr>
        <w:footnoteRef/>
      </w:r>
      <w:r w:rsidRPr="00225B62">
        <w:t xml:space="preserve"> </w:t>
      </w:r>
      <w:r w:rsidRPr="00225B62">
        <w:rPr>
          <w:i/>
        </w:rPr>
        <w:t>Id.</w:t>
      </w:r>
    </w:p>
  </w:footnote>
  <w:footnote w:id="94">
    <w:p w14:paraId="09A39921" w14:textId="1908E69F" w:rsidR="00A56F36" w:rsidRPr="00225B62" w:rsidRDefault="00A56F36" w:rsidP="00ED3939">
      <w:pPr>
        <w:pStyle w:val="FootnoteText"/>
      </w:pPr>
      <w:r w:rsidRPr="00225B62">
        <w:rPr>
          <w:rStyle w:val="FootnoteReference"/>
        </w:rPr>
        <w:footnoteRef/>
      </w:r>
      <w:r w:rsidRPr="00225B62">
        <w:t xml:space="preserve"> </w:t>
      </w:r>
      <w:r w:rsidRPr="00225B62">
        <w:rPr>
          <w:i/>
        </w:rPr>
        <w:t>LPTV DTV Third R&amp;O</w:t>
      </w:r>
      <w:r w:rsidRPr="00225B62">
        <w:t>, 30 FCC Rcd at 14958-59, para. 69.</w:t>
      </w:r>
    </w:p>
  </w:footnote>
  <w:footnote w:id="95">
    <w:p w14:paraId="643636B7" w14:textId="05841C0F" w:rsidR="00A56F36" w:rsidRPr="00225B62" w:rsidRDefault="00A56F36">
      <w:pPr>
        <w:pStyle w:val="FootnoteText"/>
      </w:pPr>
      <w:r w:rsidRPr="00225B62">
        <w:rPr>
          <w:rStyle w:val="FootnoteReference"/>
        </w:rPr>
        <w:footnoteRef/>
      </w:r>
      <w:r w:rsidRPr="00225B62">
        <w:t xml:space="preserve"> 47 CFR § 74.787(a)(5)(v); </w:t>
      </w:r>
      <w:r w:rsidRPr="00225B62">
        <w:rPr>
          <w:i/>
        </w:rPr>
        <w:t>LPTV DTV Third R&amp;O</w:t>
      </w:r>
      <w:r w:rsidRPr="00225B62">
        <w:t>, 30 FCC Rcd at 14958-59, para. 69.</w:t>
      </w:r>
    </w:p>
  </w:footnote>
  <w:footnote w:id="96">
    <w:p w14:paraId="1B8CD8A2" w14:textId="77777777" w:rsidR="00F74865" w:rsidRPr="00225B62" w:rsidRDefault="00F74865" w:rsidP="00F74865">
      <w:pPr>
        <w:pStyle w:val="FootnoteText"/>
        <w:rPr>
          <w:i/>
        </w:rPr>
      </w:pPr>
      <w:r w:rsidRPr="00225B62">
        <w:rPr>
          <w:rStyle w:val="FootnoteReference"/>
        </w:rPr>
        <w:footnoteRef/>
      </w:r>
      <w:r w:rsidRPr="00225B62">
        <w:t xml:space="preserve"> </w:t>
      </w:r>
      <w:r w:rsidRPr="00225B62">
        <w:rPr>
          <w:i/>
        </w:rPr>
        <w:t>Id.</w:t>
      </w:r>
    </w:p>
  </w:footnote>
  <w:footnote w:id="97">
    <w:p w14:paraId="0EDDFF5F" w14:textId="63E727F1" w:rsidR="00A56F36" w:rsidRPr="00225B62" w:rsidRDefault="00A56F36">
      <w:pPr>
        <w:pStyle w:val="FootnoteText"/>
        <w:rPr>
          <w:i/>
        </w:rPr>
      </w:pPr>
      <w:r w:rsidRPr="00225B62">
        <w:rPr>
          <w:rStyle w:val="FootnoteReference"/>
        </w:rPr>
        <w:footnoteRef/>
      </w:r>
      <w:r w:rsidRPr="00225B62">
        <w:t xml:space="preserve"> </w:t>
      </w:r>
      <w:r w:rsidR="00FF48AF">
        <w:rPr>
          <w:i/>
        </w:rPr>
        <w:t>Id.</w:t>
      </w:r>
      <w:r w:rsidRPr="00225B62">
        <w:t>.</w:t>
      </w:r>
    </w:p>
  </w:footnote>
  <w:footnote w:id="98">
    <w:p w14:paraId="4816ADC9" w14:textId="086517EF" w:rsidR="00A56F36" w:rsidRPr="00225B62" w:rsidRDefault="00A56F36" w:rsidP="00ED3939">
      <w:pPr>
        <w:pStyle w:val="FootnoteText"/>
      </w:pPr>
      <w:r w:rsidRPr="00225B62">
        <w:rPr>
          <w:rStyle w:val="FootnoteReference"/>
        </w:rPr>
        <w:footnoteRef/>
      </w:r>
      <w:r w:rsidRPr="00225B62">
        <w:t xml:space="preserve"> 47 CFR § 74.787(a)(5)(iv); </w:t>
      </w:r>
      <w:r w:rsidRPr="00225B62">
        <w:rPr>
          <w:i/>
        </w:rPr>
        <w:t>LPTV DTV Third R&amp;O</w:t>
      </w:r>
      <w:r w:rsidRPr="00225B62">
        <w:t>, 30 FCC Rcd at 14962, para. 78.</w:t>
      </w:r>
    </w:p>
  </w:footnote>
  <w:footnote w:id="99">
    <w:p w14:paraId="2915DA8D" w14:textId="77777777" w:rsidR="00A56F36" w:rsidRPr="00225B62" w:rsidRDefault="00A56F36" w:rsidP="00ED3939">
      <w:pPr>
        <w:pStyle w:val="FootnoteText"/>
      </w:pPr>
      <w:r w:rsidRPr="00225B62">
        <w:rPr>
          <w:rStyle w:val="FootnoteReference"/>
        </w:rPr>
        <w:footnoteRef/>
      </w:r>
      <w:r w:rsidRPr="00225B62">
        <w:t xml:space="preserve"> 47 CFR § 74.787(a)(5)(ii); </w:t>
      </w:r>
      <w:r w:rsidRPr="00225B62">
        <w:rPr>
          <w:i/>
        </w:rPr>
        <w:t>LPTV DTV Third R&amp;O</w:t>
      </w:r>
      <w:r w:rsidRPr="00225B62">
        <w:t>, 30 FCC Rcd at 14963, para. 82.</w:t>
      </w:r>
    </w:p>
  </w:footnote>
  <w:footnote w:id="100">
    <w:p w14:paraId="466E2798" w14:textId="77777777" w:rsidR="00A56F36" w:rsidRPr="00225B62" w:rsidRDefault="00A56F36">
      <w:pPr>
        <w:pStyle w:val="FootnoteText"/>
      </w:pPr>
      <w:r w:rsidRPr="00225B62">
        <w:rPr>
          <w:rStyle w:val="FootnoteReference"/>
        </w:rPr>
        <w:footnoteRef/>
      </w:r>
      <w:r w:rsidRPr="00225B62">
        <w:t xml:space="preserve"> 47 CFR § 74.787(a)(5)(ii).</w:t>
      </w:r>
    </w:p>
  </w:footnote>
  <w:footnote w:id="101">
    <w:p w14:paraId="0AF1B9EE" w14:textId="77777777" w:rsidR="00A56F36" w:rsidRPr="00225B62" w:rsidRDefault="00A56F36" w:rsidP="00ED3939">
      <w:pPr>
        <w:pStyle w:val="FootnoteText"/>
      </w:pPr>
      <w:r w:rsidRPr="00225B62">
        <w:rPr>
          <w:rStyle w:val="FootnoteReference"/>
        </w:rPr>
        <w:footnoteRef/>
      </w:r>
      <w:r w:rsidRPr="00225B62">
        <w:t xml:space="preserve"> 47 CFR § 74.787(a)(5)(iii); </w:t>
      </w:r>
      <w:r w:rsidRPr="00225B62">
        <w:rPr>
          <w:i/>
        </w:rPr>
        <w:t>LPTV DTV Third R&amp;O</w:t>
      </w:r>
      <w:r w:rsidRPr="00225B62">
        <w:t>, 30 FCC Rcd at 14959-60, para. 71.</w:t>
      </w:r>
    </w:p>
  </w:footnote>
  <w:footnote w:id="102">
    <w:p w14:paraId="76768C6A" w14:textId="77777777" w:rsidR="00A56F36" w:rsidRPr="00225B62" w:rsidRDefault="00A56F36" w:rsidP="00ED3939">
      <w:pPr>
        <w:pStyle w:val="FootnoteText"/>
        <w:rPr>
          <w:i/>
        </w:rPr>
      </w:pPr>
      <w:r w:rsidRPr="00225B62">
        <w:rPr>
          <w:rStyle w:val="FootnoteReference"/>
        </w:rPr>
        <w:footnoteRef/>
      </w:r>
      <w:r w:rsidRPr="00225B62">
        <w:t xml:space="preserve"> </w:t>
      </w:r>
      <w:r w:rsidRPr="00225B62">
        <w:rPr>
          <w:i/>
        </w:rPr>
        <w:t>Id.</w:t>
      </w:r>
    </w:p>
  </w:footnote>
  <w:footnote w:id="103">
    <w:p w14:paraId="3CF5BE1C" w14:textId="77777777" w:rsidR="00A56F36" w:rsidRPr="00225B62" w:rsidRDefault="00A56F36" w:rsidP="00ED3939">
      <w:pPr>
        <w:pStyle w:val="FootnoteText"/>
        <w:rPr>
          <w:i/>
        </w:rPr>
      </w:pPr>
      <w:r w:rsidRPr="00225B62">
        <w:rPr>
          <w:rStyle w:val="FootnoteReference"/>
        </w:rPr>
        <w:footnoteRef/>
      </w:r>
      <w:r w:rsidRPr="00225B62">
        <w:t xml:space="preserve"> </w:t>
      </w:r>
      <w:r w:rsidRPr="00225B62">
        <w:rPr>
          <w:i/>
        </w:rPr>
        <w:t>Id.</w:t>
      </w:r>
    </w:p>
  </w:footnote>
  <w:footnote w:id="104">
    <w:p w14:paraId="3A8B1EE6" w14:textId="77777777" w:rsidR="00A56F36" w:rsidRPr="00225B62" w:rsidRDefault="00A56F36" w:rsidP="00ED3939">
      <w:pPr>
        <w:pStyle w:val="FootnoteText"/>
        <w:rPr>
          <w:i/>
        </w:rPr>
      </w:pPr>
      <w:r w:rsidRPr="00225B62">
        <w:rPr>
          <w:rStyle w:val="FootnoteReference"/>
        </w:rPr>
        <w:footnoteRef/>
      </w:r>
      <w:r w:rsidRPr="00225B62">
        <w:t xml:space="preserve"> </w:t>
      </w:r>
      <w:r w:rsidRPr="00225B62">
        <w:rPr>
          <w:i/>
        </w:rPr>
        <w:t>LPTV DTV Third R&amp;O</w:t>
      </w:r>
      <w:r w:rsidRPr="00225B62">
        <w:t>, 30 FCC Rcd at 14959-60, para. 71.</w:t>
      </w:r>
    </w:p>
  </w:footnote>
  <w:footnote w:id="105">
    <w:p w14:paraId="3B254A1B" w14:textId="2DE1EC2A" w:rsidR="00A56F36" w:rsidRPr="00225B62" w:rsidRDefault="00A56F36" w:rsidP="00481C0B">
      <w:pPr>
        <w:pStyle w:val="FootnoteText"/>
      </w:pPr>
      <w:r w:rsidRPr="00225B62">
        <w:rPr>
          <w:rStyle w:val="FootnoteReference"/>
        </w:rPr>
        <w:footnoteRef/>
      </w:r>
      <w:r w:rsidRPr="00225B62">
        <w:t xml:space="preserve"> </w:t>
      </w:r>
      <w:r w:rsidRPr="00225B62">
        <w:rPr>
          <w:i/>
        </w:rPr>
        <w:t>See LPTV DTV Third R&amp;O</w:t>
      </w:r>
      <w:r w:rsidRPr="00225B62">
        <w:t xml:space="preserve">, 30 FCC Rcd at 14932-33, para. 9.  In that decision, the Commission extended the LPTV digital transition date until 12 months following the completion of the 39-month post-incentive auction transition period (or 51 months from the completion of the incentive auction and the release of the </w:t>
      </w:r>
      <w:r w:rsidRPr="00225B62">
        <w:rPr>
          <w:i/>
        </w:rPr>
        <w:t>Closing and Channel Reassignment Public Notice</w:t>
      </w:r>
      <w:r w:rsidRPr="00225B62">
        <w:t xml:space="preserve">). Given the April 13, 2017 release date of the </w:t>
      </w:r>
      <w:r w:rsidRPr="00225B62">
        <w:rPr>
          <w:i/>
        </w:rPr>
        <w:t>Closing and Channel Reassignment Public Notice</w:t>
      </w:r>
      <w:r w:rsidRPr="00225B62">
        <w:t>, the new LPTV digital transition date is now July 13, 2021.</w:t>
      </w:r>
    </w:p>
  </w:footnote>
  <w:footnote w:id="106">
    <w:p w14:paraId="2098BE49" w14:textId="77777777" w:rsidR="00A56F36" w:rsidRPr="00225B62" w:rsidRDefault="00A56F36" w:rsidP="00481C0B">
      <w:pPr>
        <w:pStyle w:val="FootnoteText"/>
      </w:pPr>
      <w:r w:rsidRPr="00225B62">
        <w:rPr>
          <w:rStyle w:val="FootnoteReference"/>
        </w:rPr>
        <w:footnoteRef/>
      </w:r>
      <w:r w:rsidRPr="00225B62">
        <w:t xml:space="preserve"> Those without operational digital facilities will be required to remain silent while they complete construction.  </w:t>
      </w:r>
      <w:r w:rsidRPr="00225B62">
        <w:rPr>
          <w:i/>
        </w:rPr>
        <w:t xml:space="preserve">Id. </w:t>
      </w:r>
      <w:r w:rsidRPr="00225B62">
        <w:t>at 14934, para. 14.</w:t>
      </w:r>
    </w:p>
  </w:footnote>
  <w:footnote w:id="107">
    <w:p w14:paraId="1EC8AD25" w14:textId="77777777" w:rsidR="00A56F36" w:rsidRPr="00225B62" w:rsidRDefault="00A56F36" w:rsidP="00481C0B">
      <w:pPr>
        <w:pStyle w:val="FootnoteText"/>
      </w:pPr>
      <w:r w:rsidRPr="00225B62">
        <w:rPr>
          <w:rStyle w:val="FootnoteReference"/>
        </w:rPr>
        <w:footnoteRef/>
      </w:r>
      <w:r w:rsidRPr="00225B62">
        <w:t xml:space="preserve"> </w:t>
      </w:r>
      <w:r w:rsidRPr="00225B62">
        <w:rPr>
          <w:i/>
        </w:rPr>
        <w:t>Id.</w:t>
      </w:r>
    </w:p>
  </w:footnote>
  <w:footnote w:id="108">
    <w:p w14:paraId="13A727E1" w14:textId="77777777" w:rsidR="00A56F36" w:rsidRPr="00225B62" w:rsidRDefault="00A56F36" w:rsidP="00481C0B">
      <w:pPr>
        <w:pStyle w:val="FootnoteText"/>
        <w:rPr>
          <w:i/>
        </w:rPr>
      </w:pPr>
      <w:r w:rsidRPr="00225B62">
        <w:rPr>
          <w:rStyle w:val="FootnoteReference"/>
        </w:rPr>
        <w:footnoteRef/>
      </w:r>
      <w:r w:rsidRPr="00225B62">
        <w:t xml:space="preserve"> </w:t>
      </w:r>
      <w:r w:rsidRPr="00225B62">
        <w:rPr>
          <w:i/>
        </w:rPr>
        <w:t>Id.</w:t>
      </w:r>
    </w:p>
  </w:footnote>
  <w:footnote w:id="109">
    <w:p w14:paraId="0EB1A880" w14:textId="77777777" w:rsidR="00A56F36" w:rsidRPr="00225B62" w:rsidRDefault="00A56F36" w:rsidP="00481C0B">
      <w:pPr>
        <w:pStyle w:val="FootnoteText"/>
      </w:pPr>
      <w:r w:rsidRPr="00225B62">
        <w:rPr>
          <w:rStyle w:val="FootnoteReference"/>
        </w:rPr>
        <w:footnoteRef/>
      </w:r>
      <w:r w:rsidRPr="00225B62">
        <w:t xml:space="preserve"> </w:t>
      </w:r>
      <w:r w:rsidRPr="00225B62">
        <w:rPr>
          <w:i/>
        </w:rPr>
        <w:t xml:space="preserve">See </w:t>
      </w:r>
      <w:r w:rsidRPr="00225B62">
        <w:t xml:space="preserve">47 CFR § 74.798; </w:t>
      </w:r>
      <w:r w:rsidRPr="00225B62">
        <w:rPr>
          <w:i/>
        </w:rPr>
        <w:t>Amendment of Parts 73 and 74 of the Commission’s Rules to Establish Rules for Digital Low Power Television and Television Translator Stations</w:t>
      </w:r>
      <w:r w:rsidRPr="00225B62">
        <w:t>, MB Docket No. 03-185, Second Report and Order, 26 FCC Rcd 10732, 10755, para. 49 (2011)(</w:t>
      </w:r>
      <w:r w:rsidRPr="00225B62">
        <w:rPr>
          <w:i/>
        </w:rPr>
        <w:t>LPTV DTV Second R&amp;O</w:t>
      </w:r>
      <w:r w:rsidRPr="00225B62">
        <w:t>).</w:t>
      </w:r>
    </w:p>
  </w:footnote>
  <w:footnote w:id="110">
    <w:p w14:paraId="5099EE19" w14:textId="77777777" w:rsidR="00A56F36" w:rsidRPr="00225B62" w:rsidRDefault="00A56F36" w:rsidP="00481C0B">
      <w:pPr>
        <w:pStyle w:val="FootnoteText"/>
      </w:pPr>
      <w:r w:rsidRPr="00225B62">
        <w:rPr>
          <w:rStyle w:val="FootnoteReference"/>
        </w:rPr>
        <w:footnoteRef/>
      </w:r>
      <w:r w:rsidRPr="00225B62">
        <w:t xml:space="preserve"> </w:t>
      </w:r>
      <w:r w:rsidRPr="00225B62">
        <w:rPr>
          <w:i/>
        </w:rPr>
        <w:t>See id.</w:t>
      </w:r>
    </w:p>
  </w:footnote>
  <w:footnote w:id="111">
    <w:p w14:paraId="3C500661" w14:textId="77777777" w:rsidR="00A56F36" w:rsidRPr="00225B62" w:rsidRDefault="00A56F36" w:rsidP="00481C0B">
      <w:pPr>
        <w:pStyle w:val="FootnoteText"/>
      </w:pPr>
      <w:r w:rsidRPr="00225B62">
        <w:rPr>
          <w:rStyle w:val="FootnoteReference"/>
        </w:rPr>
        <w:footnoteRef/>
      </w:r>
      <w:r w:rsidRPr="00225B62">
        <w:t xml:space="preserve">  All stations in the low power television service are permitted to originate some amount of local programming, such as public service announcements (PSAs).  </w:t>
      </w:r>
      <w:r w:rsidRPr="00225B62">
        <w:rPr>
          <w:i/>
        </w:rPr>
        <w:t xml:space="preserve">See </w:t>
      </w:r>
      <w:r w:rsidRPr="00225B62">
        <w:t>47 CFR § 74.731(f) and (g) and 47 CFR § 74.701(f).  PSAs originated by TV translators are limited to 30 seconds each and not more than once per hour.</w:t>
      </w:r>
    </w:p>
  </w:footnote>
  <w:footnote w:id="112">
    <w:p w14:paraId="65119426" w14:textId="77777777" w:rsidR="00A56F36" w:rsidRPr="00225B62" w:rsidRDefault="00A56F36" w:rsidP="00481C0B">
      <w:pPr>
        <w:pStyle w:val="FootnoteText"/>
      </w:pPr>
      <w:r w:rsidRPr="00225B62">
        <w:rPr>
          <w:rStyle w:val="FootnoteReference"/>
        </w:rPr>
        <w:footnoteRef/>
      </w:r>
      <w:r w:rsidRPr="00225B62">
        <w:t xml:space="preserve"> </w:t>
      </w:r>
      <w:r w:rsidRPr="00225B62">
        <w:rPr>
          <w:i/>
        </w:rPr>
        <w:t xml:space="preserve">See </w:t>
      </w:r>
      <w:r w:rsidRPr="00225B62">
        <w:t xml:space="preserve">47 CFR § 74.798(c); </w:t>
      </w:r>
      <w:r w:rsidRPr="00225B62">
        <w:rPr>
          <w:i/>
        </w:rPr>
        <w:t>LPTV DTV Second R&amp;O</w:t>
      </w:r>
      <w:r w:rsidRPr="00225B62">
        <w:t>, 26 FCC Rcd at 10755, para. 49.</w:t>
      </w:r>
    </w:p>
  </w:footnote>
  <w:footnote w:id="113">
    <w:p w14:paraId="6E6D58A2" w14:textId="77777777" w:rsidR="00A56F36" w:rsidRPr="00225B62" w:rsidRDefault="00A56F36" w:rsidP="00481C0B">
      <w:pPr>
        <w:pStyle w:val="FootnoteText"/>
      </w:pPr>
      <w:r w:rsidRPr="00225B62">
        <w:rPr>
          <w:rStyle w:val="FootnoteReference"/>
        </w:rPr>
        <w:footnoteRef/>
      </w:r>
      <w:r w:rsidRPr="00225B62">
        <w:t xml:space="preserve"> </w:t>
      </w:r>
      <w:r w:rsidRPr="00225B62">
        <w:rPr>
          <w:i/>
        </w:rPr>
        <w:t xml:space="preserve">See </w:t>
      </w:r>
      <w:r w:rsidRPr="00225B62">
        <w:t xml:space="preserve">47 CFR § 74.798(d); </w:t>
      </w:r>
      <w:r w:rsidRPr="00225B62">
        <w:rPr>
          <w:i/>
        </w:rPr>
        <w:t>LPTV DTV Second R&amp;O</w:t>
      </w:r>
      <w:r w:rsidRPr="00225B62">
        <w:t>, 26 FCC Rcd at 10755, para. 49.</w:t>
      </w:r>
    </w:p>
  </w:footnote>
  <w:footnote w:id="114">
    <w:p w14:paraId="0F1133FF" w14:textId="77777777" w:rsidR="00A56F36" w:rsidRPr="00225B62" w:rsidRDefault="00A56F36" w:rsidP="00ED3939">
      <w:pPr>
        <w:pStyle w:val="FootnoteText"/>
        <w:rPr>
          <w:i/>
        </w:rPr>
      </w:pPr>
      <w:r w:rsidRPr="00225B62">
        <w:rPr>
          <w:rStyle w:val="FootnoteReference"/>
        </w:rPr>
        <w:footnoteRef/>
      </w:r>
      <w:r w:rsidRPr="00225B62">
        <w:t xml:space="preserve"> </w:t>
      </w:r>
      <w:r w:rsidRPr="00225B62">
        <w:rPr>
          <w:i/>
        </w:rPr>
        <w:t>See Freeze On the Filing of Applications for Digital Companion Channels</w:t>
      </w:r>
      <w:r w:rsidRPr="00225B62">
        <w:t>, Public Notice, 32 FCC Rcd 566 (MB 2017).</w:t>
      </w:r>
    </w:p>
  </w:footnote>
  <w:footnote w:id="115">
    <w:p w14:paraId="222BD7EA" w14:textId="16C74077" w:rsidR="00A56F36" w:rsidRPr="00225B62" w:rsidRDefault="00A56F36" w:rsidP="00ED3939">
      <w:pPr>
        <w:pStyle w:val="FootnoteText"/>
        <w:rPr>
          <w:i/>
        </w:rPr>
      </w:pPr>
      <w:r w:rsidRPr="00225B62">
        <w:rPr>
          <w:rStyle w:val="FootnoteReference"/>
        </w:rPr>
        <w:footnoteRef/>
      </w:r>
      <w:r w:rsidRPr="00225B62">
        <w:t xml:space="preserve"> </w:t>
      </w:r>
      <w:r w:rsidRPr="00225B62">
        <w:rPr>
          <w:i/>
        </w:rPr>
        <w:t>See Freeze On the Filing of Applications for Digital Replacement Translator Stations and Displacement Applications</w:t>
      </w:r>
      <w:r w:rsidRPr="00225B62">
        <w:t>, Public Notice, 29 FCC Rcd 6063 (MB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6317" w14:textId="77777777" w:rsidR="008E7505" w:rsidRDefault="008E7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D568" w14:textId="6C0E268A" w:rsidR="002A6D5B" w:rsidRPr="002A6D5B" w:rsidRDefault="00225B62" w:rsidP="00225B62">
    <w:pPr>
      <w:pStyle w:val="Header"/>
      <w:tabs>
        <w:tab w:val="center" w:pos="4500"/>
      </w:tabs>
    </w:pPr>
    <w:r>
      <w:tab/>
    </w:r>
    <w:r w:rsidR="002A6D5B" w:rsidRPr="002A6D5B">
      <w:t>Federal Communications Commission</w:t>
    </w:r>
    <w:r w:rsidR="002A6D5B" w:rsidRPr="002A6D5B">
      <w:tab/>
    </w:r>
    <w:r>
      <w:tab/>
    </w:r>
    <w:r>
      <w:tab/>
      <w:t xml:space="preserve">       </w:t>
    </w:r>
    <w:r w:rsidR="00613F8F">
      <w:t xml:space="preserve"> DA 17-442</w:t>
    </w:r>
  </w:p>
  <w:p w14:paraId="0EA1E89A" w14:textId="77777777" w:rsidR="002A6D5B" w:rsidRDefault="002A6D5B" w:rsidP="002A6D5B">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14:anchorId="638EF998" wp14:editId="7F0A31A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C17D0" id="Rectangle 1"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8ADF" w14:textId="64425EDD" w:rsidR="002A6D5B" w:rsidRPr="00BA6E7A" w:rsidRDefault="002A6D5B" w:rsidP="002A6D5B">
    <w:pPr>
      <w:spacing w:before="40"/>
      <w:rPr>
        <w:rFonts w:ascii="Arial" w:hAnsi="Arial" w:cs="Arial"/>
        <w:b/>
        <w:sz w:val="96"/>
      </w:rPr>
    </w:pPr>
    <w:r>
      <w:rPr>
        <w:noProof/>
      </w:rPr>
      <mc:AlternateContent>
        <mc:Choice Requires="wps">
          <w:drawing>
            <wp:anchor distT="0" distB="0" distL="114300" distR="114300" simplePos="0" relativeHeight="251669504" behindDoc="0" locked="0" layoutInCell="0" allowOverlap="1" wp14:anchorId="0F903B09" wp14:editId="2B358BC8">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7B563" w14:textId="77777777" w:rsidR="002A6D5B" w:rsidRDefault="002A6D5B" w:rsidP="002A6D5B">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903B09"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oihQIAABY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" o:allowincell="f" stroked="f">
              <v:textbox>
                <w:txbxContent>
                  <w:p w14:paraId="0A07B563" w14:textId="77777777" w:rsidR="002A6D5B" w:rsidRDefault="002A6D5B" w:rsidP="002A6D5B">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proofErr w:type="gramStart"/>
                    <w:r>
                      <w:rPr>
                        <w:rFonts w:ascii="Arial" w:hAnsi="Arial"/>
                        <w:b/>
                      </w:rPr>
                      <w:t>.</w:t>
                    </w:r>
                    <w:proofErr w:type="gramEnd"/>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40404462" wp14:editId="7C8C3D7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76755D7B" w14:textId="77777777" w:rsidR="002A6D5B" w:rsidRPr="005068D8" w:rsidRDefault="002A6D5B" w:rsidP="002A6D5B">
    <w:pPr>
      <w:spacing w:before="40"/>
      <w:rPr>
        <w:rFonts w:ascii="Arial" w:hAnsi="Arial" w:cs="Arial"/>
        <w:b/>
        <w:sz w:val="96"/>
      </w:rPr>
    </w:pPr>
    <w:r>
      <w:rPr>
        <w:noProof/>
      </w:rPr>
      <mc:AlternateContent>
        <mc:Choice Requires="wps">
          <w:drawing>
            <wp:anchor distT="4294967295" distB="4294967295" distL="114300" distR="114300" simplePos="0" relativeHeight="251670528" behindDoc="0" locked="0" layoutInCell="0" allowOverlap="1" wp14:anchorId="2B1DE9B9" wp14:editId="359C37BF">
              <wp:simplePos x="0" y="0"/>
              <wp:positionH relativeFrom="margin">
                <wp:align>right</wp:align>
              </wp:positionH>
              <wp:positionV relativeFrom="paragraph">
                <wp:posOffset>720089</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7999E" id="Line 4"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7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rgK+/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71552" behindDoc="0" locked="0" layoutInCell="0" allowOverlap="1" wp14:anchorId="4513768C" wp14:editId="16B7C2BC">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645B8" w14:textId="7885D5D6" w:rsidR="002A6D5B" w:rsidRDefault="002A6D5B" w:rsidP="002A6D5B">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YCyO&#10;D4ICAAAOBQAADgAAAAAAAAAAAAAAAAAuAgAAZHJzL2Uyb0RvYy54bWxQSwECLQAUAAYACAAAACEA&#10;pgCLut8AAAAJAQAADwAAAAAAAAAAAAAAAADcBAAAZHJzL2Rvd25yZXYueG1sUEsFBgAAAAAEAAQA&#10;8wAAAOgFAAAAAA==&#10;" o:allowincell="f" stroked="f">
              <v:textbox inset=",0,,0">
                <w:txbxContent>
                  <w:p w14:paraId="64C645B8" w14:textId="7885D5D6" w:rsidR="002A6D5B" w:rsidRDefault="002A6D5B" w:rsidP="002A6D5B">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p w14:paraId="48417431" w14:textId="0E7C53B3" w:rsidR="002A6D5B" w:rsidRPr="002A6D5B" w:rsidRDefault="002A6D5B" w:rsidP="002A6D5B">
    <w:pPr>
      <w:tabs>
        <w:tab w:val="center" w:pos="4680"/>
        <w:tab w:val="right" w:pos="9360"/>
      </w:tabs>
      <w:rPr>
        <w:spacing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4767" w14:textId="5EF358A4" w:rsidR="002A6D5B" w:rsidRPr="002A6D5B" w:rsidRDefault="002A6D5B" w:rsidP="002A6D5B">
    <w:pPr>
      <w:tabs>
        <w:tab w:val="center" w:pos="4680"/>
        <w:tab w:val="right" w:pos="9360"/>
      </w:tabs>
    </w:pPr>
    <w:r>
      <w:rPr>
        <w:b/>
      </w:rPr>
      <w:tab/>
    </w:r>
    <w:r w:rsidRPr="002A6D5B">
      <w:rPr>
        <w:b/>
      </w:rPr>
      <w:t>Federal Communications Commission</w:t>
    </w:r>
    <w:r w:rsidRPr="002A6D5B">
      <w:rPr>
        <w:b/>
      </w:rPr>
      <w:tab/>
      <w:t>DA 17-</w:t>
    </w:r>
    <w:r>
      <w:rPr>
        <w:b/>
      </w:rPr>
      <w:t>XXX</w:t>
    </w:r>
  </w:p>
  <w:p w14:paraId="347605DF" w14:textId="77777777" w:rsidR="002A6D5B" w:rsidRPr="002A6D5B" w:rsidRDefault="002A6D5B" w:rsidP="002A6D5B">
    <w:pPr>
      <w:tabs>
        <w:tab w:val="left" w:pos="-720"/>
      </w:tabs>
      <w:suppressAutoHyphens/>
      <w:spacing w:line="19" w:lineRule="exact"/>
      <w:rPr>
        <w:spacing w:val="-2"/>
      </w:rPr>
    </w:pPr>
    <w:r w:rsidRPr="002A6D5B">
      <w:rPr>
        <w:noProof/>
      </w:rPr>
      <mc:AlternateContent>
        <mc:Choice Requires="wps">
          <w:drawing>
            <wp:anchor distT="0" distB="0" distL="114300" distR="114300" simplePos="0" relativeHeight="251667456" behindDoc="1" locked="0" layoutInCell="0" allowOverlap="1" wp14:anchorId="2ECC127B" wp14:editId="65EDC3AF">
              <wp:simplePos x="0" y="0"/>
              <wp:positionH relativeFrom="margin">
                <wp:posOffset>0</wp:posOffset>
              </wp:positionH>
              <wp:positionV relativeFrom="paragraph">
                <wp:posOffset>0</wp:posOffset>
              </wp:positionV>
              <wp:extent cx="5943600" cy="12065"/>
              <wp:effectExtent l="0" t="0" r="0" b="698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489044" id="Rectangle 1" o:spid="_x0000_s1026" style="position:absolute;margin-left:0;margin-top:0;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ZQ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GyRllD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F5E"/>
    <w:multiLevelType w:val="hybridMultilevel"/>
    <w:tmpl w:val="96AA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1B5293"/>
    <w:multiLevelType w:val="hybridMultilevel"/>
    <w:tmpl w:val="D84A24E2"/>
    <w:lvl w:ilvl="0" w:tplc="EA1A9C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820534"/>
    <w:multiLevelType w:val="hybridMultilevel"/>
    <w:tmpl w:val="94B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0C92"/>
    <w:multiLevelType w:val="hybridMultilevel"/>
    <w:tmpl w:val="EB2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6A12"/>
    <w:multiLevelType w:val="hybridMultilevel"/>
    <w:tmpl w:val="581CAD00"/>
    <w:lvl w:ilvl="0" w:tplc="5F9659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41B26"/>
    <w:multiLevelType w:val="hybridMultilevel"/>
    <w:tmpl w:val="5CEAD8AE"/>
    <w:lvl w:ilvl="0" w:tplc="5A2CBC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1D76E4"/>
    <w:multiLevelType w:val="hybridMultilevel"/>
    <w:tmpl w:val="2E5865F2"/>
    <w:lvl w:ilvl="0" w:tplc="4E6CD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5D05B06"/>
    <w:multiLevelType w:val="hybridMultilevel"/>
    <w:tmpl w:val="8B68A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06CBB"/>
    <w:multiLevelType w:val="multilevel"/>
    <w:tmpl w:val="6F84831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F0748DE"/>
    <w:multiLevelType w:val="hybridMultilevel"/>
    <w:tmpl w:val="DE68ED7A"/>
    <w:lvl w:ilvl="0" w:tplc="FDAC4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E4256"/>
    <w:multiLevelType w:val="hybridMultilevel"/>
    <w:tmpl w:val="F26E025C"/>
    <w:lvl w:ilvl="0" w:tplc="F5CAF8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445F65"/>
    <w:multiLevelType w:val="hybridMultilevel"/>
    <w:tmpl w:val="005C2760"/>
    <w:lvl w:ilvl="0" w:tplc="5E7AF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FD7D55"/>
    <w:multiLevelType w:val="hybridMultilevel"/>
    <w:tmpl w:val="FB242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11EEA"/>
    <w:multiLevelType w:val="hybridMultilevel"/>
    <w:tmpl w:val="4AD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3775A"/>
    <w:multiLevelType w:val="hybridMultilevel"/>
    <w:tmpl w:val="7F94E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B1520"/>
    <w:multiLevelType w:val="hybridMultilevel"/>
    <w:tmpl w:val="F1B2FB6C"/>
    <w:lvl w:ilvl="0" w:tplc="2B9AF7D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8C5E3B"/>
    <w:multiLevelType w:val="hybridMultilevel"/>
    <w:tmpl w:val="2898AC5A"/>
    <w:lvl w:ilvl="0" w:tplc="437AF2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4DC68C7"/>
    <w:multiLevelType w:val="hybridMultilevel"/>
    <w:tmpl w:val="7B0CDC06"/>
    <w:lvl w:ilvl="0" w:tplc="05D2AA7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E0304"/>
    <w:multiLevelType w:val="hybridMultilevel"/>
    <w:tmpl w:val="30C2DCCA"/>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1892E35"/>
    <w:multiLevelType w:val="hybridMultilevel"/>
    <w:tmpl w:val="6A0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FA30CAC"/>
    <w:multiLevelType w:val="hybridMultilevel"/>
    <w:tmpl w:val="238ABDD6"/>
    <w:lvl w:ilvl="0" w:tplc="7778C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42D39"/>
    <w:multiLevelType w:val="hybridMultilevel"/>
    <w:tmpl w:val="8F202A38"/>
    <w:lvl w:ilvl="0" w:tplc="025E34B0">
      <w:start w:val="30"/>
      <w:numFmt w:val="bullet"/>
      <w:lvlText w:val=""/>
      <w:lvlJc w:val="left"/>
      <w:pPr>
        <w:ind w:left="6120" w:hanging="360"/>
      </w:pPr>
      <w:rPr>
        <w:rFonts w:ascii="Wingdings" w:eastAsia="Times New Roman"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8">
    <w:nsid w:val="75225A4A"/>
    <w:multiLevelType w:val="hybridMultilevel"/>
    <w:tmpl w:val="1504A9E0"/>
    <w:lvl w:ilvl="0" w:tplc="356CD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E16054"/>
    <w:multiLevelType w:val="hybridMultilevel"/>
    <w:tmpl w:val="321CCC22"/>
    <w:lvl w:ilvl="0" w:tplc="618A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5"/>
  </w:num>
  <w:num w:numId="3">
    <w:abstractNumId w:val="11"/>
  </w:num>
  <w:num w:numId="4">
    <w:abstractNumId w:val="22"/>
  </w:num>
  <w:num w:numId="5">
    <w:abstractNumId w:val="9"/>
  </w:num>
  <w:num w:numId="6">
    <w:abstractNumId w:val="1"/>
  </w:num>
  <w:num w:numId="7">
    <w:abstractNumId w:val="24"/>
  </w:num>
  <w:num w:numId="8">
    <w:abstractNumId w:val="6"/>
  </w:num>
  <w:num w:numId="9">
    <w:abstractNumId w:val="2"/>
  </w:num>
  <w:num w:numId="10">
    <w:abstractNumId w:val="19"/>
  </w:num>
  <w:num w:numId="11">
    <w:abstractNumId w:val="16"/>
  </w:num>
  <w:num w:numId="12">
    <w:abstractNumId w:val="27"/>
  </w:num>
  <w:num w:numId="13">
    <w:abstractNumId w:val="17"/>
  </w:num>
  <w:num w:numId="14">
    <w:abstractNumId w:val="10"/>
  </w:num>
  <w:num w:numId="15">
    <w:abstractNumId w:val="15"/>
  </w:num>
  <w:num w:numId="16">
    <w:abstractNumId w:val="4"/>
  </w:num>
  <w:num w:numId="17">
    <w:abstractNumId w:val="20"/>
  </w:num>
  <w:num w:numId="18">
    <w:abstractNumId w:val="23"/>
  </w:num>
  <w:num w:numId="19">
    <w:abstractNumId w:val="3"/>
  </w:num>
  <w:num w:numId="20">
    <w:abstractNumId w:val="12"/>
  </w:num>
  <w:num w:numId="21">
    <w:abstractNumId w:val="25"/>
    <w:lvlOverride w:ilvl="0">
      <w:startOverride w:val="1"/>
    </w:lvlOverride>
  </w:num>
  <w:num w:numId="22">
    <w:abstractNumId w:val="3"/>
  </w:num>
  <w:num w:numId="23">
    <w:abstractNumId w:val="26"/>
  </w:num>
  <w:num w:numId="24">
    <w:abstractNumId w:val="18"/>
  </w:num>
  <w:num w:numId="25">
    <w:abstractNumId w:val="29"/>
  </w:num>
  <w:num w:numId="26">
    <w:abstractNumId w:val="7"/>
  </w:num>
  <w:num w:numId="27">
    <w:abstractNumId w:val="28"/>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5"/>
  </w:num>
  <w:num w:numId="33">
    <w:abstractNumId w:val="13"/>
  </w:num>
  <w:num w:numId="34">
    <w:abstractNumId w:val="21"/>
  </w:num>
  <w:num w:numId="35">
    <w:abstractNumId w:val="14"/>
  </w:num>
  <w:num w:numId="36">
    <w:abstractNumId w:val="11"/>
  </w:num>
  <w:num w:numId="37">
    <w:abstractNumId w:val="0"/>
  </w:num>
  <w:num w:numId="38">
    <w:abstractNumId w:val="25"/>
    <w:lvlOverride w:ilvl="0">
      <w:startOverride w:val="1"/>
    </w:lvlOverride>
  </w:num>
  <w:num w:numId="3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0A"/>
    <w:rsid w:val="00000316"/>
    <w:rsid w:val="00000DEF"/>
    <w:rsid w:val="00001DC3"/>
    <w:rsid w:val="000025FE"/>
    <w:rsid w:val="00002956"/>
    <w:rsid w:val="00004A50"/>
    <w:rsid w:val="00006CB7"/>
    <w:rsid w:val="00006CD0"/>
    <w:rsid w:val="00007934"/>
    <w:rsid w:val="00010453"/>
    <w:rsid w:val="0001564F"/>
    <w:rsid w:val="000171CB"/>
    <w:rsid w:val="00017550"/>
    <w:rsid w:val="000245C6"/>
    <w:rsid w:val="0002529C"/>
    <w:rsid w:val="000276A1"/>
    <w:rsid w:val="00027BEB"/>
    <w:rsid w:val="00031C40"/>
    <w:rsid w:val="000323CB"/>
    <w:rsid w:val="000335F6"/>
    <w:rsid w:val="000341F9"/>
    <w:rsid w:val="00035F89"/>
    <w:rsid w:val="00036039"/>
    <w:rsid w:val="00037F90"/>
    <w:rsid w:val="000450F4"/>
    <w:rsid w:val="000455BB"/>
    <w:rsid w:val="00045F3E"/>
    <w:rsid w:val="000506BC"/>
    <w:rsid w:val="00050AD7"/>
    <w:rsid w:val="00051A4E"/>
    <w:rsid w:val="00053441"/>
    <w:rsid w:val="00053F45"/>
    <w:rsid w:val="000548A3"/>
    <w:rsid w:val="000625FE"/>
    <w:rsid w:val="00062913"/>
    <w:rsid w:val="00065726"/>
    <w:rsid w:val="00066353"/>
    <w:rsid w:val="00066F0D"/>
    <w:rsid w:val="0007102E"/>
    <w:rsid w:val="000725C5"/>
    <w:rsid w:val="000730AF"/>
    <w:rsid w:val="0007508A"/>
    <w:rsid w:val="00076BCE"/>
    <w:rsid w:val="00077566"/>
    <w:rsid w:val="00080E62"/>
    <w:rsid w:val="00085372"/>
    <w:rsid w:val="000875BF"/>
    <w:rsid w:val="00087964"/>
    <w:rsid w:val="000913A5"/>
    <w:rsid w:val="00093DFC"/>
    <w:rsid w:val="00094377"/>
    <w:rsid w:val="000953C0"/>
    <w:rsid w:val="00096D8C"/>
    <w:rsid w:val="000973D6"/>
    <w:rsid w:val="000A1D14"/>
    <w:rsid w:val="000A2E35"/>
    <w:rsid w:val="000A3B07"/>
    <w:rsid w:val="000B01BF"/>
    <w:rsid w:val="000B0E82"/>
    <w:rsid w:val="000B1AA7"/>
    <w:rsid w:val="000B45AD"/>
    <w:rsid w:val="000B68CD"/>
    <w:rsid w:val="000B7AC7"/>
    <w:rsid w:val="000C075F"/>
    <w:rsid w:val="000C0B65"/>
    <w:rsid w:val="000C19DC"/>
    <w:rsid w:val="000C3FF1"/>
    <w:rsid w:val="000C4324"/>
    <w:rsid w:val="000C5E77"/>
    <w:rsid w:val="000D38E0"/>
    <w:rsid w:val="000D3B5A"/>
    <w:rsid w:val="000D5857"/>
    <w:rsid w:val="000D7FED"/>
    <w:rsid w:val="000E05FE"/>
    <w:rsid w:val="000E26AB"/>
    <w:rsid w:val="000E3D42"/>
    <w:rsid w:val="000E446C"/>
    <w:rsid w:val="000E7A82"/>
    <w:rsid w:val="000F0B64"/>
    <w:rsid w:val="000F1CCF"/>
    <w:rsid w:val="000F33B4"/>
    <w:rsid w:val="000F4FE2"/>
    <w:rsid w:val="000F5FBD"/>
    <w:rsid w:val="000F7EE1"/>
    <w:rsid w:val="0010286A"/>
    <w:rsid w:val="00103223"/>
    <w:rsid w:val="00103334"/>
    <w:rsid w:val="00104BBC"/>
    <w:rsid w:val="001054CA"/>
    <w:rsid w:val="00105BD0"/>
    <w:rsid w:val="001074DF"/>
    <w:rsid w:val="001077E2"/>
    <w:rsid w:val="001135DF"/>
    <w:rsid w:val="0011397C"/>
    <w:rsid w:val="00115E26"/>
    <w:rsid w:val="00122BD5"/>
    <w:rsid w:val="0012563C"/>
    <w:rsid w:val="00126829"/>
    <w:rsid w:val="00130ED0"/>
    <w:rsid w:val="00132E2B"/>
    <w:rsid w:val="00133E4F"/>
    <w:rsid w:val="00133F79"/>
    <w:rsid w:val="001358BE"/>
    <w:rsid w:val="00135C28"/>
    <w:rsid w:val="00136FF9"/>
    <w:rsid w:val="00145B15"/>
    <w:rsid w:val="00147913"/>
    <w:rsid w:val="00153418"/>
    <w:rsid w:val="001551C5"/>
    <w:rsid w:val="00155EAF"/>
    <w:rsid w:val="00163132"/>
    <w:rsid w:val="00165347"/>
    <w:rsid w:val="00166552"/>
    <w:rsid w:val="00166FE6"/>
    <w:rsid w:val="001741C6"/>
    <w:rsid w:val="00177372"/>
    <w:rsid w:val="00181931"/>
    <w:rsid w:val="00183117"/>
    <w:rsid w:val="0018621B"/>
    <w:rsid w:val="00187F56"/>
    <w:rsid w:val="00190D4E"/>
    <w:rsid w:val="00194A66"/>
    <w:rsid w:val="0019687F"/>
    <w:rsid w:val="00196C56"/>
    <w:rsid w:val="001A0920"/>
    <w:rsid w:val="001A6EEF"/>
    <w:rsid w:val="001B0660"/>
    <w:rsid w:val="001B11ED"/>
    <w:rsid w:val="001C54DF"/>
    <w:rsid w:val="001C7B8C"/>
    <w:rsid w:val="001D0E90"/>
    <w:rsid w:val="001D3644"/>
    <w:rsid w:val="001D489D"/>
    <w:rsid w:val="001D49A1"/>
    <w:rsid w:val="001D4A25"/>
    <w:rsid w:val="001D558F"/>
    <w:rsid w:val="001D55A1"/>
    <w:rsid w:val="001D6BCF"/>
    <w:rsid w:val="001E01CA"/>
    <w:rsid w:val="001E088E"/>
    <w:rsid w:val="001E2145"/>
    <w:rsid w:val="001E3CF8"/>
    <w:rsid w:val="001E41CB"/>
    <w:rsid w:val="001E6BDC"/>
    <w:rsid w:val="001F601B"/>
    <w:rsid w:val="002065E2"/>
    <w:rsid w:val="00207254"/>
    <w:rsid w:val="002073ED"/>
    <w:rsid w:val="00212301"/>
    <w:rsid w:val="0021267E"/>
    <w:rsid w:val="002130C7"/>
    <w:rsid w:val="00216377"/>
    <w:rsid w:val="00221C98"/>
    <w:rsid w:val="002251B6"/>
    <w:rsid w:val="00225B62"/>
    <w:rsid w:val="00227F63"/>
    <w:rsid w:val="00230F82"/>
    <w:rsid w:val="00232935"/>
    <w:rsid w:val="00235CFA"/>
    <w:rsid w:val="00236299"/>
    <w:rsid w:val="00241B68"/>
    <w:rsid w:val="00241E53"/>
    <w:rsid w:val="00241FA3"/>
    <w:rsid w:val="002448BA"/>
    <w:rsid w:val="00247878"/>
    <w:rsid w:val="0024789F"/>
    <w:rsid w:val="00251CD1"/>
    <w:rsid w:val="0025394A"/>
    <w:rsid w:val="00253A3D"/>
    <w:rsid w:val="00253DD3"/>
    <w:rsid w:val="002544C8"/>
    <w:rsid w:val="00263BE6"/>
    <w:rsid w:val="00265D97"/>
    <w:rsid w:val="00270732"/>
    <w:rsid w:val="002711CE"/>
    <w:rsid w:val="00271472"/>
    <w:rsid w:val="00272FC7"/>
    <w:rsid w:val="002746CB"/>
    <w:rsid w:val="00275CF5"/>
    <w:rsid w:val="0028301F"/>
    <w:rsid w:val="0028457A"/>
    <w:rsid w:val="00285017"/>
    <w:rsid w:val="002872AE"/>
    <w:rsid w:val="00293BAC"/>
    <w:rsid w:val="0029484C"/>
    <w:rsid w:val="00294A4B"/>
    <w:rsid w:val="00297006"/>
    <w:rsid w:val="00297EA6"/>
    <w:rsid w:val="002A2D2E"/>
    <w:rsid w:val="002A304E"/>
    <w:rsid w:val="002A3CE0"/>
    <w:rsid w:val="002A3DE1"/>
    <w:rsid w:val="002A69DE"/>
    <w:rsid w:val="002A6D5B"/>
    <w:rsid w:val="002A6F5C"/>
    <w:rsid w:val="002B0927"/>
    <w:rsid w:val="002B297D"/>
    <w:rsid w:val="002B5755"/>
    <w:rsid w:val="002B5C46"/>
    <w:rsid w:val="002B6962"/>
    <w:rsid w:val="002B7DF5"/>
    <w:rsid w:val="002C00E8"/>
    <w:rsid w:val="002C0193"/>
    <w:rsid w:val="002C10C8"/>
    <w:rsid w:val="002C20F5"/>
    <w:rsid w:val="002C23F6"/>
    <w:rsid w:val="002C38D5"/>
    <w:rsid w:val="002C4A19"/>
    <w:rsid w:val="002C649C"/>
    <w:rsid w:val="002C6D63"/>
    <w:rsid w:val="002C7BA7"/>
    <w:rsid w:val="002D0B30"/>
    <w:rsid w:val="002D20A6"/>
    <w:rsid w:val="002D2525"/>
    <w:rsid w:val="002D3E94"/>
    <w:rsid w:val="002D5D3A"/>
    <w:rsid w:val="002D7EAA"/>
    <w:rsid w:val="002E11CD"/>
    <w:rsid w:val="002E27E1"/>
    <w:rsid w:val="002E4469"/>
    <w:rsid w:val="002E4A99"/>
    <w:rsid w:val="002E5A0B"/>
    <w:rsid w:val="002F07AB"/>
    <w:rsid w:val="002F2C46"/>
    <w:rsid w:val="002F4A37"/>
    <w:rsid w:val="002F586E"/>
    <w:rsid w:val="002F5F74"/>
    <w:rsid w:val="002F639C"/>
    <w:rsid w:val="002F6C6E"/>
    <w:rsid w:val="003001A8"/>
    <w:rsid w:val="00300B7D"/>
    <w:rsid w:val="00302995"/>
    <w:rsid w:val="0030402A"/>
    <w:rsid w:val="00304627"/>
    <w:rsid w:val="0030495F"/>
    <w:rsid w:val="0031121D"/>
    <w:rsid w:val="00312333"/>
    <w:rsid w:val="0031264B"/>
    <w:rsid w:val="00313A19"/>
    <w:rsid w:val="0031547C"/>
    <w:rsid w:val="00315EEA"/>
    <w:rsid w:val="00317383"/>
    <w:rsid w:val="003174E4"/>
    <w:rsid w:val="00321B35"/>
    <w:rsid w:val="003226EF"/>
    <w:rsid w:val="00325E72"/>
    <w:rsid w:val="00326671"/>
    <w:rsid w:val="0032682A"/>
    <w:rsid w:val="00327CEF"/>
    <w:rsid w:val="00331792"/>
    <w:rsid w:val="00336C95"/>
    <w:rsid w:val="0033763F"/>
    <w:rsid w:val="00341DDC"/>
    <w:rsid w:val="00343749"/>
    <w:rsid w:val="003441CB"/>
    <w:rsid w:val="003457AA"/>
    <w:rsid w:val="003476EF"/>
    <w:rsid w:val="00351C7F"/>
    <w:rsid w:val="003573CE"/>
    <w:rsid w:val="00360331"/>
    <w:rsid w:val="00362B0C"/>
    <w:rsid w:val="003660ED"/>
    <w:rsid w:val="003673BE"/>
    <w:rsid w:val="00370AB9"/>
    <w:rsid w:val="00372643"/>
    <w:rsid w:val="00376718"/>
    <w:rsid w:val="003828BD"/>
    <w:rsid w:val="00385993"/>
    <w:rsid w:val="00386097"/>
    <w:rsid w:val="003869FF"/>
    <w:rsid w:val="00386E3D"/>
    <w:rsid w:val="003945A7"/>
    <w:rsid w:val="0039627B"/>
    <w:rsid w:val="00397CA3"/>
    <w:rsid w:val="003A310E"/>
    <w:rsid w:val="003A3DDE"/>
    <w:rsid w:val="003A4321"/>
    <w:rsid w:val="003A57EE"/>
    <w:rsid w:val="003A7731"/>
    <w:rsid w:val="003B0550"/>
    <w:rsid w:val="003B0F4C"/>
    <w:rsid w:val="003B16EC"/>
    <w:rsid w:val="003B2642"/>
    <w:rsid w:val="003B694F"/>
    <w:rsid w:val="003B6D6B"/>
    <w:rsid w:val="003B73ED"/>
    <w:rsid w:val="003B7AC0"/>
    <w:rsid w:val="003C1959"/>
    <w:rsid w:val="003C2209"/>
    <w:rsid w:val="003D6258"/>
    <w:rsid w:val="003E0990"/>
    <w:rsid w:val="003E0C10"/>
    <w:rsid w:val="003E0DD0"/>
    <w:rsid w:val="003E3963"/>
    <w:rsid w:val="003E3F70"/>
    <w:rsid w:val="003E4871"/>
    <w:rsid w:val="003E48BE"/>
    <w:rsid w:val="003E7B93"/>
    <w:rsid w:val="003E7F4B"/>
    <w:rsid w:val="003F0143"/>
    <w:rsid w:val="003F12B4"/>
    <w:rsid w:val="003F171C"/>
    <w:rsid w:val="003F2FCD"/>
    <w:rsid w:val="003F3D02"/>
    <w:rsid w:val="003F6933"/>
    <w:rsid w:val="003F6B92"/>
    <w:rsid w:val="003F7BE3"/>
    <w:rsid w:val="003F7F96"/>
    <w:rsid w:val="00402567"/>
    <w:rsid w:val="00412FC5"/>
    <w:rsid w:val="004149E9"/>
    <w:rsid w:val="00420B4B"/>
    <w:rsid w:val="00421675"/>
    <w:rsid w:val="00422276"/>
    <w:rsid w:val="004242F1"/>
    <w:rsid w:val="00426199"/>
    <w:rsid w:val="00431A80"/>
    <w:rsid w:val="00434D0A"/>
    <w:rsid w:val="0043658E"/>
    <w:rsid w:val="004369F1"/>
    <w:rsid w:val="00437D9E"/>
    <w:rsid w:val="00437F19"/>
    <w:rsid w:val="00444BF9"/>
    <w:rsid w:val="00445A00"/>
    <w:rsid w:val="0044772C"/>
    <w:rsid w:val="00447C64"/>
    <w:rsid w:val="00450455"/>
    <w:rsid w:val="004512F7"/>
    <w:rsid w:val="00451B0F"/>
    <w:rsid w:val="004538F9"/>
    <w:rsid w:val="004556CB"/>
    <w:rsid w:val="004562FA"/>
    <w:rsid w:val="00456E7C"/>
    <w:rsid w:val="00457DA1"/>
    <w:rsid w:val="0046210D"/>
    <w:rsid w:val="0046251B"/>
    <w:rsid w:val="00464B38"/>
    <w:rsid w:val="004679A1"/>
    <w:rsid w:val="00470BE6"/>
    <w:rsid w:val="0047258C"/>
    <w:rsid w:val="004745E1"/>
    <w:rsid w:val="00480B57"/>
    <w:rsid w:val="00480FCA"/>
    <w:rsid w:val="00481178"/>
    <w:rsid w:val="00481C0B"/>
    <w:rsid w:val="00482D2E"/>
    <w:rsid w:val="0048312A"/>
    <w:rsid w:val="0048522D"/>
    <w:rsid w:val="00486CCB"/>
    <w:rsid w:val="00487372"/>
    <w:rsid w:val="004877E1"/>
    <w:rsid w:val="00490F5A"/>
    <w:rsid w:val="00491D47"/>
    <w:rsid w:val="00492FE7"/>
    <w:rsid w:val="00496734"/>
    <w:rsid w:val="00497BE1"/>
    <w:rsid w:val="004A0FB5"/>
    <w:rsid w:val="004A1C6C"/>
    <w:rsid w:val="004A337A"/>
    <w:rsid w:val="004A4E17"/>
    <w:rsid w:val="004A61F7"/>
    <w:rsid w:val="004A68BF"/>
    <w:rsid w:val="004A7410"/>
    <w:rsid w:val="004B169C"/>
    <w:rsid w:val="004B3A2B"/>
    <w:rsid w:val="004B4ABA"/>
    <w:rsid w:val="004B6150"/>
    <w:rsid w:val="004C1356"/>
    <w:rsid w:val="004C2EE3"/>
    <w:rsid w:val="004C44B6"/>
    <w:rsid w:val="004C6FD3"/>
    <w:rsid w:val="004D0059"/>
    <w:rsid w:val="004D2C45"/>
    <w:rsid w:val="004D4913"/>
    <w:rsid w:val="004D785E"/>
    <w:rsid w:val="004D7C9F"/>
    <w:rsid w:val="004E355A"/>
    <w:rsid w:val="004E453F"/>
    <w:rsid w:val="004E4A22"/>
    <w:rsid w:val="004F0B67"/>
    <w:rsid w:val="004F3C6C"/>
    <w:rsid w:val="004F43CC"/>
    <w:rsid w:val="004F5648"/>
    <w:rsid w:val="004F5910"/>
    <w:rsid w:val="004F7B3A"/>
    <w:rsid w:val="005000E1"/>
    <w:rsid w:val="00500233"/>
    <w:rsid w:val="00505E8A"/>
    <w:rsid w:val="005100C3"/>
    <w:rsid w:val="0051065F"/>
    <w:rsid w:val="00511968"/>
    <w:rsid w:val="005130D0"/>
    <w:rsid w:val="00514B5A"/>
    <w:rsid w:val="005262F1"/>
    <w:rsid w:val="00526EF4"/>
    <w:rsid w:val="005308C3"/>
    <w:rsid w:val="00530DE2"/>
    <w:rsid w:val="005338EB"/>
    <w:rsid w:val="00541A79"/>
    <w:rsid w:val="00541E17"/>
    <w:rsid w:val="00544345"/>
    <w:rsid w:val="005452EC"/>
    <w:rsid w:val="005474C4"/>
    <w:rsid w:val="00547D06"/>
    <w:rsid w:val="00552334"/>
    <w:rsid w:val="0055246B"/>
    <w:rsid w:val="00553F68"/>
    <w:rsid w:val="00554615"/>
    <w:rsid w:val="00555B70"/>
    <w:rsid w:val="0055614C"/>
    <w:rsid w:val="00556746"/>
    <w:rsid w:val="00557875"/>
    <w:rsid w:val="00557BDD"/>
    <w:rsid w:val="00557FE9"/>
    <w:rsid w:val="0056763F"/>
    <w:rsid w:val="00567B50"/>
    <w:rsid w:val="00567F0B"/>
    <w:rsid w:val="00572A64"/>
    <w:rsid w:val="00573461"/>
    <w:rsid w:val="005769B2"/>
    <w:rsid w:val="00576AE2"/>
    <w:rsid w:val="00577D03"/>
    <w:rsid w:val="00582F67"/>
    <w:rsid w:val="0058410E"/>
    <w:rsid w:val="00586230"/>
    <w:rsid w:val="005863B0"/>
    <w:rsid w:val="00586B76"/>
    <w:rsid w:val="00587043"/>
    <w:rsid w:val="005914F6"/>
    <w:rsid w:val="005923AA"/>
    <w:rsid w:val="005926CD"/>
    <w:rsid w:val="005931CE"/>
    <w:rsid w:val="00594C6B"/>
    <w:rsid w:val="00596EC4"/>
    <w:rsid w:val="005A0D9F"/>
    <w:rsid w:val="005A1F4F"/>
    <w:rsid w:val="005A2097"/>
    <w:rsid w:val="005A35DD"/>
    <w:rsid w:val="005A5BC8"/>
    <w:rsid w:val="005A6085"/>
    <w:rsid w:val="005B168F"/>
    <w:rsid w:val="005B3C30"/>
    <w:rsid w:val="005B6D02"/>
    <w:rsid w:val="005C04F5"/>
    <w:rsid w:val="005C12A2"/>
    <w:rsid w:val="005C3AEA"/>
    <w:rsid w:val="005C4A76"/>
    <w:rsid w:val="005C512B"/>
    <w:rsid w:val="005C52FD"/>
    <w:rsid w:val="005D645E"/>
    <w:rsid w:val="005E021D"/>
    <w:rsid w:val="005E14C2"/>
    <w:rsid w:val="005E315A"/>
    <w:rsid w:val="005E5256"/>
    <w:rsid w:val="005E589D"/>
    <w:rsid w:val="005E61FE"/>
    <w:rsid w:val="005E71EF"/>
    <w:rsid w:val="005E7707"/>
    <w:rsid w:val="005E7CD4"/>
    <w:rsid w:val="005F38FF"/>
    <w:rsid w:val="005F6026"/>
    <w:rsid w:val="00601D2C"/>
    <w:rsid w:val="00603F8B"/>
    <w:rsid w:val="006045B8"/>
    <w:rsid w:val="00607BA5"/>
    <w:rsid w:val="00607FED"/>
    <w:rsid w:val="0061180A"/>
    <w:rsid w:val="00613F8F"/>
    <w:rsid w:val="00615EA0"/>
    <w:rsid w:val="0061752E"/>
    <w:rsid w:val="006178C7"/>
    <w:rsid w:val="00617DF3"/>
    <w:rsid w:val="0062009D"/>
    <w:rsid w:val="006202C6"/>
    <w:rsid w:val="00623307"/>
    <w:rsid w:val="006238A5"/>
    <w:rsid w:val="00623FCA"/>
    <w:rsid w:val="00626EB6"/>
    <w:rsid w:val="00627BAE"/>
    <w:rsid w:val="00630575"/>
    <w:rsid w:val="00631504"/>
    <w:rsid w:val="006323FF"/>
    <w:rsid w:val="00632B91"/>
    <w:rsid w:val="00636A34"/>
    <w:rsid w:val="00644606"/>
    <w:rsid w:val="0064508F"/>
    <w:rsid w:val="00650367"/>
    <w:rsid w:val="006511D1"/>
    <w:rsid w:val="00651BFE"/>
    <w:rsid w:val="006525C8"/>
    <w:rsid w:val="00655D03"/>
    <w:rsid w:val="00657396"/>
    <w:rsid w:val="00662C0B"/>
    <w:rsid w:val="00664838"/>
    <w:rsid w:val="006648D2"/>
    <w:rsid w:val="006666B2"/>
    <w:rsid w:val="00673318"/>
    <w:rsid w:val="00681410"/>
    <w:rsid w:val="006828D9"/>
    <w:rsid w:val="00683388"/>
    <w:rsid w:val="0068343F"/>
    <w:rsid w:val="00683F84"/>
    <w:rsid w:val="00686F65"/>
    <w:rsid w:val="00686FA6"/>
    <w:rsid w:val="0069184E"/>
    <w:rsid w:val="00691B46"/>
    <w:rsid w:val="00691F9A"/>
    <w:rsid w:val="006932A4"/>
    <w:rsid w:val="00693CFE"/>
    <w:rsid w:val="0069648B"/>
    <w:rsid w:val="006A15E9"/>
    <w:rsid w:val="006A1F49"/>
    <w:rsid w:val="006A2CAB"/>
    <w:rsid w:val="006A3623"/>
    <w:rsid w:val="006A43D5"/>
    <w:rsid w:val="006A4B86"/>
    <w:rsid w:val="006A6A81"/>
    <w:rsid w:val="006B1456"/>
    <w:rsid w:val="006B207B"/>
    <w:rsid w:val="006B2775"/>
    <w:rsid w:val="006B5247"/>
    <w:rsid w:val="006B616E"/>
    <w:rsid w:val="006C01DB"/>
    <w:rsid w:val="006C20F8"/>
    <w:rsid w:val="006C6AF7"/>
    <w:rsid w:val="006D186D"/>
    <w:rsid w:val="006D2023"/>
    <w:rsid w:val="006D322F"/>
    <w:rsid w:val="006D527C"/>
    <w:rsid w:val="006E0EA0"/>
    <w:rsid w:val="006E305B"/>
    <w:rsid w:val="006E386A"/>
    <w:rsid w:val="006E4754"/>
    <w:rsid w:val="006E4F28"/>
    <w:rsid w:val="006E5443"/>
    <w:rsid w:val="006F0176"/>
    <w:rsid w:val="006F0429"/>
    <w:rsid w:val="006F3240"/>
    <w:rsid w:val="006F6209"/>
    <w:rsid w:val="006F6D30"/>
    <w:rsid w:val="006F7393"/>
    <w:rsid w:val="0070044C"/>
    <w:rsid w:val="007013CC"/>
    <w:rsid w:val="0070224F"/>
    <w:rsid w:val="007031A4"/>
    <w:rsid w:val="0070324F"/>
    <w:rsid w:val="0070460F"/>
    <w:rsid w:val="00707B6E"/>
    <w:rsid w:val="007115F7"/>
    <w:rsid w:val="00715EB3"/>
    <w:rsid w:val="007178E5"/>
    <w:rsid w:val="00723857"/>
    <w:rsid w:val="00723BA5"/>
    <w:rsid w:val="00724E7F"/>
    <w:rsid w:val="0072553A"/>
    <w:rsid w:val="00731FB6"/>
    <w:rsid w:val="00732492"/>
    <w:rsid w:val="0073431C"/>
    <w:rsid w:val="0073469E"/>
    <w:rsid w:val="00735D42"/>
    <w:rsid w:val="00736E78"/>
    <w:rsid w:val="00740868"/>
    <w:rsid w:val="00742144"/>
    <w:rsid w:val="00743A53"/>
    <w:rsid w:val="00747E63"/>
    <w:rsid w:val="007528C9"/>
    <w:rsid w:val="00755E13"/>
    <w:rsid w:val="00756480"/>
    <w:rsid w:val="00771BC5"/>
    <w:rsid w:val="00771EE9"/>
    <w:rsid w:val="0077243B"/>
    <w:rsid w:val="0077456C"/>
    <w:rsid w:val="00777F79"/>
    <w:rsid w:val="0078377E"/>
    <w:rsid w:val="007851BA"/>
    <w:rsid w:val="00785689"/>
    <w:rsid w:val="00785B0E"/>
    <w:rsid w:val="00786C94"/>
    <w:rsid w:val="00787346"/>
    <w:rsid w:val="00787AD1"/>
    <w:rsid w:val="00790EC4"/>
    <w:rsid w:val="00792529"/>
    <w:rsid w:val="007937A6"/>
    <w:rsid w:val="00793D4E"/>
    <w:rsid w:val="00795539"/>
    <w:rsid w:val="0079594A"/>
    <w:rsid w:val="007973B5"/>
    <w:rsid w:val="0079754B"/>
    <w:rsid w:val="00797CD2"/>
    <w:rsid w:val="007A1E6D"/>
    <w:rsid w:val="007A32AC"/>
    <w:rsid w:val="007A3E8D"/>
    <w:rsid w:val="007A4C74"/>
    <w:rsid w:val="007A7072"/>
    <w:rsid w:val="007B0EB2"/>
    <w:rsid w:val="007B1ECA"/>
    <w:rsid w:val="007B5593"/>
    <w:rsid w:val="007B62B3"/>
    <w:rsid w:val="007C2BB7"/>
    <w:rsid w:val="007C2CDE"/>
    <w:rsid w:val="007C50E2"/>
    <w:rsid w:val="007C5AC6"/>
    <w:rsid w:val="007D2266"/>
    <w:rsid w:val="007D2620"/>
    <w:rsid w:val="007D298D"/>
    <w:rsid w:val="007D4661"/>
    <w:rsid w:val="007D47A4"/>
    <w:rsid w:val="007D6813"/>
    <w:rsid w:val="007D6F81"/>
    <w:rsid w:val="007E0528"/>
    <w:rsid w:val="007E6443"/>
    <w:rsid w:val="007E6E35"/>
    <w:rsid w:val="007F3AE3"/>
    <w:rsid w:val="007F413A"/>
    <w:rsid w:val="007F4358"/>
    <w:rsid w:val="007F5CCA"/>
    <w:rsid w:val="007F7C51"/>
    <w:rsid w:val="0080183F"/>
    <w:rsid w:val="00801EA8"/>
    <w:rsid w:val="008022DC"/>
    <w:rsid w:val="00802E11"/>
    <w:rsid w:val="00802EE1"/>
    <w:rsid w:val="0080637C"/>
    <w:rsid w:val="00810B6F"/>
    <w:rsid w:val="00812D38"/>
    <w:rsid w:val="00815DC6"/>
    <w:rsid w:val="00817BC6"/>
    <w:rsid w:val="00817CCD"/>
    <w:rsid w:val="00822CE0"/>
    <w:rsid w:val="00831656"/>
    <w:rsid w:val="0083247B"/>
    <w:rsid w:val="00832D79"/>
    <w:rsid w:val="00837111"/>
    <w:rsid w:val="008379DD"/>
    <w:rsid w:val="00840760"/>
    <w:rsid w:val="008415F6"/>
    <w:rsid w:val="00841AB1"/>
    <w:rsid w:val="008428BC"/>
    <w:rsid w:val="008441E2"/>
    <w:rsid w:val="00844FF2"/>
    <w:rsid w:val="008464A8"/>
    <w:rsid w:val="00847A6C"/>
    <w:rsid w:val="00852FA8"/>
    <w:rsid w:val="00853DFF"/>
    <w:rsid w:val="00856892"/>
    <w:rsid w:val="008568B9"/>
    <w:rsid w:val="00857830"/>
    <w:rsid w:val="00857C36"/>
    <w:rsid w:val="00861567"/>
    <w:rsid w:val="00861D99"/>
    <w:rsid w:val="00866CAD"/>
    <w:rsid w:val="00870848"/>
    <w:rsid w:val="008708CA"/>
    <w:rsid w:val="00876586"/>
    <w:rsid w:val="0088029D"/>
    <w:rsid w:val="008828E2"/>
    <w:rsid w:val="00882A3E"/>
    <w:rsid w:val="00883B94"/>
    <w:rsid w:val="0088431A"/>
    <w:rsid w:val="008864B8"/>
    <w:rsid w:val="00887A9D"/>
    <w:rsid w:val="00891B8B"/>
    <w:rsid w:val="00892559"/>
    <w:rsid w:val="00894958"/>
    <w:rsid w:val="00894BE1"/>
    <w:rsid w:val="00895ACF"/>
    <w:rsid w:val="0089611D"/>
    <w:rsid w:val="0089616E"/>
    <w:rsid w:val="00896864"/>
    <w:rsid w:val="008972FB"/>
    <w:rsid w:val="008A2483"/>
    <w:rsid w:val="008A3EBE"/>
    <w:rsid w:val="008B0497"/>
    <w:rsid w:val="008B37B0"/>
    <w:rsid w:val="008B3FE1"/>
    <w:rsid w:val="008C0D39"/>
    <w:rsid w:val="008C68F1"/>
    <w:rsid w:val="008D554D"/>
    <w:rsid w:val="008E3381"/>
    <w:rsid w:val="008E5E46"/>
    <w:rsid w:val="008E7505"/>
    <w:rsid w:val="008F7398"/>
    <w:rsid w:val="008F7A0F"/>
    <w:rsid w:val="009001EE"/>
    <w:rsid w:val="009004A5"/>
    <w:rsid w:val="00901530"/>
    <w:rsid w:val="00901AC3"/>
    <w:rsid w:val="00903E1A"/>
    <w:rsid w:val="009066F1"/>
    <w:rsid w:val="00906712"/>
    <w:rsid w:val="009113A4"/>
    <w:rsid w:val="0091537F"/>
    <w:rsid w:val="00915866"/>
    <w:rsid w:val="00916545"/>
    <w:rsid w:val="00921803"/>
    <w:rsid w:val="00923115"/>
    <w:rsid w:val="00923B64"/>
    <w:rsid w:val="00924916"/>
    <w:rsid w:val="009262E7"/>
    <w:rsid w:val="00926503"/>
    <w:rsid w:val="009267A7"/>
    <w:rsid w:val="009268FB"/>
    <w:rsid w:val="009334B9"/>
    <w:rsid w:val="00934F08"/>
    <w:rsid w:val="009405EF"/>
    <w:rsid w:val="00941A07"/>
    <w:rsid w:val="00941B90"/>
    <w:rsid w:val="0094495E"/>
    <w:rsid w:val="00946919"/>
    <w:rsid w:val="00946FBC"/>
    <w:rsid w:val="00951648"/>
    <w:rsid w:val="0095347C"/>
    <w:rsid w:val="0095461C"/>
    <w:rsid w:val="00955B19"/>
    <w:rsid w:val="00955C5C"/>
    <w:rsid w:val="00956C08"/>
    <w:rsid w:val="00957F6C"/>
    <w:rsid w:val="0096133A"/>
    <w:rsid w:val="009615CD"/>
    <w:rsid w:val="00961E3D"/>
    <w:rsid w:val="00966352"/>
    <w:rsid w:val="00966F81"/>
    <w:rsid w:val="00967CCE"/>
    <w:rsid w:val="009726D8"/>
    <w:rsid w:val="009741CF"/>
    <w:rsid w:val="009776F0"/>
    <w:rsid w:val="0097790D"/>
    <w:rsid w:val="009803DA"/>
    <w:rsid w:val="0098067A"/>
    <w:rsid w:val="0098144F"/>
    <w:rsid w:val="009850A2"/>
    <w:rsid w:val="00991CB3"/>
    <w:rsid w:val="00992C82"/>
    <w:rsid w:val="00994225"/>
    <w:rsid w:val="00994645"/>
    <w:rsid w:val="00995DFE"/>
    <w:rsid w:val="009A16A5"/>
    <w:rsid w:val="009A1821"/>
    <w:rsid w:val="009A4695"/>
    <w:rsid w:val="009A4878"/>
    <w:rsid w:val="009A64D8"/>
    <w:rsid w:val="009A68F4"/>
    <w:rsid w:val="009B229F"/>
    <w:rsid w:val="009B4025"/>
    <w:rsid w:val="009B44A7"/>
    <w:rsid w:val="009B4EDE"/>
    <w:rsid w:val="009B7DCD"/>
    <w:rsid w:val="009C043E"/>
    <w:rsid w:val="009C6975"/>
    <w:rsid w:val="009D2FEE"/>
    <w:rsid w:val="009D427F"/>
    <w:rsid w:val="009D724A"/>
    <w:rsid w:val="009D732D"/>
    <w:rsid w:val="009E0F11"/>
    <w:rsid w:val="009E26E3"/>
    <w:rsid w:val="009E2D5C"/>
    <w:rsid w:val="009F0F26"/>
    <w:rsid w:val="009F1C86"/>
    <w:rsid w:val="009F6873"/>
    <w:rsid w:val="009F76DB"/>
    <w:rsid w:val="00A03B05"/>
    <w:rsid w:val="00A03B2F"/>
    <w:rsid w:val="00A043A5"/>
    <w:rsid w:val="00A05F25"/>
    <w:rsid w:val="00A0721D"/>
    <w:rsid w:val="00A12C3F"/>
    <w:rsid w:val="00A14A0B"/>
    <w:rsid w:val="00A1544D"/>
    <w:rsid w:val="00A15670"/>
    <w:rsid w:val="00A15A22"/>
    <w:rsid w:val="00A162EF"/>
    <w:rsid w:val="00A164E2"/>
    <w:rsid w:val="00A16821"/>
    <w:rsid w:val="00A17184"/>
    <w:rsid w:val="00A1734F"/>
    <w:rsid w:val="00A17FB3"/>
    <w:rsid w:val="00A24255"/>
    <w:rsid w:val="00A32C3B"/>
    <w:rsid w:val="00A33584"/>
    <w:rsid w:val="00A341A6"/>
    <w:rsid w:val="00A352D6"/>
    <w:rsid w:val="00A35A28"/>
    <w:rsid w:val="00A37C6C"/>
    <w:rsid w:val="00A41116"/>
    <w:rsid w:val="00A4362B"/>
    <w:rsid w:val="00A44226"/>
    <w:rsid w:val="00A45F4F"/>
    <w:rsid w:val="00A55C3A"/>
    <w:rsid w:val="00A56F36"/>
    <w:rsid w:val="00A600A9"/>
    <w:rsid w:val="00A60F60"/>
    <w:rsid w:val="00A61A06"/>
    <w:rsid w:val="00A6348B"/>
    <w:rsid w:val="00A63B0A"/>
    <w:rsid w:val="00A70586"/>
    <w:rsid w:val="00A70D79"/>
    <w:rsid w:val="00A7150C"/>
    <w:rsid w:val="00A749FE"/>
    <w:rsid w:val="00A754AF"/>
    <w:rsid w:val="00A763A2"/>
    <w:rsid w:val="00A77727"/>
    <w:rsid w:val="00A8298B"/>
    <w:rsid w:val="00A83BA3"/>
    <w:rsid w:val="00A8722A"/>
    <w:rsid w:val="00A87324"/>
    <w:rsid w:val="00A91056"/>
    <w:rsid w:val="00A91409"/>
    <w:rsid w:val="00A91CA4"/>
    <w:rsid w:val="00A95259"/>
    <w:rsid w:val="00A970EB"/>
    <w:rsid w:val="00AA0902"/>
    <w:rsid w:val="00AA1A47"/>
    <w:rsid w:val="00AA1EA2"/>
    <w:rsid w:val="00AA1FA5"/>
    <w:rsid w:val="00AA34A3"/>
    <w:rsid w:val="00AA55B7"/>
    <w:rsid w:val="00AA5B9E"/>
    <w:rsid w:val="00AA719A"/>
    <w:rsid w:val="00AB2407"/>
    <w:rsid w:val="00AB2E7D"/>
    <w:rsid w:val="00AB46D1"/>
    <w:rsid w:val="00AB47FF"/>
    <w:rsid w:val="00AB53DF"/>
    <w:rsid w:val="00AB5FC7"/>
    <w:rsid w:val="00AB6879"/>
    <w:rsid w:val="00AB6DEE"/>
    <w:rsid w:val="00AC0FB8"/>
    <w:rsid w:val="00AC27E1"/>
    <w:rsid w:val="00AC33A6"/>
    <w:rsid w:val="00AC424B"/>
    <w:rsid w:val="00AC6C70"/>
    <w:rsid w:val="00AC796B"/>
    <w:rsid w:val="00AD6795"/>
    <w:rsid w:val="00AE0449"/>
    <w:rsid w:val="00AE33F2"/>
    <w:rsid w:val="00AE4F8A"/>
    <w:rsid w:val="00AF23D8"/>
    <w:rsid w:val="00AF4006"/>
    <w:rsid w:val="00AF46DC"/>
    <w:rsid w:val="00AF508D"/>
    <w:rsid w:val="00B02F86"/>
    <w:rsid w:val="00B07E5C"/>
    <w:rsid w:val="00B13CB1"/>
    <w:rsid w:val="00B14DBC"/>
    <w:rsid w:val="00B15711"/>
    <w:rsid w:val="00B15F8E"/>
    <w:rsid w:val="00B17B3F"/>
    <w:rsid w:val="00B20363"/>
    <w:rsid w:val="00B22690"/>
    <w:rsid w:val="00B23C6F"/>
    <w:rsid w:val="00B23D4A"/>
    <w:rsid w:val="00B255E8"/>
    <w:rsid w:val="00B25901"/>
    <w:rsid w:val="00B270CA"/>
    <w:rsid w:val="00B27C30"/>
    <w:rsid w:val="00B30CB4"/>
    <w:rsid w:val="00B338A9"/>
    <w:rsid w:val="00B362A9"/>
    <w:rsid w:val="00B37413"/>
    <w:rsid w:val="00B425F8"/>
    <w:rsid w:val="00B430C1"/>
    <w:rsid w:val="00B4499D"/>
    <w:rsid w:val="00B508A3"/>
    <w:rsid w:val="00B549D7"/>
    <w:rsid w:val="00B55096"/>
    <w:rsid w:val="00B6021A"/>
    <w:rsid w:val="00B6146B"/>
    <w:rsid w:val="00B64F25"/>
    <w:rsid w:val="00B66D5F"/>
    <w:rsid w:val="00B6782A"/>
    <w:rsid w:val="00B679AB"/>
    <w:rsid w:val="00B67C4D"/>
    <w:rsid w:val="00B75CCB"/>
    <w:rsid w:val="00B76DB8"/>
    <w:rsid w:val="00B778FD"/>
    <w:rsid w:val="00B77C41"/>
    <w:rsid w:val="00B77FB6"/>
    <w:rsid w:val="00B810D9"/>
    <w:rsid w:val="00B811F7"/>
    <w:rsid w:val="00B8120E"/>
    <w:rsid w:val="00B85A61"/>
    <w:rsid w:val="00B914E1"/>
    <w:rsid w:val="00B917A3"/>
    <w:rsid w:val="00B932A5"/>
    <w:rsid w:val="00B9417C"/>
    <w:rsid w:val="00B95584"/>
    <w:rsid w:val="00B95A19"/>
    <w:rsid w:val="00B96F3C"/>
    <w:rsid w:val="00B97EE8"/>
    <w:rsid w:val="00BA2A89"/>
    <w:rsid w:val="00BA3E47"/>
    <w:rsid w:val="00BA5DC6"/>
    <w:rsid w:val="00BA6196"/>
    <w:rsid w:val="00BB046B"/>
    <w:rsid w:val="00BB2C3A"/>
    <w:rsid w:val="00BB6B27"/>
    <w:rsid w:val="00BB7180"/>
    <w:rsid w:val="00BB7951"/>
    <w:rsid w:val="00BB7A7A"/>
    <w:rsid w:val="00BC1BC9"/>
    <w:rsid w:val="00BC6D8C"/>
    <w:rsid w:val="00BC7D75"/>
    <w:rsid w:val="00BD0068"/>
    <w:rsid w:val="00BD1CBC"/>
    <w:rsid w:val="00BD3A1B"/>
    <w:rsid w:val="00BD4679"/>
    <w:rsid w:val="00BD5EF8"/>
    <w:rsid w:val="00BD6BC1"/>
    <w:rsid w:val="00BE2199"/>
    <w:rsid w:val="00BE23D6"/>
    <w:rsid w:val="00BE351B"/>
    <w:rsid w:val="00BE4E7D"/>
    <w:rsid w:val="00BE79DD"/>
    <w:rsid w:val="00BF0803"/>
    <w:rsid w:val="00BF216B"/>
    <w:rsid w:val="00C029FD"/>
    <w:rsid w:val="00C10DDD"/>
    <w:rsid w:val="00C113B4"/>
    <w:rsid w:val="00C11791"/>
    <w:rsid w:val="00C1196B"/>
    <w:rsid w:val="00C134D0"/>
    <w:rsid w:val="00C136C5"/>
    <w:rsid w:val="00C13BE4"/>
    <w:rsid w:val="00C1482C"/>
    <w:rsid w:val="00C22975"/>
    <w:rsid w:val="00C24713"/>
    <w:rsid w:val="00C25A44"/>
    <w:rsid w:val="00C27748"/>
    <w:rsid w:val="00C30C65"/>
    <w:rsid w:val="00C332A6"/>
    <w:rsid w:val="00C34006"/>
    <w:rsid w:val="00C3567D"/>
    <w:rsid w:val="00C426B1"/>
    <w:rsid w:val="00C47993"/>
    <w:rsid w:val="00C50B6F"/>
    <w:rsid w:val="00C5100E"/>
    <w:rsid w:val="00C53A3F"/>
    <w:rsid w:val="00C5442C"/>
    <w:rsid w:val="00C54ECC"/>
    <w:rsid w:val="00C56D90"/>
    <w:rsid w:val="00C56FCF"/>
    <w:rsid w:val="00C62B5C"/>
    <w:rsid w:val="00C63FC0"/>
    <w:rsid w:val="00C64DB3"/>
    <w:rsid w:val="00C657E1"/>
    <w:rsid w:val="00C66160"/>
    <w:rsid w:val="00C700D4"/>
    <w:rsid w:val="00C721AC"/>
    <w:rsid w:val="00C731F6"/>
    <w:rsid w:val="00C73553"/>
    <w:rsid w:val="00C769EA"/>
    <w:rsid w:val="00C80A31"/>
    <w:rsid w:val="00C82D3E"/>
    <w:rsid w:val="00C83A39"/>
    <w:rsid w:val="00C83ED7"/>
    <w:rsid w:val="00C8679B"/>
    <w:rsid w:val="00C90D6A"/>
    <w:rsid w:val="00C9357E"/>
    <w:rsid w:val="00C95525"/>
    <w:rsid w:val="00C97EFC"/>
    <w:rsid w:val="00CA0B08"/>
    <w:rsid w:val="00CA1397"/>
    <w:rsid w:val="00CA247E"/>
    <w:rsid w:val="00CA3168"/>
    <w:rsid w:val="00CA379B"/>
    <w:rsid w:val="00CA590D"/>
    <w:rsid w:val="00CB08B1"/>
    <w:rsid w:val="00CB13F3"/>
    <w:rsid w:val="00CB47DB"/>
    <w:rsid w:val="00CB50F7"/>
    <w:rsid w:val="00CB516B"/>
    <w:rsid w:val="00CB6316"/>
    <w:rsid w:val="00CB6C10"/>
    <w:rsid w:val="00CC05B2"/>
    <w:rsid w:val="00CC0771"/>
    <w:rsid w:val="00CC1A02"/>
    <w:rsid w:val="00CC3B53"/>
    <w:rsid w:val="00CC52AE"/>
    <w:rsid w:val="00CC53B0"/>
    <w:rsid w:val="00CC72B6"/>
    <w:rsid w:val="00CC7713"/>
    <w:rsid w:val="00CC776F"/>
    <w:rsid w:val="00CD0098"/>
    <w:rsid w:val="00CD0888"/>
    <w:rsid w:val="00CD3095"/>
    <w:rsid w:val="00CD53E2"/>
    <w:rsid w:val="00CD60A0"/>
    <w:rsid w:val="00CE16AC"/>
    <w:rsid w:val="00CE403D"/>
    <w:rsid w:val="00CE5858"/>
    <w:rsid w:val="00CF1BC2"/>
    <w:rsid w:val="00CF2558"/>
    <w:rsid w:val="00CF485F"/>
    <w:rsid w:val="00CF5BD6"/>
    <w:rsid w:val="00CF5DC1"/>
    <w:rsid w:val="00CF66BE"/>
    <w:rsid w:val="00D018B8"/>
    <w:rsid w:val="00D0218D"/>
    <w:rsid w:val="00D02BC0"/>
    <w:rsid w:val="00D05C8F"/>
    <w:rsid w:val="00D06C51"/>
    <w:rsid w:val="00D0777E"/>
    <w:rsid w:val="00D07829"/>
    <w:rsid w:val="00D148BC"/>
    <w:rsid w:val="00D20FF2"/>
    <w:rsid w:val="00D212BC"/>
    <w:rsid w:val="00D23A34"/>
    <w:rsid w:val="00D25FB5"/>
    <w:rsid w:val="00D27124"/>
    <w:rsid w:val="00D27B28"/>
    <w:rsid w:val="00D300F1"/>
    <w:rsid w:val="00D306F4"/>
    <w:rsid w:val="00D34DDD"/>
    <w:rsid w:val="00D35084"/>
    <w:rsid w:val="00D35241"/>
    <w:rsid w:val="00D360C7"/>
    <w:rsid w:val="00D41221"/>
    <w:rsid w:val="00D42F8C"/>
    <w:rsid w:val="00D43FDA"/>
    <w:rsid w:val="00D44223"/>
    <w:rsid w:val="00D44D1E"/>
    <w:rsid w:val="00D46C5A"/>
    <w:rsid w:val="00D46FB1"/>
    <w:rsid w:val="00D47505"/>
    <w:rsid w:val="00D51C5B"/>
    <w:rsid w:val="00D528C0"/>
    <w:rsid w:val="00D55C88"/>
    <w:rsid w:val="00D56742"/>
    <w:rsid w:val="00D57B2D"/>
    <w:rsid w:val="00D60987"/>
    <w:rsid w:val="00D611C9"/>
    <w:rsid w:val="00D62601"/>
    <w:rsid w:val="00D66C17"/>
    <w:rsid w:val="00D76782"/>
    <w:rsid w:val="00D772DD"/>
    <w:rsid w:val="00D77460"/>
    <w:rsid w:val="00D80960"/>
    <w:rsid w:val="00D85F2D"/>
    <w:rsid w:val="00D86590"/>
    <w:rsid w:val="00D8705B"/>
    <w:rsid w:val="00D91AE7"/>
    <w:rsid w:val="00D93B9C"/>
    <w:rsid w:val="00D957C5"/>
    <w:rsid w:val="00D9658F"/>
    <w:rsid w:val="00D96D52"/>
    <w:rsid w:val="00D96EAF"/>
    <w:rsid w:val="00D979D5"/>
    <w:rsid w:val="00DA1A75"/>
    <w:rsid w:val="00DA2529"/>
    <w:rsid w:val="00DA2FA8"/>
    <w:rsid w:val="00DA61C2"/>
    <w:rsid w:val="00DA6EFB"/>
    <w:rsid w:val="00DA734B"/>
    <w:rsid w:val="00DB0E00"/>
    <w:rsid w:val="00DB130A"/>
    <w:rsid w:val="00DB2BC0"/>
    <w:rsid w:val="00DB2EBB"/>
    <w:rsid w:val="00DB4C29"/>
    <w:rsid w:val="00DB4C87"/>
    <w:rsid w:val="00DB7520"/>
    <w:rsid w:val="00DC10A1"/>
    <w:rsid w:val="00DC56AA"/>
    <w:rsid w:val="00DC655F"/>
    <w:rsid w:val="00DC707B"/>
    <w:rsid w:val="00DC7098"/>
    <w:rsid w:val="00DC79B6"/>
    <w:rsid w:val="00DC7EAC"/>
    <w:rsid w:val="00DD0B59"/>
    <w:rsid w:val="00DD1863"/>
    <w:rsid w:val="00DD1AE2"/>
    <w:rsid w:val="00DD26D4"/>
    <w:rsid w:val="00DD3F57"/>
    <w:rsid w:val="00DD7EBD"/>
    <w:rsid w:val="00DE062B"/>
    <w:rsid w:val="00DE0CD0"/>
    <w:rsid w:val="00DE3183"/>
    <w:rsid w:val="00DE4C8D"/>
    <w:rsid w:val="00DE4DC0"/>
    <w:rsid w:val="00DE587A"/>
    <w:rsid w:val="00DE6984"/>
    <w:rsid w:val="00DE6FCD"/>
    <w:rsid w:val="00DE716B"/>
    <w:rsid w:val="00DF01FD"/>
    <w:rsid w:val="00DF0810"/>
    <w:rsid w:val="00DF62B6"/>
    <w:rsid w:val="00E006C9"/>
    <w:rsid w:val="00E00B7A"/>
    <w:rsid w:val="00E02A3E"/>
    <w:rsid w:val="00E057F3"/>
    <w:rsid w:val="00E05D30"/>
    <w:rsid w:val="00E07225"/>
    <w:rsid w:val="00E122EE"/>
    <w:rsid w:val="00E13655"/>
    <w:rsid w:val="00E14A86"/>
    <w:rsid w:val="00E15203"/>
    <w:rsid w:val="00E172D9"/>
    <w:rsid w:val="00E27B03"/>
    <w:rsid w:val="00E30ABF"/>
    <w:rsid w:val="00E337EC"/>
    <w:rsid w:val="00E35CA1"/>
    <w:rsid w:val="00E36EAC"/>
    <w:rsid w:val="00E3712A"/>
    <w:rsid w:val="00E378E5"/>
    <w:rsid w:val="00E41740"/>
    <w:rsid w:val="00E41E6C"/>
    <w:rsid w:val="00E42C80"/>
    <w:rsid w:val="00E44CE2"/>
    <w:rsid w:val="00E465DE"/>
    <w:rsid w:val="00E50423"/>
    <w:rsid w:val="00E50537"/>
    <w:rsid w:val="00E5072A"/>
    <w:rsid w:val="00E51066"/>
    <w:rsid w:val="00E5298A"/>
    <w:rsid w:val="00E5409F"/>
    <w:rsid w:val="00E558F1"/>
    <w:rsid w:val="00E55E45"/>
    <w:rsid w:val="00E623D5"/>
    <w:rsid w:val="00E65890"/>
    <w:rsid w:val="00E671E0"/>
    <w:rsid w:val="00E71A5B"/>
    <w:rsid w:val="00E73473"/>
    <w:rsid w:val="00E7398F"/>
    <w:rsid w:val="00E81CBB"/>
    <w:rsid w:val="00E9313C"/>
    <w:rsid w:val="00E93BC5"/>
    <w:rsid w:val="00E9557E"/>
    <w:rsid w:val="00EA2475"/>
    <w:rsid w:val="00EA41E2"/>
    <w:rsid w:val="00EA5920"/>
    <w:rsid w:val="00EA62D6"/>
    <w:rsid w:val="00EB3AFC"/>
    <w:rsid w:val="00EB451C"/>
    <w:rsid w:val="00EB4ACC"/>
    <w:rsid w:val="00EC0BC1"/>
    <w:rsid w:val="00EC1375"/>
    <w:rsid w:val="00EC2248"/>
    <w:rsid w:val="00EC24D6"/>
    <w:rsid w:val="00EC282D"/>
    <w:rsid w:val="00EC4181"/>
    <w:rsid w:val="00EC6325"/>
    <w:rsid w:val="00ED3681"/>
    <w:rsid w:val="00ED3939"/>
    <w:rsid w:val="00ED4133"/>
    <w:rsid w:val="00ED58CF"/>
    <w:rsid w:val="00ED6864"/>
    <w:rsid w:val="00ED7B74"/>
    <w:rsid w:val="00EE4CD3"/>
    <w:rsid w:val="00EE6488"/>
    <w:rsid w:val="00EF010A"/>
    <w:rsid w:val="00EF039A"/>
    <w:rsid w:val="00EF4121"/>
    <w:rsid w:val="00EF7FAB"/>
    <w:rsid w:val="00F021FA"/>
    <w:rsid w:val="00F02764"/>
    <w:rsid w:val="00F07227"/>
    <w:rsid w:val="00F10958"/>
    <w:rsid w:val="00F113F8"/>
    <w:rsid w:val="00F14F8D"/>
    <w:rsid w:val="00F15AAF"/>
    <w:rsid w:val="00F168E3"/>
    <w:rsid w:val="00F2185A"/>
    <w:rsid w:val="00F221DA"/>
    <w:rsid w:val="00F24D71"/>
    <w:rsid w:val="00F256C1"/>
    <w:rsid w:val="00F3000F"/>
    <w:rsid w:val="00F3215A"/>
    <w:rsid w:val="00F347E5"/>
    <w:rsid w:val="00F35A6B"/>
    <w:rsid w:val="00F374E9"/>
    <w:rsid w:val="00F45E49"/>
    <w:rsid w:val="00F559A1"/>
    <w:rsid w:val="00F566FC"/>
    <w:rsid w:val="00F62408"/>
    <w:rsid w:val="00F62E97"/>
    <w:rsid w:val="00F64209"/>
    <w:rsid w:val="00F71DFA"/>
    <w:rsid w:val="00F727BA"/>
    <w:rsid w:val="00F73076"/>
    <w:rsid w:val="00F742A8"/>
    <w:rsid w:val="00F74865"/>
    <w:rsid w:val="00F76828"/>
    <w:rsid w:val="00F77DE9"/>
    <w:rsid w:val="00F801DF"/>
    <w:rsid w:val="00F8031A"/>
    <w:rsid w:val="00F8591E"/>
    <w:rsid w:val="00F85DCF"/>
    <w:rsid w:val="00F865D4"/>
    <w:rsid w:val="00F869D0"/>
    <w:rsid w:val="00F90562"/>
    <w:rsid w:val="00F91EFA"/>
    <w:rsid w:val="00F93BF5"/>
    <w:rsid w:val="00F94DB8"/>
    <w:rsid w:val="00FA24E4"/>
    <w:rsid w:val="00FA4F1F"/>
    <w:rsid w:val="00FA5F40"/>
    <w:rsid w:val="00FA6E73"/>
    <w:rsid w:val="00FB0E4B"/>
    <w:rsid w:val="00FB4CD7"/>
    <w:rsid w:val="00FB5882"/>
    <w:rsid w:val="00FB58DC"/>
    <w:rsid w:val="00FB63B4"/>
    <w:rsid w:val="00FB6772"/>
    <w:rsid w:val="00FC0B18"/>
    <w:rsid w:val="00FC0F71"/>
    <w:rsid w:val="00FC493B"/>
    <w:rsid w:val="00FD2EFF"/>
    <w:rsid w:val="00FD6A7A"/>
    <w:rsid w:val="00FE1DA2"/>
    <w:rsid w:val="00FE2C64"/>
    <w:rsid w:val="00FE3A52"/>
    <w:rsid w:val="00FE70B8"/>
    <w:rsid w:val="00FF14D2"/>
    <w:rsid w:val="00FF2792"/>
    <w:rsid w:val="00FF48AF"/>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2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BE6"/>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567F0B"/>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Heading 6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56742"/>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qFormat/>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225B62"/>
    <w:pPr>
      <w:tabs>
        <w:tab w:val="left" w:pos="4500"/>
      </w:tabs>
      <w:spacing w:before="40"/>
    </w:pPr>
    <w:rPr>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B4ABA"/>
    <w:pPr>
      <w:ind w:left="720"/>
      <w:contextualSpacing/>
    </w:pPr>
  </w:style>
  <w:style w:type="table" w:styleId="TableGrid">
    <w:name w:val="Table Grid"/>
    <w:basedOn w:val="TableNormal"/>
    <w:rsid w:val="00C8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0FF2"/>
    <w:rPr>
      <w:sz w:val="16"/>
      <w:szCs w:val="16"/>
    </w:rPr>
  </w:style>
  <w:style w:type="paragraph" w:styleId="CommentText">
    <w:name w:val="annotation text"/>
    <w:basedOn w:val="Normal"/>
    <w:link w:val="CommentTextChar"/>
    <w:rsid w:val="00D20FF2"/>
    <w:rPr>
      <w:sz w:val="20"/>
    </w:rPr>
  </w:style>
  <w:style w:type="character" w:customStyle="1" w:styleId="CommentTextChar">
    <w:name w:val="Comment Text Char"/>
    <w:basedOn w:val="DefaultParagraphFont"/>
    <w:link w:val="CommentText"/>
    <w:rsid w:val="00D20FF2"/>
    <w:rPr>
      <w:snapToGrid w:val="0"/>
      <w:kern w:val="28"/>
    </w:rPr>
  </w:style>
  <w:style w:type="paragraph" w:styleId="CommentSubject">
    <w:name w:val="annotation subject"/>
    <w:basedOn w:val="CommentText"/>
    <w:next w:val="CommentText"/>
    <w:link w:val="CommentSubjectChar"/>
    <w:rsid w:val="00D20FF2"/>
    <w:rPr>
      <w:b/>
      <w:bCs/>
    </w:rPr>
  </w:style>
  <w:style w:type="character" w:customStyle="1" w:styleId="CommentSubjectChar">
    <w:name w:val="Comment Subject Char"/>
    <w:basedOn w:val="CommentTextChar"/>
    <w:link w:val="CommentSubject"/>
    <w:rsid w:val="00D20FF2"/>
    <w:rPr>
      <w:b/>
      <w:bCs/>
      <w:snapToGrid w:val="0"/>
      <w:kern w:val="28"/>
    </w:rPr>
  </w:style>
  <w:style w:type="character" w:customStyle="1" w:styleId="ParaNumChar">
    <w:name w:val="ParaNum Char"/>
    <w:link w:val="ParaNum"/>
    <w:locked/>
    <w:rsid w:val="00747E63"/>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747E63"/>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ocked/>
    <w:rsid w:val="0048312A"/>
  </w:style>
  <w:style w:type="character" w:customStyle="1" w:styleId="apple-converted-space">
    <w:name w:val="apple-converted-space"/>
    <w:basedOn w:val="DefaultParagraphFont"/>
    <w:rsid w:val="00AC796B"/>
  </w:style>
  <w:style w:type="character" w:customStyle="1" w:styleId="cosearchterm">
    <w:name w:val="co_searchterm"/>
    <w:rsid w:val="00B75CCB"/>
  </w:style>
  <w:style w:type="character" w:customStyle="1" w:styleId="searchterm">
    <w:name w:val="searchterm"/>
    <w:rsid w:val="00B75CCB"/>
  </w:style>
  <w:style w:type="paragraph" w:styleId="Revision">
    <w:name w:val="Revision"/>
    <w:hidden/>
    <w:uiPriority w:val="99"/>
    <w:semiHidden/>
    <w:rsid w:val="00EC2248"/>
    <w:rPr>
      <w:snapToGrid w:val="0"/>
      <w:kern w:val="28"/>
      <w:sz w:val="22"/>
    </w:rPr>
  </w:style>
  <w:style w:type="paragraph" w:styleId="TOCHeading">
    <w:name w:val="TOC Heading"/>
    <w:basedOn w:val="Heading1"/>
    <w:next w:val="Normal"/>
    <w:uiPriority w:val="39"/>
    <w:unhideWhenUsed/>
    <w:qFormat/>
    <w:rsid w:val="00C53A3F"/>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FootnoteTextChar2Char">
    <w:name w:val="Footnote Text Char2 Char"/>
    <w:aliases w:val="Footnote Text Char Char Char,Footnote Text Char1 Char1 Char Char,Footnote Text Char4 Char Char Char Char,Footnote Text Char3 Char1 Char Char Char Char,Footnote Text Char Char3 Char Char Char Char Char,f Char"/>
    <w:rsid w:val="0096133A"/>
  </w:style>
  <w:style w:type="character" w:styleId="Emphasis">
    <w:name w:val="Emphasis"/>
    <w:basedOn w:val="DefaultParagraphFont"/>
    <w:uiPriority w:val="20"/>
    <w:qFormat/>
    <w:rsid w:val="007D298D"/>
    <w:rPr>
      <w:i/>
      <w:iCs/>
    </w:rPr>
  </w:style>
  <w:style w:type="character" w:customStyle="1" w:styleId="HeaderChar">
    <w:name w:val="Header Char"/>
    <w:basedOn w:val="DefaultParagraphFont"/>
    <w:link w:val="Header"/>
    <w:uiPriority w:val="99"/>
    <w:locked/>
    <w:rsid w:val="00225B62"/>
    <w:rPr>
      <w:b/>
      <w:snapToGrid w:val="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BE6"/>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567F0B"/>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Heading 6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56742"/>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qFormat/>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225B62"/>
    <w:pPr>
      <w:tabs>
        <w:tab w:val="left" w:pos="4500"/>
      </w:tabs>
      <w:spacing w:before="40"/>
    </w:pPr>
    <w:rPr>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B4ABA"/>
    <w:pPr>
      <w:ind w:left="720"/>
      <w:contextualSpacing/>
    </w:pPr>
  </w:style>
  <w:style w:type="table" w:styleId="TableGrid">
    <w:name w:val="Table Grid"/>
    <w:basedOn w:val="TableNormal"/>
    <w:rsid w:val="00C8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0FF2"/>
    <w:rPr>
      <w:sz w:val="16"/>
      <w:szCs w:val="16"/>
    </w:rPr>
  </w:style>
  <w:style w:type="paragraph" w:styleId="CommentText">
    <w:name w:val="annotation text"/>
    <w:basedOn w:val="Normal"/>
    <w:link w:val="CommentTextChar"/>
    <w:rsid w:val="00D20FF2"/>
    <w:rPr>
      <w:sz w:val="20"/>
    </w:rPr>
  </w:style>
  <w:style w:type="character" w:customStyle="1" w:styleId="CommentTextChar">
    <w:name w:val="Comment Text Char"/>
    <w:basedOn w:val="DefaultParagraphFont"/>
    <w:link w:val="CommentText"/>
    <w:rsid w:val="00D20FF2"/>
    <w:rPr>
      <w:snapToGrid w:val="0"/>
      <w:kern w:val="28"/>
    </w:rPr>
  </w:style>
  <w:style w:type="paragraph" w:styleId="CommentSubject">
    <w:name w:val="annotation subject"/>
    <w:basedOn w:val="CommentText"/>
    <w:next w:val="CommentText"/>
    <w:link w:val="CommentSubjectChar"/>
    <w:rsid w:val="00D20FF2"/>
    <w:rPr>
      <w:b/>
      <w:bCs/>
    </w:rPr>
  </w:style>
  <w:style w:type="character" w:customStyle="1" w:styleId="CommentSubjectChar">
    <w:name w:val="Comment Subject Char"/>
    <w:basedOn w:val="CommentTextChar"/>
    <w:link w:val="CommentSubject"/>
    <w:rsid w:val="00D20FF2"/>
    <w:rPr>
      <w:b/>
      <w:bCs/>
      <w:snapToGrid w:val="0"/>
      <w:kern w:val="28"/>
    </w:rPr>
  </w:style>
  <w:style w:type="character" w:customStyle="1" w:styleId="ParaNumChar">
    <w:name w:val="ParaNum Char"/>
    <w:link w:val="ParaNum"/>
    <w:locked/>
    <w:rsid w:val="00747E63"/>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747E63"/>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ocked/>
    <w:rsid w:val="0048312A"/>
  </w:style>
  <w:style w:type="character" w:customStyle="1" w:styleId="apple-converted-space">
    <w:name w:val="apple-converted-space"/>
    <w:basedOn w:val="DefaultParagraphFont"/>
    <w:rsid w:val="00AC796B"/>
  </w:style>
  <w:style w:type="character" w:customStyle="1" w:styleId="cosearchterm">
    <w:name w:val="co_searchterm"/>
    <w:rsid w:val="00B75CCB"/>
  </w:style>
  <w:style w:type="character" w:customStyle="1" w:styleId="searchterm">
    <w:name w:val="searchterm"/>
    <w:rsid w:val="00B75CCB"/>
  </w:style>
  <w:style w:type="paragraph" w:styleId="Revision">
    <w:name w:val="Revision"/>
    <w:hidden/>
    <w:uiPriority w:val="99"/>
    <w:semiHidden/>
    <w:rsid w:val="00EC2248"/>
    <w:rPr>
      <w:snapToGrid w:val="0"/>
      <w:kern w:val="28"/>
      <w:sz w:val="22"/>
    </w:rPr>
  </w:style>
  <w:style w:type="paragraph" w:styleId="TOCHeading">
    <w:name w:val="TOC Heading"/>
    <w:basedOn w:val="Heading1"/>
    <w:next w:val="Normal"/>
    <w:uiPriority w:val="39"/>
    <w:unhideWhenUsed/>
    <w:qFormat/>
    <w:rsid w:val="00C53A3F"/>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FootnoteTextChar2Char">
    <w:name w:val="Footnote Text Char2 Char"/>
    <w:aliases w:val="Footnote Text Char Char Char,Footnote Text Char1 Char1 Char Char,Footnote Text Char4 Char Char Char Char,Footnote Text Char3 Char1 Char Char Char Char,Footnote Text Char Char3 Char Char Char Char Char,f Char"/>
    <w:rsid w:val="0096133A"/>
  </w:style>
  <w:style w:type="character" w:styleId="Emphasis">
    <w:name w:val="Emphasis"/>
    <w:basedOn w:val="DefaultParagraphFont"/>
    <w:uiPriority w:val="20"/>
    <w:qFormat/>
    <w:rsid w:val="007D298D"/>
    <w:rPr>
      <w:i/>
      <w:iCs/>
    </w:rPr>
  </w:style>
  <w:style w:type="character" w:customStyle="1" w:styleId="HeaderChar">
    <w:name w:val="Header Char"/>
    <w:basedOn w:val="DefaultParagraphFont"/>
    <w:link w:val="Header"/>
    <w:uiPriority w:val="99"/>
    <w:locked/>
    <w:rsid w:val="00225B62"/>
    <w:rPr>
      <w:b/>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0859">
      <w:bodyDiv w:val="1"/>
      <w:marLeft w:val="0"/>
      <w:marRight w:val="0"/>
      <w:marTop w:val="0"/>
      <w:marBottom w:val="0"/>
      <w:divBdr>
        <w:top w:val="none" w:sz="0" w:space="0" w:color="auto"/>
        <w:left w:val="none" w:sz="0" w:space="0" w:color="auto"/>
        <w:bottom w:val="none" w:sz="0" w:space="0" w:color="auto"/>
        <w:right w:val="none" w:sz="0" w:space="0" w:color="auto"/>
      </w:divBdr>
    </w:div>
    <w:div w:id="306251381">
      <w:bodyDiv w:val="1"/>
      <w:marLeft w:val="0"/>
      <w:marRight w:val="0"/>
      <w:marTop w:val="0"/>
      <w:marBottom w:val="0"/>
      <w:divBdr>
        <w:top w:val="none" w:sz="0" w:space="0" w:color="auto"/>
        <w:left w:val="none" w:sz="0" w:space="0" w:color="auto"/>
        <w:bottom w:val="none" w:sz="0" w:space="0" w:color="auto"/>
        <w:right w:val="none" w:sz="0" w:space="0" w:color="auto"/>
      </w:divBdr>
    </w:div>
    <w:div w:id="610237418">
      <w:bodyDiv w:val="1"/>
      <w:marLeft w:val="0"/>
      <w:marRight w:val="0"/>
      <w:marTop w:val="0"/>
      <w:marBottom w:val="0"/>
      <w:divBdr>
        <w:top w:val="none" w:sz="0" w:space="0" w:color="auto"/>
        <w:left w:val="none" w:sz="0" w:space="0" w:color="auto"/>
        <w:bottom w:val="none" w:sz="0" w:space="0" w:color="auto"/>
        <w:right w:val="none" w:sz="0" w:space="0" w:color="auto"/>
      </w:divBdr>
    </w:div>
    <w:div w:id="772818265">
      <w:bodyDiv w:val="1"/>
      <w:marLeft w:val="0"/>
      <w:marRight w:val="0"/>
      <w:marTop w:val="0"/>
      <w:marBottom w:val="0"/>
      <w:divBdr>
        <w:top w:val="none" w:sz="0" w:space="0" w:color="auto"/>
        <w:left w:val="none" w:sz="0" w:space="0" w:color="auto"/>
        <w:bottom w:val="none" w:sz="0" w:space="0" w:color="auto"/>
        <w:right w:val="none" w:sz="0" w:space="0" w:color="auto"/>
      </w:divBdr>
    </w:div>
    <w:div w:id="906844330">
      <w:bodyDiv w:val="1"/>
      <w:marLeft w:val="0"/>
      <w:marRight w:val="0"/>
      <w:marTop w:val="0"/>
      <w:marBottom w:val="0"/>
      <w:divBdr>
        <w:top w:val="none" w:sz="0" w:space="0" w:color="auto"/>
        <w:left w:val="none" w:sz="0" w:space="0" w:color="auto"/>
        <w:bottom w:val="none" w:sz="0" w:space="0" w:color="auto"/>
        <w:right w:val="none" w:sz="0" w:space="0" w:color="auto"/>
      </w:divBdr>
    </w:div>
    <w:div w:id="10642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terpriseefiling.fcc.gov/dataentry/login.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auctions/1000" TargetMode="External"/><Relationship Id="rId2" Type="http://schemas.openxmlformats.org/officeDocument/2006/relationships/styles" Target="styles.xml"/><Relationship Id="rId16" Type="http://schemas.openxmlformats.org/officeDocument/2006/relationships/hyperlink" Target="mailto:Hossein.Hashemzadah@fcc.gov"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un.Maher@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ata.fcc.gov/download/incentive-auctions/OET-69/" TargetMode="External"/><Relationship Id="rId1" Type="http://schemas.openxmlformats.org/officeDocument/2006/relationships/hyperlink" Target="https://www.fcc.gov/oet/tvstudy"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6116</Words>
  <Characters>33717</Characters>
  <Application>Microsoft Office Word</Application>
  <DocSecurity>0</DocSecurity>
  <Lines>530</Lines>
  <Paragraphs>170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39951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2017-05-12T17:32:00Z</cp:lastPrinted>
  <dcterms:created xsi:type="dcterms:W3CDTF">2017-05-12T17:36:00Z</dcterms:created>
  <dcterms:modified xsi:type="dcterms:W3CDTF">2017-05-12T17:36:00Z</dcterms:modified>
  <cp:category> </cp:category>
  <cp:contentStatus> </cp:contentStatus>
</cp:coreProperties>
</file>