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DBE69"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6CDE7E29" w14:textId="77777777" w:rsidR="00921803" w:rsidRDefault="00921803" w:rsidP="00921803">
      <w:pPr>
        <w:pStyle w:val="StyleBoldCentered"/>
      </w:pPr>
      <w:r>
        <w:t>F</w:t>
      </w:r>
      <w:r>
        <w:rPr>
          <w:caps w:val="0"/>
        </w:rPr>
        <w:t>ederal Communications Commission</w:t>
      </w:r>
    </w:p>
    <w:p w14:paraId="2E9AD7B1" w14:textId="77777777" w:rsidR="004C2EE3" w:rsidRDefault="00810B6F" w:rsidP="00096D8C">
      <w:pPr>
        <w:pStyle w:val="StyleBoldCentered"/>
      </w:pPr>
      <w:r>
        <w:rPr>
          <w:caps w:val="0"/>
        </w:rPr>
        <w:t>Washington, D.C. 20554</w:t>
      </w:r>
    </w:p>
    <w:p w14:paraId="05517141" w14:textId="77777777" w:rsidR="004C2EE3" w:rsidRDefault="004C2EE3" w:rsidP="0070224F"/>
    <w:p w14:paraId="207276D3"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5F9E429" w14:textId="77777777">
        <w:tc>
          <w:tcPr>
            <w:tcW w:w="4698" w:type="dxa"/>
          </w:tcPr>
          <w:p w14:paraId="62453692" w14:textId="0F43B7BD" w:rsidR="004C2EE3" w:rsidRDefault="004C2EE3">
            <w:pPr>
              <w:tabs>
                <w:tab w:val="center" w:pos="4680"/>
              </w:tabs>
              <w:suppressAutoHyphens/>
              <w:rPr>
                <w:spacing w:val="-2"/>
              </w:rPr>
            </w:pPr>
            <w:r>
              <w:rPr>
                <w:spacing w:val="-2"/>
              </w:rPr>
              <w:t>In the Matter of</w:t>
            </w:r>
          </w:p>
          <w:p w14:paraId="144B688B" w14:textId="77777777" w:rsidR="004C2EE3" w:rsidRDefault="004C2EE3">
            <w:pPr>
              <w:tabs>
                <w:tab w:val="center" w:pos="4680"/>
              </w:tabs>
              <w:suppressAutoHyphens/>
              <w:rPr>
                <w:spacing w:val="-2"/>
              </w:rPr>
            </w:pPr>
          </w:p>
          <w:p w14:paraId="5AF8A0F5" w14:textId="77777777" w:rsidR="004C2EE3" w:rsidRDefault="004870D9" w:rsidP="007115F7">
            <w:pPr>
              <w:tabs>
                <w:tab w:val="center" w:pos="4680"/>
              </w:tabs>
              <w:suppressAutoHyphens/>
              <w:rPr>
                <w:spacing w:val="-2"/>
              </w:rPr>
            </w:pPr>
            <w:r>
              <w:rPr>
                <w:spacing w:val="-2"/>
              </w:rPr>
              <w:t>Vasco Oburoni,</w:t>
            </w:r>
          </w:p>
          <w:p w14:paraId="2BF64662" w14:textId="4475585E" w:rsidR="004870D9" w:rsidRPr="007115F7" w:rsidRDefault="004870D9" w:rsidP="007115F7">
            <w:pPr>
              <w:tabs>
                <w:tab w:val="center" w:pos="4680"/>
              </w:tabs>
              <w:suppressAutoHyphens/>
              <w:rPr>
                <w:spacing w:val="-2"/>
              </w:rPr>
            </w:pPr>
            <w:r>
              <w:rPr>
                <w:spacing w:val="-2"/>
              </w:rPr>
              <w:t>Worcester, Massachusetts</w:t>
            </w:r>
          </w:p>
        </w:tc>
        <w:tc>
          <w:tcPr>
            <w:tcW w:w="630" w:type="dxa"/>
          </w:tcPr>
          <w:p w14:paraId="21F6E5AF" w14:textId="77777777" w:rsidR="004C2EE3" w:rsidRDefault="004C2EE3">
            <w:pPr>
              <w:tabs>
                <w:tab w:val="center" w:pos="4680"/>
              </w:tabs>
              <w:suppressAutoHyphens/>
              <w:rPr>
                <w:b/>
                <w:spacing w:val="-2"/>
              </w:rPr>
            </w:pPr>
            <w:r>
              <w:rPr>
                <w:b/>
                <w:spacing w:val="-2"/>
              </w:rPr>
              <w:t>)</w:t>
            </w:r>
          </w:p>
          <w:p w14:paraId="17D63A60" w14:textId="77777777" w:rsidR="004C2EE3" w:rsidRDefault="004C2EE3">
            <w:pPr>
              <w:tabs>
                <w:tab w:val="center" w:pos="4680"/>
              </w:tabs>
              <w:suppressAutoHyphens/>
              <w:rPr>
                <w:b/>
                <w:spacing w:val="-2"/>
              </w:rPr>
            </w:pPr>
            <w:r>
              <w:rPr>
                <w:b/>
                <w:spacing w:val="-2"/>
              </w:rPr>
              <w:t>)</w:t>
            </w:r>
          </w:p>
          <w:p w14:paraId="108A3983" w14:textId="77777777" w:rsidR="004C2EE3" w:rsidRDefault="004C2EE3">
            <w:pPr>
              <w:tabs>
                <w:tab w:val="center" w:pos="4680"/>
              </w:tabs>
              <w:suppressAutoHyphens/>
              <w:rPr>
                <w:b/>
                <w:spacing w:val="-2"/>
              </w:rPr>
            </w:pPr>
            <w:r>
              <w:rPr>
                <w:b/>
                <w:spacing w:val="-2"/>
              </w:rPr>
              <w:t>)</w:t>
            </w:r>
          </w:p>
          <w:p w14:paraId="21CD18C1" w14:textId="77777777" w:rsidR="004C2EE3" w:rsidRDefault="004C2EE3">
            <w:pPr>
              <w:tabs>
                <w:tab w:val="center" w:pos="4680"/>
              </w:tabs>
              <w:suppressAutoHyphens/>
              <w:rPr>
                <w:b/>
                <w:spacing w:val="-2"/>
              </w:rPr>
            </w:pPr>
            <w:r>
              <w:rPr>
                <w:b/>
                <w:spacing w:val="-2"/>
              </w:rPr>
              <w:t>)</w:t>
            </w:r>
          </w:p>
          <w:p w14:paraId="543B6680" w14:textId="77777777" w:rsidR="004C2EE3" w:rsidRDefault="004C2EE3">
            <w:pPr>
              <w:tabs>
                <w:tab w:val="center" w:pos="4680"/>
              </w:tabs>
              <w:suppressAutoHyphens/>
              <w:rPr>
                <w:b/>
                <w:spacing w:val="-2"/>
              </w:rPr>
            </w:pPr>
            <w:r>
              <w:rPr>
                <w:b/>
                <w:spacing w:val="-2"/>
              </w:rPr>
              <w:t>)</w:t>
            </w:r>
          </w:p>
          <w:p w14:paraId="05D813CC" w14:textId="77777777" w:rsidR="004C2EE3" w:rsidRDefault="004C2EE3">
            <w:pPr>
              <w:tabs>
                <w:tab w:val="center" w:pos="4680"/>
              </w:tabs>
              <w:suppressAutoHyphens/>
              <w:rPr>
                <w:b/>
                <w:spacing w:val="-2"/>
              </w:rPr>
            </w:pPr>
            <w:r>
              <w:rPr>
                <w:b/>
                <w:spacing w:val="-2"/>
              </w:rPr>
              <w:t>)</w:t>
            </w:r>
          </w:p>
          <w:p w14:paraId="4D7C1DAD" w14:textId="77777777" w:rsidR="004C2EE3" w:rsidRDefault="004C2EE3">
            <w:pPr>
              <w:tabs>
                <w:tab w:val="center" w:pos="4680"/>
              </w:tabs>
              <w:suppressAutoHyphens/>
              <w:rPr>
                <w:b/>
                <w:spacing w:val="-2"/>
              </w:rPr>
            </w:pPr>
            <w:r>
              <w:rPr>
                <w:b/>
                <w:spacing w:val="-2"/>
              </w:rPr>
              <w:t>)</w:t>
            </w:r>
          </w:p>
          <w:p w14:paraId="2D8B41E7" w14:textId="77777777" w:rsidR="004C2EE3" w:rsidRDefault="004C2EE3">
            <w:pPr>
              <w:tabs>
                <w:tab w:val="center" w:pos="4680"/>
              </w:tabs>
              <w:suppressAutoHyphens/>
              <w:rPr>
                <w:b/>
                <w:spacing w:val="-2"/>
              </w:rPr>
            </w:pPr>
            <w:r>
              <w:rPr>
                <w:b/>
                <w:spacing w:val="-2"/>
              </w:rPr>
              <w:t>)</w:t>
            </w:r>
          </w:p>
          <w:p w14:paraId="526BFC68" w14:textId="77777777" w:rsidR="004C2EE3" w:rsidRDefault="004C2EE3">
            <w:pPr>
              <w:tabs>
                <w:tab w:val="center" w:pos="4680"/>
              </w:tabs>
              <w:suppressAutoHyphens/>
              <w:rPr>
                <w:spacing w:val="-2"/>
              </w:rPr>
            </w:pPr>
            <w:r>
              <w:rPr>
                <w:b/>
                <w:spacing w:val="-2"/>
              </w:rPr>
              <w:t>)</w:t>
            </w:r>
          </w:p>
        </w:tc>
        <w:tc>
          <w:tcPr>
            <w:tcW w:w="4248" w:type="dxa"/>
          </w:tcPr>
          <w:p w14:paraId="13BEF22F" w14:textId="77777777" w:rsidR="004C2EE3" w:rsidRDefault="004C2EE3">
            <w:pPr>
              <w:tabs>
                <w:tab w:val="center" w:pos="4680"/>
              </w:tabs>
              <w:suppressAutoHyphens/>
              <w:rPr>
                <w:spacing w:val="-2"/>
              </w:rPr>
            </w:pPr>
          </w:p>
          <w:p w14:paraId="1F5DA4BB" w14:textId="77777777" w:rsidR="004C2EE3" w:rsidRDefault="004C2EE3">
            <w:pPr>
              <w:pStyle w:val="TOAHeading"/>
              <w:tabs>
                <w:tab w:val="clear" w:pos="9360"/>
                <w:tab w:val="center" w:pos="4680"/>
              </w:tabs>
              <w:rPr>
                <w:spacing w:val="-2"/>
              </w:rPr>
            </w:pPr>
          </w:p>
          <w:p w14:paraId="7CAC76E5" w14:textId="77777777" w:rsidR="004C2EE3" w:rsidRDefault="004870D9">
            <w:pPr>
              <w:tabs>
                <w:tab w:val="center" w:pos="4680"/>
              </w:tabs>
              <w:suppressAutoHyphens/>
              <w:rPr>
                <w:spacing w:val="-2"/>
              </w:rPr>
            </w:pPr>
            <w:r>
              <w:rPr>
                <w:spacing w:val="-2"/>
              </w:rPr>
              <w:t>File No. EB-FIELDNER-15-00019024</w:t>
            </w:r>
          </w:p>
          <w:p w14:paraId="145E61A6" w14:textId="77777777" w:rsidR="004870D9" w:rsidRPr="004870D9" w:rsidRDefault="004870D9" w:rsidP="004870D9">
            <w:pPr>
              <w:tabs>
                <w:tab w:val="center" w:pos="4680"/>
              </w:tabs>
              <w:suppressAutoHyphens/>
              <w:rPr>
                <w:spacing w:val="-2"/>
              </w:rPr>
            </w:pPr>
            <w:r w:rsidRPr="004870D9">
              <w:rPr>
                <w:spacing w:val="-2"/>
              </w:rPr>
              <w:t>NAL/Acct. No: 201732260001</w:t>
            </w:r>
          </w:p>
          <w:p w14:paraId="6685617D" w14:textId="03D4E29E" w:rsidR="004870D9" w:rsidRDefault="004870D9" w:rsidP="004870D9">
            <w:pPr>
              <w:tabs>
                <w:tab w:val="center" w:pos="4680"/>
              </w:tabs>
              <w:suppressAutoHyphens/>
              <w:rPr>
                <w:spacing w:val="-2"/>
              </w:rPr>
            </w:pPr>
            <w:r w:rsidRPr="004870D9">
              <w:rPr>
                <w:spacing w:val="-2"/>
              </w:rPr>
              <w:t>FRN: 0026006791</w:t>
            </w:r>
          </w:p>
        </w:tc>
      </w:tr>
    </w:tbl>
    <w:p w14:paraId="7EB2B402" w14:textId="7F5A3802" w:rsidR="004C2EE3" w:rsidRDefault="004C2EE3" w:rsidP="0070224F"/>
    <w:p w14:paraId="28B0BCFE" w14:textId="4BAE265B" w:rsidR="00841AB1" w:rsidRDefault="004870D9" w:rsidP="00F021FA">
      <w:pPr>
        <w:pStyle w:val="StyleBoldCentered"/>
      </w:pPr>
      <w:r>
        <w:t>Forfeiture Order</w:t>
      </w:r>
    </w:p>
    <w:p w14:paraId="1F4F3750" w14:textId="77777777" w:rsidR="004C2EE3" w:rsidRDefault="004C2EE3">
      <w:pPr>
        <w:tabs>
          <w:tab w:val="left" w:pos="-720"/>
        </w:tabs>
        <w:suppressAutoHyphens/>
        <w:spacing w:line="227" w:lineRule="auto"/>
        <w:rPr>
          <w:spacing w:val="-2"/>
        </w:rPr>
      </w:pPr>
    </w:p>
    <w:p w14:paraId="3D09C623" w14:textId="3E99653B" w:rsidR="004C2EE3" w:rsidRDefault="004C2EE3" w:rsidP="00133F79">
      <w:pPr>
        <w:tabs>
          <w:tab w:val="left" w:pos="720"/>
          <w:tab w:val="right" w:pos="9360"/>
        </w:tabs>
        <w:suppressAutoHyphens/>
        <w:spacing w:line="227" w:lineRule="auto"/>
        <w:rPr>
          <w:spacing w:val="-2"/>
        </w:rPr>
      </w:pPr>
      <w:r>
        <w:rPr>
          <w:b/>
          <w:spacing w:val="-2"/>
        </w:rPr>
        <w:t>Adopted:</w:t>
      </w:r>
      <w:r w:rsidR="00E3064F">
        <w:rPr>
          <w:b/>
          <w:spacing w:val="-2"/>
        </w:rPr>
        <w:t xml:space="preserve"> January 18,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3064F">
        <w:rPr>
          <w:b/>
          <w:spacing w:val="-2"/>
        </w:rPr>
        <w:t>January 19, 2017</w:t>
      </w:r>
    </w:p>
    <w:p w14:paraId="3B0310E5" w14:textId="77777777" w:rsidR="00822CE0" w:rsidRDefault="00822CE0"/>
    <w:p w14:paraId="7FABF568" w14:textId="54157C43" w:rsidR="004C2EE3" w:rsidRDefault="004C2EE3">
      <w:pPr>
        <w:rPr>
          <w:spacing w:val="-2"/>
        </w:rPr>
      </w:pPr>
      <w:r>
        <w:t xml:space="preserve">By </w:t>
      </w:r>
      <w:r w:rsidR="004E4A22">
        <w:t>the</w:t>
      </w:r>
      <w:r w:rsidR="002A2D2E">
        <w:t xml:space="preserve"> </w:t>
      </w:r>
      <w:r w:rsidR="004870D9">
        <w:t>Regional Director, Region One, Enforcement Bureau</w:t>
      </w:r>
      <w:r>
        <w:rPr>
          <w:spacing w:val="-2"/>
        </w:rPr>
        <w:t>:</w:t>
      </w:r>
    </w:p>
    <w:p w14:paraId="02F29D48" w14:textId="77777777" w:rsidR="00822CE0" w:rsidRDefault="00822CE0">
      <w:pPr>
        <w:rPr>
          <w:spacing w:val="-2"/>
        </w:rPr>
      </w:pPr>
    </w:p>
    <w:p w14:paraId="3088886E" w14:textId="77777777" w:rsidR="00412FC5" w:rsidRDefault="00412FC5" w:rsidP="00412FC5"/>
    <w:p w14:paraId="00E6C36D" w14:textId="5DF791C0" w:rsidR="002C00E8" w:rsidRDefault="004870D9" w:rsidP="002C00E8">
      <w:pPr>
        <w:pStyle w:val="Heading1"/>
      </w:pPr>
      <w:r>
        <w:t>Introduction</w:t>
      </w:r>
    </w:p>
    <w:p w14:paraId="4C8180E1" w14:textId="628893E6" w:rsidR="003231F7" w:rsidRDefault="004870D9" w:rsidP="003231F7">
      <w:pPr>
        <w:pStyle w:val="ParaNum"/>
      </w:pPr>
      <w:r>
        <w:t xml:space="preserve">We impose a penalty of $15,000 against Vasco Oburoni for operating an unlicensed radio station on 102.3 MHz in Worcester, Massachusetts in violation of Section 301 of the Communications Act of 1934, as amended (Act).  </w:t>
      </w:r>
      <w:r w:rsidR="003231F7" w:rsidRPr="003231F7">
        <w:t>The penalty represents the full amount proposed in the Notice of Apparent Liability for Forfeiture,</w:t>
      </w:r>
      <w:r w:rsidR="003231F7">
        <w:rPr>
          <w:rStyle w:val="FootnoteReference"/>
        </w:rPr>
        <w:footnoteReference w:id="2"/>
      </w:r>
      <w:r w:rsidR="003231F7" w:rsidRPr="003231F7">
        <w:t xml:space="preserve"> and is based on the full base forfeiture amount as well as an upward adjustment reflecting Mr. </w:t>
      </w:r>
      <w:r w:rsidR="003231F7">
        <w:t xml:space="preserve">Oburoni’s </w:t>
      </w:r>
      <w:r w:rsidR="003231F7" w:rsidRPr="003231F7">
        <w:t xml:space="preserve">decision to continue his misconduct after being warned that his actions violated the </w:t>
      </w:r>
      <w:r w:rsidR="003231F7">
        <w:t xml:space="preserve">Act </w:t>
      </w:r>
      <w:r w:rsidR="003231F7" w:rsidRPr="003231F7">
        <w:t xml:space="preserve">and the Commission’s rules. After reviewing Mr. </w:t>
      </w:r>
      <w:r w:rsidR="003231F7">
        <w:t xml:space="preserve">Oburoni’s </w:t>
      </w:r>
      <w:r w:rsidR="003231F7" w:rsidRPr="003231F7">
        <w:t>response to the NAL, we find no reason to cancel, withdraw, or reduce the proposed penalty, and we therefore assess the $</w:t>
      </w:r>
      <w:r w:rsidR="003231F7">
        <w:t>15,</w:t>
      </w:r>
      <w:r w:rsidR="003231F7" w:rsidRPr="003231F7">
        <w:t>000 forfeiture the Bureau previously proposed.</w:t>
      </w:r>
    </w:p>
    <w:p w14:paraId="2C9EBF10" w14:textId="6F6BB571" w:rsidR="003231F7" w:rsidRDefault="003231F7" w:rsidP="003231F7">
      <w:pPr>
        <w:pStyle w:val="Heading1"/>
      </w:pPr>
      <w:r>
        <w:t>Background</w:t>
      </w:r>
    </w:p>
    <w:p w14:paraId="6114A0DA" w14:textId="2EBD0E4E" w:rsidR="003231F7" w:rsidRDefault="00FE222F" w:rsidP="003231F7">
      <w:pPr>
        <w:pStyle w:val="ParaNum"/>
      </w:pPr>
      <w:r>
        <w:t xml:space="preserve">On </w:t>
      </w:r>
      <w:r w:rsidR="003231F7">
        <w:t xml:space="preserve">November 10, 2016, </w:t>
      </w:r>
      <w:r w:rsidR="003231F7" w:rsidRPr="003231F7">
        <w:t xml:space="preserve">the Enforcement Bureau (Bureau) issued </w:t>
      </w:r>
      <w:r w:rsidR="003231F7">
        <w:t>the</w:t>
      </w:r>
      <w:r w:rsidR="003231F7" w:rsidRPr="003231F7">
        <w:t xml:space="preserve"> NAL</w:t>
      </w:r>
      <w:r>
        <w:t>,</w:t>
      </w:r>
      <w:r w:rsidR="003231F7" w:rsidRPr="003231F7">
        <w:t xml:space="preserve"> proposing a $</w:t>
      </w:r>
      <w:r w:rsidR="003231F7">
        <w:t>15</w:t>
      </w:r>
      <w:r w:rsidR="003231F7" w:rsidRPr="003231F7">
        <w:t xml:space="preserve">,000 forfeiture against Mr. </w:t>
      </w:r>
      <w:r w:rsidR="003231F7">
        <w:t xml:space="preserve">Oburoni </w:t>
      </w:r>
      <w:r w:rsidR="003231F7" w:rsidRPr="003231F7">
        <w:t xml:space="preserve">for his apparent willful violation of Section 301 of the Act for operating an unlicensed </w:t>
      </w:r>
      <w:r w:rsidR="003231F7">
        <w:t>radio broadcast station on 102.3 MHz in Worcester, Massachusetts.</w:t>
      </w:r>
      <w:r w:rsidR="00156700">
        <w:rPr>
          <w:rStyle w:val="FootnoteReference"/>
        </w:rPr>
        <w:footnoteReference w:id="3"/>
      </w:r>
      <w:r w:rsidR="003231F7">
        <w:t xml:space="preserve">  </w:t>
      </w:r>
      <w:r w:rsidR="003231F7" w:rsidRPr="003231F7">
        <w:t xml:space="preserve">On </w:t>
      </w:r>
      <w:r>
        <w:t xml:space="preserve">December </w:t>
      </w:r>
      <w:r w:rsidR="00156700">
        <w:t xml:space="preserve">8, 2016, Mr. Oburoni </w:t>
      </w:r>
      <w:r w:rsidR="0024686E">
        <w:t xml:space="preserve">timely </w:t>
      </w:r>
      <w:r w:rsidR="00156700">
        <w:t xml:space="preserve">submitted </w:t>
      </w:r>
      <w:r w:rsidR="0024686E">
        <w:t xml:space="preserve">a </w:t>
      </w:r>
      <w:r w:rsidR="00156700">
        <w:t>response to the NAL.</w:t>
      </w:r>
      <w:r w:rsidR="00156700">
        <w:rPr>
          <w:rStyle w:val="FootnoteReference"/>
        </w:rPr>
        <w:footnoteReference w:id="4"/>
      </w:r>
      <w:r w:rsidR="00156700">
        <w:t xml:space="preserve">  </w:t>
      </w:r>
      <w:r w:rsidR="0024686E">
        <w:t>I</w:t>
      </w:r>
      <w:r w:rsidR="00156700">
        <w:t xml:space="preserve">n the NAL Response, Mr. Oburoni sought </w:t>
      </w:r>
      <w:r w:rsidR="0024686E">
        <w:t>to “appeal” the NAL and for additional time to prepare for such an “appeal.”</w:t>
      </w:r>
      <w:r w:rsidR="0024686E">
        <w:rPr>
          <w:rStyle w:val="FootnoteReference"/>
        </w:rPr>
        <w:footnoteReference w:id="5"/>
      </w:r>
      <w:r w:rsidR="00156700">
        <w:t xml:space="preserve"> </w:t>
      </w:r>
    </w:p>
    <w:p w14:paraId="121C9F9F" w14:textId="7E1B51BE" w:rsidR="003231F7" w:rsidRDefault="003231F7" w:rsidP="003231F7">
      <w:pPr>
        <w:pStyle w:val="Heading1"/>
      </w:pPr>
      <w:r>
        <w:t>Discussion</w:t>
      </w:r>
    </w:p>
    <w:p w14:paraId="6ED0C286" w14:textId="504A7B6E" w:rsidR="00486231" w:rsidRDefault="00156700" w:rsidP="00486231">
      <w:pPr>
        <w:pStyle w:val="ParaNum"/>
      </w:pPr>
      <w:r>
        <w:t xml:space="preserve">In the NAL, we instructed Mr. Oburoni how he could respond to it.  Specifically, we </w:t>
      </w:r>
      <w:r w:rsidR="0024686E">
        <w:t>instructed Mr. Oburoni either to (</w:t>
      </w:r>
      <w:r w:rsidR="0024686E" w:rsidRPr="00F56FD9">
        <w:t>a</w:t>
      </w:r>
      <w:r w:rsidR="0024686E">
        <w:t>) pay the proposed monetary forfeiture within 30 days from the release of the NAL or (</w:t>
      </w:r>
      <w:r w:rsidR="0024686E" w:rsidRPr="00F56FD9">
        <w:t>b</w:t>
      </w:r>
      <w:r w:rsidR="0024686E">
        <w:t xml:space="preserve">) submit a written statement seeking a reduction or cancellation of the proposed </w:t>
      </w:r>
      <w:r w:rsidR="0024686E">
        <w:lastRenderedPageBreak/>
        <w:t>forfeiture within 30 days of the release of the NAL.</w:t>
      </w:r>
      <w:r w:rsidR="0024686E">
        <w:rPr>
          <w:rStyle w:val="FootnoteReference"/>
        </w:rPr>
        <w:footnoteReference w:id="6"/>
      </w:r>
      <w:r w:rsidR="0024686E">
        <w:t xml:space="preserve">  Even construing Mr. Oburoni’s request for an “appeal” in the broadest possible sense as constituting a request for a reduction or cancellation of the monetary forfeiture proposed in the NAL, we note that the NAL Response does not i</w:t>
      </w:r>
      <w:r w:rsidR="00486231">
        <w:t>nclude any substantive argument, either to attempt to rebut the facts presented in the NAL or to establish grounds under which we could consider a reduction of the monetary forfeiture.  We note that t</w:t>
      </w:r>
      <w:r w:rsidR="00486231" w:rsidRPr="00486231">
        <w:t>he NAL stated that the Commission will not consider a request for a reduction or cancellation of a proposed forfeiture unless the person who is subject to the NAL has requested such reduction or cancellation and submitted “a detailed factual statement supported by appropriate documentation and affidavits pursuant to Sections 1.16 and 1.80(f)(3) of the rules.”</w:t>
      </w:r>
      <w:r w:rsidR="00486231">
        <w:rPr>
          <w:rStyle w:val="FootnoteReference"/>
        </w:rPr>
        <w:footnoteReference w:id="7"/>
      </w:r>
      <w:r w:rsidR="00486231" w:rsidRPr="00486231">
        <w:t xml:space="preserve"> </w:t>
      </w:r>
      <w:r w:rsidR="004C6F1F">
        <w:t xml:space="preserve"> </w:t>
      </w:r>
      <w:r w:rsidR="00486231" w:rsidRPr="00486231">
        <w:t xml:space="preserve">The NAL also explained that, to support a claim of inability to pay, Mr. </w:t>
      </w:r>
      <w:r w:rsidR="00486231">
        <w:t xml:space="preserve">Oburoni </w:t>
      </w:r>
      <w:r w:rsidR="00486231" w:rsidRPr="00486231">
        <w:t>would need to submit (</w:t>
      </w:r>
      <w:r w:rsidR="00486231" w:rsidRPr="00F56FD9">
        <w:t>1</w:t>
      </w:r>
      <w:r w:rsidR="00486231" w:rsidRPr="00486231">
        <w:t>) federal tax returns for the most recent three-year period; (</w:t>
      </w:r>
      <w:r w:rsidR="00486231" w:rsidRPr="00F56FD9">
        <w:t>2</w:t>
      </w:r>
      <w:r w:rsidR="00486231" w:rsidRPr="00486231">
        <w:t>) financial statements prepared according to generally accepted accounting practices; or (</w:t>
      </w:r>
      <w:r w:rsidR="00486231" w:rsidRPr="00F56FD9">
        <w:t>3</w:t>
      </w:r>
      <w:r w:rsidR="00486231" w:rsidRPr="00486231">
        <w:t xml:space="preserve">) some other reliable and objective documentation that accurately reflects </w:t>
      </w:r>
      <w:r w:rsidR="00486231">
        <w:t xml:space="preserve">his </w:t>
      </w:r>
      <w:r w:rsidR="00486231" w:rsidRPr="00486231">
        <w:t>current financial status.</w:t>
      </w:r>
      <w:r w:rsidR="00486231">
        <w:rPr>
          <w:rStyle w:val="FootnoteReference"/>
        </w:rPr>
        <w:footnoteReference w:id="8"/>
      </w:r>
      <w:r w:rsidR="00486231" w:rsidRPr="00486231">
        <w:t xml:space="preserve"> </w:t>
      </w:r>
      <w:r w:rsidR="00486231">
        <w:t xml:space="preserve"> Mr. Oburoni </w:t>
      </w:r>
      <w:r w:rsidR="00486231" w:rsidRPr="00486231">
        <w:t xml:space="preserve">did not submit any required documentation or affidavits as required by the Commission’s rules. </w:t>
      </w:r>
      <w:r w:rsidR="00486231">
        <w:t xml:space="preserve"> </w:t>
      </w:r>
      <w:r w:rsidR="00486231" w:rsidRPr="00486231">
        <w:t>Accordingly, we find no basis to reduce or cancel the forfeiture based on an alleged inability to pay.</w:t>
      </w:r>
    </w:p>
    <w:p w14:paraId="60ECF90D" w14:textId="20F7524C" w:rsidR="003231F7" w:rsidRDefault="00486231" w:rsidP="003231F7">
      <w:pPr>
        <w:pStyle w:val="ParaNum"/>
      </w:pPr>
      <w:r>
        <w:t>We also note that, despite receiving from the Commission Notices of Unlicensed Operation</w:t>
      </w:r>
      <w:r>
        <w:rPr>
          <w:rStyle w:val="FootnoteReference"/>
        </w:rPr>
        <w:footnoteReference w:id="9"/>
      </w:r>
      <w:r>
        <w:t xml:space="preserve"> and the NAL itself, Mr. Oburoni has apparently not terminated operation of his unlicensed broadcast station on 102.3 MHz in Worcester, Massachusetts.  </w:t>
      </w:r>
      <w:r w:rsidR="00361D2E">
        <w:t xml:space="preserve">Specifically, on December 13, 2016, two agents from the Boston Field Office traveled to Worcester and confirmed that Mr. Oburoni’s unlicensed radio broadcast station was still operating on 102.3 MHz from the same location identified in the NAL.  We take this opportunity to once again warn Mr. Oburoni that operation of radio transmitting equipment without a valid radio station authorization constitutes a violation of Federal law and could subject Mr. Oburoni to severe penalties, including, but not limited to, further substantial monetary fines, an </w:t>
      </w:r>
      <w:r w:rsidR="00361D2E">
        <w:rPr>
          <w:i/>
        </w:rPr>
        <w:t>in rem</w:t>
      </w:r>
      <w:r w:rsidR="00361D2E">
        <w:t xml:space="preserve"> arrest action against the offending radio equipment, and criminal sanctions, including imprisonment.</w:t>
      </w:r>
      <w:r w:rsidR="00361D2E">
        <w:rPr>
          <w:rStyle w:val="FootnoteReference"/>
        </w:rPr>
        <w:footnoteReference w:id="10"/>
      </w:r>
      <w:r w:rsidR="00361D2E">
        <w:t xml:space="preserve">  </w:t>
      </w:r>
    </w:p>
    <w:p w14:paraId="791BE70C" w14:textId="7A3B309D" w:rsidR="003231F7" w:rsidRDefault="003231F7" w:rsidP="003231F7">
      <w:pPr>
        <w:pStyle w:val="Heading1"/>
      </w:pPr>
      <w:r>
        <w:t>Conclusion</w:t>
      </w:r>
    </w:p>
    <w:p w14:paraId="2A076F07" w14:textId="0615C034" w:rsidR="003231F7" w:rsidRDefault="00361D2E" w:rsidP="00361D2E">
      <w:pPr>
        <w:pStyle w:val="ParaNum"/>
      </w:pPr>
      <w:r w:rsidRPr="00361D2E">
        <w:t xml:space="preserve">Based on the record before us and in light of the applicable statutory factors and the Commission’s forfeiture guidelines, we conclude that </w:t>
      </w:r>
      <w:r w:rsidR="00BB0B86">
        <w:t xml:space="preserve">Vasco Oburoni </w:t>
      </w:r>
      <w:r w:rsidRPr="00361D2E">
        <w:t xml:space="preserve">violated Section 301 </w:t>
      </w:r>
      <w:r w:rsidR="00BB0B86">
        <w:t xml:space="preserve">of the Act </w:t>
      </w:r>
      <w:r w:rsidRPr="00361D2E">
        <w:t xml:space="preserve">by operating an unlicensed </w:t>
      </w:r>
      <w:r w:rsidR="00BB0B86">
        <w:t xml:space="preserve">radio broadcast station on 102.3 MHz in Worcester, Massachusetts.  </w:t>
      </w:r>
      <w:r w:rsidRPr="00361D2E">
        <w:t>We decline to cancel or reduce the $</w:t>
      </w:r>
      <w:r w:rsidR="00BB0B86">
        <w:t>15</w:t>
      </w:r>
      <w:r w:rsidRPr="00361D2E">
        <w:t>,000 forfeiture proposed in the NAL.</w:t>
      </w:r>
    </w:p>
    <w:p w14:paraId="3AAFD1F0" w14:textId="62BA92FC" w:rsidR="00BB0B86" w:rsidRDefault="00BB0B86" w:rsidP="00BB0B86">
      <w:pPr>
        <w:pStyle w:val="Heading1"/>
      </w:pPr>
      <w:r>
        <w:t>Ordering Clauses</w:t>
      </w:r>
    </w:p>
    <w:p w14:paraId="1DDD44BE" w14:textId="552BB9B4" w:rsidR="00BB0B86" w:rsidRPr="009A2403" w:rsidRDefault="00BB0B86" w:rsidP="00BB0B86">
      <w:pPr>
        <w:pStyle w:val="ParaNum"/>
      </w:pPr>
      <w:r w:rsidRPr="00344C0B">
        <w:t xml:space="preserve">Accordingly, </w:t>
      </w:r>
      <w:r w:rsidRPr="00344C0B">
        <w:rPr>
          <w:b/>
        </w:rPr>
        <w:t>IT IS ORDERED</w:t>
      </w:r>
      <w:r>
        <w:rPr>
          <w:b/>
        </w:rPr>
        <w:t xml:space="preserve"> </w:t>
      </w:r>
      <w:r>
        <w:t>that</w:t>
      </w:r>
      <w:r w:rsidRPr="00344C0B">
        <w:t>, pursuant to Section 503(b) of the</w:t>
      </w:r>
      <w:r>
        <w:t xml:space="preserve"> Act</w:t>
      </w:r>
      <w:r w:rsidRPr="00344C0B">
        <w:t>,</w:t>
      </w:r>
      <w:r w:rsidRPr="0007571D">
        <w:rPr>
          <w:rStyle w:val="FootnoteReference"/>
        </w:rPr>
        <w:footnoteReference w:id="11"/>
      </w:r>
      <w:r w:rsidRPr="0007571D">
        <w:t xml:space="preserve"> and Section 1.80 of the Rules,</w:t>
      </w:r>
      <w:r w:rsidRPr="0007571D">
        <w:rPr>
          <w:rStyle w:val="FootnoteReference"/>
        </w:rPr>
        <w:footnoteReference w:id="12"/>
      </w:r>
      <w:r w:rsidRPr="0007571D">
        <w:t xml:space="preserve"> </w:t>
      </w:r>
      <w:r>
        <w:t xml:space="preserve">Vasco Oburoni </w:t>
      </w:r>
      <w:r w:rsidRPr="0007571D">
        <w:rPr>
          <w:b/>
        </w:rPr>
        <w:t>IS LIABLE FOR A MONETARY FORFEITURE</w:t>
      </w:r>
      <w:r w:rsidRPr="009A2403">
        <w:t xml:space="preserve"> in the amount of </w:t>
      </w:r>
      <w:r>
        <w:t xml:space="preserve">Fifteen Thousand Dollars ($15,000) for </w:t>
      </w:r>
      <w:r w:rsidRPr="0007571D">
        <w:t xml:space="preserve">willfully </w:t>
      </w:r>
      <w:r>
        <w:t xml:space="preserve">and repeatedly </w:t>
      </w:r>
      <w:r w:rsidRPr="0007571D">
        <w:t xml:space="preserve">violating </w:t>
      </w:r>
      <w:r>
        <w:t xml:space="preserve">Section 301 </w:t>
      </w:r>
      <w:r w:rsidRPr="0007571D">
        <w:t>of the Act</w:t>
      </w:r>
      <w:r w:rsidRPr="009A2403">
        <w:t>.</w:t>
      </w:r>
    </w:p>
    <w:p w14:paraId="4CA2EB23" w14:textId="77777777" w:rsidR="00BB0B86" w:rsidRPr="00344C0B" w:rsidRDefault="00BB0B86" w:rsidP="00BB0B86">
      <w:pPr>
        <w:pStyle w:val="ParaNum"/>
        <w:widowControl/>
      </w:pPr>
      <w:r w:rsidRPr="00344C0B">
        <w:t xml:space="preserve">Payment of the forfeiture shall be made in the manner provided for in Section 1.80 of the Rules within </w:t>
      </w:r>
      <w:r>
        <w:t>thirty (30</w:t>
      </w:r>
      <w:r w:rsidRPr="00344C0B">
        <w:t>) calendar days after the release of this Forfeiture Order.</w:t>
      </w:r>
      <w:r w:rsidRPr="0007571D">
        <w:rPr>
          <w:rStyle w:val="FootnoteReference"/>
        </w:rPr>
        <w:footnoteReference w:id="13"/>
      </w:r>
      <w:r w:rsidRPr="0007571D">
        <w:t xml:space="preserve">  If the forfeiture is not paid within the period specified, the case may be referred to the U.S. Department of Justice for enforcement of the forfeiture pursuant to Section 504(a) of the Act.</w:t>
      </w:r>
      <w:r w:rsidRPr="0007571D">
        <w:rPr>
          <w:rStyle w:val="FootnoteReference"/>
        </w:rPr>
        <w:footnoteReference w:id="14"/>
      </w:r>
      <w:r w:rsidRPr="0007571D">
        <w:t xml:space="preserve">  </w:t>
      </w:r>
    </w:p>
    <w:p w14:paraId="21238DCF" w14:textId="028C6484" w:rsidR="00BB0B86" w:rsidRPr="00344C0B" w:rsidRDefault="00BB0B86" w:rsidP="00BB0B86">
      <w:pPr>
        <w:pStyle w:val="ParaNum"/>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w:t>
      </w:r>
      <w:r w:rsidRPr="006D73F2">
        <w:rPr>
          <w:szCs w:val="22"/>
        </w:rPr>
        <w:t xml:space="preserve">.  </w:t>
      </w:r>
      <w:r>
        <w:rPr>
          <w:szCs w:val="22"/>
        </w:rPr>
        <w:t xml:space="preserve">Mr. Oburoni </w:t>
      </w:r>
      <w:r w:rsidRPr="006D73F2">
        <w:rPr>
          <w:szCs w:val="22"/>
        </w:rPr>
        <w:t xml:space="preserve">shall send electronic notification </w:t>
      </w:r>
      <w:r>
        <w:rPr>
          <w:szCs w:val="22"/>
        </w:rPr>
        <w:t xml:space="preserve">of </w:t>
      </w:r>
      <w:r w:rsidRPr="006D73F2">
        <w:rPr>
          <w:szCs w:val="22"/>
        </w:rPr>
        <w:t xml:space="preserve">payment to </w:t>
      </w:r>
      <w:r>
        <w:rPr>
          <w:szCs w:val="22"/>
        </w:rPr>
        <w:t xml:space="preserve">Matthew L. Gibson </w:t>
      </w:r>
      <w:r w:rsidRPr="006D73F2">
        <w:rPr>
          <w:szCs w:val="22"/>
        </w:rPr>
        <w:t xml:space="preserve">at </w:t>
      </w:r>
      <w:hyperlink r:id="rId8" w:history="1">
        <w:r w:rsidRPr="001C7238">
          <w:rPr>
            <w:rStyle w:val="Hyperlink"/>
            <w:szCs w:val="22"/>
          </w:rPr>
          <w:t>matthew.gibson@fcc.gov</w:t>
        </w:r>
      </w:hyperlink>
      <w:r>
        <w:rPr>
          <w:szCs w:val="22"/>
        </w:rPr>
        <w:t xml:space="preserve">, with a copy to </w:t>
      </w:r>
      <w:hyperlink r:id="rId9" w:history="1">
        <w:r w:rsidRPr="001C7238">
          <w:rPr>
            <w:rStyle w:val="Hyperlink"/>
            <w:szCs w:val="22"/>
          </w:rPr>
          <w:t>NER-Response@fcc.gov</w:t>
        </w:r>
      </w:hyperlink>
      <w:r>
        <w:rPr>
          <w:szCs w:val="22"/>
        </w:rPr>
        <w:t xml:space="preserve">, </w:t>
      </w:r>
      <w:r w:rsidRPr="006D73F2">
        <w:rPr>
          <w:szCs w:val="22"/>
        </w:rPr>
        <w:t>on the date said payment is made.</w:t>
      </w:r>
      <w:r>
        <w:rPr>
          <w:szCs w:val="22"/>
        </w:rPr>
        <w:t xml:space="preserve">  </w:t>
      </w:r>
      <w:r w:rsidRPr="00344C0B">
        <w:t>Regardless of the form of payment, a completed FCC Form 159 (Remittance Advice) must be submitted.</w:t>
      </w:r>
      <w:r w:rsidRPr="0007571D">
        <w:rPr>
          <w:rStyle w:val="FootnoteReference"/>
        </w:rPr>
        <w:footnoteReference w:id="15"/>
      </w:r>
      <w:r w:rsidRPr="0007571D">
        <w:t xml:space="preserve">  When completing the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p>
    <w:p w14:paraId="6C040DD8" w14:textId="77777777" w:rsidR="00BB0B86" w:rsidRPr="00344C0B" w:rsidRDefault="00BB0B86" w:rsidP="00BB0B86">
      <w:pPr>
        <w:pStyle w:val="par1"/>
        <w:numPr>
          <w:ilvl w:val="0"/>
          <w:numId w:val="8"/>
        </w:numPr>
        <w:tabs>
          <w:tab w:val="clear" w:pos="1440"/>
        </w:tabs>
        <w:spacing w:after="120"/>
        <w:rPr>
          <w:sz w:val="22"/>
        </w:rPr>
      </w:pPr>
      <w:r w:rsidRPr="00344C0B">
        <w:rPr>
          <w:sz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344C0B">
        <w:rPr>
          <w:sz w:val="22"/>
        </w:rPr>
        <w:noBreakHyphen/>
        <w:t>MO-C2-GL, 1005 Convention Plaza, St. Louis, MO 63101.</w:t>
      </w:r>
    </w:p>
    <w:p w14:paraId="72941AE4" w14:textId="77777777" w:rsidR="00BB0B86" w:rsidRPr="00344C0B" w:rsidRDefault="00BB0B86" w:rsidP="00BB0B86">
      <w:pPr>
        <w:pStyle w:val="par1"/>
        <w:numPr>
          <w:ilvl w:val="0"/>
          <w:numId w:val="8"/>
        </w:numPr>
        <w:tabs>
          <w:tab w:val="clear" w:pos="1440"/>
        </w:tabs>
        <w:spacing w:after="120"/>
        <w:rPr>
          <w:sz w:val="22"/>
        </w:rPr>
      </w:pPr>
      <w:r w:rsidRPr="00344C0B">
        <w:rPr>
          <w:sz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36D88DBF" w14:textId="77777777" w:rsidR="00BB0B86" w:rsidRPr="00344C0B" w:rsidRDefault="00BB0B86" w:rsidP="00BB0B86">
      <w:pPr>
        <w:pStyle w:val="par1"/>
        <w:widowControl/>
        <w:numPr>
          <w:ilvl w:val="0"/>
          <w:numId w:val="8"/>
        </w:numPr>
        <w:tabs>
          <w:tab w:val="clear" w:pos="1440"/>
        </w:tabs>
        <w:spacing w:after="120"/>
        <w:ind w:left="1267"/>
        <w:rPr>
          <w:sz w:val="22"/>
        </w:rPr>
      </w:pPr>
      <w:r w:rsidRPr="00344C0B">
        <w:rPr>
          <w:sz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2CC2A809" w14:textId="77777777" w:rsidR="00BB0B86" w:rsidRPr="00816F70" w:rsidRDefault="00BB0B86" w:rsidP="00BB0B86">
      <w:pPr>
        <w:pStyle w:val="ParaNum"/>
      </w:pPr>
      <w:r w:rsidRPr="006D73F2">
        <w:t xml:space="preserve">Any request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szCs w:val="22"/>
        </w:rPr>
        <w:footnoteReference w:id="16"/>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r w:rsidRPr="004C4397">
        <w:t>ARINQUIRIES@</w:t>
      </w:r>
      <w:r w:rsidRPr="00B27008">
        <w:t>fcc.gov</w:t>
      </w:r>
      <w:r w:rsidRPr="00373669">
        <w:t>.</w:t>
      </w:r>
    </w:p>
    <w:p w14:paraId="42B53E55" w14:textId="70FEE78F" w:rsidR="00BB0B86" w:rsidRPr="0007571D" w:rsidRDefault="00BB0B86" w:rsidP="00BB0B86">
      <w:pPr>
        <w:pStyle w:val="ParaNum"/>
      </w:pPr>
      <w:r w:rsidRPr="00344C0B">
        <w:rPr>
          <w:b/>
        </w:rPr>
        <w:t>IT IS FURTHER ORDERED</w:t>
      </w:r>
      <w:r w:rsidRPr="00344C0B">
        <w:t xml:space="preserve"> that a copy of this Forfeiture Order </w:t>
      </w:r>
      <w:r w:rsidRPr="004749BE">
        <w:t>shall be sent by first class mail and certified mail, return receipt requested, to</w:t>
      </w:r>
      <w:r>
        <w:t xml:space="preserve"> Vasco Oburoni, at 52 Ward Street, Worcester, Massachusetts 01610</w:t>
      </w:r>
      <w:r w:rsidRPr="004749BE">
        <w:t>.</w:t>
      </w:r>
    </w:p>
    <w:p w14:paraId="32ABB5AD" w14:textId="77777777" w:rsidR="00996BFF" w:rsidRDefault="00996BFF" w:rsidP="00BB0B86"/>
    <w:p w14:paraId="1A4ED712" w14:textId="245766EC" w:rsidR="00BB0B86" w:rsidRDefault="00BB0B86" w:rsidP="00BB0B86">
      <w:pPr>
        <w:ind w:left="4320"/>
      </w:pPr>
      <w:r>
        <w:t>FEDERAL COMMUNCIATIONS COMMISSION</w:t>
      </w:r>
    </w:p>
    <w:p w14:paraId="1E0E441A" w14:textId="77777777" w:rsidR="00BB0B86" w:rsidRDefault="00BB0B86" w:rsidP="00BB0B86">
      <w:pPr>
        <w:ind w:left="4320"/>
      </w:pPr>
    </w:p>
    <w:p w14:paraId="03B87B9B" w14:textId="77777777" w:rsidR="00BB0B86" w:rsidRDefault="00BB0B86" w:rsidP="00BB0B86">
      <w:pPr>
        <w:ind w:left="4320"/>
      </w:pPr>
    </w:p>
    <w:p w14:paraId="09A1949C" w14:textId="77777777" w:rsidR="00BB0B86" w:rsidRDefault="00BB0B86" w:rsidP="00BB0B86">
      <w:pPr>
        <w:ind w:left="4320"/>
      </w:pPr>
    </w:p>
    <w:p w14:paraId="268C10E8" w14:textId="77777777" w:rsidR="00BB0B86" w:rsidRDefault="00BB0B86" w:rsidP="00BB0B86">
      <w:pPr>
        <w:ind w:left="4320"/>
      </w:pPr>
    </w:p>
    <w:p w14:paraId="33D5A945" w14:textId="3F938F7D" w:rsidR="00BB0B86" w:rsidRDefault="00BB0B86" w:rsidP="00BB0B86">
      <w:pPr>
        <w:ind w:left="4320"/>
      </w:pPr>
      <w:r>
        <w:t>David Dombrowski</w:t>
      </w:r>
    </w:p>
    <w:p w14:paraId="6CB38F76" w14:textId="13896198" w:rsidR="00BB0B86" w:rsidRDefault="00BB0B86" w:rsidP="00BB0B86">
      <w:pPr>
        <w:ind w:left="4320"/>
      </w:pPr>
      <w:r>
        <w:t>Regional Director, Region One</w:t>
      </w:r>
    </w:p>
    <w:p w14:paraId="16CEB884" w14:textId="1F5FB7BF" w:rsidR="00BB0B86" w:rsidRDefault="00BB0B86" w:rsidP="00BB0B86">
      <w:pPr>
        <w:ind w:left="4320"/>
      </w:pPr>
      <w:r>
        <w:t>Enforcement Bureau</w:t>
      </w:r>
    </w:p>
    <w:sectPr w:rsidR="00BB0B86"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FC8CB" w14:textId="77777777" w:rsidR="006D2D35" w:rsidRDefault="006D2D35">
      <w:pPr>
        <w:spacing w:line="20" w:lineRule="exact"/>
      </w:pPr>
    </w:p>
  </w:endnote>
  <w:endnote w:type="continuationSeparator" w:id="0">
    <w:p w14:paraId="0912FB9A" w14:textId="77777777" w:rsidR="006D2D35" w:rsidRDefault="006D2D35">
      <w:r>
        <w:t xml:space="preserve"> </w:t>
      </w:r>
    </w:p>
  </w:endnote>
  <w:endnote w:type="continuationNotice" w:id="1">
    <w:p w14:paraId="2C725AB6" w14:textId="77777777" w:rsidR="006D2D35" w:rsidRDefault="006D2D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77DCD"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EA1DFD0"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B20D0"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D44902">
      <w:rPr>
        <w:noProof/>
      </w:rPr>
      <w:t>3</w:t>
    </w:r>
    <w:r>
      <w:fldChar w:fldCharType="end"/>
    </w:r>
  </w:p>
  <w:p w14:paraId="6436A9BF"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2C270"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669EE" w14:textId="77777777" w:rsidR="006D2D35" w:rsidRDefault="006D2D35">
      <w:r>
        <w:separator/>
      </w:r>
    </w:p>
  </w:footnote>
  <w:footnote w:type="continuationSeparator" w:id="0">
    <w:p w14:paraId="728F4118" w14:textId="77777777" w:rsidR="006D2D35" w:rsidRDefault="006D2D35" w:rsidP="00C721AC">
      <w:pPr>
        <w:spacing w:before="120"/>
        <w:rPr>
          <w:sz w:val="20"/>
        </w:rPr>
      </w:pPr>
      <w:r>
        <w:rPr>
          <w:sz w:val="20"/>
        </w:rPr>
        <w:t xml:space="preserve">(Continued from previous page)  </w:t>
      </w:r>
      <w:r>
        <w:rPr>
          <w:sz w:val="20"/>
        </w:rPr>
        <w:separator/>
      </w:r>
    </w:p>
  </w:footnote>
  <w:footnote w:type="continuationNotice" w:id="1">
    <w:p w14:paraId="18E88B62" w14:textId="77777777" w:rsidR="006D2D35" w:rsidRDefault="006D2D35" w:rsidP="00C721AC">
      <w:pPr>
        <w:jc w:val="right"/>
        <w:rPr>
          <w:sz w:val="20"/>
        </w:rPr>
      </w:pPr>
      <w:r>
        <w:rPr>
          <w:sz w:val="20"/>
        </w:rPr>
        <w:t>(continued….)</w:t>
      </w:r>
    </w:p>
  </w:footnote>
  <w:footnote w:id="2">
    <w:p w14:paraId="00DE1F46" w14:textId="20B97B31" w:rsidR="003231F7" w:rsidRDefault="003231F7">
      <w:pPr>
        <w:pStyle w:val="FootnoteText"/>
      </w:pPr>
      <w:r>
        <w:rPr>
          <w:rStyle w:val="FootnoteReference"/>
        </w:rPr>
        <w:footnoteRef/>
      </w:r>
      <w:r>
        <w:t xml:space="preserve"> </w:t>
      </w:r>
      <w:r w:rsidRPr="003231F7">
        <w:rPr>
          <w:i/>
        </w:rPr>
        <w:t>Vasco Oburoni, Worcester, Massachusetts</w:t>
      </w:r>
      <w:r>
        <w:t xml:space="preserve">, Notice of Apparent Liability for Forfeiture, </w:t>
      </w:r>
      <w:r w:rsidRPr="003231F7">
        <w:t>31</w:t>
      </w:r>
      <w:r>
        <w:t xml:space="preserve"> FCC Rcd </w:t>
      </w:r>
      <w:r w:rsidRPr="003231F7">
        <w:t>12316</w:t>
      </w:r>
      <w:r>
        <w:t xml:space="preserve"> (EB 2016) (NAL).</w:t>
      </w:r>
    </w:p>
  </w:footnote>
  <w:footnote w:id="3">
    <w:p w14:paraId="30EA833C" w14:textId="7C27867C" w:rsidR="00156700" w:rsidRDefault="00156700">
      <w:pPr>
        <w:pStyle w:val="FootnoteText"/>
      </w:pPr>
      <w:r>
        <w:rPr>
          <w:rStyle w:val="FootnoteReference"/>
        </w:rPr>
        <w:footnoteRef/>
      </w:r>
      <w:r>
        <w:t xml:space="preserve"> NAL</w:t>
      </w:r>
      <w:r w:rsidR="00FE222F">
        <w:t>,</w:t>
      </w:r>
      <w:r>
        <w:t xml:space="preserve"> 31 FCC Rcd at 12318-19, para 8.</w:t>
      </w:r>
    </w:p>
  </w:footnote>
  <w:footnote w:id="4">
    <w:p w14:paraId="08B58993" w14:textId="7EEC6B5D" w:rsidR="00156700" w:rsidRDefault="00156700">
      <w:pPr>
        <w:pStyle w:val="FootnoteText"/>
      </w:pPr>
      <w:r>
        <w:rPr>
          <w:rStyle w:val="FootnoteReference"/>
        </w:rPr>
        <w:footnoteRef/>
      </w:r>
      <w:r>
        <w:t xml:space="preserve"> </w:t>
      </w:r>
      <w:r w:rsidRPr="00156700">
        <w:t xml:space="preserve">Letter from </w:t>
      </w:r>
      <w:r>
        <w:t xml:space="preserve">Vasco Oburoni </w:t>
      </w:r>
      <w:r w:rsidRPr="00156700">
        <w:t xml:space="preserve">(dated </w:t>
      </w:r>
      <w:r w:rsidR="00FE222F">
        <w:t xml:space="preserve">December </w:t>
      </w:r>
      <w:r>
        <w:t>8, 2016)</w:t>
      </w:r>
      <w:r w:rsidRPr="00156700">
        <w:t xml:space="preserve"> (on file in EB-FIELDNER-</w:t>
      </w:r>
      <w:r>
        <w:rPr>
          <w:spacing w:val="-2"/>
        </w:rPr>
        <w:t>15-00019024</w:t>
      </w:r>
      <w:r w:rsidRPr="00156700">
        <w:t>) (NAL Response).</w:t>
      </w:r>
    </w:p>
  </w:footnote>
  <w:footnote w:id="5">
    <w:p w14:paraId="4B517185" w14:textId="4B6998D1" w:rsidR="0024686E" w:rsidRPr="0024686E" w:rsidRDefault="0024686E">
      <w:pPr>
        <w:pStyle w:val="FootnoteText"/>
      </w:pPr>
      <w:r>
        <w:rPr>
          <w:rStyle w:val="FootnoteReference"/>
        </w:rPr>
        <w:footnoteRef/>
      </w:r>
      <w:r>
        <w:t xml:space="preserve"> </w:t>
      </w:r>
      <w:r>
        <w:rPr>
          <w:i/>
        </w:rPr>
        <w:t>Id.</w:t>
      </w:r>
    </w:p>
  </w:footnote>
  <w:footnote w:id="6">
    <w:p w14:paraId="1456A510" w14:textId="59875B6A" w:rsidR="0024686E" w:rsidRDefault="0024686E">
      <w:pPr>
        <w:pStyle w:val="FootnoteText"/>
      </w:pPr>
      <w:r>
        <w:rPr>
          <w:rStyle w:val="FootnoteReference"/>
        </w:rPr>
        <w:footnoteRef/>
      </w:r>
      <w:r>
        <w:t xml:space="preserve"> NAL, 31 FCC Rcd at 12319, para 11.</w:t>
      </w:r>
    </w:p>
  </w:footnote>
  <w:footnote w:id="7">
    <w:p w14:paraId="41659345" w14:textId="2E20E8BA" w:rsidR="00486231" w:rsidRPr="00486231" w:rsidRDefault="00486231">
      <w:pPr>
        <w:pStyle w:val="FootnoteText"/>
      </w:pPr>
      <w:r>
        <w:rPr>
          <w:rStyle w:val="FootnoteReference"/>
        </w:rPr>
        <w:footnoteRef/>
      </w:r>
      <w:r>
        <w:t xml:space="preserve"> </w:t>
      </w:r>
      <w:r>
        <w:rPr>
          <w:i/>
        </w:rPr>
        <w:t>Id</w:t>
      </w:r>
      <w:r>
        <w:t>., 31 FCC Rcd at 12320, para 14.</w:t>
      </w:r>
    </w:p>
  </w:footnote>
  <w:footnote w:id="8">
    <w:p w14:paraId="2A2ABCAF" w14:textId="38A3B91A" w:rsidR="00486231" w:rsidRPr="00486231" w:rsidRDefault="00486231">
      <w:pPr>
        <w:pStyle w:val="FootnoteText"/>
      </w:pPr>
      <w:r>
        <w:rPr>
          <w:rStyle w:val="FootnoteReference"/>
        </w:rPr>
        <w:footnoteRef/>
      </w:r>
      <w:r>
        <w:t xml:space="preserve"> </w:t>
      </w:r>
      <w:r>
        <w:rPr>
          <w:i/>
        </w:rPr>
        <w:t>Id.</w:t>
      </w:r>
    </w:p>
  </w:footnote>
  <w:footnote w:id="9">
    <w:p w14:paraId="2198543D" w14:textId="4EDFD4C2" w:rsidR="00486231" w:rsidRPr="00486231" w:rsidRDefault="00486231" w:rsidP="00486231">
      <w:pPr>
        <w:pStyle w:val="FootnoteText"/>
      </w:pPr>
      <w:r>
        <w:rPr>
          <w:rStyle w:val="FootnoteReference"/>
        </w:rPr>
        <w:footnoteRef/>
      </w:r>
      <w:r>
        <w:t xml:space="preserve"> </w:t>
      </w:r>
      <w:r>
        <w:rPr>
          <w:i/>
        </w:rPr>
        <w:t>See</w:t>
      </w:r>
      <w:r>
        <w:t xml:space="preserve"> </w:t>
      </w:r>
      <w:r w:rsidR="00996BFF">
        <w:rPr>
          <w:i/>
        </w:rPr>
        <w:t>i</w:t>
      </w:r>
      <w:r>
        <w:rPr>
          <w:i/>
        </w:rPr>
        <w:t>d.</w:t>
      </w:r>
      <w:r>
        <w:t xml:space="preserve">, 31 FCC Rcd at 12316-17, paras 2-3. </w:t>
      </w:r>
    </w:p>
  </w:footnote>
  <w:footnote w:id="10">
    <w:p w14:paraId="6D8AD4F9" w14:textId="73911C4B" w:rsidR="00361D2E" w:rsidRPr="00361D2E" w:rsidRDefault="00361D2E">
      <w:pPr>
        <w:pStyle w:val="FootnoteText"/>
      </w:pPr>
      <w:r>
        <w:rPr>
          <w:rStyle w:val="FootnoteReference"/>
        </w:rPr>
        <w:footnoteRef/>
      </w:r>
      <w:r>
        <w:t xml:space="preserve"> </w:t>
      </w:r>
      <w:r>
        <w:rPr>
          <w:i/>
        </w:rPr>
        <w:t>See</w:t>
      </w:r>
      <w:r>
        <w:t xml:space="preserve"> 47 U.S.C. §§ 401, 501, 503, and 510.</w:t>
      </w:r>
    </w:p>
  </w:footnote>
  <w:footnote w:id="11">
    <w:p w14:paraId="3E250D48" w14:textId="77777777" w:rsidR="00BB0B86" w:rsidRPr="00344C0B" w:rsidRDefault="00BB0B86" w:rsidP="00BB0B86">
      <w:pPr>
        <w:pStyle w:val="FootnoteText"/>
      </w:pPr>
      <w:r w:rsidRPr="00344C0B">
        <w:rPr>
          <w:rStyle w:val="FootnoteReference"/>
        </w:rPr>
        <w:footnoteRef/>
      </w:r>
      <w:r w:rsidRPr="00344C0B">
        <w:t xml:space="preserve"> 47 U.S.C. § 503(b).</w:t>
      </w:r>
    </w:p>
  </w:footnote>
  <w:footnote w:id="12">
    <w:p w14:paraId="2E7B6B28" w14:textId="77777777" w:rsidR="00BB0B86" w:rsidRPr="00344C0B" w:rsidRDefault="00BB0B86" w:rsidP="00BB0B86">
      <w:pPr>
        <w:pStyle w:val="FootnoteText"/>
      </w:pPr>
      <w:r w:rsidRPr="00344C0B">
        <w:rPr>
          <w:rStyle w:val="FootnoteReference"/>
        </w:rPr>
        <w:footnoteRef/>
      </w:r>
      <w:r w:rsidRPr="00344C0B">
        <w:t xml:space="preserve"> 47 C.F.R. § 1.80.</w:t>
      </w:r>
    </w:p>
  </w:footnote>
  <w:footnote w:id="13">
    <w:p w14:paraId="4FCABBDE" w14:textId="77777777" w:rsidR="00BB0B86" w:rsidRPr="00344C0B" w:rsidRDefault="00BB0B86" w:rsidP="00BB0B86">
      <w:pPr>
        <w:pStyle w:val="FootnoteText"/>
      </w:pPr>
      <w:r w:rsidRPr="00344C0B">
        <w:rPr>
          <w:rStyle w:val="FootnoteReference"/>
        </w:rPr>
        <w:footnoteRef/>
      </w:r>
      <w:r w:rsidRPr="00344C0B">
        <w:t xml:space="preserve"> </w:t>
      </w:r>
      <w:r w:rsidRPr="00344C0B">
        <w:rPr>
          <w:i/>
        </w:rPr>
        <w:t>Id.</w:t>
      </w:r>
    </w:p>
  </w:footnote>
  <w:footnote w:id="14">
    <w:p w14:paraId="2F96016D" w14:textId="77777777" w:rsidR="00BB0B86" w:rsidRPr="00344C0B" w:rsidRDefault="00BB0B86" w:rsidP="00BB0B86">
      <w:pPr>
        <w:pStyle w:val="FootnoteText"/>
      </w:pPr>
      <w:r w:rsidRPr="00344C0B">
        <w:rPr>
          <w:rStyle w:val="FootnoteReference"/>
        </w:rPr>
        <w:footnoteRef/>
      </w:r>
      <w:r w:rsidRPr="00344C0B">
        <w:t xml:space="preserve"> 47 U.S.C. § 504(a).</w:t>
      </w:r>
    </w:p>
  </w:footnote>
  <w:footnote w:id="15">
    <w:p w14:paraId="28C17AE8" w14:textId="77777777" w:rsidR="00BB0B86" w:rsidRPr="00344C0B" w:rsidRDefault="00BB0B86" w:rsidP="00BB0B86">
      <w:pPr>
        <w:pStyle w:val="FootnoteText"/>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r w:rsidRPr="00344C0B">
        <w:t>http://www.fcc.gov/Forms/Form159/159.pdf</w:t>
      </w:r>
      <w:r w:rsidRPr="00344C0B">
        <w:rPr>
          <w:rStyle w:val="FootnoteTextChar2"/>
        </w:rPr>
        <w:t>.</w:t>
      </w:r>
    </w:p>
  </w:footnote>
  <w:footnote w:id="16">
    <w:p w14:paraId="2194D4A0" w14:textId="77777777" w:rsidR="00BB0B86" w:rsidRPr="0030738C" w:rsidRDefault="00BB0B86" w:rsidP="00BB0B86">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E7741" w14:textId="77777777" w:rsidR="003268F3" w:rsidRDefault="003268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5101D" w14:textId="754765CB" w:rsidR="00D25FB5" w:rsidRDefault="00D25FB5" w:rsidP="00810B6F">
    <w:pPr>
      <w:pStyle w:val="Header"/>
      <w:rPr>
        <w:b w:val="0"/>
      </w:rPr>
    </w:pPr>
    <w:r>
      <w:tab/>
      <w:t>Federal Communications Commission</w:t>
    </w:r>
    <w:r>
      <w:tab/>
    </w:r>
    <w:r w:rsidR="00B20493">
      <w:t>DA 17-</w:t>
    </w:r>
    <w:r w:rsidR="00FB3DF2">
      <w:t>48</w:t>
    </w:r>
  </w:p>
  <w:p w14:paraId="51181089" w14:textId="77777777" w:rsidR="00D25FB5" w:rsidRDefault="003149E3">
    <w:pPr>
      <w:tabs>
        <w:tab w:val="left" w:pos="-720"/>
      </w:tabs>
      <w:suppressAutoHyphens/>
      <w:spacing w:line="19" w:lineRule="exact"/>
      <w:rPr>
        <w:spacing w:val="-2"/>
      </w:rPr>
    </w:pPr>
    <w:r>
      <w:rPr>
        <w:noProof/>
      </w:rPr>
      <w:pict w14:anchorId="3D6904AF">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233F361B"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8EBB3" w14:textId="05E9CC18" w:rsidR="00D25FB5" w:rsidRDefault="003149E3" w:rsidP="00810B6F">
    <w:pPr>
      <w:pStyle w:val="Header"/>
      <w:rPr>
        <w:b w:val="0"/>
      </w:rPr>
    </w:pPr>
    <w:r>
      <w:rPr>
        <w:noProof/>
      </w:rPr>
      <w:pict w14:anchorId="00E58BC3">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B20493">
      <w:rPr>
        <w:spacing w:val="-2"/>
      </w:rPr>
      <w:t>DA 17-</w:t>
    </w:r>
    <w:r w:rsidR="00FB3DF2">
      <w:rPr>
        <w:spacing w:val="-2"/>
      </w:rPr>
      <w:t>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lvlOverride w:ilvl="0">
      <w:lvl w:ilvl="0">
        <w:numFmt w:val="bullet"/>
        <w:pStyle w:val="par1"/>
        <w:lvlText w:val=""/>
        <w:legacy w:legacy="1" w:legacySpace="0" w:legacyIndent="360"/>
        <w:lvlJc w:val="left"/>
        <w:rPr>
          <w:rFonts w:ascii="Symbol" w:hAnsi="Symbol" w:hint="default"/>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2D35"/>
    <w:rsid w:val="00036039"/>
    <w:rsid w:val="00037F90"/>
    <w:rsid w:val="000875BF"/>
    <w:rsid w:val="00096D8C"/>
    <w:rsid w:val="000A4256"/>
    <w:rsid w:val="000C0B65"/>
    <w:rsid w:val="000E05FE"/>
    <w:rsid w:val="000E3D42"/>
    <w:rsid w:val="00122BD5"/>
    <w:rsid w:val="00133F79"/>
    <w:rsid w:val="00156700"/>
    <w:rsid w:val="0018414A"/>
    <w:rsid w:val="00194A66"/>
    <w:rsid w:val="001D6BCF"/>
    <w:rsid w:val="001E01CA"/>
    <w:rsid w:val="0024686E"/>
    <w:rsid w:val="002645FF"/>
    <w:rsid w:val="00275CF5"/>
    <w:rsid w:val="0028301F"/>
    <w:rsid w:val="00285017"/>
    <w:rsid w:val="002A2D2E"/>
    <w:rsid w:val="002C00E8"/>
    <w:rsid w:val="003149E3"/>
    <w:rsid w:val="003231F7"/>
    <w:rsid w:val="003268F3"/>
    <w:rsid w:val="00343749"/>
    <w:rsid w:val="00361D2E"/>
    <w:rsid w:val="003660ED"/>
    <w:rsid w:val="003B0550"/>
    <w:rsid w:val="003B694F"/>
    <w:rsid w:val="003F171C"/>
    <w:rsid w:val="00412FC5"/>
    <w:rsid w:val="0041580E"/>
    <w:rsid w:val="00422276"/>
    <w:rsid w:val="004242F1"/>
    <w:rsid w:val="00445A00"/>
    <w:rsid w:val="00451B0F"/>
    <w:rsid w:val="00486231"/>
    <w:rsid w:val="004870D9"/>
    <w:rsid w:val="004C2EE3"/>
    <w:rsid w:val="004C6F1F"/>
    <w:rsid w:val="004E4A22"/>
    <w:rsid w:val="00511968"/>
    <w:rsid w:val="0055614C"/>
    <w:rsid w:val="005A086F"/>
    <w:rsid w:val="005E14C2"/>
    <w:rsid w:val="00607BA5"/>
    <w:rsid w:val="0061180A"/>
    <w:rsid w:val="00626EB6"/>
    <w:rsid w:val="00655D03"/>
    <w:rsid w:val="00677581"/>
    <w:rsid w:val="00683388"/>
    <w:rsid w:val="00683F84"/>
    <w:rsid w:val="006A6A81"/>
    <w:rsid w:val="006D2D35"/>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96BFF"/>
    <w:rsid w:val="009F76DB"/>
    <w:rsid w:val="00A32C3B"/>
    <w:rsid w:val="00A45F4F"/>
    <w:rsid w:val="00A600A9"/>
    <w:rsid w:val="00AA55B7"/>
    <w:rsid w:val="00AA5B9E"/>
    <w:rsid w:val="00AB2407"/>
    <w:rsid w:val="00AB53DF"/>
    <w:rsid w:val="00AD405E"/>
    <w:rsid w:val="00B07E5C"/>
    <w:rsid w:val="00B20493"/>
    <w:rsid w:val="00B811F7"/>
    <w:rsid w:val="00BA5DC6"/>
    <w:rsid w:val="00BA6196"/>
    <w:rsid w:val="00BB0B86"/>
    <w:rsid w:val="00BC6D8C"/>
    <w:rsid w:val="00C30035"/>
    <w:rsid w:val="00C34006"/>
    <w:rsid w:val="00C426B1"/>
    <w:rsid w:val="00C66160"/>
    <w:rsid w:val="00C721AC"/>
    <w:rsid w:val="00C90D6A"/>
    <w:rsid w:val="00CA247E"/>
    <w:rsid w:val="00CC72B6"/>
    <w:rsid w:val="00D0218D"/>
    <w:rsid w:val="00D25FB5"/>
    <w:rsid w:val="00D44223"/>
    <w:rsid w:val="00D44902"/>
    <w:rsid w:val="00D97C81"/>
    <w:rsid w:val="00DA2529"/>
    <w:rsid w:val="00DA5C9A"/>
    <w:rsid w:val="00DB130A"/>
    <w:rsid w:val="00DB2EBB"/>
    <w:rsid w:val="00DC10A1"/>
    <w:rsid w:val="00DC655F"/>
    <w:rsid w:val="00DD0B59"/>
    <w:rsid w:val="00DD7EBD"/>
    <w:rsid w:val="00DF62B6"/>
    <w:rsid w:val="00E07225"/>
    <w:rsid w:val="00E3064F"/>
    <w:rsid w:val="00E5409F"/>
    <w:rsid w:val="00EE6488"/>
    <w:rsid w:val="00F021FA"/>
    <w:rsid w:val="00F56FD9"/>
    <w:rsid w:val="00F62E97"/>
    <w:rsid w:val="00F64209"/>
    <w:rsid w:val="00F82EC9"/>
    <w:rsid w:val="00F93BF5"/>
    <w:rsid w:val="00FB3DF2"/>
    <w:rsid w:val="00FE2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50F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0E3D42"/>
    <w:pPr>
      <w:spacing w:after="120"/>
    </w:pPr>
  </w:style>
  <w:style w:type="character" w:styleId="FootnoteReference">
    <w:name w:val="footnote reference"/>
    <w:aliases w:val="Style 4,Appel note de bas de p,Style 12,(NECG) Footnote Reference,Style 124,Style 13,o,fr,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locked/>
    <w:rsid w:val="00BB0B86"/>
  </w:style>
  <w:style w:type="character" w:customStyle="1" w:styleId="ParaNumChar">
    <w:name w:val="ParaNum Char"/>
    <w:link w:val="ParaNum"/>
    <w:locked/>
    <w:rsid w:val="00BB0B86"/>
    <w:rPr>
      <w:snapToGrid w:val="0"/>
      <w:kern w:val="28"/>
      <w:sz w:val="22"/>
    </w:rPr>
  </w:style>
  <w:style w:type="paragraph" w:customStyle="1" w:styleId="par1">
    <w:name w:val="par1"/>
    <w:basedOn w:val="Normal"/>
    <w:link w:val="par1Char"/>
    <w:uiPriority w:val="99"/>
    <w:rsid w:val="00BB0B86"/>
    <w:pPr>
      <w:numPr>
        <w:numId w:val="7"/>
      </w:numPr>
      <w:tabs>
        <w:tab w:val="num" w:pos="900"/>
        <w:tab w:val="left" w:pos="1440"/>
      </w:tabs>
      <w:ind w:left="-180" w:firstLine="720"/>
    </w:pPr>
    <w:rPr>
      <w:snapToGrid/>
      <w:sz w:val="20"/>
    </w:rPr>
  </w:style>
  <w:style w:type="character" w:customStyle="1" w:styleId="par1Char">
    <w:name w:val="par1 Char"/>
    <w:link w:val="par1"/>
    <w:uiPriority w:val="99"/>
    <w:locked/>
    <w:rsid w:val="00BB0B86"/>
    <w:rPr>
      <w:kern w:val="28"/>
    </w:rPr>
  </w:style>
  <w:style w:type="character" w:styleId="CommentReference">
    <w:name w:val="annotation reference"/>
    <w:rsid w:val="00996BFF"/>
    <w:rPr>
      <w:sz w:val="16"/>
      <w:szCs w:val="16"/>
    </w:rPr>
  </w:style>
  <w:style w:type="paragraph" w:styleId="CommentText">
    <w:name w:val="annotation text"/>
    <w:basedOn w:val="Normal"/>
    <w:link w:val="CommentTextChar"/>
    <w:rsid w:val="00996BFF"/>
    <w:rPr>
      <w:sz w:val="20"/>
    </w:rPr>
  </w:style>
  <w:style w:type="character" w:customStyle="1" w:styleId="CommentTextChar">
    <w:name w:val="Comment Text Char"/>
    <w:link w:val="CommentText"/>
    <w:rsid w:val="00996BFF"/>
    <w:rPr>
      <w:snapToGrid w:val="0"/>
      <w:kern w:val="28"/>
    </w:rPr>
  </w:style>
  <w:style w:type="paragraph" w:styleId="CommentSubject">
    <w:name w:val="annotation subject"/>
    <w:basedOn w:val="CommentText"/>
    <w:next w:val="CommentText"/>
    <w:link w:val="CommentSubjectChar"/>
    <w:rsid w:val="00996BFF"/>
    <w:rPr>
      <w:b/>
      <w:bCs/>
    </w:rPr>
  </w:style>
  <w:style w:type="character" w:customStyle="1" w:styleId="CommentSubjectChar">
    <w:name w:val="Comment Subject Char"/>
    <w:link w:val="CommentSubject"/>
    <w:rsid w:val="00996BFF"/>
    <w:rPr>
      <w:b/>
      <w:bCs/>
      <w:snapToGrid w:val="0"/>
      <w:kern w:val="28"/>
    </w:rPr>
  </w:style>
  <w:style w:type="paragraph" w:styleId="BalloonText">
    <w:name w:val="Balloon Text"/>
    <w:basedOn w:val="Normal"/>
    <w:link w:val="BalloonTextChar"/>
    <w:rsid w:val="00996BFF"/>
    <w:rPr>
      <w:rFonts w:ascii="Segoe UI" w:hAnsi="Segoe UI" w:cs="Segoe UI"/>
      <w:sz w:val="18"/>
      <w:szCs w:val="18"/>
    </w:rPr>
  </w:style>
  <w:style w:type="character" w:customStyle="1" w:styleId="BalloonTextChar">
    <w:name w:val="Balloon Text Char"/>
    <w:link w:val="BalloonText"/>
    <w:rsid w:val="00996BFF"/>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gibs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R-Response@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2</Pages>
  <Words>1228</Words>
  <Characters>6586</Characters>
  <Application>Microsoft Office Word</Application>
  <DocSecurity>0</DocSecurity>
  <Lines>126</Lines>
  <Paragraphs>43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2017-01-19T16:05:00Z</dcterms:created>
  <dcterms:modified xsi:type="dcterms:W3CDTF">2017-01-19T16:05:00Z</dcterms:modified>
  <cp:category> </cp:category>
  <cp:contentStatus> </cp:contentStatus>
</cp:coreProperties>
</file>