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6D39" w14:textId="77777777" w:rsidR="00602577" w:rsidRPr="009D6643" w:rsidRDefault="00602577">
      <w:pPr>
        <w:pStyle w:val="Header"/>
        <w:tabs>
          <w:tab w:val="clear" w:pos="4320"/>
          <w:tab w:val="clear" w:pos="8640"/>
        </w:tabs>
        <w:rPr>
          <w:szCs w:val="22"/>
        </w:rPr>
        <w:sectPr w:rsidR="00602577" w:rsidRPr="009D664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5AB1E9B0" w14:textId="5FBFD829" w:rsidR="00602577" w:rsidRPr="009D6643" w:rsidRDefault="007C3A4D">
      <w:pPr>
        <w:jc w:val="right"/>
        <w:rPr>
          <w:b/>
          <w:szCs w:val="22"/>
        </w:rPr>
      </w:pPr>
      <w:r>
        <w:rPr>
          <w:b/>
          <w:szCs w:val="22"/>
        </w:rPr>
        <w:lastRenderedPageBreak/>
        <w:t xml:space="preserve">DA </w:t>
      </w:r>
      <w:r w:rsidR="00F142FA">
        <w:rPr>
          <w:b/>
          <w:szCs w:val="22"/>
        </w:rPr>
        <w:t>1</w:t>
      </w:r>
      <w:r w:rsidR="000A5C5F">
        <w:rPr>
          <w:b/>
          <w:szCs w:val="22"/>
        </w:rPr>
        <w:t>7</w:t>
      </w:r>
      <w:r w:rsidR="00F142FA">
        <w:rPr>
          <w:b/>
          <w:szCs w:val="22"/>
        </w:rPr>
        <w:t>-</w:t>
      </w:r>
      <w:r w:rsidR="00F12537">
        <w:rPr>
          <w:b/>
          <w:szCs w:val="22"/>
        </w:rPr>
        <w:t>50</w:t>
      </w:r>
    </w:p>
    <w:p w14:paraId="765EF7CD" w14:textId="77777777" w:rsidR="008635E4" w:rsidRPr="009D6643" w:rsidRDefault="008635E4">
      <w:pPr>
        <w:jc w:val="right"/>
        <w:rPr>
          <w:b/>
          <w:szCs w:val="22"/>
        </w:rPr>
      </w:pPr>
    </w:p>
    <w:p w14:paraId="34555EC5" w14:textId="59AD4B96" w:rsidR="00602577" w:rsidRPr="009D6643" w:rsidRDefault="00C21179">
      <w:pPr>
        <w:spacing w:before="60"/>
        <w:jc w:val="right"/>
        <w:rPr>
          <w:b/>
          <w:szCs w:val="22"/>
        </w:rPr>
      </w:pPr>
      <w:r>
        <w:rPr>
          <w:b/>
          <w:szCs w:val="22"/>
        </w:rPr>
        <w:t xml:space="preserve">Released </w:t>
      </w:r>
      <w:r w:rsidR="000A5C5F">
        <w:rPr>
          <w:b/>
          <w:szCs w:val="22"/>
        </w:rPr>
        <w:t xml:space="preserve">January </w:t>
      </w:r>
      <w:r w:rsidR="00CB15EC">
        <w:rPr>
          <w:b/>
          <w:szCs w:val="22"/>
        </w:rPr>
        <w:t>12</w:t>
      </w:r>
      <w:r w:rsidR="008C7C6B">
        <w:rPr>
          <w:b/>
          <w:szCs w:val="22"/>
        </w:rPr>
        <w:t>, 201</w:t>
      </w:r>
      <w:r w:rsidR="000A5C5F">
        <w:rPr>
          <w:b/>
          <w:szCs w:val="22"/>
        </w:rPr>
        <w:t>7</w:t>
      </w:r>
    </w:p>
    <w:p w14:paraId="4A21899A" w14:textId="77777777" w:rsidR="00602577" w:rsidRPr="009D6643" w:rsidRDefault="00602577">
      <w:pPr>
        <w:jc w:val="right"/>
        <w:rPr>
          <w:szCs w:val="22"/>
        </w:rPr>
      </w:pPr>
    </w:p>
    <w:p w14:paraId="03A8B137" w14:textId="1635B1EE" w:rsidR="00602577" w:rsidRPr="009D6643" w:rsidRDefault="00733073">
      <w:pPr>
        <w:spacing w:after="240"/>
        <w:jc w:val="center"/>
        <w:rPr>
          <w:b/>
          <w:szCs w:val="22"/>
        </w:rPr>
      </w:pPr>
      <w:r>
        <w:rPr>
          <w:b/>
          <w:szCs w:val="22"/>
        </w:rPr>
        <w:t xml:space="preserve">OFFICE OF ENGINEERING AND TECHNOLOGY AND </w:t>
      </w:r>
      <w:r w:rsidR="008635E4" w:rsidRPr="009D6643">
        <w:rPr>
          <w:b/>
          <w:szCs w:val="22"/>
        </w:rPr>
        <w:t>WIRELESS T</w:t>
      </w:r>
      <w:r w:rsidR="00D95C30">
        <w:rPr>
          <w:b/>
          <w:szCs w:val="22"/>
        </w:rPr>
        <w:t>ELECOMMUNICATIONS BUREAU EXTEND</w:t>
      </w:r>
      <w:r w:rsidR="008635E4" w:rsidRPr="009D6643">
        <w:rPr>
          <w:b/>
          <w:szCs w:val="22"/>
        </w:rPr>
        <w:t xml:space="preserve"> PERIOD TO FILE </w:t>
      </w:r>
      <w:r w:rsidR="00AC0784">
        <w:rPr>
          <w:b/>
          <w:szCs w:val="22"/>
        </w:rPr>
        <w:t xml:space="preserve">OPPOSITIONS AND REPLIES IN RESPONSE TO PETITIONS FOR RECONSIDERATION OF REPORT AND ORDER IN </w:t>
      </w:r>
      <w:r w:rsidR="00596B67">
        <w:rPr>
          <w:b/>
          <w:szCs w:val="22"/>
        </w:rPr>
        <w:t xml:space="preserve">USE OF SPECTRUM BANDS ABOVE 24 GHZ FOR MOBILE RADIO SERVICES </w:t>
      </w:r>
      <w:r w:rsidR="00AC0784">
        <w:rPr>
          <w:b/>
          <w:szCs w:val="22"/>
        </w:rPr>
        <w:t>PROCEEDING</w:t>
      </w:r>
    </w:p>
    <w:p w14:paraId="1A0CC629" w14:textId="77777777" w:rsidR="0014326D" w:rsidRDefault="0014326D" w:rsidP="0014326D">
      <w:pPr>
        <w:jc w:val="center"/>
        <w:rPr>
          <w:b/>
          <w:szCs w:val="22"/>
        </w:rPr>
      </w:pPr>
      <w:r w:rsidRPr="0014326D">
        <w:rPr>
          <w:b/>
          <w:szCs w:val="22"/>
        </w:rPr>
        <w:t>GN Docket No. 14-177</w:t>
      </w:r>
    </w:p>
    <w:p w14:paraId="6F0FB0F2" w14:textId="77777777" w:rsidR="0014326D" w:rsidRPr="0014326D" w:rsidRDefault="0014326D" w:rsidP="0014326D">
      <w:pPr>
        <w:jc w:val="center"/>
        <w:rPr>
          <w:b/>
          <w:szCs w:val="22"/>
        </w:rPr>
      </w:pPr>
    </w:p>
    <w:p w14:paraId="771AD73A" w14:textId="77777777" w:rsidR="0014326D" w:rsidRPr="0014326D" w:rsidRDefault="0014326D" w:rsidP="0014326D">
      <w:pPr>
        <w:jc w:val="center"/>
        <w:rPr>
          <w:b/>
          <w:szCs w:val="22"/>
        </w:rPr>
      </w:pPr>
      <w:r w:rsidRPr="0014326D">
        <w:rPr>
          <w:b/>
          <w:szCs w:val="22"/>
        </w:rPr>
        <w:t>IB Docket Nos. 15-256, 97-95</w:t>
      </w:r>
    </w:p>
    <w:p w14:paraId="48042F2C" w14:textId="77777777" w:rsidR="0014326D" w:rsidRDefault="0014326D" w:rsidP="0014326D">
      <w:pPr>
        <w:jc w:val="center"/>
        <w:rPr>
          <w:b/>
          <w:szCs w:val="22"/>
        </w:rPr>
      </w:pPr>
    </w:p>
    <w:p w14:paraId="5BBFBF15" w14:textId="77777777" w:rsidR="0014326D" w:rsidRDefault="0014326D" w:rsidP="0014326D">
      <w:pPr>
        <w:jc w:val="center"/>
        <w:rPr>
          <w:b/>
          <w:szCs w:val="22"/>
        </w:rPr>
      </w:pPr>
      <w:r w:rsidRPr="0014326D">
        <w:rPr>
          <w:b/>
          <w:szCs w:val="22"/>
        </w:rPr>
        <w:t>WT Docket No. 10-112</w:t>
      </w:r>
    </w:p>
    <w:p w14:paraId="63927D2E" w14:textId="77777777" w:rsidR="0014326D" w:rsidRPr="0014326D" w:rsidRDefault="0014326D" w:rsidP="0014326D">
      <w:pPr>
        <w:jc w:val="center"/>
        <w:rPr>
          <w:b/>
          <w:szCs w:val="22"/>
        </w:rPr>
      </w:pPr>
    </w:p>
    <w:p w14:paraId="5B27030E" w14:textId="45D81E72" w:rsidR="000A5C5F" w:rsidRDefault="000A5C5F" w:rsidP="000A5C5F">
      <w:pPr>
        <w:rPr>
          <w:b/>
          <w:szCs w:val="22"/>
        </w:rPr>
      </w:pPr>
      <w:r>
        <w:rPr>
          <w:b/>
          <w:szCs w:val="22"/>
        </w:rPr>
        <w:t xml:space="preserve">Oppositions to Petitions for Reconsideration </w:t>
      </w:r>
      <w:r w:rsidR="008635E4" w:rsidRPr="009D6643">
        <w:rPr>
          <w:b/>
          <w:szCs w:val="22"/>
        </w:rPr>
        <w:t>D</w:t>
      </w:r>
      <w:r>
        <w:rPr>
          <w:b/>
          <w:szCs w:val="22"/>
        </w:rPr>
        <w:t>ue</w:t>
      </w:r>
      <w:r w:rsidR="008635E4" w:rsidRPr="009D6643">
        <w:rPr>
          <w:b/>
          <w:szCs w:val="22"/>
        </w:rPr>
        <w:t>:</w:t>
      </w:r>
      <w:r>
        <w:rPr>
          <w:b/>
          <w:szCs w:val="22"/>
        </w:rPr>
        <w:t xml:space="preserve"> January 31, 2017</w:t>
      </w:r>
    </w:p>
    <w:p w14:paraId="4A2F2077" w14:textId="6EC84B03" w:rsidR="000A5C5F" w:rsidRPr="009D6643" w:rsidRDefault="000A5C5F" w:rsidP="000A5C5F">
      <w:pPr>
        <w:rPr>
          <w:b/>
          <w:szCs w:val="22"/>
        </w:rPr>
      </w:pPr>
      <w:r>
        <w:rPr>
          <w:b/>
          <w:szCs w:val="22"/>
        </w:rPr>
        <w:t xml:space="preserve">Replies to Oppositions to </w:t>
      </w:r>
      <w:r w:rsidRPr="000A5C5F">
        <w:rPr>
          <w:b/>
          <w:szCs w:val="22"/>
        </w:rPr>
        <w:t xml:space="preserve">Petitions for Reconsideration Due: </w:t>
      </w:r>
      <w:r>
        <w:rPr>
          <w:b/>
          <w:szCs w:val="22"/>
        </w:rPr>
        <w:t>February 10</w:t>
      </w:r>
      <w:r w:rsidRPr="000A5C5F">
        <w:rPr>
          <w:b/>
          <w:szCs w:val="22"/>
        </w:rPr>
        <w:t>, 2017</w:t>
      </w:r>
    </w:p>
    <w:p w14:paraId="076B790D" w14:textId="7771F1C7" w:rsidR="001467D2" w:rsidRDefault="008635E4">
      <w:pPr>
        <w:spacing w:before="120" w:after="240"/>
        <w:rPr>
          <w:szCs w:val="22"/>
        </w:rPr>
      </w:pPr>
      <w:r w:rsidRPr="009D6643">
        <w:rPr>
          <w:szCs w:val="22"/>
        </w:rPr>
        <w:tab/>
        <w:t xml:space="preserve">By this </w:t>
      </w:r>
      <w:r w:rsidRPr="009D6643">
        <w:rPr>
          <w:i/>
          <w:szCs w:val="22"/>
        </w:rPr>
        <w:t>Public Notice</w:t>
      </w:r>
      <w:r w:rsidRPr="009D6643">
        <w:rPr>
          <w:szCs w:val="22"/>
        </w:rPr>
        <w:t xml:space="preserve">, we extend the deadline for filing </w:t>
      </w:r>
      <w:r w:rsidR="00D0473C">
        <w:rPr>
          <w:szCs w:val="22"/>
        </w:rPr>
        <w:t xml:space="preserve">oppositions and replies </w:t>
      </w:r>
      <w:r w:rsidRPr="009D6643">
        <w:rPr>
          <w:szCs w:val="22"/>
        </w:rPr>
        <w:t xml:space="preserve">in response to </w:t>
      </w:r>
      <w:r w:rsidR="00D0473C">
        <w:rPr>
          <w:szCs w:val="22"/>
        </w:rPr>
        <w:t xml:space="preserve">petitions for reconsideration of </w:t>
      </w:r>
      <w:r w:rsidRPr="009D6643">
        <w:rPr>
          <w:szCs w:val="22"/>
        </w:rPr>
        <w:t xml:space="preserve">the </w:t>
      </w:r>
      <w:r w:rsidR="00D0473C">
        <w:rPr>
          <w:i/>
          <w:szCs w:val="22"/>
        </w:rPr>
        <w:t>Report and Order</w:t>
      </w:r>
      <w:r w:rsidR="009D6643">
        <w:rPr>
          <w:szCs w:val="22"/>
        </w:rPr>
        <w:t xml:space="preserve"> in the above-</w:t>
      </w:r>
      <w:r w:rsidRPr="009D6643">
        <w:rPr>
          <w:szCs w:val="22"/>
        </w:rPr>
        <w:t>captioned proceeding.</w:t>
      </w:r>
      <w:r w:rsidRPr="009D6643">
        <w:rPr>
          <w:rStyle w:val="FootnoteReference"/>
          <w:szCs w:val="22"/>
        </w:rPr>
        <w:footnoteReference w:id="1"/>
      </w:r>
      <w:r w:rsidRPr="009D6643">
        <w:rPr>
          <w:szCs w:val="22"/>
        </w:rPr>
        <w:t xml:space="preserve">  Interested parties wil</w:t>
      </w:r>
      <w:r w:rsidR="008C7C6B">
        <w:rPr>
          <w:szCs w:val="22"/>
        </w:rPr>
        <w:t>l now have until</w:t>
      </w:r>
      <w:r w:rsidR="008C7C6B" w:rsidRPr="008C7C6B">
        <w:t xml:space="preserve"> </w:t>
      </w:r>
      <w:r w:rsidR="00D0473C">
        <w:t>January 31</w:t>
      </w:r>
      <w:r w:rsidR="008C7C6B">
        <w:rPr>
          <w:szCs w:val="22"/>
        </w:rPr>
        <w:t>, 201</w:t>
      </w:r>
      <w:r w:rsidR="00D0473C">
        <w:rPr>
          <w:szCs w:val="22"/>
        </w:rPr>
        <w:t>7</w:t>
      </w:r>
      <w:r w:rsidR="008C7C6B">
        <w:rPr>
          <w:szCs w:val="22"/>
        </w:rPr>
        <w:t xml:space="preserve"> </w:t>
      </w:r>
      <w:r w:rsidRPr="009D6643">
        <w:rPr>
          <w:szCs w:val="22"/>
        </w:rPr>
        <w:t>to file</w:t>
      </w:r>
      <w:r w:rsidR="00D0473C">
        <w:rPr>
          <w:szCs w:val="22"/>
        </w:rPr>
        <w:t xml:space="preserve"> oppositions to petitions for reconsideration and February 10, 2017 to file replies to oppositions.</w:t>
      </w:r>
    </w:p>
    <w:p w14:paraId="410F980D" w14:textId="39CC96D3" w:rsidR="009D6643" w:rsidRPr="00873D12" w:rsidRDefault="007037A1" w:rsidP="001D338D">
      <w:pPr>
        <w:spacing w:before="120" w:after="240"/>
        <w:rPr>
          <w:szCs w:val="22"/>
        </w:rPr>
      </w:pPr>
      <w:r>
        <w:rPr>
          <w:szCs w:val="22"/>
        </w:rPr>
        <w:tab/>
        <w:t>On</w:t>
      </w:r>
      <w:r w:rsidR="00D0473C">
        <w:rPr>
          <w:szCs w:val="22"/>
        </w:rPr>
        <w:t xml:space="preserve"> January 6, 2017</w:t>
      </w:r>
      <w:r w:rsidR="009D6643">
        <w:rPr>
          <w:szCs w:val="22"/>
        </w:rPr>
        <w:t xml:space="preserve">, </w:t>
      </w:r>
      <w:r w:rsidR="00D0473C">
        <w:rPr>
          <w:szCs w:val="22"/>
        </w:rPr>
        <w:t xml:space="preserve">Public Knowledge and Open Technology Institute </w:t>
      </w:r>
      <w:r w:rsidR="00596B67">
        <w:rPr>
          <w:szCs w:val="22"/>
        </w:rPr>
        <w:t xml:space="preserve">(together, Petitioners) </w:t>
      </w:r>
      <w:r w:rsidR="009D6643">
        <w:rPr>
          <w:szCs w:val="22"/>
        </w:rPr>
        <w:t xml:space="preserve">filed a </w:t>
      </w:r>
      <w:r w:rsidR="00180F37">
        <w:rPr>
          <w:szCs w:val="22"/>
        </w:rPr>
        <w:t xml:space="preserve">motion </w:t>
      </w:r>
      <w:r w:rsidR="009D6643">
        <w:rPr>
          <w:szCs w:val="22"/>
        </w:rPr>
        <w:t xml:space="preserve">to extend the </w:t>
      </w:r>
      <w:r w:rsidR="004A06C2">
        <w:rPr>
          <w:szCs w:val="22"/>
        </w:rPr>
        <w:t xml:space="preserve">date for oppositions to petitions for reconsideration </w:t>
      </w:r>
      <w:r>
        <w:rPr>
          <w:szCs w:val="22"/>
        </w:rPr>
        <w:t xml:space="preserve">from </w:t>
      </w:r>
      <w:r w:rsidR="004A06C2">
        <w:rPr>
          <w:szCs w:val="22"/>
        </w:rPr>
        <w:t>January 17</w:t>
      </w:r>
      <w:r>
        <w:rPr>
          <w:szCs w:val="22"/>
        </w:rPr>
        <w:t>, 201</w:t>
      </w:r>
      <w:r w:rsidR="004A06C2">
        <w:rPr>
          <w:szCs w:val="22"/>
        </w:rPr>
        <w:t>7 to January 31, 2017 and the date for replies to oppositions to petitions for reconsideration from</w:t>
      </w:r>
      <w:r>
        <w:rPr>
          <w:szCs w:val="22"/>
        </w:rPr>
        <w:t xml:space="preserve"> </w:t>
      </w:r>
      <w:r w:rsidR="004A06C2">
        <w:rPr>
          <w:szCs w:val="22"/>
        </w:rPr>
        <w:t>January 27, 2017 to February 10, 2017</w:t>
      </w:r>
      <w:r w:rsidR="009D6643">
        <w:rPr>
          <w:szCs w:val="22"/>
        </w:rPr>
        <w:t>.</w:t>
      </w:r>
      <w:r w:rsidR="009D6643">
        <w:rPr>
          <w:rStyle w:val="FootnoteReference"/>
          <w:szCs w:val="22"/>
        </w:rPr>
        <w:footnoteReference w:id="2"/>
      </w:r>
      <w:r w:rsidR="009D6643">
        <w:rPr>
          <w:szCs w:val="22"/>
        </w:rPr>
        <w:t xml:space="preserve">  </w:t>
      </w:r>
      <w:r w:rsidR="00596B67">
        <w:rPr>
          <w:szCs w:val="22"/>
        </w:rPr>
        <w:t xml:space="preserve">Petitioners </w:t>
      </w:r>
      <w:r w:rsidR="009D6643">
        <w:rPr>
          <w:szCs w:val="22"/>
        </w:rPr>
        <w:t>assert</w:t>
      </w:r>
      <w:r w:rsidR="005034A6">
        <w:rPr>
          <w:szCs w:val="22"/>
        </w:rPr>
        <w:t>,</w:t>
      </w:r>
      <w:r w:rsidR="009D6643">
        <w:rPr>
          <w:szCs w:val="22"/>
        </w:rPr>
        <w:t xml:space="preserve"> </w:t>
      </w:r>
      <w:r w:rsidR="005034A6">
        <w:rPr>
          <w:szCs w:val="22"/>
        </w:rPr>
        <w:t>“</w:t>
      </w:r>
      <w:r w:rsidR="005034A6" w:rsidRPr="005034A6">
        <w:rPr>
          <w:szCs w:val="22"/>
        </w:rPr>
        <w:t>Given the diversity and complexity of issues raised by the 13 Petitions,</w:t>
      </w:r>
      <w:r w:rsidR="005034A6">
        <w:rPr>
          <w:szCs w:val="22"/>
        </w:rPr>
        <w:t xml:space="preserve"> </w:t>
      </w:r>
      <w:r w:rsidR="005034A6" w:rsidRPr="005034A6">
        <w:rPr>
          <w:szCs w:val="22"/>
        </w:rPr>
        <w:t>it would be appropriate for the Commission to grant an extension of time to ensure that it has</w:t>
      </w:r>
      <w:r w:rsidR="005034A6">
        <w:rPr>
          <w:szCs w:val="22"/>
        </w:rPr>
        <w:t xml:space="preserve"> </w:t>
      </w:r>
      <w:r w:rsidR="005034A6" w:rsidRPr="005034A6">
        <w:rPr>
          <w:szCs w:val="22"/>
        </w:rPr>
        <w:t>before it a robust and fully developed record upon which to rely as it reviews these Petitions.</w:t>
      </w:r>
      <w:r w:rsidR="005034A6">
        <w:rPr>
          <w:szCs w:val="22"/>
        </w:rPr>
        <w:t>”</w:t>
      </w:r>
      <w:r w:rsidR="005034A6">
        <w:rPr>
          <w:rStyle w:val="FootnoteReference"/>
          <w:szCs w:val="22"/>
        </w:rPr>
        <w:footnoteReference w:id="3"/>
      </w:r>
      <w:r w:rsidR="005034A6" w:rsidRPr="005034A6">
        <w:rPr>
          <w:szCs w:val="22"/>
        </w:rPr>
        <w:t xml:space="preserve"> </w:t>
      </w:r>
      <w:r w:rsidR="005034A6">
        <w:rPr>
          <w:szCs w:val="22"/>
        </w:rPr>
        <w:t xml:space="preserve"> Petitioners also claim </w:t>
      </w:r>
      <w:r w:rsidR="009D6643">
        <w:rPr>
          <w:szCs w:val="22"/>
        </w:rPr>
        <w:t>addi</w:t>
      </w:r>
      <w:r w:rsidR="00873D12">
        <w:rPr>
          <w:szCs w:val="22"/>
        </w:rPr>
        <w:t>tional time is n</w:t>
      </w:r>
      <w:r>
        <w:rPr>
          <w:szCs w:val="22"/>
        </w:rPr>
        <w:t>eeded</w:t>
      </w:r>
      <w:r w:rsidR="005034A6">
        <w:rPr>
          <w:szCs w:val="22"/>
        </w:rPr>
        <w:t xml:space="preserve"> because </w:t>
      </w:r>
      <w:r w:rsidR="001D338D">
        <w:rPr>
          <w:szCs w:val="22"/>
        </w:rPr>
        <w:t xml:space="preserve">there were </w:t>
      </w:r>
      <w:r w:rsidR="005034A6">
        <w:rPr>
          <w:szCs w:val="22"/>
        </w:rPr>
        <w:t>holidays and the Consumer Electronics Show</w:t>
      </w:r>
      <w:r w:rsidR="001D338D">
        <w:rPr>
          <w:szCs w:val="22"/>
        </w:rPr>
        <w:t xml:space="preserve"> during the time for preparing oppositions</w:t>
      </w:r>
      <w:r w:rsidR="00873D12">
        <w:rPr>
          <w:szCs w:val="22"/>
        </w:rPr>
        <w:t>.</w:t>
      </w:r>
      <w:r w:rsidR="00180F37">
        <w:rPr>
          <w:rStyle w:val="FootnoteReference"/>
          <w:szCs w:val="22"/>
        </w:rPr>
        <w:footnoteReference w:id="4"/>
      </w:r>
      <w:r>
        <w:rPr>
          <w:szCs w:val="22"/>
        </w:rPr>
        <w:t xml:space="preserve">  </w:t>
      </w:r>
      <w:r w:rsidR="001D338D">
        <w:rPr>
          <w:szCs w:val="22"/>
        </w:rPr>
        <w:t xml:space="preserve">Petitioners note that they notified all parties who filed petitions for reconsideration of their intent to file the Motion and represent that </w:t>
      </w:r>
      <w:r w:rsidR="001D338D" w:rsidRPr="001D338D">
        <w:rPr>
          <w:szCs w:val="22"/>
        </w:rPr>
        <w:t>NCTA – The Internet &amp; Television Association, T-Mobile</w:t>
      </w:r>
      <w:r w:rsidR="001D338D">
        <w:rPr>
          <w:szCs w:val="22"/>
        </w:rPr>
        <w:t xml:space="preserve"> USA, Inc.</w:t>
      </w:r>
      <w:r w:rsidR="001D338D" w:rsidRPr="001D338D">
        <w:rPr>
          <w:szCs w:val="22"/>
        </w:rPr>
        <w:t>, V</w:t>
      </w:r>
      <w:r w:rsidR="001D338D">
        <w:rPr>
          <w:szCs w:val="22"/>
        </w:rPr>
        <w:t>ia</w:t>
      </w:r>
      <w:r w:rsidR="001D338D" w:rsidRPr="001D338D">
        <w:rPr>
          <w:szCs w:val="22"/>
        </w:rPr>
        <w:t>S</w:t>
      </w:r>
      <w:r w:rsidR="001D338D">
        <w:rPr>
          <w:szCs w:val="22"/>
        </w:rPr>
        <w:t>at</w:t>
      </w:r>
      <w:r w:rsidR="001D338D" w:rsidRPr="001D338D">
        <w:rPr>
          <w:szCs w:val="22"/>
        </w:rPr>
        <w:t>, I</w:t>
      </w:r>
      <w:r w:rsidR="001D338D">
        <w:rPr>
          <w:szCs w:val="22"/>
        </w:rPr>
        <w:t>nc.</w:t>
      </w:r>
      <w:r w:rsidR="001D338D" w:rsidRPr="001D338D">
        <w:rPr>
          <w:szCs w:val="22"/>
        </w:rPr>
        <w:t>,</w:t>
      </w:r>
      <w:r w:rsidR="001D338D">
        <w:rPr>
          <w:szCs w:val="22"/>
        </w:rPr>
        <w:t xml:space="preserve"> </w:t>
      </w:r>
      <w:r w:rsidR="001D338D" w:rsidRPr="001D338D">
        <w:rPr>
          <w:szCs w:val="22"/>
        </w:rPr>
        <w:t xml:space="preserve">Competitive Carriers Association, </w:t>
      </w:r>
      <w:r w:rsidR="001D338D" w:rsidRPr="001D338D">
        <w:rPr>
          <w:szCs w:val="22"/>
        </w:rPr>
        <w:lastRenderedPageBreak/>
        <w:t>Echostar</w:t>
      </w:r>
      <w:r w:rsidR="001D338D">
        <w:rPr>
          <w:szCs w:val="22"/>
        </w:rPr>
        <w:t xml:space="preserve"> Satellite Operating Corporation</w:t>
      </w:r>
      <w:r w:rsidR="001D338D" w:rsidRPr="001D338D">
        <w:rPr>
          <w:szCs w:val="22"/>
        </w:rPr>
        <w:t xml:space="preserve">, Nextlink Wireless, </w:t>
      </w:r>
      <w:r w:rsidR="001D338D">
        <w:rPr>
          <w:szCs w:val="22"/>
        </w:rPr>
        <w:t xml:space="preserve">LLC, </w:t>
      </w:r>
      <w:r w:rsidR="001D338D" w:rsidRPr="001D338D">
        <w:rPr>
          <w:szCs w:val="22"/>
        </w:rPr>
        <w:t xml:space="preserve">and </w:t>
      </w:r>
      <w:r w:rsidR="001D338D">
        <w:rPr>
          <w:szCs w:val="22"/>
        </w:rPr>
        <w:t xml:space="preserve">The </w:t>
      </w:r>
      <w:r w:rsidR="001D338D" w:rsidRPr="001D338D">
        <w:rPr>
          <w:szCs w:val="22"/>
        </w:rPr>
        <w:t>Boeing</w:t>
      </w:r>
      <w:r w:rsidR="001D338D">
        <w:rPr>
          <w:szCs w:val="22"/>
        </w:rPr>
        <w:t xml:space="preserve"> Company have no objection to grant of the Motion.</w:t>
      </w:r>
      <w:r w:rsidR="001D338D">
        <w:rPr>
          <w:rStyle w:val="FootnoteReference"/>
          <w:szCs w:val="22"/>
        </w:rPr>
        <w:footnoteReference w:id="5"/>
      </w:r>
    </w:p>
    <w:p w14:paraId="0E490AA2" w14:textId="6AFE2B5D" w:rsidR="008635E4" w:rsidRPr="008635E4" w:rsidRDefault="008635E4" w:rsidP="008635E4">
      <w:pPr>
        <w:ind w:firstLine="720"/>
        <w:rPr>
          <w:szCs w:val="22"/>
        </w:rPr>
      </w:pPr>
      <w:r w:rsidRPr="008635E4">
        <w:rPr>
          <w:szCs w:val="22"/>
        </w:rPr>
        <w:t>It is the general policy of the Commission that extensions of time shall not be routinely granted.</w:t>
      </w:r>
      <w:r w:rsidRPr="009D6643">
        <w:rPr>
          <w:szCs w:val="22"/>
          <w:vertAlign w:val="superscript"/>
        </w:rPr>
        <w:footnoteReference w:id="6"/>
      </w:r>
      <w:r w:rsidRPr="008635E4">
        <w:rPr>
          <w:szCs w:val="22"/>
        </w:rPr>
        <w:t xml:space="preserve">  However, under these</w:t>
      </w:r>
      <w:r w:rsidR="00EB7F7D">
        <w:rPr>
          <w:szCs w:val="22"/>
        </w:rPr>
        <w:t xml:space="preserve"> circumstances, we agree that a</w:t>
      </w:r>
      <w:r w:rsidR="00AC0784">
        <w:rPr>
          <w:szCs w:val="22"/>
        </w:rPr>
        <w:t>n</w:t>
      </w:r>
      <w:r w:rsidR="00EB7F7D">
        <w:rPr>
          <w:szCs w:val="22"/>
        </w:rPr>
        <w:t xml:space="preserve"> </w:t>
      </w:r>
      <w:r w:rsidRPr="008635E4">
        <w:rPr>
          <w:szCs w:val="22"/>
        </w:rPr>
        <w:t xml:space="preserve">extension of time to file </w:t>
      </w:r>
      <w:r w:rsidR="001D338D">
        <w:rPr>
          <w:szCs w:val="22"/>
        </w:rPr>
        <w:t xml:space="preserve">oppositions and replies </w:t>
      </w:r>
      <w:r w:rsidRPr="008635E4">
        <w:rPr>
          <w:szCs w:val="22"/>
        </w:rPr>
        <w:t>is warranted to ensure that the Commission obtains a complete and thorough record in response to the</w:t>
      </w:r>
      <w:r w:rsidR="001D338D">
        <w:rPr>
          <w:szCs w:val="22"/>
        </w:rPr>
        <w:t xml:space="preserve"> petitions for reconsideration</w:t>
      </w:r>
      <w:r w:rsidRPr="008635E4">
        <w:rPr>
          <w:szCs w:val="22"/>
        </w:rPr>
        <w:t xml:space="preserve">.  The </w:t>
      </w:r>
      <w:r w:rsidR="001D338D">
        <w:rPr>
          <w:szCs w:val="22"/>
        </w:rPr>
        <w:t xml:space="preserve">petitions raise a wide variety of issues, many of which are complex and technical in nature.  </w:t>
      </w:r>
      <w:r w:rsidRPr="008635E4">
        <w:rPr>
          <w:szCs w:val="22"/>
        </w:rPr>
        <w:t>We conclude that a</w:t>
      </w:r>
      <w:r w:rsidR="001D338D">
        <w:rPr>
          <w:szCs w:val="22"/>
        </w:rPr>
        <w:t>n</w:t>
      </w:r>
      <w:r w:rsidRPr="008635E4">
        <w:rPr>
          <w:szCs w:val="22"/>
        </w:rPr>
        <w:t xml:space="preserve"> extension of time is warranted to enable interested parties sufficient opportunity to review and </w:t>
      </w:r>
      <w:r w:rsidR="00AC0784">
        <w:rPr>
          <w:szCs w:val="22"/>
        </w:rPr>
        <w:t xml:space="preserve">to </w:t>
      </w:r>
      <w:r w:rsidRPr="008635E4">
        <w:rPr>
          <w:szCs w:val="22"/>
        </w:rPr>
        <w:t>respond to the complex issues raised by the</w:t>
      </w:r>
      <w:r w:rsidR="001D338D">
        <w:rPr>
          <w:szCs w:val="22"/>
        </w:rPr>
        <w:t xml:space="preserve"> petitions for reconsideration</w:t>
      </w:r>
      <w:r w:rsidRPr="008635E4">
        <w:rPr>
          <w:i/>
          <w:szCs w:val="22"/>
        </w:rPr>
        <w:t xml:space="preserve">.  </w:t>
      </w:r>
      <w:r w:rsidRPr="008635E4">
        <w:rPr>
          <w:szCs w:val="22"/>
        </w:rPr>
        <w:t>Accordingly, pursuant to Section 4(i) of the Communications Act of 1934, as amended,</w:t>
      </w:r>
      <w:r w:rsidRPr="009D6643">
        <w:rPr>
          <w:szCs w:val="22"/>
          <w:vertAlign w:val="superscript"/>
        </w:rPr>
        <w:footnoteReference w:id="7"/>
      </w:r>
      <w:r w:rsidRPr="008635E4">
        <w:rPr>
          <w:szCs w:val="22"/>
        </w:rPr>
        <w:t xml:space="preserve"> and Section 1.46 of the Commission's rules,</w:t>
      </w:r>
      <w:r w:rsidRPr="009D6643">
        <w:rPr>
          <w:szCs w:val="22"/>
          <w:vertAlign w:val="superscript"/>
        </w:rPr>
        <w:footnoteReference w:id="8"/>
      </w:r>
      <w:r w:rsidRPr="008635E4">
        <w:rPr>
          <w:szCs w:val="22"/>
        </w:rPr>
        <w:t xml:space="preserve"> we extend the deadline for filing </w:t>
      </w:r>
      <w:r w:rsidR="001D338D">
        <w:rPr>
          <w:szCs w:val="22"/>
        </w:rPr>
        <w:t xml:space="preserve">oppositions to petitions for reconsideration </w:t>
      </w:r>
      <w:r w:rsidRPr="008635E4">
        <w:rPr>
          <w:szCs w:val="22"/>
        </w:rPr>
        <w:t>until</w:t>
      </w:r>
      <w:r w:rsidR="001D338D">
        <w:rPr>
          <w:szCs w:val="22"/>
        </w:rPr>
        <w:t xml:space="preserve"> January 31</w:t>
      </w:r>
      <w:r w:rsidR="004E458A">
        <w:rPr>
          <w:szCs w:val="22"/>
        </w:rPr>
        <w:t>,</w:t>
      </w:r>
      <w:r w:rsidRPr="008635E4">
        <w:rPr>
          <w:szCs w:val="22"/>
        </w:rPr>
        <w:t xml:space="preserve"> 201</w:t>
      </w:r>
      <w:r w:rsidR="001D338D">
        <w:rPr>
          <w:szCs w:val="22"/>
        </w:rPr>
        <w:t>7.  We also extend the deadline for replies to oppositions to petitions for reconsideration until February 10, 2017</w:t>
      </w:r>
      <w:r w:rsidRPr="008635E4">
        <w:rPr>
          <w:szCs w:val="22"/>
        </w:rPr>
        <w:t>.</w:t>
      </w:r>
    </w:p>
    <w:p w14:paraId="2329AF83" w14:textId="26E57004" w:rsidR="008635E4" w:rsidRPr="009D6643" w:rsidRDefault="008635E4">
      <w:pPr>
        <w:spacing w:before="120" w:after="240"/>
        <w:rPr>
          <w:szCs w:val="22"/>
        </w:rPr>
      </w:pPr>
      <w:r w:rsidRPr="009D6643">
        <w:rPr>
          <w:szCs w:val="22"/>
        </w:rPr>
        <w:tab/>
        <w:t>For further informa</w:t>
      </w:r>
      <w:r w:rsidR="00EB7F7D">
        <w:rPr>
          <w:szCs w:val="22"/>
        </w:rPr>
        <w:t xml:space="preserve">tion, please contact </w:t>
      </w:r>
      <w:r w:rsidR="008E353E" w:rsidRPr="008E353E">
        <w:rPr>
          <w:szCs w:val="22"/>
        </w:rPr>
        <w:t>John Schauble of the Wireless Telecommunications Bureau, Broadband Division, at 202-418-0797 or John.Schauble@fcc.gov</w:t>
      </w:r>
      <w:r w:rsidRPr="009D6643">
        <w:rPr>
          <w:szCs w:val="22"/>
        </w:rPr>
        <w:t>.</w:t>
      </w:r>
    </w:p>
    <w:p w14:paraId="113EF315" w14:textId="5183F2D5" w:rsidR="001467D2" w:rsidRPr="009D6643" w:rsidRDefault="001467D2">
      <w:pPr>
        <w:spacing w:before="120" w:after="240"/>
        <w:rPr>
          <w:szCs w:val="22"/>
        </w:rPr>
      </w:pPr>
      <w:r w:rsidRPr="009D6643">
        <w:rPr>
          <w:szCs w:val="22"/>
        </w:rPr>
        <w:tab/>
        <w:t xml:space="preserve">Action by the Chief, </w:t>
      </w:r>
      <w:r w:rsidR="0007365D">
        <w:rPr>
          <w:szCs w:val="22"/>
        </w:rPr>
        <w:t xml:space="preserve">Broadband Division, </w:t>
      </w:r>
      <w:r w:rsidRPr="009D6643">
        <w:rPr>
          <w:szCs w:val="22"/>
        </w:rPr>
        <w:t>Wireless Telecommunications Bureau</w:t>
      </w:r>
      <w:r w:rsidR="0007365D">
        <w:rPr>
          <w:szCs w:val="22"/>
        </w:rPr>
        <w:t xml:space="preserve"> and </w:t>
      </w:r>
      <w:r w:rsidR="00507BB0">
        <w:rPr>
          <w:szCs w:val="22"/>
        </w:rPr>
        <w:t xml:space="preserve">Acting </w:t>
      </w:r>
      <w:r w:rsidR="0007365D">
        <w:rPr>
          <w:szCs w:val="22"/>
        </w:rPr>
        <w:t>Chief, Policy and Rules Division, Office of Engineering and Technology</w:t>
      </w:r>
    </w:p>
    <w:p w14:paraId="370032D6" w14:textId="77777777" w:rsidR="001467D2" w:rsidRPr="009D6643" w:rsidRDefault="001467D2" w:rsidP="001467D2">
      <w:pPr>
        <w:spacing w:before="120" w:after="240"/>
        <w:jc w:val="center"/>
        <w:rPr>
          <w:szCs w:val="22"/>
        </w:rPr>
      </w:pPr>
      <w:r w:rsidRPr="009D6643">
        <w:rPr>
          <w:szCs w:val="22"/>
        </w:rPr>
        <w:t>-FCC-</w:t>
      </w:r>
    </w:p>
    <w:sectPr w:rsidR="001467D2" w:rsidRPr="009D664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0506" w14:textId="77777777" w:rsidR="00B53712" w:rsidRDefault="00B53712">
      <w:r>
        <w:separator/>
      </w:r>
    </w:p>
  </w:endnote>
  <w:endnote w:type="continuationSeparator" w:id="0">
    <w:p w14:paraId="68AB6B08" w14:textId="77777777" w:rsidR="00B53712" w:rsidRDefault="00B5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D61E" w14:textId="77777777" w:rsidR="00EB1346" w:rsidRDefault="00EB1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5313" w14:textId="77777777" w:rsidR="00EB1346" w:rsidRDefault="00EB1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4D37" w14:textId="77777777" w:rsidR="00EB1346" w:rsidRDefault="00EB1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BAD7" w14:textId="77777777" w:rsidR="00B53712" w:rsidRDefault="00B53712">
      <w:r>
        <w:separator/>
      </w:r>
    </w:p>
  </w:footnote>
  <w:footnote w:type="continuationSeparator" w:id="0">
    <w:p w14:paraId="1069DEC0" w14:textId="77777777" w:rsidR="00B53712" w:rsidRDefault="00B53712">
      <w:r>
        <w:continuationSeparator/>
      </w:r>
    </w:p>
  </w:footnote>
  <w:footnote w:id="1">
    <w:p w14:paraId="7E745D81" w14:textId="4188695E" w:rsidR="008635E4" w:rsidRPr="001D338D" w:rsidRDefault="008635E4" w:rsidP="00507BB0">
      <w:pPr>
        <w:pStyle w:val="FootnoteText"/>
        <w:spacing w:after="120"/>
        <w:rPr>
          <w:sz w:val="20"/>
        </w:rPr>
      </w:pPr>
      <w:r w:rsidRPr="001D338D">
        <w:rPr>
          <w:rStyle w:val="FootnoteReference"/>
          <w:sz w:val="20"/>
        </w:rPr>
        <w:footnoteRef/>
      </w:r>
      <w:r w:rsidRPr="001D338D">
        <w:rPr>
          <w:sz w:val="20"/>
        </w:rPr>
        <w:t xml:space="preserve"> </w:t>
      </w:r>
      <w:r w:rsidR="00652478" w:rsidRPr="001D338D">
        <w:rPr>
          <w:i/>
          <w:sz w:val="20"/>
        </w:rPr>
        <w:t>Use of Spectrum Bands Above 24 GHz for Mobile Radio Services</w:t>
      </w:r>
      <w:r w:rsidR="00652478" w:rsidRPr="001D338D">
        <w:rPr>
          <w:sz w:val="20"/>
        </w:rPr>
        <w:t xml:space="preserve">, </w:t>
      </w:r>
      <w:r w:rsidR="004A06C2" w:rsidRPr="001D338D">
        <w:rPr>
          <w:sz w:val="20"/>
        </w:rPr>
        <w:t xml:space="preserve">Report and Order and Further </w:t>
      </w:r>
      <w:r w:rsidR="00652478" w:rsidRPr="001D338D">
        <w:rPr>
          <w:sz w:val="20"/>
        </w:rPr>
        <w:t>Notice of Propose</w:t>
      </w:r>
      <w:r w:rsidR="004F7CCA" w:rsidRPr="001D338D">
        <w:rPr>
          <w:sz w:val="20"/>
        </w:rPr>
        <w:t>d Rulemaking</w:t>
      </w:r>
      <w:r w:rsidR="004A06C2" w:rsidRPr="001D338D">
        <w:rPr>
          <w:sz w:val="20"/>
        </w:rPr>
        <w:t xml:space="preserve">, 31 FCC Rcd </w:t>
      </w:r>
      <w:r w:rsidR="005034A6" w:rsidRPr="001D338D">
        <w:rPr>
          <w:sz w:val="20"/>
        </w:rPr>
        <w:t>8014</w:t>
      </w:r>
      <w:r w:rsidR="004F7CCA" w:rsidRPr="001D338D">
        <w:rPr>
          <w:i/>
          <w:sz w:val="20"/>
        </w:rPr>
        <w:t xml:space="preserve"> </w:t>
      </w:r>
      <w:r w:rsidR="004F7CCA" w:rsidRPr="001D338D">
        <w:rPr>
          <w:sz w:val="20"/>
        </w:rPr>
        <w:t>(201</w:t>
      </w:r>
      <w:r w:rsidR="005034A6" w:rsidRPr="001D338D">
        <w:rPr>
          <w:sz w:val="20"/>
        </w:rPr>
        <w:t>6</w:t>
      </w:r>
      <w:r w:rsidR="004F7CCA" w:rsidRPr="001D338D">
        <w:rPr>
          <w:sz w:val="20"/>
        </w:rPr>
        <w:t>).</w:t>
      </w:r>
    </w:p>
  </w:footnote>
  <w:footnote w:id="2">
    <w:p w14:paraId="5949AEB6" w14:textId="2EB03ACD" w:rsidR="009D6643" w:rsidRPr="001D338D" w:rsidRDefault="009D6643" w:rsidP="00507BB0">
      <w:pPr>
        <w:pStyle w:val="FootnoteText"/>
        <w:spacing w:after="120"/>
        <w:rPr>
          <w:sz w:val="20"/>
        </w:rPr>
      </w:pPr>
      <w:r w:rsidRPr="001D338D">
        <w:rPr>
          <w:rStyle w:val="FootnoteReference"/>
          <w:sz w:val="20"/>
        </w:rPr>
        <w:footnoteRef/>
      </w:r>
      <w:r w:rsidRPr="001D338D">
        <w:rPr>
          <w:sz w:val="20"/>
        </w:rPr>
        <w:t xml:space="preserve"> </w:t>
      </w:r>
      <w:r w:rsidR="004A06C2" w:rsidRPr="001D338D">
        <w:rPr>
          <w:sz w:val="20"/>
        </w:rPr>
        <w:t xml:space="preserve">Motion </w:t>
      </w:r>
      <w:r w:rsidR="00AD1179" w:rsidRPr="001D338D">
        <w:rPr>
          <w:sz w:val="20"/>
        </w:rPr>
        <w:t>for Extension of Time</w:t>
      </w:r>
      <w:r w:rsidR="004A06C2" w:rsidRPr="001D338D">
        <w:rPr>
          <w:sz w:val="20"/>
        </w:rPr>
        <w:t xml:space="preserve"> (Corrected Version)</w:t>
      </w:r>
      <w:r w:rsidR="00AD1179" w:rsidRPr="001D338D">
        <w:rPr>
          <w:sz w:val="20"/>
        </w:rPr>
        <w:t>,</w:t>
      </w:r>
      <w:r w:rsidR="004A06C2" w:rsidRPr="001D338D">
        <w:rPr>
          <w:sz w:val="20"/>
        </w:rPr>
        <w:t xml:space="preserve"> Public Knowledge and Open Technology Institute</w:t>
      </w:r>
      <w:r w:rsidR="00AD1179" w:rsidRPr="001D338D">
        <w:rPr>
          <w:sz w:val="20"/>
        </w:rPr>
        <w:t xml:space="preserve"> (filed </w:t>
      </w:r>
      <w:r w:rsidR="004A06C2" w:rsidRPr="001D338D">
        <w:rPr>
          <w:sz w:val="20"/>
        </w:rPr>
        <w:t>Jan</w:t>
      </w:r>
      <w:r w:rsidR="00AD1179" w:rsidRPr="001D338D">
        <w:rPr>
          <w:sz w:val="20"/>
        </w:rPr>
        <w:t xml:space="preserve">. </w:t>
      </w:r>
      <w:r w:rsidR="004A06C2" w:rsidRPr="001D338D">
        <w:rPr>
          <w:sz w:val="20"/>
        </w:rPr>
        <w:t>6</w:t>
      </w:r>
      <w:r w:rsidR="00AD1179" w:rsidRPr="001D338D">
        <w:rPr>
          <w:sz w:val="20"/>
        </w:rPr>
        <w:t>, 201</w:t>
      </w:r>
      <w:r w:rsidR="004A06C2" w:rsidRPr="001D338D">
        <w:rPr>
          <w:sz w:val="20"/>
        </w:rPr>
        <w:t>7</w:t>
      </w:r>
      <w:r w:rsidR="00AD1179" w:rsidRPr="001D338D">
        <w:rPr>
          <w:sz w:val="20"/>
        </w:rPr>
        <w:t>)</w:t>
      </w:r>
      <w:r w:rsidR="001D338D" w:rsidRPr="001D338D">
        <w:rPr>
          <w:sz w:val="20"/>
        </w:rPr>
        <w:t xml:space="preserve"> (Motion)</w:t>
      </w:r>
      <w:r w:rsidR="00180F37" w:rsidRPr="001D338D">
        <w:rPr>
          <w:sz w:val="20"/>
        </w:rPr>
        <w:t>.</w:t>
      </w:r>
    </w:p>
  </w:footnote>
  <w:footnote w:id="3">
    <w:p w14:paraId="6AC50730" w14:textId="4A1F1A14" w:rsidR="005034A6" w:rsidRPr="001D338D" w:rsidRDefault="005034A6" w:rsidP="00507BB0">
      <w:pPr>
        <w:pStyle w:val="FootnoteText"/>
        <w:spacing w:after="120"/>
        <w:rPr>
          <w:sz w:val="20"/>
        </w:rPr>
      </w:pPr>
      <w:r w:rsidRPr="001D338D">
        <w:rPr>
          <w:rStyle w:val="FootnoteReference"/>
          <w:sz w:val="20"/>
        </w:rPr>
        <w:footnoteRef/>
      </w:r>
      <w:r w:rsidRPr="001D338D">
        <w:rPr>
          <w:sz w:val="20"/>
        </w:rPr>
        <w:t xml:space="preserve"> </w:t>
      </w:r>
      <w:r w:rsidRPr="001D338D">
        <w:rPr>
          <w:i/>
          <w:sz w:val="20"/>
        </w:rPr>
        <w:t>Id.</w:t>
      </w:r>
      <w:r w:rsidRPr="001D338D">
        <w:rPr>
          <w:sz w:val="20"/>
        </w:rPr>
        <w:t xml:space="preserve"> at 2.</w:t>
      </w:r>
    </w:p>
  </w:footnote>
  <w:footnote w:id="4">
    <w:p w14:paraId="7AC06B28" w14:textId="70FF9F61" w:rsidR="00180F37" w:rsidRPr="001D338D" w:rsidRDefault="00180F37" w:rsidP="00507BB0">
      <w:pPr>
        <w:pStyle w:val="FootnoteText"/>
        <w:spacing w:after="120"/>
        <w:rPr>
          <w:sz w:val="20"/>
        </w:rPr>
      </w:pPr>
      <w:r w:rsidRPr="001D338D">
        <w:rPr>
          <w:rStyle w:val="FootnoteReference"/>
          <w:sz w:val="20"/>
        </w:rPr>
        <w:footnoteRef/>
      </w:r>
      <w:r w:rsidRPr="001D338D">
        <w:rPr>
          <w:sz w:val="20"/>
        </w:rPr>
        <w:t xml:space="preserve"> </w:t>
      </w:r>
      <w:r w:rsidR="00AD4271" w:rsidRPr="001D338D">
        <w:rPr>
          <w:i/>
          <w:sz w:val="20"/>
        </w:rPr>
        <w:t>Id.</w:t>
      </w:r>
    </w:p>
  </w:footnote>
  <w:footnote w:id="5">
    <w:p w14:paraId="21EB856B" w14:textId="34F5B740" w:rsidR="001D338D" w:rsidRPr="001D338D" w:rsidRDefault="001D338D" w:rsidP="00507BB0">
      <w:pPr>
        <w:pStyle w:val="FootnoteText"/>
        <w:spacing w:after="120"/>
        <w:rPr>
          <w:sz w:val="20"/>
        </w:rPr>
      </w:pPr>
      <w:r w:rsidRPr="001D338D">
        <w:rPr>
          <w:rStyle w:val="FootnoteReference"/>
          <w:sz w:val="20"/>
        </w:rPr>
        <w:footnoteRef/>
      </w:r>
      <w:r w:rsidRPr="001D338D">
        <w:rPr>
          <w:sz w:val="20"/>
        </w:rPr>
        <w:t xml:space="preserve"> </w:t>
      </w:r>
      <w:r w:rsidRPr="001D338D">
        <w:rPr>
          <w:i/>
          <w:sz w:val="20"/>
        </w:rPr>
        <w:t>Id.</w:t>
      </w:r>
      <w:r w:rsidRPr="001D338D">
        <w:rPr>
          <w:sz w:val="20"/>
        </w:rPr>
        <w:t xml:space="preserve"> at 3.</w:t>
      </w:r>
      <w:r w:rsidR="009D6C2A">
        <w:rPr>
          <w:sz w:val="20"/>
        </w:rPr>
        <w:t xml:space="preserve">  On </w:t>
      </w:r>
      <w:r w:rsidR="00507BB0">
        <w:rPr>
          <w:sz w:val="20"/>
        </w:rPr>
        <w:t>January 9, 2017, the Telecommunications Industry Association (TIA) filed comments on the Motion stating that it had no objection to the Motion so long as the deadline for replies is extended to February 24, 2017.  Response to Motion for Extension of Time, Telecommunications Industry Association (filed Jan. 9, 2017).  We believe TIA’s request for a further extension of the reply pleading deadline is premature because the scope of opposition pleadings is not known and TIA has not provided a specific justification for its request.</w:t>
      </w:r>
    </w:p>
  </w:footnote>
  <w:footnote w:id="6">
    <w:p w14:paraId="42DBE514" w14:textId="77777777" w:rsidR="008635E4" w:rsidRPr="001D338D" w:rsidRDefault="008635E4" w:rsidP="00507BB0">
      <w:pPr>
        <w:pStyle w:val="FootnoteText"/>
        <w:spacing w:after="120"/>
        <w:rPr>
          <w:sz w:val="20"/>
        </w:rPr>
      </w:pPr>
      <w:r w:rsidRPr="001D338D">
        <w:rPr>
          <w:rStyle w:val="FootnoteReference"/>
          <w:sz w:val="20"/>
        </w:rPr>
        <w:footnoteRef/>
      </w:r>
      <w:r w:rsidRPr="001D338D">
        <w:rPr>
          <w:sz w:val="20"/>
        </w:rPr>
        <w:t xml:space="preserve"> 47 C.F.R. § 1.46(a).</w:t>
      </w:r>
    </w:p>
  </w:footnote>
  <w:footnote w:id="7">
    <w:p w14:paraId="08EFFA60" w14:textId="77777777" w:rsidR="008635E4" w:rsidRPr="001D338D" w:rsidRDefault="008635E4" w:rsidP="00507BB0">
      <w:pPr>
        <w:pStyle w:val="FootnoteText"/>
        <w:spacing w:after="120"/>
        <w:rPr>
          <w:sz w:val="20"/>
        </w:rPr>
      </w:pPr>
      <w:r w:rsidRPr="001D338D">
        <w:rPr>
          <w:rStyle w:val="FootnoteReference"/>
          <w:sz w:val="20"/>
        </w:rPr>
        <w:footnoteRef/>
      </w:r>
      <w:r w:rsidRPr="001D338D">
        <w:rPr>
          <w:sz w:val="20"/>
        </w:rPr>
        <w:t xml:space="preserve"> 47 U.S.C. § 154(i).</w:t>
      </w:r>
    </w:p>
  </w:footnote>
  <w:footnote w:id="8">
    <w:p w14:paraId="7964DAA3" w14:textId="77777777" w:rsidR="008635E4" w:rsidRPr="001D338D" w:rsidRDefault="008635E4" w:rsidP="00507BB0">
      <w:pPr>
        <w:pStyle w:val="FootnoteText"/>
        <w:spacing w:after="120"/>
        <w:rPr>
          <w:sz w:val="20"/>
        </w:rPr>
      </w:pPr>
      <w:r w:rsidRPr="001D338D">
        <w:rPr>
          <w:rStyle w:val="FootnoteReference"/>
          <w:sz w:val="20"/>
        </w:rPr>
        <w:footnoteRef/>
      </w:r>
      <w:r w:rsidRPr="001D338D">
        <w:rPr>
          <w:sz w:val="20"/>
        </w:rP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3D08" w14:textId="77777777" w:rsidR="00EB1346" w:rsidRDefault="00EB1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A165" w14:textId="77777777" w:rsidR="00EB1346" w:rsidRDefault="00EB1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BA5A" w14:textId="77777777" w:rsidR="00602577" w:rsidRDefault="00C9642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5B01AFB" wp14:editId="1007DCB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C030CA7" w14:textId="77777777" w:rsidR="00602577" w:rsidRDefault="00C9642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8ABF210" wp14:editId="17721A8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D1CB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F701778" wp14:editId="5A40FE14">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9BB9E" w14:textId="77777777" w:rsidR="00602577" w:rsidRDefault="00602577">
                          <w:pPr>
                            <w:rPr>
                              <w:rFonts w:ascii="Arial" w:hAnsi="Arial"/>
                              <w:b/>
                            </w:rPr>
                          </w:pPr>
                          <w:r>
                            <w:rPr>
                              <w:rFonts w:ascii="Arial" w:hAnsi="Arial"/>
                              <w:b/>
                            </w:rPr>
                            <w:t>Federal Communications Commission</w:t>
                          </w:r>
                        </w:p>
                        <w:p w14:paraId="694FA01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BEABB1"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701778"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6E69BB9E" w14:textId="77777777" w:rsidR="00602577" w:rsidRDefault="00602577">
                    <w:pPr>
                      <w:rPr>
                        <w:rFonts w:ascii="Arial" w:hAnsi="Arial"/>
                        <w:b/>
                      </w:rPr>
                    </w:pPr>
                    <w:r>
                      <w:rPr>
                        <w:rFonts w:ascii="Arial" w:hAnsi="Arial"/>
                        <w:b/>
                      </w:rPr>
                      <w:t>Federal Communications Commission</w:t>
                    </w:r>
                  </w:p>
                  <w:p w14:paraId="694FA01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BEABB1"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A603AE8" wp14:editId="28C0908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127EB" w14:textId="77777777" w:rsidR="00602577" w:rsidRDefault="00602577">
                          <w:pPr>
                            <w:spacing w:before="40"/>
                            <w:jc w:val="right"/>
                            <w:rPr>
                              <w:rFonts w:ascii="Arial" w:hAnsi="Arial"/>
                              <w:b/>
                              <w:sz w:val="16"/>
                            </w:rPr>
                          </w:pPr>
                          <w:r>
                            <w:rPr>
                              <w:rFonts w:ascii="Arial" w:hAnsi="Arial"/>
                              <w:b/>
                              <w:sz w:val="16"/>
                            </w:rPr>
                            <w:t>News Media Information 202 / 418-0500</w:t>
                          </w:r>
                        </w:p>
                        <w:p w14:paraId="30B5492D"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5C4FEEB" w14:textId="77777777" w:rsidR="00602577" w:rsidRDefault="00602577">
                          <w:pPr>
                            <w:jc w:val="right"/>
                            <w:rPr>
                              <w:rFonts w:ascii="Arial" w:hAnsi="Arial"/>
                              <w:b/>
                              <w:sz w:val="16"/>
                            </w:rPr>
                          </w:pPr>
                          <w:r>
                            <w:rPr>
                              <w:rFonts w:ascii="Arial" w:hAnsi="Arial"/>
                              <w:b/>
                              <w:sz w:val="16"/>
                            </w:rPr>
                            <w:t>TTY: 1-888-835-5322</w:t>
                          </w:r>
                        </w:p>
                        <w:p w14:paraId="6174405B"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603AE8"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599127EB" w14:textId="77777777" w:rsidR="00602577" w:rsidRDefault="00602577">
                    <w:pPr>
                      <w:spacing w:before="40"/>
                      <w:jc w:val="right"/>
                      <w:rPr>
                        <w:rFonts w:ascii="Arial" w:hAnsi="Arial"/>
                        <w:b/>
                        <w:sz w:val="16"/>
                      </w:rPr>
                    </w:pPr>
                    <w:r>
                      <w:rPr>
                        <w:rFonts w:ascii="Arial" w:hAnsi="Arial"/>
                        <w:b/>
                        <w:sz w:val="16"/>
                      </w:rPr>
                      <w:t>News Media Information 202 / 418-0500</w:t>
                    </w:r>
                  </w:p>
                  <w:p w14:paraId="30B5492D"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5C4FEEB" w14:textId="77777777" w:rsidR="00602577" w:rsidRDefault="00602577">
                    <w:pPr>
                      <w:jc w:val="right"/>
                      <w:rPr>
                        <w:rFonts w:ascii="Arial" w:hAnsi="Arial"/>
                        <w:b/>
                        <w:sz w:val="16"/>
                      </w:rPr>
                    </w:pPr>
                    <w:r>
                      <w:rPr>
                        <w:rFonts w:ascii="Arial" w:hAnsi="Arial"/>
                        <w:b/>
                        <w:sz w:val="16"/>
                      </w:rPr>
                      <w:t>TTY: 1-888-835-5322</w:t>
                    </w:r>
                  </w:p>
                  <w:p w14:paraId="6174405B" w14:textId="77777777" w:rsidR="00602577" w:rsidRDefault="00602577">
                    <w:pPr>
                      <w:jc w:val="right"/>
                    </w:pPr>
                  </w:p>
                </w:txbxContent>
              </v:textbox>
            </v:shape>
          </w:pict>
        </mc:Fallback>
      </mc:AlternateContent>
    </w:r>
  </w:p>
  <w:p w14:paraId="3C09232F"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265AE"/>
    <w:rsid w:val="00026FA3"/>
    <w:rsid w:val="000441EA"/>
    <w:rsid w:val="0007365D"/>
    <w:rsid w:val="000A5C5F"/>
    <w:rsid w:val="000F7FC2"/>
    <w:rsid w:val="0014326D"/>
    <w:rsid w:val="001467D2"/>
    <w:rsid w:val="00180F37"/>
    <w:rsid w:val="001A25F2"/>
    <w:rsid w:val="001A5FEE"/>
    <w:rsid w:val="001D338D"/>
    <w:rsid w:val="001D7D3C"/>
    <w:rsid w:val="0021314F"/>
    <w:rsid w:val="0021357C"/>
    <w:rsid w:val="002B2BA7"/>
    <w:rsid w:val="002F4E58"/>
    <w:rsid w:val="003314EF"/>
    <w:rsid w:val="003631F5"/>
    <w:rsid w:val="004A06C2"/>
    <w:rsid w:val="004E458A"/>
    <w:rsid w:val="004F7CCA"/>
    <w:rsid w:val="005034A6"/>
    <w:rsid w:val="00507BB0"/>
    <w:rsid w:val="00515735"/>
    <w:rsid w:val="00596B67"/>
    <w:rsid w:val="005B1E02"/>
    <w:rsid w:val="00602577"/>
    <w:rsid w:val="00652478"/>
    <w:rsid w:val="007037A1"/>
    <w:rsid w:val="00733073"/>
    <w:rsid w:val="00761070"/>
    <w:rsid w:val="00786CD6"/>
    <w:rsid w:val="007C3A4D"/>
    <w:rsid w:val="008116DF"/>
    <w:rsid w:val="00814CB1"/>
    <w:rsid w:val="00824EED"/>
    <w:rsid w:val="008635E4"/>
    <w:rsid w:val="00873D12"/>
    <w:rsid w:val="008C7C6B"/>
    <w:rsid w:val="008E353E"/>
    <w:rsid w:val="00913B65"/>
    <w:rsid w:val="009D6643"/>
    <w:rsid w:val="009D6C2A"/>
    <w:rsid w:val="00A94166"/>
    <w:rsid w:val="00AC0784"/>
    <w:rsid w:val="00AC3758"/>
    <w:rsid w:val="00AD1179"/>
    <w:rsid w:val="00AD4271"/>
    <w:rsid w:val="00B05AF4"/>
    <w:rsid w:val="00B53712"/>
    <w:rsid w:val="00BB7390"/>
    <w:rsid w:val="00C21179"/>
    <w:rsid w:val="00C90C54"/>
    <w:rsid w:val="00C92AD1"/>
    <w:rsid w:val="00C9642E"/>
    <w:rsid w:val="00CB15EC"/>
    <w:rsid w:val="00CE5C38"/>
    <w:rsid w:val="00D0473C"/>
    <w:rsid w:val="00D17DC0"/>
    <w:rsid w:val="00D60EFF"/>
    <w:rsid w:val="00D95C30"/>
    <w:rsid w:val="00DB76BB"/>
    <w:rsid w:val="00DD1A69"/>
    <w:rsid w:val="00DD4782"/>
    <w:rsid w:val="00E117C0"/>
    <w:rsid w:val="00E73EDC"/>
    <w:rsid w:val="00EA0830"/>
    <w:rsid w:val="00EB1346"/>
    <w:rsid w:val="00EB7F7D"/>
    <w:rsid w:val="00F12537"/>
    <w:rsid w:val="00F142FA"/>
    <w:rsid w:val="00FD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95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AD1179"/>
    <w:rPr>
      <w:sz w:val="16"/>
      <w:szCs w:val="16"/>
    </w:rPr>
  </w:style>
  <w:style w:type="paragraph" w:styleId="CommentText">
    <w:name w:val="annotation text"/>
    <w:basedOn w:val="Normal"/>
    <w:link w:val="CommentTextChar"/>
    <w:uiPriority w:val="99"/>
    <w:semiHidden/>
    <w:unhideWhenUsed/>
    <w:rsid w:val="00AD1179"/>
    <w:rPr>
      <w:sz w:val="20"/>
    </w:rPr>
  </w:style>
  <w:style w:type="character" w:customStyle="1" w:styleId="CommentTextChar">
    <w:name w:val="Comment Text Char"/>
    <w:basedOn w:val="DefaultParagraphFont"/>
    <w:link w:val="CommentText"/>
    <w:uiPriority w:val="99"/>
    <w:semiHidden/>
    <w:rsid w:val="00AD1179"/>
  </w:style>
  <w:style w:type="paragraph" w:styleId="CommentSubject">
    <w:name w:val="annotation subject"/>
    <w:basedOn w:val="CommentText"/>
    <w:next w:val="CommentText"/>
    <w:link w:val="CommentSubjectChar"/>
    <w:uiPriority w:val="99"/>
    <w:semiHidden/>
    <w:unhideWhenUsed/>
    <w:rsid w:val="00AD1179"/>
    <w:rPr>
      <w:b/>
      <w:bCs/>
    </w:rPr>
  </w:style>
  <w:style w:type="character" w:customStyle="1" w:styleId="CommentSubjectChar">
    <w:name w:val="Comment Subject Char"/>
    <w:basedOn w:val="CommentTextChar"/>
    <w:link w:val="CommentSubject"/>
    <w:uiPriority w:val="99"/>
    <w:semiHidden/>
    <w:rsid w:val="00AD1179"/>
    <w:rPr>
      <w:b/>
      <w:bCs/>
    </w:rPr>
  </w:style>
  <w:style w:type="paragraph" w:styleId="BalloonText">
    <w:name w:val="Balloon Text"/>
    <w:basedOn w:val="Normal"/>
    <w:link w:val="BalloonTextChar"/>
    <w:uiPriority w:val="99"/>
    <w:semiHidden/>
    <w:unhideWhenUsed/>
    <w:rsid w:val="00AD1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AD1179"/>
    <w:rPr>
      <w:sz w:val="16"/>
      <w:szCs w:val="16"/>
    </w:rPr>
  </w:style>
  <w:style w:type="paragraph" w:styleId="CommentText">
    <w:name w:val="annotation text"/>
    <w:basedOn w:val="Normal"/>
    <w:link w:val="CommentTextChar"/>
    <w:uiPriority w:val="99"/>
    <w:semiHidden/>
    <w:unhideWhenUsed/>
    <w:rsid w:val="00AD1179"/>
    <w:rPr>
      <w:sz w:val="20"/>
    </w:rPr>
  </w:style>
  <w:style w:type="character" w:customStyle="1" w:styleId="CommentTextChar">
    <w:name w:val="Comment Text Char"/>
    <w:basedOn w:val="DefaultParagraphFont"/>
    <w:link w:val="CommentText"/>
    <w:uiPriority w:val="99"/>
    <w:semiHidden/>
    <w:rsid w:val="00AD1179"/>
  </w:style>
  <w:style w:type="paragraph" w:styleId="CommentSubject">
    <w:name w:val="annotation subject"/>
    <w:basedOn w:val="CommentText"/>
    <w:next w:val="CommentText"/>
    <w:link w:val="CommentSubjectChar"/>
    <w:uiPriority w:val="99"/>
    <w:semiHidden/>
    <w:unhideWhenUsed/>
    <w:rsid w:val="00AD1179"/>
    <w:rPr>
      <w:b/>
      <w:bCs/>
    </w:rPr>
  </w:style>
  <w:style w:type="character" w:customStyle="1" w:styleId="CommentSubjectChar">
    <w:name w:val="Comment Subject Char"/>
    <w:basedOn w:val="CommentTextChar"/>
    <w:link w:val="CommentSubject"/>
    <w:uiPriority w:val="99"/>
    <w:semiHidden/>
    <w:rsid w:val="00AD1179"/>
    <w:rPr>
      <w:b/>
      <w:bCs/>
    </w:rPr>
  </w:style>
  <w:style w:type="paragraph" w:styleId="BalloonText">
    <w:name w:val="Balloon Text"/>
    <w:basedOn w:val="Normal"/>
    <w:link w:val="BalloonTextChar"/>
    <w:uiPriority w:val="99"/>
    <w:semiHidden/>
    <w:unhideWhenUsed/>
    <w:rsid w:val="00AD1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501</Words>
  <Characters>2822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2017-01-12T19:35:00Z</dcterms:created>
  <dcterms:modified xsi:type="dcterms:W3CDTF">2017-01-12T19:35:00Z</dcterms:modified>
  <cp:category> </cp:category>
  <cp:contentStatus> </cp:contentStatus>
</cp:coreProperties>
</file>