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CF4D7E" w:rsidRDefault="00FF54BA" w:rsidP="007115F7">
            <w:pPr>
              <w:tabs>
                <w:tab w:val="center" w:pos="4680"/>
              </w:tabs>
              <w:suppressAutoHyphens/>
            </w:pPr>
            <w:r>
              <w:t>County of Miami-Dade, Florida</w:t>
            </w:r>
          </w:p>
          <w:p w:rsidR="005C610B" w:rsidRDefault="00CF4D7E" w:rsidP="007115F7">
            <w:pPr>
              <w:tabs>
                <w:tab w:val="center" w:pos="4680"/>
              </w:tabs>
              <w:suppressAutoHyphens/>
            </w:pPr>
            <w:r>
              <w:t xml:space="preserve">Licensee of TIS </w:t>
            </w:r>
            <w:r w:rsidRPr="00CF4D7E">
              <w:t>WQAW405</w:t>
            </w:r>
          </w:p>
          <w:p w:rsidR="00FF54BA" w:rsidRDefault="00FF54BA" w:rsidP="007115F7">
            <w:pPr>
              <w:tabs>
                <w:tab w:val="center" w:pos="4680"/>
              </w:tabs>
              <w:suppressAutoHyphens/>
              <w:rPr>
                <w:spacing w:val="-2"/>
              </w:rPr>
            </w:pPr>
          </w:p>
          <w:p w:rsidR="005C610B" w:rsidRPr="007115F7" w:rsidRDefault="005C610B" w:rsidP="00F564E9">
            <w:pPr>
              <w:tabs>
                <w:tab w:val="center" w:pos="4680"/>
              </w:tabs>
              <w:suppressAutoHyphens/>
              <w:rPr>
                <w:spacing w:val="-2"/>
              </w:rPr>
            </w:pPr>
            <w:r>
              <w:rPr>
                <w:spacing w:val="-2"/>
              </w:rPr>
              <w:t xml:space="preserve">Request for Waiver of Section </w:t>
            </w:r>
            <w:r>
              <w:t>90.242(b)(4)</w:t>
            </w:r>
            <w:r w:rsidR="00FF54BA">
              <w:t xml:space="preserve">(iii) and </w:t>
            </w:r>
            <w:r>
              <w:t>(iv)</w:t>
            </w:r>
            <w:r w:rsidR="00F564E9">
              <w:t xml:space="preserve"> o</w:t>
            </w:r>
            <w:r>
              <w:t>f the Commission’s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564E9" w:rsidRPr="005C610B" w:rsidRDefault="00F564E9">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13011">
            <w:pPr>
              <w:tabs>
                <w:tab w:val="center" w:pos="4680"/>
              </w:tabs>
              <w:suppressAutoHyphens/>
              <w:rPr>
                <w:spacing w:val="-2"/>
              </w:rPr>
            </w:pPr>
            <w:r>
              <w:rPr>
                <w:spacing w:val="-2"/>
              </w:rPr>
              <w:t xml:space="preserve">File No. </w:t>
            </w:r>
            <w:r w:rsidR="00FF54BA" w:rsidRPr="00FF54BA">
              <w:rPr>
                <w:spacing w:val="-2"/>
              </w:rPr>
              <w:t>0007127177</w:t>
            </w:r>
          </w:p>
        </w:tc>
      </w:tr>
    </w:tbl>
    <w:p w:rsidR="004C2EE3" w:rsidRDefault="004C2EE3" w:rsidP="0070224F"/>
    <w:p w:rsidR="00841AB1" w:rsidRDefault="00FF4A34"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C68B6">
        <w:rPr>
          <w:b/>
          <w:spacing w:val="-2"/>
        </w:rPr>
        <w:t>May 25,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68B6">
        <w:rPr>
          <w:b/>
          <w:spacing w:val="-2"/>
        </w:rPr>
        <w:t>May 25, 2017</w:t>
      </w:r>
    </w:p>
    <w:p w:rsidR="00822CE0" w:rsidRDefault="00822CE0"/>
    <w:p w:rsidR="004C2EE3" w:rsidRDefault="004C2EE3">
      <w:pPr>
        <w:rPr>
          <w:spacing w:val="-2"/>
        </w:rPr>
      </w:pPr>
      <w:r>
        <w:t xml:space="preserve">By </w:t>
      </w:r>
      <w:r w:rsidR="004E4A22">
        <w:t>the</w:t>
      </w:r>
      <w:r w:rsidR="002A2D2E">
        <w:t xml:space="preserve"> </w:t>
      </w:r>
      <w:r w:rsidR="00981CF5">
        <w:t xml:space="preserve">Acting </w:t>
      </w:r>
      <w:r w:rsidR="00613011">
        <w:rPr>
          <w:spacing w:val="-2"/>
        </w:rPr>
        <w:t>Chief, Policy and Licensing Division, Public Safety and Homeland Security Bureau</w:t>
      </w:r>
      <w:r>
        <w:rPr>
          <w:spacing w:val="-2"/>
        </w:rPr>
        <w:t>:</w:t>
      </w:r>
    </w:p>
    <w:p w:rsidR="00412FC5" w:rsidRDefault="00412FC5" w:rsidP="00412FC5"/>
    <w:p w:rsidR="002C00E8" w:rsidRDefault="00613011" w:rsidP="002C00E8">
      <w:pPr>
        <w:pStyle w:val="Heading1"/>
      </w:pPr>
      <w:r>
        <w:t>Introduction</w:t>
      </w:r>
    </w:p>
    <w:p w:rsidR="00613011" w:rsidRDefault="008D78A1" w:rsidP="00613011">
      <w:pPr>
        <w:pStyle w:val="ParaNum"/>
      </w:pPr>
      <w:r>
        <w:t xml:space="preserve">On </w:t>
      </w:r>
      <w:r w:rsidR="00FF54BA">
        <w:t>February 4, 2016, the County of Miami-Dade, Florida (Miami-Dade</w:t>
      </w:r>
      <w:r w:rsidR="00E0465C">
        <w:t xml:space="preserve"> or County</w:t>
      </w:r>
      <w:r w:rsidR="00FF54BA">
        <w:t>)</w:t>
      </w:r>
      <w:r>
        <w:t xml:space="preserve"> filed an application and </w:t>
      </w:r>
      <w:r w:rsidR="00460006">
        <w:t xml:space="preserve">request for </w:t>
      </w:r>
      <w:r>
        <w:t xml:space="preserve">waiver </w:t>
      </w:r>
      <w:r w:rsidR="00460006">
        <w:t xml:space="preserve">(Waiver Request) </w:t>
      </w:r>
      <w:r>
        <w:t xml:space="preserve">to modify its Travelers Information Station (TIS) </w:t>
      </w:r>
      <w:r w:rsidR="00FF54BA">
        <w:t>WQAW405</w:t>
      </w:r>
      <w:r>
        <w:t xml:space="preserve"> by expanding its service area.</w:t>
      </w:r>
      <w:r w:rsidR="00CE7144">
        <w:rPr>
          <w:rStyle w:val="FootnoteReference"/>
        </w:rPr>
        <w:footnoteReference w:id="2"/>
      </w:r>
      <w:r>
        <w:t xml:space="preserve">  </w:t>
      </w:r>
      <w:r w:rsidR="00FF54BA">
        <w:t>Miami-Dade</w:t>
      </w:r>
      <w:r w:rsidR="005F069B">
        <w:t>’s</w:t>
      </w:r>
      <w:r>
        <w:t xml:space="preserve"> TIS </w:t>
      </w:r>
      <w:r w:rsidR="00FF54BA">
        <w:t>is located</w:t>
      </w:r>
      <w:r>
        <w:t xml:space="preserve"> </w:t>
      </w:r>
      <w:r w:rsidR="00FF54BA">
        <w:t xml:space="preserve">at Miami International Airport (MIA) and operates </w:t>
      </w:r>
      <w:r>
        <w:t>on frequency</w:t>
      </w:r>
      <w:r w:rsidR="007B3399">
        <w:t xml:space="preserve"> </w:t>
      </w:r>
      <w:r w:rsidR="00FF54BA">
        <w:t>1610</w:t>
      </w:r>
      <w:r w:rsidR="002B010F">
        <w:t xml:space="preserve"> kilohertz</w:t>
      </w:r>
      <w:r>
        <w:t xml:space="preserve"> in the AM radio band.</w:t>
      </w:r>
      <w:r w:rsidR="00E20E95">
        <w:rPr>
          <w:rStyle w:val="FootnoteReference"/>
        </w:rPr>
        <w:footnoteReference w:id="3"/>
      </w:r>
      <w:r w:rsidR="00BD0410">
        <w:t xml:space="preserve">  </w:t>
      </w:r>
      <w:r w:rsidR="00FF54BA">
        <w:t>Miami-Dade</w:t>
      </w:r>
      <w:r w:rsidR="00BD0410">
        <w:t xml:space="preserve"> requests a waiver of Section 90.242(b)(4)</w:t>
      </w:r>
      <w:r w:rsidR="00FF54BA">
        <w:t>(iii) and</w:t>
      </w:r>
      <w:r w:rsidR="009E2C30">
        <w:t xml:space="preserve"> </w:t>
      </w:r>
      <w:r w:rsidR="00BD0410">
        <w:t>(iv) of the Commission’s rules</w:t>
      </w:r>
      <w:r w:rsidR="00095BEC">
        <w:t>,</w:t>
      </w:r>
      <w:r w:rsidR="00095BEC" w:rsidRPr="00095BEC">
        <w:rPr>
          <w:szCs w:val="22"/>
        </w:rPr>
        <w:t xml:space="preserve"> </w:t>
      </w:r>
      <w:r w:rsidR="00095BEC" w:rsidRPr="001B04FB">
        <w:rPr>
          <w:szCs w:val="22"/>
        </w:rPr>
        <w:t xml:space="preserve">which </w:t>
      </w:r>
      <w:r w:rsidR="00FF54BA">
        <w:rPr>
          <w:szCs w:val="22"/>
        </w:rPr>
        <w:t xml:space="preserve">limit </w:t>
      </w:r>
      <w:r w:rsidR="009E2C30">
        <w:rPr>
          <w:szCs w:val="22"/>
        </w:rPr>
        <w:t>TIS</w:t>
      </w:r>
      <w:r w:rsidR="00FF54BA">
        <w:rPr>
          <w:szCs w:val="22"/>
        </w:rPr>
        <w:t xml:space="preserve"> output power to 10 watts and </w:t>
      </w:r>
      <w:r w:rsidR="00095BEC" w:rsidRPr="001B04FB">
        <w:rPr>
          <w:szCs w:val="22"/>
        </w:rPr>
        <w:t>impose a 2</w:t>
      </w:r>
      <w:r w:rsidR="000F1A58">
        <w:rPr>
          <w:szCs w:val="22"/>
        </w:rPr>
        <w:t>-</w:t>
      </w:r>
      <w:r w:rsidR="002B010F">
        <w:rPr>
          <w:szCs w:val="22"/>
        </w:rPr>
        <w:t>millivolt per meter</w:t>
      </w:r>
      <w:r w:rsidR="00095BEC" w:rsidRPr="001B04FB">
        <w:rPr>
          <w:szCs w:val="22"/>
        </w:rPr>
        <w:t xml:space="preserve"> </w:t>
      </w:r>
      <w:r w:rsidR="002B010F">
        <w:rPr>
          <w:szCs w:val="22"/>
        </w:rPr>
        <w:t>(</w:t>
      </w:r>
      <w:r w:rsidR="00095BEC" w:rsidRPr="001B04FB">
        <w:rPr>
          <w:szCs w:val="22"/>
        </w:rPr>
        <w:t>mV/m</w:t>
      </w:r>
      <w:r w:rsidR="002B010F">
        <w:rPr>
          <w:szCs w:val="22"/>
        </w:rPr>
        <w:t>)</w:t>
      </w:r>
      <w:r w:rsidR="00095BEC" w:rsidRPr="001B04FB">
        <w:rPr>
          <w:szCs w:val="22"/>
        </w:rPr>
        <w:t xml:space="preserve"> </w:t>
      </w:r>
      <w:r w:rsidR="002875B2" w:rsidRPr="001B04FB">
        <w:rPr>
          <w:szCs w:val="22"/>
        </w:rPr>
        <w:t xml:space="preserve">field strength limit </w:t>
      </w:r>
      <w:r w:rsidR="00095BEC" w:rsidRPr="001B04FB">
        <w:rPr>
          <w:szCs w:val="22"/>
        </w:rPr>
        <w:t xml:space="preserve">at 1.5 kilometers </w:t>
      </w:r>
      <w:r w:rsidR="002875B2">
        <w:rPr>
          <w:szCs w:val="22"/>
        </w:rPr>
        <w:t>from</w:t>
      </w:r>
      <w:r w:rsidR="00095BEC" w:rsidRPr="001B04FB">
        <w:rPr>
          <w:szCs w:val="22"/>
        </w:rPr>
        <w:t xml:space="preserve"> TIS transmitters</w:t>
      </w:r>
      <w:r w:rsidR="005B63F5">
        <w:rPr>
          <w:szCs w:val="22"/>
        </w:rPr>
        <w:t>,</w:t>
      </w:r>
      <w:r w:rsidR="00BD0410">
        <w:rPr>
          <w:rStyle w:val="FootnoteReference"/>
        </w:rPr>
        <w:footnoteReference w:id="4"/>
      </w:r>
      <w:r w:rsidR="00FF54BA">
        <w:rPr>
          <w:szCs w:val="22"/>
        </w:rPr>
        <w:t xml:space="preserve"> respectively,</w:t>
      </w:r>
      <w:r w:rsidR="00BD0410">
        <w:t xml:space="preserve"> </w:t>
      </w:r>
      <w:r w:rsidR="005B63F5">
        <w:t>so that it may</w:t>
      </w:r>
      <w:r w:rsidR="00FF54BA">
        <w:t xml:space="preserve"> increase its output power to 30 watts</w:t>
      </w:r>
      <w:r w:rsidR="00BD0410">
        <w:t>.</w:t>
      </w:r>
      <w:r w:rsidR="00396953">
        <w:rPr>
          <w:rStyle w:val="FootnoteReference"/>
        </w:rPr>
        <w:footnoteReference w:id="5"/>
      </w:r>
      <w:r w:rsidR="007A0319">
        <w:t xml:space="preserve">  </w:t>
      </w:r>
      <w:r w:rsidR="00460006">
        <w:t>The City of Fort Lauderdale</w:t>
      </w:r>
      <w:r w:rsidR="00515BEE">
        <w:t>, Florida</w:t>
      </w:r>
      <w:r w:rsidR="00460006">
        <w:t xml:space="preserve"> (F</w:t>
      </w:r>
      <w:r w:rsidR="00C931D9">
        <w:t>ort</w:t>
      </w:r>
      <w:r w:rsidR="00460006">
        <w:t xml:space="preserve"> Lauderdale) filed a petition to deny </w:t>
      </w:r>
      <w:r w:rsidR="00EB5CC4">
        <w:t>the Waiver Request</w:t>
      </w:r>
      <w:r w:rsidR="005516BF">
        <w:t xml:space="preserve"> </w:t>
      </w:r>
      <w:r w:rsidR="005516BF" w:rsidRPr="005516BF">
        <w:t>(Petition)</w:t>
      </w:r>
      <w:r w:rsidR="00460006">
        <w:t>.</w:t>
      </w:r>
      <w:r w:rsidR="00C052CC">
        <w:rPr>
          <w:rStyle w:val="FootnoteReference"/>
        </w:rPr>
        <w:footnoteReference w:id="6"/>
      </w:r>
      <w:r w:rsidR="00460006">
        <w:t xml:space="preserve">  </w:t>
      </w:r>
      <w:r w:rsidR="005B63F5">
        <w:t>For the reasons discuss</w:t>
      </w:r>
      <w:r w:rsidR="00C931D9">
        <w:t>ed</w:t>
      </w:r>
      <w:r w:rsidR="005B63F5">
        <w:t xml:space="preserve"> herein, we </w:t>
      </w:r>
      <w:r w:rsidR="00F8476D">
        <w:t>grant the Petition,</w:t>
      </w:r>
      <w:r w:rsidR="007A2AB2">
        <w:t xml:space="preserve"> considered as an informal request for Commission action,</w:t>
      </w:r>
      <w:r w:rsidR="00F8476D">
        <w:t xml:space="preserve"> </w:t>
      </w:r>
      <w:r w:rsidR="002736CF">
        <w:t>deny</w:t>
      </w:r>
      <w:r w:rsidR="005B63F5">
        <w:t xml:space="preserve"> the </w:t>
      </w:r>
      <w:r w:rsidR="00460006">
        <w:t>W</w:t>
      </w:r>
      <w:r w:rsidR="005B63F5">
        <w:t>aiver</w:t>
      </w:r>
      <w:r w:rsidR="00460006">
        <w:t xml:space="preserve"> Request</w:t>
      </w:r>
      <w:r w:rsidR="002736CF">
        <w:t xml:space="preserve">, </w:t>
      </w:r>
      <w:r w:rsidR="00F8476D">
        <w:t xml:space="preserve">and </w:t>
      </w:r>
      <w:r w:rsidR="002736CF">
        <w:t>dismiss the application</w:t>
      </w:r>
      <w:r w:rsidR="005B63F5">
        <w:t>.</w:t>
      </w:r>
    </w:p>
    <w:p w:rsidR="00E8753B" w:rsidRDefault="00E8753B" w:rsidP="00E8753B">
      <w:pPr>
        <w:pStyle w:val="Heading1"/>
        <w:tabs>
          <w:tab w:val="left" w:pos="720"/>
        </w:tabs>
      </w:pPr>
      <w:r w:rsidRPr="00E8753B">
        <w:t>BACKGROUND</w:t>
      </w:r>
    </w:p>
    <w:p w:rsidR="00513637" w:rsidRDefault="009E2C30" w:rsidP="005F5221">
      <w:pPr>
        <w:pStyle w:val="ParaNum"/>
        <w:widowControl/>
      </w:pPr>
      <w:r>
        <w:t xml:space="preserve">MIA serves 45 million passengers each year and is </w:t>
      </w:r>
      <w:r w:rsidR="008F4837">
        <w:t>the country</w:t>
      </w:r>
      <w:r>
        <w:t>’s second-busiest airport for international passengers.</w:t>
      </w:r>
      <w:r w:rsidR="00235FB6">
        <w:rPr>
          <w:rStyle w:val="FootnoteReference"/>
        </w:rPr>
        <w:footnoteReference w:id="7"/>
      </w:r>
      <w:r w:rsidR="00235FB6" w:rsidRPr="00EF7352">
        <w:t xml:space="preserve">  </w:t>
      </w:r>
      <w:r>
        <w:t xml:space="preserve">The County seeks </w:t>
      </w:r>
      <w:r w:rsidR="00AB123F">
        <w:t>a</w:t>
      </w:r>
      <w:r>
        <w:t xml:space="preserve"> power increase to facilitate MIA’s efforts </w:t>
      </w:r>
      <w:r w:rsidR="00A5598A">
        <w:t>“</w:t>
      </w:r>
      <w:r>
        <w:t>to provide emergency communications to the traveling public in the event of a terrorist attack and to assist with</w:t>
      </w:r>
      <w:r w:rsidR="00AB123F">
        <w:t xml:space="preserve"> daily emergencies that occur.</w:t>
      </w:r>
      <w:r w:rsidR="00A5598A">
        <w:t>”</w:t>
      </w:r>
      <w:r w:rsidR="00AB123F">
        <w:rPr>
          <w:rStyle w:val="FootnoteReference"/>
        </w:rPr>
        <w:footnoteReference w:id="8"/>
      </w:r>
      <w:r w:rsidR="00AB123F">
        <w:t xml:space="preserve">  </w:t>
      </w:r>
      <w:r w:rsidR="008123C8">
        <w:t xml:space="preserve">The County argues that “the limited coverage area of the station today restricts </w:t>
      </w:r>
      <w:r w:rsidR="008123C8">
        <w:lastRenderedPageBreak/>
        <w:t>the information to travelers already driving in the vicinity of the airport.</w:t>
      </w:r>
      <w:r w:rsidR="000A718C">
        <w:t>”</w:t>
      </w:r>
      <w:r w:rsidR="000A718C">
        <w:rPr>
          <w:rStyle w:val="FootnoteReference"/>
        </w:rPr>
        <w:footnoteReference w:id="9"/>
      </w:r>
      <w:r w:rsidR="008123C8">
        <w:t xml:space="preserve">  </w:t>
      </w:r>
      <w:r w:rsidR="00D66723">
        <w:t>The  County s</w:t>
      </w:r>
      <w:r w:rsidR="00515BEE">
        <w:t xml:space="preserve">eeks to </w:t>
      </w:r>
      <w:r w:rsidR="008123C8">
        <w:t>ex</w:t>
      </w:r>
      <w:r w:rsidR="00D66723">
        <w:t>pand</w:t>
      </w:r>
      <w:r w:rsidR="008123C8">
        <w:t xml:space="preserve"> the area where </w:t>
      </w:r>
      <w:r w:rsidR="00515BEE">
        <w:t xml:space="preserve">TIS </w:t>
      </w:r>
      <w:r w:rsidR="008123C8">
        <w:t>communication is provided</w:t>
      </w:r>
      <w:r w:rsidR="00515BEE">
        <w:t xml:space="preserve">, </w:t>
      </w:r>
      <w:r w:rsidR="00D66723">
        <w:t xml:space="preserve">citing the possibility </w:t>
      </w:r>
      <w:r w:rsidR="0008734F">
        <w:t>that “[i]</w:t>
      </w:r>
      <w:r w:rsidR="008123C8">
        <w:t>f the airport is closed or operations are restricted during an emergency security incident, it may prove imperative to keep people away from the airport or guide them to alternative locations.”</w:t>
      </w:r>
      <w:r w:rsidR="00BD2BE8">
        <w:rPr>
          <w:rStyle w:val="FootnoteReference"/>
        </w:rPr>
        <w:footnoteReference w:id="10"/>
      </w:r>
      <w:r w:rsidR="00BD2BE8">
        <w:t xml:space="preserve">  The </w:t>
      </w:r>
      <w:r w:rsidR="00FF54BA">
        <w:t>County</w:t>
      </w:r>
      <w:r w:rsidR="00BD2BE8">
        <w:t xml:space="preserve"> states that “</w:t>
      </w:r>
      <w:r w:rsidR="001B0D97">
        <w:t>[e]mergency communication can best be accomplished by increasing the radio station’s coverage area</w:t>
      </w:r>
      <w:r w:rsidR="00BD2BE8" w:rsidRPr="00702608">
        <w:t>.</w:t>
      </w:r>
      <w:r w:rsidR="00BD2BE8">
        <w:t>”</w:t>
      </w:r>
      <w:r w:rsidR="00BD2BE8">
        <w:rPr>
          <w:rStyle w:val="FootnoteReference"/>
        </w:rPr>
        <w:footnoteReference w:id="11"/>
      </w:r>
      <w:r w:rsidR="00BD2BE8" w:rsidRPr="00702608">
        <w:t xml:space="preserve"> </w:t>
      </w:r>
      <w:r w:rsidR="00BD2BE8">
        <w:t xml:space="preserve"> </w:t>
      </w:r>
      <w:r w:rsidR="00513637">
        <w:t>In support of its request for waiver,</w:t>
      </w:r>
      <w:r w:rsidR="00374294">
        <w:t xml:space="preserve"> </w:t>
      </w:r>
      <w:r w:rsidR="00FF54BA">
        <w:t>Miami-Dade</w:t>
      </w:r>
      <w:r w:rsidR="006C13A9">
        <w:t xml:space="preserve"> </w:t>
      </w:r>
      <w:r w:rsidR="002132AF">
        <w:t>states</w:t>
      </w:r>
      <w:r w:rsidR="006C13A9">
        <w:t>, “</w:t>
      </w:r>
      <w:r w:rsidR="004F3BB2">
        <w:t>[t]</w:t>
      </w:r>
      <w:r w:rsidR="001662DC">
        <w:t>here are no broadcast stations operating on 1610 kHz in the local Miami-Dade County area</w:t>
      </w:r>
      <w:r w:rsidR="006C13A9">
        <w:t>.”</w:t>
      </w:r>
      <w:r w:rsidR="006C13A9">
        <w:rPr>
          <w:rStyle w:val="FootnoteReference"/>
        </w:rPr>
        <w:footnoteReference w:id="12"/>
      </w:r>
      <w:r w:rsidR="006C13A9">
        <w:t xml:space="preserve">  </w:t>
      </w:r>
      <w:r w:rsidR="00055838">
        <w:t xml:space="preserve"> </w:t>
      </w:r>
    </w:p>
    <w:p w:rsidR="006F1D98" w:rsidRDefault="006F1D98" w:rsidP="0091402F">
      <w:pPr>
        <w:pStyle w:val="ParaNum"/>
      </w:pPr>
      <w:r>
        <w:t xml:space="preserve">On March 21, 2016, </w:t>
      </w:r>
      <w:r w:rsidR="00C931D9">
        <w:t xml:space="preserve">Fort </w:t>
      </w:r>
      <w:r>
        <w:t xml:space="preserve">Lauderdale filed </w:t>
      </w:r>
      <w:r w:rsidR="00C931D9">
        <w:t>a</w:t>
      </w:r>
      <w:r>
        <w:t xml:space="preserve"> </w:t>
      </w:r>
      <w:r w:rsidR="00214BF4">
        <w:t>p</w:t>
      </w:r>
      <w:r>
        <w:t xml:space="preserve">etition to </w:t>
      </w:r>
      <w:r w:rsidR="00214BF4">
        <w:t>d</w:t>
      </w:r>
      <w:r>
        <w:t>eny</w:t>
      </w:r>
      <w:r w:rsidR="006F7052">
        <w:t xml:space="preserve"> the </w:t>
      </w:r>
      <w:r w:rsidR="00545FDC">
        <w:t>Waiver Request</w:t>
      </w:r>
      <w:r w:rsidR="006F7052">
        <w:t xml:space="preserve">. </w:t>
      </w:r>
      <w:r w:rsidR="00C931D9">
        <w:t xml:space="preserve">Fort </w:t>
      </w:r>
      <w:r>
        <w:t xml:space="preserve">Lauderdale operates co-channel TIS Station WPZK221 at a distance of 38.8 </w:t>
      </w:r>
      <w:r w:rsidR="00E44F3C">
        <w:t>kilometers</w:t>
      </w:r>
      <w:r>
        <w:t xml:space="preserve"> (24.1 miles) from the County’s TIS.  </w:t>
      </w:r>
      <w:r w:rsidR="00C931D9">
        <w:t xml:space="preserve">Fort </w:t>
      </w:r>
      <w:r w:rsidR="00A1092F">
        <w:t>Lauderdale complains that it “[has] not been contacted by MIA for permission to make such a power increase.”</w:t>
      </w:r>
      <w:r w:rsidR="00A1092F">
        <w:rPr>
          <w:rStyle w:val="FootnoteReference"/>
        </w:rPr>
        <w:footnoteReference w:id="13"/>
      </w:r>
      <w:r w:rsidR="00A1092F">
        <w:t xml:space="preserve">  </w:t>
      </w:r>
      <w:r w:rsidR="00C931D9">
        <w:t xml:space="preserve">Fort </w:t>
      </w:r>
      <w:r w:rsidR="00905467">
        <w:t>Lauderdale cites Section 90.242(b)(7)</w:t>
      </w:r>
      <w:r w:rsidR="00AC5128">
        <w:t xml:space="preserve"> of the Commission’s rules</w:t>
      </w:r>
      <w:r w:rsidR="00905467">
        <w:t>,</w:t>
      </w:r>
      <w:r w:rsidR="00AC5128">
        <w:rPr>
          <w:rStyle w:val="FootnoteReference"/>
        </w:rPr>
        <w:footnoteReference w:id="14"/>
      </w:r>
      <w:r w:rsidR="00905467">
        <w:t xml:space="preserve"> which states that an applicant desiring to locate a station that does not comply with the minimum separation requirement</w:t>
      </w:r>
      <w:r w:rsidR="00AC5128">
        <w:t xml:space="preserve"> (in this case, 15 kilometers (9.3 miles))</w:t>
      </w:r>
      <w:r w:rsidR="00AC5128">
        <w:rPr>
          <w:rStyle w:val="FootnoteReference"/>
        </w:rPr>
        <w:footnoteReference w:id="15"/>
      </w:r>
      <w:r w:rsidR="00905467">
        <w:t xml:space="preserve"> shall coordinate with the affected station.  </w:t>
      </w:r>
      <w:r w:rsidR="00C931D9">
        <w:t xml:space="preserve">Fort </w:t>
      </w:r>
      <w:r>
        <w:t>Lauderdale argues that the County’s request for 30 watts “affects what needs to be our separation from MIA’s 1610 TIS.”</w:t>
      </w:r>
      <w:r w:rsidR="000D2115">
        <w:rPr>
          <w:rStyle w:val="FootnoteReference"/>
        </w:rPr>
        <w:footnoteReference w:id="16"/>
      </w:r>
      <w:r>
        <w:t xml:space="preserve">  </w:t>
      </w:r>
      <w:r w:rsidR="00C931D9">
        <w:t xml:space="preserve">Fort </w:t>
      </w:r>
      <w:r>
        <w:t>Lauderdale argues</w:t>
      </w:r>
      <w:r w:rsidR="00F753ED">
        <w:t xml:space="preserve"> that its</w:t>
      </w:r>
      <w:r>
        <w:t xml:space="preserve"> “fringe coverage will definitely be degraded by the tripling of MIA’s output power.</w:t>
      </w:r>
      <w:r w:rsidR="000D2115">
        <w:t>”</w:t>
      </w:r>
      <w:r w:rsidR="000D2115">
        <w:rPr>
          <w:rStyle w:val="FootnoteReference"/>
        </w:rPr>
        <w:footnoteReference w:id="17"/>
      </w:r>
      <w:r>
        <w:t xml:space="preserve">  </w:t>
      </w:r>
      <w:r w:rsidR="00C931D9">
        <w:t xml:space="preserve">Fort </w:t>
      </w:r>
      <w:r w:rsidR="00A724A4">
        <w:t xml:space="preserve">Lauderdale </w:t>
      </w:r>
      <w:r w:rsidR="00D66723">
        <w:t xml:space="preserve">also </w:t>
      </w:r>
      <w:r>
        <w:t>request</w:t>
      </w:r>
      <w:r w:rsidR="00D66723">
        <w:t xml:space="preserve">s </w:t>
      </w:r>
      <w:r>
        <w:t xml:space="preserve">that the FCC require MIA </w:t>
      </w:r>
      <w:r w:rsidR="00D66723">
        <w:t xml:space="preserve">to conduct </w:t>
      </w:r>
      <w:r>
        <w:t xml:space="preserve">a professional engineering study </w:t>
      </w:r>
      <w:r w:rsidR="00D66723">
        <w:t>“</w:t>
      </w:r>
      <w:r>
        <w:t>to show how much the proposed increase, if granted, would affect our operations, prior to any grant of such a waiver.”</w:t>
      </w:r>
      <w:r w:rsidR="000D2115">
        <w:rPr>
          <w:rStyle w:val="FootnoteReference"/>
        </w:rPr>
        <w:footnoteReference w:id="18"/>
      </w:r>
      <w:r w:rsidR="00905467">
        <w:t xml:space="preserve">  </w:t>
      </w:r>
    </w:p>
    <w:p w:rsidR="00E8753B" w:rsidRPr="009452E6" w:rsidRDefault="00E8753B" w:rsidP="00881242">
      <w:pPr>
        <w:pStyle w:val="Heading1"/>
        <w:tabs>
          <w:tab w:val="left" w:pos="720"/>
        </w:tabs>
        <w:rPr>
          <w:b w:val="0"/>
          <w:szCs w:val="22"/>
        </w:rPr>
      </w:pPr>
      <w:r w:rsidRPr="00881242">
        <w:t>DISCUSSION</w:t>
      </w:r>
    </w:p>
    <w:p w:rsidR="00D14C2D" w:rsidRDefault="001F6E86" w:rsidP="00420606">
      <w:pPr>
        <w:pStyle w:val="ParaNum"/>
      </w:pPr>
      <w:r>
        <w:t>As an initial matter, we note that petitions to deny do not lie against TIS</w:t>
      </w:r>
      <w:r w:rsidR="00420606">
        <w:t xml:space="preserve"> applications</w:t>
      </w:r>
      <w:r>
        <w:t>.</w:t>
      </w:r>
      <w:r>
        <w:rPr>
          <w:rStyle w:val="FootnoteReference"/>
        </w:rPr>
        <w:footnoteReference w:id="19"/>
      </w:r>
      <w:r w:rsidR="00420606">
        <w:t xml:space="preserve">  However, we will treat Fort Lauderdale’s filing as an informal request for Commission action pursuant to Section 1.41 of the Commission’s rules.</w:t>
      </w:r>
      <w:r w:rsidR="00420606">
        <w:rPr>
          <w:rStyle w:val="FootnoteReference"/>
        </w:rPr>
        <w:footnoteReference w:id="20"/>
      </w:r>
      <w:r w:rsidR="00420606">
        <w:t xml:space="preserve">  As to Fort Lauderdale’s </w:t>
      </w:r>
      <w:r w:rsidR="00315D22">
        <w:t>arguments</w:t>
      </w:r>
      <w:r w:rsidR="00420606">
        <w:t xml:space="preserve">, </w:t>
      </w:r>
      <w:r w:rsidR="00314C55">
        <w:t xml:space="preserve">we note </w:t>
      </w:r>
      <w:r w:rsidR="00F32EB3">
        <w:t xml:space="preserve">first </w:t>
      </w:r>
      <w:r w:rsidR="00314C55">
        <w:t>that Section 90.242(b)(7) only requires coordination with affected stations if the applicant is “desiring to locate a station that does not comply with the separation requirements of this section.</w:t>
      </w:r>
      <w:r w:rsidR="00BB7BE1">
        <w:t>”</w:t>
      </w:r>
      <w:r w:rsidR="00314C55">
        <w:rPr>
          <w:rStyle w:val="FootnoteReference"/>
        </w:rPr>
        <w:footnoteReference w:id="21"/>
      </w:r>
      <w:r w:rsidR="00314C55">
        <w:t xml:space="preserve">  Miami-Dade’s TIS is 38.8 kilometers separated from </w:t>
      </w:r>
      <w:r w:rsidR="00C931D9">
        <w:t xml:space="preserve">Fort </w:t>
      </w:r>
      <w:r w:rsidR="00314C55">
        <w:t xml:space="preserve">Lauderdale’s TIS, which satisfies the required minimum distance of 15 kilometers.  However, </w:t>
      </w:r>
      <w:r w:rsidR="00AF0344">
        <w:t xml:space="preserve">the 15 kilometer distance restriction was premised on the TIS operating at 10 watts power and </w:t>
      </w:r>
      <w:r w:rsidR="00314C55">
        <w:t>Miami-Dade</w:t>
      </w:r>
      <w:r w:rsidR="002D1E14">
        <w:t>’s proposal</w:t>
      </w:r>
      <w:r w:rsidR="00D14C2D">
        <w:t xml:space="preserve"> </w:t>
      </w:r>
      <w:r w:rsidR="00AF0344">
        <w:t>is for 30 watts</w:t>
      </w:r>
      <w:r w:rsidR="00480ECF">
        <w:t xml:space="preserve">.  At this higher power, the 15 kilometer restriction would not provide adequate interference protection to and from other nearby TIS.  </w:t>
      </w:r>
      <w:r w:rsidR="00AF0344">
        <w:t xml:space="preserve">Thus, </w:t>
      </w:r>
      <w:r w:rsidR="00AF0344">
        <w:lastRenderedPageBreak/>
        <w:t xml:space="preserve">because Miami-Dade’s proposal </w:t>
      </w:r>
      <w:r w:rsidR="00D66723">
        <w:t xml:space="preserve">does not </w:t>
      </w:r>
      <w:r w:rsidR="00AF0344">
        <w:t>compl</w:t>
      </w:r>
      <w:r w:rsidR="00D66723">
        <w:t xml:space="preserve">y with </w:t>
      </w:r>
      <w:r w:rsidR="00AF0344">
        <w:t xml:space="preserve">either </w:t>
      </w:r>
      <w:r w:rsidR="007C6762">
        <w:t xml:space="preserve">the </w:t>
      </w:r>
      <w:r w:rsidR="002D1E14">
        <w:t xml:space="preserve">TIS output </w:t>
      </w:r>
      <w:r w:rsidR="00D14C2D">
        <w:t>power limit</w:t>
      </w:r>
      <w:r w:rsidR="002D1E14">
        <w:t xml:space="preserve"> </w:t>
      </w:r>
      <w:r w:rsidR="00480ECF">
        <w:t xml:space="preserve">or the </w:t>
      </w:r>
      <w:r w:rsidR="002D1E14">
        <w:t>field strength limit</w:t>
      </w:r>
      <w:r w:rsidR="00D66723">
        <w:t>,</w:t>
      </w:r>
      <w:r w:rsidR="00D14C2D">
        <w:t xml:space="preserve"> </w:t>
      </w:r>
      <w:r w:rsidR="00314C55">
        <w:t xml:space="preserve">and </w:t>
      </w:r>
      <w:r w:rsidR="00D14C2D">
        <w:t xml:space="preserve">given </w:t>
      </w:r>
      <w:r w:rsidR="00314C55">
        <w:t xml:space="preserve">the proximity </w:t>
      </w:r>
      <w:r w:rsidR="005516BF">
        <w:t xml:space="preserve">of </w:t>
      </w:r>
      <w:r w:rsidR="00831E5D">
        <w:t xml:space="preserve">the stations, Miami-Dade should have coordinated </w:t>
      </w:r>
      <w:r w:rsidR="00480ECF">
        <w:t xml:space="preserve">its proposal </w:t>
      </w:r>
      <w:r w:rsidR="00831E5D">
        <w:t xml:space="preserve">with </w:t>
      </w:r>
      <w:r w:rsidR="00C931D9">
        <w:t xml:space="preserve">Fort </w:t>
      </w:r>
      <w:r w:rsidR="00831E5D">
        <w:t>Lauderdale</w:t>
      </w:r>
      <w:r w:rsidR="00314C55">
        <w:t xml:space="preserve">.  </w:t>
      </w:r>
    </w:p>
    <w:p w:rsidR="00A515D8" w:rsidRDefault="00314C55" w:rsidP="00B75652">
      <w:pPr>
        <w:pStyle w:val="ParaNum"/>
      </w:pPr>
      <w:r>
        <w:t xml:space="preserve">Second, </w:t>
      </w:r>
      <w:r w:rsidR="00C931D9">
        <w:t xml:space="preserve">Fort </w:t>
      </w:r>
      <w:r>
        <w:t xml:space="preserve">Lauderdale requested that Miami-Dade provide a professional engineering study to show how much the proposed increase, if granted, would affect </w:t>
      </w:r>
      <w:r w:rsidR="00C931D9">
        <w:t xml:space="preserve">Fort </w:t>
      </w:r>
      <w:r>
        <w:t>Lauderdale’s operations.</w:t>
      </w:r>
      <w:r>
        <w:rPr>
          <w:rStyle w:val="FootnoteReference"/>
        </w:rPr>
        <w:footnoteReference w:id="22"/>
      </w:r>
      <w:r>
        <w:t xml:space="preserve">  </w:t>
      </w:r>
      <w:r w:rsidR="005B58D4">
        <w:t>Section 90.242</w:t>
      </w:r>
      <w:r w:rsidR="0057270E">
        <w:t xml:space="preserve"> do</w:t>
      </w:r>
      <w:r w:rsidR="005B58D4">
        <w:t xml:space="preserve">es not set forth any TIS-to-TIS </w:t>
      </w:r>
      <w:r w:rsidR="0057270E">
        <w:t xml:space="preserve">interference protection </w:t>
      </w:r>
      <w:r w:rsidR="005B58D4">
        <w:t>standards</w:t>
      </w:r>
      <w:r w:rsidR="000E2A15">
        <w:t xml:space="preserve"> beyond </w:t>
      </w:r>
      <w:r w:rsidR="00451D7B">
        <w:t>a minimum</w:t>
      </w:r>
      <w:r w:rsidR="000E2A15">
        <w:t xml:space="preserve"> distance separation requirement</w:t>
      </w:r>
      <w:r w:rsidR="00451D7B" w:rsidRPr="00451D7B">
        <w:t xml:space="preserve"> </w:t>
      </w:r>
      <w:r w:rsidR="00451D7B">
        <w:t xml:space="preserve">of 15 kilometers </w:t>
      </w:r>
      <w:r w:rsidR="00BB0B7E">
        <w:t>between</w:t>
      </w:r>
      <w:r w:rsidR="005516BF">
        <w:t xml:space="preserve"> </w:t>
      </w:r>
      <w:r w:rsidR="003E433E">
        <w:t>10-</w:t>
      </w:r>
      <w:r w:rsidR="005516BF">
        <w:t>watt</w:t>
      </w:r>
      <w:r w:rsidR="00BB0B7E">
        <w:t xml:space="preserve"> co-channel stations using conventional antennas</w:t>
      </w:r>
      <w:r w:rsidR="0057270E">
        <w:t>.</w:t>
      </w:r>
      <w:r w:rsidR="00BB0B7E">
        <w:rPr>
          <w:rStyle w:val="FootnoteReference"/>
        </w:rPr>
        <w:footnoteReference w:id="23"/>
      </w:r>
      <w:r w:rsidR="00451D7B">
        <w:t xml:space="preserve">  </w:t>
      </w:r>
      <w:r w:rsidR="00EB5CC4">
        <w:t xml:space="preserve">Commission </w:t>
      </w:r>
      <w:r w:rsidR="00BB7BE1">
        <w:t xml:space="preserve">staff </w:t>
      </w:r>
      <w:r w:rsidR="00EB5CC4">
        <w:t xml:space="preserve">conducted its own </w:t>
      </w:r>
      <w:r w:rsidR="000B3E78">
        <w:t xml:space="preserve">contour overlap </w:t>
      </w:r>
      <w:r w:rsidR="00EB5CC4">
        <w:t>analysis</w:t>
      </w:r>
      <w:r w:rsidR="00EB5CC4" w:rsidRPr="00EB5CC4">
        <w:t xml:space="preserve"> </w:t>
      </w:r>
      <w:r w:rsidR="00EB5CC4">
        <w:t xml:space="preserve">of Miami-Dade’s existing and proposed TIS operations compared to </w:t>
      </w:r>
      <w:r w:rsidR="00C931D9">
        <w:t xml:space="preserve">Fort </w:t>
      </w:r>
      <w:r w:rsidR="00EB5CC4">
        <w:t xml:space="preserve">Lauderdale’s TIS and another co-channel TIS in the vicinity, Station WPDA943, </w:t>
      </w:r>
      <w:r w:rsidR="000B3E78">
        <w:t>license</w:t>
      </w:r>
      <w:r w:rsidR="005D47F5">
        <w:t>d</w:t>
      </w:r>
      <w:r w:rsidR="000B3E78">
        <w:t xml:space="preserve"> to the </w:t>
      </w:r>
      <w:r w:rsidR="00EB5CC4">
        <w:t xml:space="preserve">City of Sunrise, Florida (Sunrise).  </w:t>
      </w:r>
      <w:r w:rsidR="005516BF">
        <w:t>W</w:t>
      </w:r>
      <w:r w:rsidR="00EF584D">
        <w:t>e fou</w:t>
      </w:r>
      <w:r w:rsidR="005810F6">
        <w:t xml:space="preserve">nd it appropriate to apply the </w:t>
      </w:r>
      <w:r w:rsidR="00EF0AA3">
        <w:t xml:space="preserve">AM broadcast </w:t>
      </w:r>
      <w:r w:rsidR="001E3DED">
        <w:t xml:space="preserve">co-channel </w:t>
      </w:r>
      <w:r w:rsidR="005810F6">
        <w:t>protection criteria</w:t>
      </w:r>
      <w:r w:rsidR="00907B12">
        <w:rPr>
          <w:rStyle w:val="FootnoteReference"/>
        </w:rPr>
        <w:footnoteReference w:id="24"/>
      </w:r>
      <w:r w:rsidR="007F4C3D">
        <w:t xml:space="preserve"> because the TIS service operates in the AM radio band.</w:t>
      </w:r>
      <w:r w:rsidR="005810F6">
        <w:t xml:space="preserve">  </w:t>
      </w:r>
      <w:r w:rsidR="00EF0AA3">
        <w:t>According to Section 73.37 of the Commission’s rules, n</w:t>
      </w:r>
      <w:r w:rsidR="005810F6">
        <w:t>o application will be accepted for a change of the facilities of an existing station if the proposed change would involve overlap of contours</w:t>
      </w:r>
      <w:r w:rsidR="006D3A0B">
        <w:t xml:space="preserve"> of other stations</w:t>
      </w:r>
      <w:r w:rsidR="00911734">
        <w:t xml:space="preserve"> </w:t>
      </w:r>
      <w:r w:rsidR="00A95967">
        <w:t xml:space="preserve">where there is not already </w:t>
      </w:r>
      <w:r w:rsidR="005810F6">
        <w:t>such overlap</w:t>
      </w:r>
      <w:r w:rsidR="00A95967">
        <w:t>.</w:t>
      </w:r>
      <w:r w:rsidR="00A95967">
        <w:rPr>
          <w:rStyle w:val="FootnoteReference"/>
        </w:rPr>
        <w:footnoteReference w:id="25"/>
      </w:r>
      <w:r w:rsidR="00A95967">
        <w:t xml:space="preserve">  If such overlap already exists</w:t>
      </w:r>
      <w:r w:rsidR="00F16E4F">
        <w:t>, t</w:t>
      </w:r>
      <w:r w:rsidR="00907B12">
        <w:t>he total area of overlap with th</w:t>
      </w:r>
      <w:r w:rsidR="00911734">
        <w:t>ose</w:t>
      </w:r>
      <w:r w:rsidR="00907B12">
        <w:t xml:space="preserve"> station</w:t>
      </w:r>
      <w:r w:rsidR="00911734">
        <w:t>s</w:t>
      </w:r>
      <w:r w:rsidR="00907B12">
        <w:t xml:space="preserve"> </w:t>
      </w:r>
      <w:r w:rsidR="00077AEF">
        <w:t>cannot</w:t>
      </w:r>
      <w:r w:rsidR="00907B12">
        <w:t xml:space="preserve"> be increased.</w:t>
      </w:r>
      <w:r w:rsidR="00907B12">
        <w:rPr>
          <w:rStyle w:val="FootnoteReference"/>
        </w:rPr>
        <w:footnoteReference w:id="26"/>
      </w:r>
    </w:p>
    <w:p w:rsidR="00D14C2D" w:rsidRDefault="00A3033F" w:rsidP="00B75652">
      <w:pPr>
        <w:pStyle w:val="ParaNum"/>
      </w:pPr>
      <w:r>
        <w:t>Based on the Section 73.37 criteria, the</w:t>
      </w:r>
      <w:r w:rsidR="00927EED">
        <w:t xml:space="preserve"> </w:t>
      </w:r>
      <w:r w:rsidR="00BB7BE1">
        <w:t>Commission staff</w:t>
      </w:r>
      <w:r w:rsidR="00EB5CC4">
        <w:t xml:space="preserve"> </w:t>
      </w:r>
      <w:r w:rsidR="002C5618">
        <w:t xml:space="preserve">analysis </w:t>
      </w:r>
      <w:r w:rsidR="009422ED">
        <w:t xml:space="preserve">predicts </w:t>
      </w:r>
      <w:r w:rsidR="00A515D8">
        <w:t xml:space="preserve">that </w:t>
      </w:r>
      <w:r w:rsidR="00EC1F22">
        <w:t xml:space="preserve">Miami-Dade’s </w:t>
      </w:r>
      <w:r w:rsidR="00467FCE">
        <w:t xml:space="preserve">licensed </w:t>
      </w:r>
      <w:r w:rsidR="000B3E78">
        <w:t xml:space="preserve">10-watt </w:t>
      </w:r>
      <w:r w:rsidR="004B064C">
        <w:t>0.025 mV/m</w:t>
      </w:r>
      <w:r w:rsidR="002E0BE6">
        <w:t xml:space="preserve"> </w:t>
      </w:r>
      <w:r w:rsidR="00EC1F22">
        <w:t>conto</w:t>
      </w:r>
      <w:r w:rsidR="00EB5CC4">
        <w:t>ur overlaps</w:t>
      </w:r>
      <w:r w:rsidR="00EC1F22">
        <w:t xml:space="preserve"> the </w:t>
      </w:r>
      <w:r w:rsidR="001B19D3">
        <w:t xml:space="preserve">licensed </w:t>
      </w:r>
      <w:r w:rsidR="004B064C">
        <w:t>0.5</w:t>
      </w:r>
      <w:r w:rsidR="002E0BE6">
        <w:t>00</w:t>
      </w:r>
      <w:r w:rsidR="004B064C">
        <w:t xml:space="preserve"> mV/m</w:t>
      </w:r>
      <w:r w:rsidR="00105245">
        <w:t xml:space="preserve"> </w:t>
      </w:r>
      <w:r w:rsidR="00EC1F22">
        <w:t xml:space="preserve">contours of </w:t>
      </w:r>
      <w:r w:rsidR="00467FCE">
        <w:t xml:space="preserve">the </w:t>
      </w:r>
      <w:r w:rsidR="00C931D9">
        <w:t xml:space="preserve">Fort </w:t>
      </w:r>
      <w:r w:rsidR="00EC1F22">
        <w:t>Lauderdale and Sunrise</w:t>
      </w:r>
      <w:r w:rsidR="00467FCE">
        <w:t xml:space="preserve"> TIS facilities</w:t>
      </w:r>
      <w:r w:rsidR="00EC1F22">
        <w:t>.</w:t>
      </w:r>
      <w:r w:rsidR="004B064C">
        <w:t xml:space="preserve">  </w:t>
      </w:r>
      <w:r w:rsidR="00467FCE">
        <w:t xml:space="preserve">Additionally, </w:t>
      </w:r>
      <w:r w:rsidR="001056CF">
        <w:t>our</w:t>
      </w:r>
      <w:r w:rsidR="001E3DED">
        <w:t xml:space="preserve"> study predicts that </w:t>
      </w:r>
      <w:r w:rsidR="001056CF">
        <w:t xml:space="preserve">the </w:t>
      </w:r>
      <w:r w:rsidR="001B19D3">
        <w:t xml:space="preserve">licensed </w:t>
      </w:r>
      <w:r w:rsidR="001056CF">
        <w:t>0.025</w:t>
      </w:r>
      <w:r w:rsidR="002E0BE6">
        <w:t xml:space="preserve"> mV/m</w:t>
      </w:r>
      <w:r w:rsidR="001056CF">
        <w:t xml:space="preserve"> contours of </w:t>
      </w:r>
      <w:r w:rsidR="00467FCE">
        <w:t xml:space="preserve">the </w:t>
      </w:r>
      <w:r w:rsidR="00C931D9">
        <w:t xml:space="preserve">Fort </w:t>
      </w:r>
      <w:r w:rsidR="00467FCE">
        <w:t xml:space="preserve">Lauderdale and Sunrise </w:t>
      </w:r>
      <w:r w:rsidR="000B3E78">
        <w:t xml:space="preserve">TIS </w:t>
      </w:r>
      <w:r w:rsidR="001056CF">
        <w:t xml:space="preserve">facilities </w:t>
      </w:r>
      <w:r w:rsidR="000B3E78">
        <w:t>overlap the licensed 0.5</w:t>
      </w:r>
      <w:r w:rsidR="002E0BE6">
        <w:t xml:space="preserve">00 mV/m </w:t>
      </w:r>
      <w:r w:rsidR="000B3E78">
        <w:t xml:space="preserve">Miami-Dade </w:t>
      </w:r>
      <w:r w:rsidR="001056CF">
        <w:t xml:space="preserve">TIS </w:t>
      </w:r>
      <w:r w:rsidR="000B3E78">
        <w:t xml:space="preserve">contour.  </w:t>
      </w:r>
      <w:r w:rsidR="001E3DED">
        <w:t>Thus</w:t>
      </w:r>
      <w:r w:rsidR="001056CF">
        <w:t xml:space="preserve">, </w:t>
      </w:r>
      <w:r w:rsidR="000B3E78">
        <w:t xml:space="preserve">the licensed Miami-Dade TIS </w:t>
      </w:r>
      <w:r w:rsidR="001E3DED">
        <w:t xml:space="preserve">facilities </w:t>
      </w:r>
      <w:r w:rsidR="00480ECF">
        <w:t xml:space="preserve">– even at 10 watts power – </w:t>
      </w:r>
      <w:r w:rsidR="001E3DED">
        <w:t xml:space="preserve">are predicted to </w:t>
      </w:r>
      <w:r w:rsidR="000B3E78">
        <w:t>both cause overlap</w:t>
      </w:r>
      <w:r w:rsidR="001E3DED">
        <w:t xml:space="preserve"> to and receive</w:t>
      </w:r>
      <w:r w:rsidR="000B3E78">
        <w:t xml:space="preserve"> overlap from the</w:t>
      </w:r>
      <w:r w:rsidR="001B19D3">
        <w:t xml:space="preserve"> licensed </w:t>
      </w:r>
      <w:r w:rsidR="00C931D9">
        <w:t xml:space="preserve">Fort </w:t>
      </w:r>
      <w:r w:rsidR="000B3E78">
        <w:t>Lauderdale and Sunrise TIS facilities.</w:t>
      </w:r>
      <w:r w:rsidR="00F9021C">
        <w:rPr>
          <w:rStyle w:val="FootnoteReference"/>
        </w:rPr>
        <w:footnoteReference w:id="27"/>
      </w:r>
      <w:r w:rsidR="00467FCE">
        <w:t xml:space="preserve"> </w:t>
      </w:r>
      <w:r w:rsidR="00105245">
        <w:t xml:space="preserve"> </w:t>
      </w:r>
      <w:r w:rsidR="000B3E78">
        <w:t xml:space="preserve">If </w:t>
      </w:r>
      <w:r w:rsidR="00684530">
        <w:t>Miami-Dade</w:t>
      </w:r>
      <w:r w:rsidR="00A14AC8">
        <w:t xml:space="preserve">’s </w:t>
      </w:r>
      <w:r w:rsidR="001E3DED">
        <w:t xml:space="preserve">TIS </w:t>
      </w:r>
      <w:r w:rsidR="00A14AC8">
        <w:t xml:space="preserve">output power </w:t>
      </w:r>
      <w:r w:rsidR="000B3E78">
        <w:t xml:space="preserve">were </w:t>
      </w:r>
      <w:r w:rsidR="00A14AC8">
        <w:t>increased to</w:t>
      </w:r>
      <w:r w:rsidR="009422ED">
        <w:t xml:space="preserve"> 30 watts, </w:t>
      </w:r>
      <w:r w:rsidR="001E3DED">
        <w:t xml:space="preserve">our </w:t>
      </w:r>
      <w:r w:rsidR="009422ED">
        <w:t xml:space="preserve">analysis predicts that </w:t>
      </w:r>
      <w:r w:rsidR="000B3E78">
        <w:t xml:space="preserve">the </w:t>
      </w:r>
      <w:r w:rsidR="009422ED">
        <w:t>areas of contour overlap</w:t>
      </w:r>
      <w:r>
        <w:t xml:space="preserve"> between the stations</w:t>
      </w:r>
      <w:r w:rsidR="000B3E78">
        <w:t>, both caused and received, would</w:t>
      </w:r>
      <w:r w:rsidR="005810F6">
        <w:t xml:space="preserve"> </w:t>
      </w:r>
      <w:r w:rsidR="009422ED">
        <w:t>increase</w:t>
      </w:r>
      <w:r w:rsidR="001E3DED">
        <w:t xml:space="preserve"> significantly</w:t>
      </w:r>
      <w:r w:rsidR="009422ED">
        <w:t xml:space="preserve">.  </w:t>
      </w:r>
      <w:r w:rsidR="00077AEF">
        <w:t xml:space="preserve">Thus, </w:t>
      </w:r>
      <w:r w:rsidR="00ED7FD1">
        <w:t>even though Miami-Dade</w:t>
      </w:r>
      <w:r w:rsidR="001E3DED">
        <w:t xml:space="preserve">’s licensed TIS facilities </w:t>
      </w:r>
      <w:r w:rsidR="00ED7FD1">
        <w:t xml:space="preserve">fit the exception </w:t>
      </w:r>
      <w:r w:rsidR="001E3DED">
        <w:t xml:space="preserve">for </w:t>
      </w:r>
      <w:r w:rsidR="00ED7FD1">
        <w:t xml:space="preserve">existing </w:t>
      </w:r>
      <w:r w:rsidR="00EB5CC4">
        <w:t xml:space="preserve">contour </w:t>
      </w:r>
      <w:r w:rsidR="00ED7FD1">
        <w:t>overlap</w:t>
      </w:r>
      <w:r w:rsidR="001E3DED">
        <w:t>,</w:t>
      </w:r>
      <w:r w:rsidR="00ED7FD1">
        <w:t xml:space="preserve"> </w:t>
      </w:r>
      <w:r w:rsidR="001E3DED">
        <w:t xml:space="preserve">the proposed </w:t>
      </w:r>
      <w:r w:rsidR="00077AEF">
        <w:t xml:space="preserve">Miami-Dade </w:t>
      </w:r>
      <w:r w:rsidR="00C97DB9">
        <w:t>30-watt</w:t>
      </w:r>
      <w:r w:rsidR="00E4238A">
        <w:t xml:space="preserve"> TIS</w:t>
      </w:r>
      <w:r w:rsidR="001E3DED">
        <w:t xml:space="preserve"> would increase existing overlap,</w:t>
      </w:r>
      <w:r w:rsidR="001B19D3">
        <w:t xml:space="preserve"> both caused and received,</w:t>
      </w:r>
      <w:r w:rsidR="001E3DED">
        <w:t xml:space="preserve"> and therefore </w:t>
      </w:r>
      <w:r w:rsidR="00077AEF">
        <w:t xml:space="preserve">fails </w:t>
      </w:r>
      <w:r w:rsidR="00ED7FD1">
        <w:t xml:space="preserve">to satisfy </w:t>
      </w:r>
      <w:r w:rsidR="00077AEF">
        <w:t xml:space="preserve">the </w:t>
      </w:r>
      <w:r w:rsidR="00480ECF">
        <w:t xml:space="preserve">rule’s </w:t>
      </w:r>
      <w:r w:rsidR="00077AEF">
        <w:t xml:space="preserve">provision that the total area of </w:t>
      </w:r>
      <w:r w:rsidR="00D17F9B">
        <w:t xml:space="preserve">existing </w:t>
      </w:r>
      <w:r w:rsidR="00077AEF">
        <w:t>overlap with those stations cannot be increased.</w:t>
      </w:r>
      <w:r w:rsidR="005810F6">
        <w:t xml:space="preserve"> </w:t>
      </w:r>
      <w:r w:rsidR="0057270E">
        <w:t xml:space="preserve"> </w:t>
      </w:r>
      <w:r w:rsidR="001B19D3">
        <w:t>For this reason</w:t>
      </w:r>
      <w:r w:rsidR="001E3DED">
        <w:t>, w</w:t>
      </w:r>
      <w:r w:rsidR="00ED7FD1">
        <w:t xml:space="preserve">e conclude that Miami-Dade’s proposal </w:t>
      </w:r>
      <w:r w:rsidR="002E0BE6">
        <w:t>c</w:t>
      </w:r>
      <w:r w:rsidR="00ED7FD1">
        <w:t xml:space="preserve">ould degrade the TIS operations of </w:t>
      </w:r>
      <w:r w:rsidR="00C931D9">
        <w:t xml:space="preserve">Fort </w:t>
      </w:r>
      <w:r w:rsidR="00ED7FD1">
        <w:t>Lauderdale and Sunrise</w:t>
      </w:r>
      <w:r w:rsidR="00D14C2D">
        <w:t>.</w:t>
      </w:r>
    </w:p>
    <w:p w:rsidR="00BD0410" w:rsidRDefault="00D14C2D" w:rsidP="00D178CD">
      <w:pPr>
        <w:pStyle w:val="ParaNum"/>
        <w:widowControl/>
      </w:pPr>
      <w:r>
        <w:t xml:space="preserve">Third, in light of </w:t>
      </w:r>
      <w:r w:rsidR="00F9021C">
        <w:t xml:space="preserve">the </w:t>
      </w:r>
      <w:r>
        <w:t xml:space="preserve">outcome of </w:t>
      </w:r>
      <w:r w:rsidR="009404CE">
        <w:t>th</w:t>
      </w:r>
      <w:r w:rsidR="00F9021C">
        <w:t>is</w:t>
      </w:r>
      <w:r>
        <w:t xml:space="preserve"> </w:t>
      </w:r>
      <w:r w:rsidR="00927EED">
        <w:t xml:space="preserve">contour </w:t>
      </w:r>
      <w:r w:rsidR="002E0BE6">
        <w:t xml:space="preserve">overlap </w:t>
      </w:r>
      <w:r>
        <w:t xml:space="preserve">analysis, we </w:t>
      </w:r>
      <w:r w:rsidR="009404CE">
        <w:t>consider</w:t>
      </w:r>
      <w:r>
        <w:t xml:space="preserve"> </w:t>
      </w:r>
      <w:r w:rsidR="00C931D9">
        <w:t xml:space="preserve">Fort </w:t>
      </w:r>
      <w:r>
        <w:t xml:space="preserve">Lauderdale’s </w:t>
      </w:r>
      <w:r w:rsidR="00F9021C">
        <w:t xml:space="preserve">opposition </w:t>
      </w:r>
      <w:r w:rsidR="00BE3346">
        <w:t>to</w:t>
      </w:r>
      <w:r>
        <w:t xml:space="preserve"> the </w:t>
      </w:r>
      <w:r w:rsidR="00FA39D6">
        <w:t>W</w:t>
      </w:r>
      <w:r>
        <w:t xml:space="preserve">aiver </w:t>
      </w:r>
      <w:r w:rsidR="00FA39D6">
        <w:t>R</w:t>
      </w:r>
      <w:r>
        <w:t xml:space="preserve">equest.  </w:t>
      </w:r>
      <w:r w:rsidR="00E8753B" w:rsidRPr="00E8753B">
        <w:t xml:space="preserve">Section 1.925(b)(3) of the Commission’s rules provides that: “the Commission may grant a request for waiver if it is shown that: </w:t>
      </w:r>
      <w:bookmarkStart w:id="1" w:name="SP;619100004c4a2"/>
      <w:bookmarkStart w:id="2" w:name="I0C18FFF043ED11E0B2C484FD2F1B6B50"/>
      <w:bookmarkStart w:id="3" w:name="I0C172B3643ED11E0B2C484FD2F1B6B50"/>
      <w:bookmarkEnd w:id="1"/>
      <w:bookmarkEnd w:id="2"/>
      <w:bookmarkEnd w:id="3"/>
      <w:r w:rsidR="00E8753B" w:rsidRPr="00E8753B">
        <w:t xml:space="preserve">(i) The underlying purpose of the rule(s) would not be served or would be frustrated by application to the instant case, and that a grant of the requested waiver would be in the public interest; or </w:t>
      </w:r>
      <w:bookmarkStart w:id="4" w:name="SP;3ac8000039643"/>
      <w:bookmarkStart w:id="5" w:name="I0C19270043ED11E0B2C484FD2F1B6B50"/>
      <w:bookmarkStart w:id="6" w:name="I0C172B3743ED11E0B2C484FD2F1B6B50"/>
      <w:bookmarkEnd w:id="4"/>
      <w:bookmarkEnd w:id="5"/>
      <w:bookmarkEnd w:id="6"/>
      <w:r w:rsidR="00E8753B" w:rsidRPr="00E8753B">
        <w:t>(ii) In view of unique or unusual factual circumstances of the instant case, application of the rule(s) would be inequitable, unduly burdensome or contrary to the public interest, or the applicant has no reasonable alternative.”</w:t>
      </w:r>
      <w:r w:rsidR="00E8753B" w:rsidRPr="001B04FB">
        <w:rPr>
          <w:rStyle w:val="FootnoteReference"/>
          <w:szCs w:val="22"/>
        </w:rPr>
        <w:footnoteReference w:id="28"/>
      </w:r>
      <w:r w:rsidR="00E8753B" w:rsidRPr="00E8753B">
        <w:t xml:space="preserve">  </w:t>
      </w:r>
      <w:r w:rsidR="0010681F" w:rsidRPr="002337E3">
        <w:rPr>
          <w:szCs w:val="22"/>
        </w:rPr>
        <w:t>An applicant seeking a waiver faces a high hurdle and must plead with particularity the facts and circumstances that warrant a waiver.</w:t>
      </w:r>
      <w:r w:rsidR="0010681F" w:rsidRPr="00537306">
        <w:rPr>
          <w:rStyle w:val="FootnoteReference"/>
          <w:szCs w:val="22"/>
        </w:rPr>
        <w:footnoteReference w:id="29"/>
      </w:r>
      <w:r w:rsidR="0010681F" w:rsidRPr="002337E3">
        <w:rPr>
          <w:szCs w:val="22"/>
        </w:rPr>
        <w:t xml:space="preserve">  Based on the information before us, we are </w:t>
      </w:r>
      <w:r w:rsidR="00114A17">
        <w:rPr>
          <w:szCs w:val="22"/>
        </w:rPr>
        <w:t xml:space="preserve">not </w:t>
      </w:r>
      <w:r w:rsidR="0010681F" w:rsidRPr="002337E3">
        <w:rPr>
          <w:szCs w:val="22"/>
        </w:rPr>
        <w:t>persuaded that a waiver of Section 90.242(b)(4)</w:t>
      </w:r>
      <w:r w:rsidR="007E0C96" w:rsidRPr="002337E3">
        <w:rPr>
          <w:szCs w:val="22"/>
        </w:rPr>
        <w:t xml:space="preserve">(iii) and </w:t>
      </w:r>
      <w:r w:rsidR="0010681F" w:rsidRPr="002337E3">
        <w:rPr>
          <w:szCs w:val="22"/>
        </w:rPr>
        <w:t>(iv) is warranted.</w:t>
      </w:r>
    </w:p>
    <w:p w:rsidR="00EF4536" w:rsidRDefault="007E0C96" w:rsidP="00773631">
      <w:pPr>
        <w:pStyle w:val="ParaNum"/>
        <w:widowControl/>
      </w:pPr>
      <w:r>
        <w:rPr>
          <w:szCs w:val="22"/>
        </w:rPr>
        <w:t xml:space="preserve">The underlying purpose of the rules governing the power level and contour restrictions applicable to TIS stations is </w:t>
      </w:r>
      <w:r w:rsidR="003A3E28">
        <w:rPr>
          <w:szCs w:val="22"/>
        </w:rPr>
        <w:t>to limit the potential to cause interference</w:t>
      </w:r>
      <w:r w:rsidRPr="003A3E28">
        <w:rPr>
          <w:szCs w:val="22"/>
        </w:rPr>
        <w:t>.</w:t>
      </w:r>
      <w:r w:rsidRPr="003A3E28">
        <w:rPr>
          <w:rStyle w:val="FootnoteReference"/>
          <w:szCs w:val="22"/>
        </w:rPr>
        <w:footnoteReference w:id="30"/>
      </w:r>
      <w:r>
        <w:rPr>
          <w:szCs w:val="22"/>
        </w:rPr>
        <w:t xml:space="preserve">  </w:t>
      </w:r>
      <w:r w:rsidR="00EF4536" w:rsidRPr="00EF4536">
        <w:t>When the Commission adopted the TIS rules, it stated that TIS “is intended to serve a 3 km zone with generally repetitive information pertinent to travelers.”</w:t>
      </w:r>
      <w:r w:rsidR="00EF4536">
        <w:rPr>
          <w:rStyle w:val="FootnoteReference"/>
        </w:rPr>
        <w:footnoteReference w:id="31"/>
      </w:r>
      <w:r w:rsidR="00EF4536" w:rsidRPr="00EF4536">
        <w:t xml:space="preserve">  In limiting the TIS coverage zone, the Commission primarily was motivated to minimize the potential for TIS to cause interference.</w:t>
      </w:r>
      <w:r w:rsidR="00EF4536">
        <w:rPr>
          <w:rStyle w:val="FootnoteReference"/>
        </w:rPr>
        <w:footnoteReference w:id="32"/>
      </w:r>
      <w:r w:rsidR="00EF4536" w:rsidRPr="00EF4536">
        <w:t xml:space="preserve">  The Commission therefore adopted rules to limit the measured field strength at 1.5 kilometers from the transmitting site, limit the maximum antenna height, and limit the transmitter output power to ten watts.</w:t>
      </w:r>
      <w:r w:rsidR="00EF4536">
        <w:rPr>
          <w:rStyle w:val="FootnoteReference"/>
        </w:rPr>
        <w:footnoteReference w:id="33"/>
      </w:r>
      <w:r w:rsidR="008A65EA">
        <w:t xml:space="preserve">  </w:t>
      </w:r>
      <w:r w:rsidR="00F9021C">
        <w:t xml:space="preserve">In </w:t>
      </w:r>
      <w:r w:rsidR="003F7AF1">
        <w:t>“</w:t>
      </w:r>
      <w:r w:rsidR="0062187E">
        <w:t>cases</w:t>
      </w:r>
      <w:r w:rsidR="008A65EA">
        <w:t xml:space="preserve"> </w:t>
      </w:r>
      <w:r w:rsidR="0062187E">
        <w:t>in which several</w:t>
      </w:r>
      <w:r w:rsidR="008A65EA">
        <w:t xml:space="preserve"> </w:t>
      </w:r>
      <w:r w:rsidR="0062187E">
        <w:t>jurisdictions</w:t>
      </w:r>
      <w:r w:rsidR="003F7AF1">
        <w:t>,</w:t>
      </w:r>
      <w:r w:rsidR="0062187E">
        <w:t xml:space="preserve"> each with a specific need for TIS, are confined within</w:t>
      </w:r>
      <w:r w:rsidR="008A65EA">
        <w:t xml:space="preserve"> a relatively small geographic area,</w:t>
      </w:r>
      <w:r w:rsidR="0062187E">
        <w:t>”</w:t>
      </w:r>
      <w:r w:rsidR="008A65EA">
        <w:t xml:space="preserve"> as is the case </w:t>
      </w:r>
      <w:r w:rsidR="00EC6E9A">
        <w:t>in the Miami and Fort Lauderdale metropolitan area</w:t>
      </w:r>
      <w:r w:rsidR="008A65EA">
        <w:t>, the Commission “strongly urge[d] that the coverage area to be served by each TIS be confined to the licensee’s area of jurisdiction …”</w:t>
      </w:r>
      <w:r w:rsidR="008A65EA">
        <w:rPr>
          <w:rStyle w:val="FootnoteReference"/>
        </w:rPr>
        <w:footnoteReference w:id="34"/>
      </w:r>
    </w:p>
    <w:p w:rsidR="00EE3EF0" w:rsidRDefault="000C48FE" w:rsidP="00AA6818">
      <w:pPr>
        <w:pStyle w:val="ParaNum"/>
        <w:widowControl/>
      </w:pPr>
      <w:r>
        <w:t xml:space="preserve">Based on </w:t>
      </w:r>
      <w:r w:rsidR="00927EED">
        <w:t xml:space="preserve">our contour overlap </w:t>
      </w:r>
      <w:r>
        <w:t>analysis, w</w:t>
      </w:r>
      <w:r w:rsidR="00273290" w:rsidRPr="00273290">
        <w:t xml:space="preserve">e find that the </w:t>
      </w:r>
      <w:r w:rsidR="00FF54BA">
        <w:t>County</w:t>
      </w:r>
      <w:r w:rsidR="00273290">
        <w:t>’s</w:t>
      </w:r>
      <w:r w:rsidR="00273290" w:rsidRPr="00273290">
        <w:t xml:space="preserve"> proposal would </w:t>
      </w:r>
      <w:r w:rsidR="000313EA">
        <w:t xml:space="preserve">not </w:t>
      </w:r>
      <w:r w:rsidR="00273290" w:rsidRPr="00273290">
        <w:t xml:space="preserve">protect </w:t>
      </w:r>
      <w:r w:rsidR="000313EA">
        <w:t xml:space="preserve">co-channel TIS </w:t>
      </w:r>
      <w:r w:rsidR="00273290" w:rsidRPr="00273290">
        <w:t xml:space="preserve">operations </w:t>
      </w:r>
      <w:r>
        <w:t xml:space="preserve">of </w:t>
      </w:r>
      <w:r w:rsidR="00C931D9">
        <w:t xml:space="preserve">Fort </w:t>
      </w:r>
      <w:r>
        <w:t xml:space="preserve">Lauderdale and Sunrise </w:t>
      </w:r>
      <w:r w:rsidR="00273290" w:rsidRPr="00273290">
        <w:t>from potential harmful interference</w:t>
      </w:r>
      <w:r>
        <w:t>.  Under the first prong of the waiver standard, we find that a waiver would be</w:t>
      </w:r>
      <w:r w:rsidR="000313EA">
        <w:t xml:space="preserve"> in</w:t>
      </w:r>
      <w:r w:rsidR="00273290" w:rsidRPr="00273290">
        <w:t>consistent with the underlying purpose of Section 90.242(b)(4)</w:t>
      </w:r>
      <w:r w:rsidR="001830E0">
        <w:t xml:space="preserve">(iii) and </w:t>
      </w:r>
      <w:r w:rsidR="00273290" w:rsidRPr="00273290">
        <w:t xml:space="preserve">(iv).  </w:t>
      </w:r>
      <w:r w:rsidR="00B66737" w:rsidRPr="00B66737">
        <w:t xml:space="preserve">Therefore, we find that the underlying purpose of the rule </w:t>
      </w:r>
      <w:r w:rsidR="00F74520">
        <w:t xml:space="preserve">is </w:t>
      </w:r>
      <w:r w:rsidR="00B66737" w:rsidRPr="00B66737">
        <w:t>served by application to the present case.</w:t>
      </w:r>
      <w:r>
        <w:t xml:space="preserve">  Under the second prong of the waiver standard, </w:t>
      </w:r>
      <w:r w:rsidRPr="00E8753B">
        <w:t xml:space="preserve">application of the rules </w:t>
      </w:r>
      <w:r>
        <w:t>serve</w:t>
      </w:r>
      <w:r w:rsidR="00F74520">
        <w:t>s</w:t>
      </w:r>
      <w:r w:rsidRPr="00E8753B">
        <w:t xml:space="preserve"> the public interest</w:t>
      </w:r>
      <w:r>
        <w:t xml:space="preserve"> </w:t>
      </w:r>
      <w:r w:rsidR="00F74520">
        <w:t xml:space="preserve">by protecting </w:t>
      </w:r>
      <w:r w:rsidR="00C931D9">
        <w:t xml:space="preserve">Fort </w:t>
      </w:r>
      <w:r>
        <w:t xml:space="preserve">Lauderdale and Sunrise’s </w:t>
      </w:r>
      <w:r w:rsidR="00584979">
        <w:t xml:space="preserve">current TIS </w:t>
      </w:r>
      <w:r w:rsidR="00844888">
        <w:t xml:space="preserve">operations </w:t>
      </w:r>
      <w:r w:rsidR="00F74520">
        <w:t xml:space="preserve">from </w:t>
      </w:r>
      <w:r w:rsidR="00584979">
        <w:t>further degradation</w:t>
      </w:r>
      <w:r w:rsidR="0074278B">
        <w:t xml:space="preserve">.  </w:t>
      </w:r>
      <w:r w:rsidR="00950AEE">
        <w:t xml:space="preserve">Finally, </w:t>
      </w:r>
      <w:r>
        <w:t>Miami-Dade has not demonstrated that it</w:t>
      </w:r>
      <w:r w:rsidRPr="00E8753B">
        <w:t xml:space="preserve"> has no reasonable alternative</w:t>
      </w:r>
      <w:r>
        <w:t xml:space="preserve">.  </w:t>
      </w:r>
      <w:r w:rsidR="00AB1E72">
        <w:t>For example, t</w:t>
      </w:r>
      <w:r>
        <w:t xml:space="preserve">he County may </w:t>
      </w:r>
      <w:r w:rsidR="00AB1E72">
        <w:t>apply for authorization to place</w:t>
      </w:r>
      <w:r>
        <w:t xml:space="preserve"> </w:t>
      </w:r>
      <w:r w:rsidR="00AB1E72">
        <w:t>one or more 10-watt TIS transmitters</w:t>
      </w:r>
      <w:r>
        <w:t xml:space="preserve"> in the </w:t>
      </w:r>
      <w:r w:rsidR="00AB1E72">
        <w:t xml:space="preserve">outlying </w:t>
      </w:r>
      <w:r>
        <w:t xml:space="preserve">vicinity of MIA to provide traffic information to travelers en route to MIA.  Alternatively, the County may select a different frequency, provided it does not present a risk of interference to TIS or AM broadcast stations.  </w:t>
      </w:r>
    </w:p>
    <w:p w:rsidR="00CE50FA" w:rsidRDefault="00EE3EF0" w:rsidP="00AA6818">
      <w:pPr>
        <w:pStyle w:val="ParaNum"/>
        <w:widowControl/>
      </w:pPr>
      <w:r>
        <w:t>W</w:t>
      </w:r>
      <w:r w:rsidR="00007B93">
        <w:t xml:space="preserve">e conclude that </w:t>
      </w:r>
      <w:r w:rsidR="00FF54BA">
        <w:t>Miami-Dade</w:t>
      </w:r>
      <w:r w:rsidR="000C48FE">
        <w:t xml:space="preserve"> does not satisfy</w:t>
      </w:r>
      <w:r w:rsidR="00007B93">
        <w:t xml:space="preserve"> the Commission’s waiver criteria.</w:t>
      </w:r>
      <w:r w:rsidR="00AA6818">
        <w:t xml:space="preserve">  Accordingly, we </w:t>
      </w:r>
      <w:r w:rsidR="009E67FF">
        <w:t xml:space="preserve">grant </w:t>
      </w:r>
      <w:r w:rsidR="00C931D9">
        <w:t xml:space="preserve">Fort </w:t>
      </w:r>
      <w:r w:rsidR="009E67FF">
        <w:t xml:space="preserve">Lauderdale’s </w:t>
      </w:r>
      <w:r w:rsidR="00F9021C">
        <w:t xml:space="preserve">Petition, considered as an informal request for Commission action, and </w:t>
      </w:r>
      <w:r w:rsidR="00AA6818">
        <w:t>deny the Waiver Request</w:t>
      </w:r>
      <w:r w:rsidR="009E67FF">
        <w:t xml:space="preserve">.  In light of the </w:t>
      </w:r>
      <w:r w:rsidR="0090281B">
        <w:t xml:space="preserve">contour overlap </w:t>
      </w:r>
      <w:r w:rsidR="009E67FF">
        <w:t xml:space="preserve">analysis, we conclude that we should not accept the application, and we therefore </w:t>
      </w:r>
      <w:r w:rsidR="00AA6818">
        <w:t xml:space="preserve">dismiss </w:t>
      </w:r>
      <w:r w:rsidR="009E67FF">
        <w:t>it</w:t>
      </w:r>
      <w:r w:rsidR="00AA6818">
        <w:t>.</w:t>
      </w:r>
    </w:p>
    <w:p w:rsidR="00D43E21" w:rsidRDefault="00D43E21" w:rsidP="00D47CCD">
      <w:pPr>
        <w:pStyle w:val="Heading1"/>
        <w:keepLines/>
        <w:widowControl/>
        <w:tabs>
          <w:tab w:val="left" w:pos="720"/>
        </w:tabs>
      </w:pPr>
      <w:r>
        <w:t>ordering clauses</w:t>
      </w:r>
    </w:p>
    <w:p w:rsidR="00D43E21" w:rsidRPr="00D43E21" w:rsidRDefault="00D43E21" w:rsidP="00D47CCD">
      <w:pPr>
        <w:pStyle w:val="ParaNum"/>
        <w:keepNext/>
        <w:keepLines/>
        <w:widowControl/>
        <w:rPr>
          <w:rStyle w:val="documentbody1"/>
          <w:rFonts w:ascii="Times New Roman" w:hAnsi="Times New Roman"/>
          <w:sz w:val="22"/>
          <w:szCs w:val="22"/>
        </w:rPr>
      </w:pPr>
      <w:r w:rsidRPr="00D43E21">
        <w:rPr>
          <w:rStyle w:val="documentbody1"/>
          <w:rFonts w:ascii="Times New Roman" w:hAnsi="Times New Roman"/>
          <w:sz w:val="22"/>
          <w:szCs w:val="22"/>
        </w:rPr>
        <w:t>Accordingly, IT IS ORDERED, pursuant to Section</w:t>
      </w:r>
      <w:r w:rsidR="004E7578">
        <w:rPr>
          <w:rStyle w:val="documentbody1"/>
          <w:rFonts w:ascii="Times New Roman" w:hAnsi="Times New Roman"/>
          <w:sz w:val="22"/>
          <w:szCs w:val="22"/>
        </w:rPr>
        <w:t>s</w:t>
      </w:r>
      <w:r w:rsidRPr="00D43E21">
        <w:rPr>
          <w:rStyle w:val="documentbody1"/>
          <w:rFonts w:ascii="Times New Roman" w:hAnsi="Times New Roman"/>
          <w:sz w:val="22"/>
          <w:szCs w:val="22"/>
        </w:rPr>
        <w:t xml:space="preserve"> 4(i)</w:t>
      </w:r>
      <w:r w:rsidR="004E7578">
        <w:rPr>
          <w:rStyle w:val="documentbody1"/>
          <w:rFonts w:ascii="Times New Roman" w:hAnsi="Times New Roman"/>
          <w:sz w:val="22"/>
          <w:szCs w:val="22"/>
        </w:rPr>
        <w:t xml:space="preserve"> and 303(r)</w:t>
      </w:r>
      <w:r w:rsidRPr="00D43E21">
        <w:rPr>
          <w:rStyle w:val="documentbody1"/>
          <w:rFonts w:ascii="Times New Roman" w:hAnsi="Times New Roman"/>
          <w:sz w:val="22"/>
          <w:szCs w:val="22"/>
        </w:rPr>
        <w:t xml:space="preserve"> of the Communications Act of 1934, as amended, 47 U</w:t>
      </w:r>
      <w:r w:rsidR="004E7578">
        <w:rPr>
          <w:rStyle w:val="documentbody1"/>
          <w:rFonts w:ascii="Times New Roman" w:hAnsi="Times New Roman"/>
          <w:sz w:val="22"/>
          <w:szCs w:val="22"/>
        </w:rPr>
        <w:t>.</w:t>
      </w:r>
      <w:r w:rsidRPr="00D43E21">
        <w:rPr>
          <w:rStyle w:val="documentbody1"/>
          <w:rFonts w:ascii="Times New Roman" w:hAnsi="Times New Roman"/>
          <w:sz w:val="22"/>
          <w:szCs w:val="22"/>
        </w:rPr>
        <w:t>S</w:t>
      </w:r>
      <w:r w:rsidR="004E7578">
        <w:rPr>
          <w:rStyle w:val="documentbody1"/>
          <w:rFonts w:ascii="Times New Roman" w:hAnsi="Times New Roman"/>
          <w:sz w:val="22"/>
          <w:szCs w:val="22"/>
        </w:rPr>
        <w:t>.</w:t>
      </w:r>
      <w:r w:rsidRPr="00D43E21">
        <w:rPr>
          <w:rStyle w:val="documentbody1"/>
          <w:rFonts w:ascii="Times New Roman" w:hAnsi="Times New Roman"/>
          <w:sz w:val="22"/>
          <w:szCs w:val="22"/>
        </w:rPr>
        <w:t>C</w:t>
      </w:r>
      <w:r w:rsidR="004E7578">
        <w:rPr>
          <w:rStyle w:val="documentbody1"/>
          <w:rFonts w:ascii="Times New Roman" w:hAnsi="Times New Roman"/>
          <w:sz w:val="22"/>
          <w:szCs w:val="22"/>
        </w:rPr>
        <w:t>.</w:t>
      </w:r>
      <w:r w:rsidRPr="00D43E21">
        <w:rPr>
          <w:rStyle w:val="documentbody1"/>
          <w:rFonts w:ascii="Times New Roman" w:hAnsi="Times New Roman"/>
          <w:sz w:val="22"/>
          <w:szCs w:val="22"/>
        </w:rPr>
        <w:t xml:space="preserve"> §</w:t>
      </w:r>
      <w:r w:rsidR="004E7578" w:rsidRPr="00D43E21">
        <w:rPr>
          <w:rStyle w:val="documentbody1"/>
          <w:rFonts w:ascii="Times New Roman" w:hAnsi="Times New Roman"/>
          <w:sz w:val="22"/>
          <w:szCs w:val="22"/>
        </w:rPr>
        <w:t>§</w:t>
      </w:r>
      <w:r w:rsidRPr="00D43E21">
        <w:rPr>
          <w:rStyle w:val="documentbody1"/>
          <w:rFonts w:ascii="Times New Roman" w:hAnsi="Times New Roman"/>
          <w:sz w:val="22"/>
          <w:szCs w:val="22"/>
        </w:rPr>
        <w:t xml:space="preserve"> 154(i)</w:t>
      </w:r>
      <w:r w:rsidR="004E7578">
        <w:rPr>
          <w:rStyle w:val="documentbody1"/>
          <w:rFonts w:ascii="Times New Roman" w:hAnsi="Times New Roman"/>
          <w:sz w:val="22"/>
          <w:szCs w:val="22"/>
        </w:rPr>
        <w:t>, 303(r)</w:t>
      </w:r>
      <w:r w:rsidRPr="00D43E21">
        <w:rPr>
          <w:rStyle w:val="documentbody1"/>
          <w:rFonts w:ascii="Times New Roman" w:hAnsi="Times New Roman"/>
          <w:sz w:val="22"/>
          <w:szCs w:val="22"/>
        </w:rPr>
        <w:t xml:space="preserve">, and Section 1.925 of the Commission’s rules, 47 CFR § 1.925, that the Request for Waiver of </w:t>
      </w:r>
      <w:r w:rsidR="00A32B90">
        <w:rPr>
          <w:rStyle w:val="documentbody1"/>
          <w:rFonts w:ascii="Times New Roman" w:hAnsi="Times New Roman"/>
          <w:sz w:val="22"/>
          <w:szCs w:val="22"/>
        </w:rPr>
        <w:t xml:space="preserve">the </w:t>
      </w:r>
      <w:r w:rsidR="00FF54BA">
        <w:rPr>
          <w:rStyle w:val="documentbody1"/>
          <w:rFonts w:ascii="Times New Roman" w:hAnsi="Times New Roman"/>
          <w:sz w:val="22"/>
          <w:szCs w:val="22"/>
        </w:rPr>
        <w:t>County</w:t>
      </w:r>
      <w:r w:rsidR="009870E6">
        <w:rPr>
          <w:rStyle w:val="documentbody1"/>
          <w:rFonts w:ascii="Times New Roman" w:hAnsi="Times New Roman"/>
          <w:sz w:val="22"/>
          <w:szCs w:val="22"/>
        </w:rPr>
        <w:t xml:space="preserve"> of </w:t>
      </w:r>
      <w:r w:rsidR="00FF54BA">
        <w:rPr>
          <w:rStyle w:val="documentbody1"/>
          <w:rFonts w:ascii="Times New Roman" w:hAnsi="Times New Roman"/>
          <w:sz w:val="22"/>
          <w:szCs w:val="22"/>
        </w:rPr>
        <w:t>Miami-Dade</w:t>
      </w:r>
      <w:r w:rsidR="009870E6" w:rsidRPr="00D43E21">
        <w:rPr>
          <w:rStyle w:val="documentbody1"/>
          <w:rFonts w:ascii="Times New Roman" w:hAnsi="Times New Roman"/>
          <w:sz w:val="22"/>
          <w:szCs w:val="22"/>
        </w:rPr>
        <w:t xml:space="preserve">, </w:t>
      </w:r>
      <w:r w:rsidR="00F564E9">
        <w:rPr>
          <w:rStyle w:val="documentbody1"/>
          <w:rFonts w:ascii="Times New Roman" w:hAnsi="Times New Roman"/>
          <w:sz w:val="22"/>
          <w:szCs w:val="22"/>
        </w:rPr>
        <w:t>Florida</w:t>
      </w:r>
      <w:r w:rsidRPr="00D43E21">
        <w:rPr>
          <w:rStyle w:val="documentbody1"/>
          <w:rFonts w:ascii="Times New Roman" w:hAnsi="Times New Roman"/>
          <w:sz w:val="22"/>
          <w:szCs w:val="22"/>
        </w:rPr>
        <w:t xml:space="preserve">, filed on </w:t>
      </w:r>
      <w:r w:rsidR="00F564E9">
        <w:rPr>
          <w:rStyle w:val="documentbody1"/>
          <w:rFonts w:ascii="Times New Roman" w:hAnsi="Times New Roman"/>
          <w:sz w:val="22"/>
          <w:szCs w:val="22"/>
        </w:rPr>
        <w:t>February 4</w:t>
      </w:r>
      <w:r w:rsidR="009870E6" w:rsidRPr="00D43E21">
        <w:rPr>
          <w:rStyle w:val="documentbody1"/>
          <w:rFonts w:ascii="Times New Roman" w:hAnsi="Times New Roman"/>
          <w:sz w:val="22"/>
          <w:szCs w:val="22"/>
        </w:rPr>
        <w:t>, 20</w:t>
      </w:r>
      <w:r w:rsidR="009870E6">
        <w:rPr>
          <w:rStyle w:val="documentbody1"/>
          <w:rFonts w:ascii="Times New Roman" w:hAnsi="Times New Roman"/>
          <w:sz w:val="22"/>
          <w:szCs w:val="22"/>
        </w:rPr>
        <w:t>16</w:t>
      </w:r>
      <w:r w:rsidR="00E0741E">
        <w:rPr>
          <w:rStyle w:val="documentbody1"/>
          <w:rFonts w:ascii="Times New Roman" w:hAnsi="Times New Roman"/>
          <w:sz w:val="22"/>
          <w:szCs w:val="22"/>
        </w:rPr>
        <w:t>,</w:t>
      </w:r>
      <w:r w:rsidR="009870E6">
        <w:rPr>
          <w:rStyle w:val="documentbody1"/>
          <w:rFonts w:ascii="Times New Roman" w:hAnsi="Times New Roman"/>
          <w:sz w:val="22"/>
          <w:szCs w:val="22"/>
        </w:rPr>
        <w:t xml:space="preserve"> </w:t>
      </w:r>
      <w:r w:rsidRPr="00D43E21">
        <w:rPr>
          <w:rStyle w:val="documentbody1"/>
          <w:rFonts w:ascii="Times New Roman" w:hAnsi="Times New Roman"/>
          <w:sz w:val="22"/>
          <w:szCs w:val="22"/>
        </w:rPr>
        <w:t xml:space="preserve">IS </w:t>
      </w:r>
      <w:r w:rsidR="00DB1BF8">
        <w:rPr>
          <w:rStyle w:val="documentbody1"/>
          <w:rFonts w:ascii="Times New Roman" w:hAnsi="Times New Roman"/>
          <w:sz w:val="22"/>
          <w:szCs w:val="22"/>
        </w:rPr>
        <w:t>DENIED</w:t>
      </w:r>
      <w:r w:rsidR="00CE0945">
        <w:rPr>
          <w:rStyle w:val="documentbody1"/>
          <w:rFonts w:ascii="Times New Roman" w:hAnsi="Times New Roman"/>
          <w:sz w:val="22"/>
          <w:szCs w:val="22"/>
        </w:rPr>
        <w:t xml:space="preserve"> without prejudice</w:t>
      </w:r>
      <w:r w:rsidRPr="00D43E21">
        <w:rPr>
          <w:rStyle w:val="documentbody1"/>
          <w:rFonts w:ascii="Times New Roman" w:hAnsi="Times New Roman"/>
          <w:sz w:val="22"/>
          <w:szCs w:val="22"/>
        </w:rPr>
        <w:t>.</w:t>
      </w:r>
      <w:r w:rsidR="00CE0945" w:rsidRPr="00CE0945">
        <w:rPr>
          <w:szCs w:val="22"/>
          <w:shd w:val="clear" w:color="auto" w:fill="FFFFFF"/>
          <w:vertAlign w:val="superscript"/>
        </w:rPr>
        <w:footnoteReference w:id="35"/>
      </w:r>
    </w:p>
    <w:p w:rsidR="00714873" w:rsidRDefault="00D43E21" w:rsidP="00D95148">
      <w:pPr>
        <w:pStyle w:val="ParaNum"/>
        <w:widowControl/>
        <w:rPr>
          <w:rStyle w:val="documentbody1"/>
          <w:rFonts w:ascii="Times New Roman" w:hAnsi="Times New Roman"/>
          <w:sz w:val="22"/>
          <w:szCs w:val="22"/>
        </w:rPr>
      </w:pPr>
      <w:r w:rsidRPr="006D1242">
        <w:rPr>
          <w:rStyle w:val="documentbody1"/>
          <w:rFonts w:ascii="Times New Roman" w:hAnsi="Times New Roman"/>
          <w:sz w:val="22"/>
          <w:szCs w:val="22"/>
        </w:rPr>
        <w:t xml:space="preserve">IT IS FURTHER ORDERED, that application File No. </w:t>
      </w:r>
      <w:r w:rsidR="00F564E9" w:rsidRPr="00FF54BA">
        <w:t>0007127177</w:t>
      </w:r>
      <w:r w:rsidRPr="006D1242">
        <w:rPr>
          <w:rStyle w:val="documentbody1"/>
          <w:rFonts w:ascii="Times New Roman" w:hAnsi="Times New Roman"/>
          <w:sz w:val="22"/>
          <w:szCs w:val="22"/>
        </w:rPr>
        <w:t xml:space="preserve">, filed by </w:t>
      </w:r>
      <w:r w:rsidR="00A32B90" w:rsidRPr="006D1242">
        <w:rPr>
          <w:rStyle w:val="documentbody1"/>
          <w:rFonts w:ascii="Times New Roman" w:hAnsi="Times New Roman"/>
          <w:sz w:val="22"/>
          <w:szCs w:val="22"/>
        </w:rPr>
        <w:t xml:space="preserve">the </w:t>
      </w:r>
      <w:r w:rsidR="00FF54BA" w:rsidRPr="006D1242">
        <w:rPr>
          <w:rStyle w:val="documentbody1"/>
          <w:rFonts w:ascii="Times New Roman" w:hAnsi="Times New Roman"/>
          <w:sz w:val="22"/>
          <w:szCs w:val="22"/>
        </w:rPr>
        <w:t>County</w:t>
      </w:r>
      <w:r w:rsidRPr="006D1242">
        <w:rPr>
          <w:rStyle w:val="documentbody1"/>
          <w:rFonts w:ascii="Times New Roman" w:hAnsi="Times New Roman"/>
          <w:sz w:val="22"/>
          <w:szCs w:val="22"/>
        </w:rPr>
        <w:t xml:space="preserve"> of </w:t>
      </w:r>
      <w:r w:rsidR="00FF54BA" w:rsidRPr="006D1242">
        <w:rPr>
          <w:rStyle w:val="documentbody1"/>
          <w:rFonts w:ascii="Times New Roman" w:hAnsi="Times New Roman"/>
          <w:sz w:val="22"/>
          <w:szCs w:val="22"/>
        </w:rPr>
        <w:t>Miami-Dade</w:t>
      </w:r>
      <w:r w:rsidR="00204506" w:rsidRPr="006D1242">
        <w:rPr>
          <w:rStyle w:val="documentbody1"/>
          <w:rFonts w:ascii="Times New Roman" w:hAnsi="Times New Roman"/>
          <w:sz w:val="22"/>
          <w:szCs w:val="22"/>
        </w:rPr>
        <w:t xml:space="preserve"> Island</w:t>
      </w:r>
      <w:r w:rsidRPr="006D1242">
        <w:rPr>
          <w:rStyle w:val="documentbody1"/>
          <w:rFonts w:ascii="Times New Roman" w:hAnsi="Times New Roman"/>
          <w:sz w:val="22"/>
          <w:szCs w:val="22"/>
        </w:rPr>
        <w:t xml:space="preserve">, </w:t>
      </w:r>
      <w:r w:rsidR="00F564E9" w:rsidRPr="006D1242">
        <w:rPr>
          <w:rStyle w:val="documentbody1"/>
          <w:rFonts w:ascii="Times New Roman" w:hAnsi="Times New Roman"/>
          <w:sz w:val="22"/>
          <w:szCs w:val="22"/>
        </w:rPr>
        <w:t>Florida</w:t>
      </w:r>
      <w:r w:rsidRPr="006D1242">
        <w:rPr>
          <w:rStyle w:val="documentbody1"/>
          <w:rFonts w:ascii="Times New Roman" w:hAnsi="Times New Roman"/>
          <w:sz w:val="22"/>
          <w:szCs w:val="22"/>
        </w:rPr>
        <w:t xml:space="preserve">, </w:t>
      </w:r>
      <w:r w:rsidR="00DB1BF8">
        <w:rPr>
          <w:rStyle w:val="documentbody1"/>
          <w:rFonts w:ascii="Times New Roman" w:hAnsi="Times New Roman"/>
          <w:sz w:val="22"/>
          <w:szCs w:val="22"/>
        </w:rPr>
        <w:t>IS DISMI</w:t>
      </w:r>
      <w:r w:rsidRPr="006D1242">
        <w:rPr>
          <w:rStyle w:val="documentbody1"/>
          <w:rFonts w:ascii="Times New Roman" w:hAnsi="Times New Roman"/>
          <w:sz w:val="22"/>
          <w:szCs w:val="22"/>
        </w:rPr>
        <w:t xml:space="preserve">SSED </w:t>
      </w:r>
      <w:r w:rsidR="00DB1BF8">
        <w:rPr>
          <w:rStyle w:val="documentbody1"/>
          <w:rFonts w:ascii="Times New Roman" w:hAnsi="Times New Roman"/>
          <w:sz w:val="22"/>
          <w:szCs w:val="22"/>
        </w:rPr>
        <w:t>consistent</w:t>
      </w:r>
      <w:r w:rsidRPr="006D1242">
        <w:rPr>
          <w:rStyle w:val="documentbody1"/>
          <w:rFonts w:ascii="Times New Roman" w:hAnsi="Times New Roman"/>
          <w:sz w:val="22"/>
          <w:szCs w:val="22"/>
        </w:rPr>
        <w:t xml:space="preserve"> with this Order and the Commission’s rules.</w:t>
      </w:r>
    </w:p>
    <w:p w:rsidR="007B3399" w:rsidRPr="006D1242" w:rsidRDefault="007B3399" w:rsidP="00D95148">
      <w:pPr>
        <w:pStyle w:val="ParaNum"/>
        <w:widowControl/>
        <w:rPr>
          <w:rStyle w:val="documentbody1"/>
          <w:rFonts w:ascii="Times New Roman" w:hAnsi="Times New Roman"/>
          <w:sz w:val="22"/>
          <w:szCs w:val="22"/>
        </w:rPr>
      </w:pPr>
      <w:r>
        <w:rPr>
          <w:rStyle w:val="documentbody1"/>
          <w:rFonts w:ascii="Times New Roman" w:hAnsi="Times New Roman"/>
          <w:sz w:val="22"/>
          <w:szCs w:val="22"/>
        </w:rPr>
        <w:t xml:space="preserve">IT IS FURTHER ORDERED, that the Petition </w:t>
      </w:r>
      <w:r w:rsidR="00214BF4">
        <w:rPr>
          <w:rStyle w:val="documentbody1"/>
          <w:rFonts w:ascii="Times New Roman" w:hAnsi="Times New Roman"/>
          <w:sz w:val="22"/>
          <w:szCs w:val="22"/>
        </w:rPr>
        <w:t>to Deny</w:t>
      </w:r>
      <w:r>
        <w:rPr>
          <w:rStyle w:val="documentbody1"/>
          <w:rFonts w:ascii="Times New Roman" w:hAnsi="Times New Roman"/>
          <w:sz w:val="22"/>
          <w:szCs w:val="22"/>
        </w:rPr>
        <w:t xml:space="preserve"> filed by the City of Fort Lauderdale, Florida</w:t>
      </w:r>
      <w:r w:rsidR="00214BF4">
        <w:rPr>
          <w:rStyle w:val="documentbody1"/>
          <w:rFonts w:ascii="Times New Roman" w:hAnsi="Times New Roman"/>
          <w:sz w:val="22"/>
          <w:szCs w:val="22"/>
        </w:rPr>
        <w:t xml:space="preserve"> on March 21, 2016,</w:t>
      </w:r>
      <w:r w:rsidR="00D47CCD">
        <w:rPr>
          <w:rStyle w:val="documentbody1"/>
          <w:rFonts w:ascii="Times New Roman" w:hAnsi="Times New Roman"/>
          <w:sz w:val="22"/>
          <w:szCs w:val="22"/>
        </w:rPr>
        <w:t xml:space="preserve"> treated as an informal request for Commission action,</w:t>
      </w:r>
      <w:r>
        <w:rPr>
          <w:rStyle w:val="documentbody1"/>
          <w:rFonts w:ascii="Times New Roman" w:hAnsi="Times New Roman"/>
          <w:sz w:val="22"/>
          <w:szCs w:val="22"/>
        </w:rPr>
        <w:t xml:space="preserve"> IS </w:t>
      </w:r>
      <w:r w:rsidR="00DB1BF8">
        <w:rPr>
          <w:rStyle w:val="documentbody1"/>
          <w:rFonts w:ascii="Times New Roman" w:hAnsi="Times New Roman"/>
          <w:sz w:val="22"/>
          <w:szCs w:val="22"/>
        </w:rPr>
        <w:t>GRANTED</w:t>
      </w:r>
      <w:r>
        <w:rPr>
          <w:rStyle w:val="documentbody1"/>
          <w:rFonts w:ascii="Times New Roman" w:hAnsi="Times New Roman"/>
          <w:sz w:val="22"/>
          <w:szCs w:val="22"/>
        </w:rPr>
        <w:t>.</w:t>
      </w:r>
    </w:p>
    <w:p w:rsidR="00D43E21" w:rsidRPr="00F31CE4" w:rsidRDefault="00D43E21" w:rsidP="00F31CE4">
      <w:pPr>
        <w:pStyle w:val="ParaNum"/>
        <w:widowControl/>
        <w:rPr>
          <w:rStyle w:val="documentbody1"/>
          <w:rFonts w:ascii="Times New Roman" w:hAnsi="Times New Roman"/>
          <w:sz w:val="22"/>
          <w:szCs w:val="22"/>
        </w:rPr>
      </w:pPr>
      <w:r w:rsidRPr="00F31CE4">
        <w:rPr>
          <w:rStyle w:val="documentbody1"/>
          <w:rFonts w:ascii="Times New Roman" w:hAnsi="Times New Roman"/>
          <w:sz w:val="22"/>
          <w:szCs w:val="22"/>
        </w:rPr>
        <w:t>This action is taken under delegated authority pursuant to Sections 0.191 and 0.392 of the Commission’s rules, 47 CFR §§ 0.191, 0.392.</w:t>
      </w:r>
    </w:p>
    <w:p w:rsidR="00D43E21" w:rsidRPr="00D43E21" w:rsidRDefault="00D43E21" w:rsidP="00D43E21">
      <w:pPr>
        <w:ind w:left="4320"/>
        <w:rPr>
          <w:szCs w:val="22"/>
        </w:rPr>
      </w:pPr>
      <w:r w:rsidRPr="00D43E21">
        <w:rPr>
          <w:szCs w:val="22"/>
        </w:rPr>
        <w:br/>
      </w:r>
      <w:r w:rsidRPr="00D43E21">
        <w:rPr>
          <w:rStyle w:val="documentbody1"/>
          <w:rFonts w:ascii="Times New Roman" w:hAnsi="Times New Roman"/>
          <w:sz w:val="22"/>
          <w:szCs w:val="22"/>
        </w:rPr>
        <w:t>FEDERAL COMMUNICATIONS COMMISSION</w:t>
      </w:r>
      <w:r w:rsidRPr="00D43E21">
        <w:rPr>
          <w:szCs w:val="22"/>
        </w:rPr>
        <w:br/>
      </w:r>
    </w:p>
    <w:p w:rsidR="00D43E21" w:rsidRPr="00D43E21" w:rsidRDefault="00D43E21" w:rsidP="00D43E21">
      <w:pPr>
        <w:ind w:left="3600"/>
        <w:rPr>
          <w:szCs w:val="22"/>
        </w:rPr>
      </w:pPr>
    </w:p>
    <w:p w:rsidR="00D43E21" w:rsidRPr="00D43E21" w:rsidRDefault="00D43E21" w:rsidP="00D43E21">
      <w:pPr>
        <w:ind w:left="4320"/>
        <w:rPr>
          <w:szCs w:val="22"/>
        </w:rPr>
      </w:pPr>
    </w:p>
    <w:p w:rsidR="00D43E21" w:rsidRPr="00D43E21" w:rsidRDefault="00D43E21" w:rsidP="00D43E21">
      <w:pPr>
        <w:ind w:left="4320"/>
        <w:rPr>
          <w:rStyle w:val="documentbody1"/>
          <w:rFonts w:ascii="Times New Roman" w:hAnsi="Times New Roman"/>
          <w:sz w:val="22"/>
          <w:szCs w:val="22"/>
        </w:rPr>
      </w:pPr>
      <w:r w:rsidRPr="00D43E21">
        <w:rPr>
          <w:szCs w:val="22"/>
        </w:rPr>
        <w:br/>
      </w:r>
      <w:r w:rsidR="007B3399">
        <w:rPr>
          <w:szCs w:val="22"/>
        </w:rPr>
        <w:t>Michael J. Wilhelm</w:t>
      </w:r>
      <w:r w:rsidRPr="00D43E21">
        <w:rPr>
          <w:szCs w:val="22"/>
        </w:rPr>
        <w:br/>
      </w:r>
      <w:r w:rsidR="007B3399">
        <w:rPr>
          <w:rStyle w:val="documentbody1"/>
          <w:rFonts w:ascii="Times New Roman" w:hAnsi="Times New Roman"/>
          <w:sz w:val="22"/>
          <w:szCs w:val="22"/>
        </w:rPr>
        <w:t xml:space="preserve">Acting </w:t>
      </w:r>
      <w:r w:rsidRPr="00D43E21">
        <w:rPr>
          <w:rStyle w:val="documentbody1"/>
          <w:rFonts w:ascii="Times New Roman" w:hAnsi="Times New Roman"/>
          <w:sz w:val="22"/>
          <w:szCs w:val="22"/>
        </w:rPr>
        <w:t>Chief,</w:t>
      </w:r>
      <w:r w:rsidRPr="00D43E21">
        <w:rPr>
          <w:szCs w:val="22"/>
        </w:rPr>
        <w:t xml:space="preserve"> </w:t>
      </w:r>
      <w:r w:rsidRPr="00D43E21">
        <w:rPr>
          <w:rStyle w:val="documentbody1"/>
          <w:rFonts w:ascii="Times New Roman" w:hAnsi="Times New Roman"/>
          <w:sz w:val="22"/>
          <w:szCs w:val="22"/>
        </w:rPr>
        <w:t xml:space="preserve">Policy </w:t>
      </w:r>
      <w:r>
        <w:rPr>
          <w:rStyle w:val="documentbody1"/>
          <w:rFonts w:ascii="Times New Roman" w:hAnsi="Times New Roman"/>
          <w:sz w:val="22"/>
          <w:szCs w:val="22"/>
        </w:rPr>
        <w:t xml:space="preserve">and Licensing </w:t>
      </w:r>
      <w:r w:rsidRPr="00D43E21">
        <w:rPr>
          <w:rStyle w:val="documentbody1"/>
          <w:rFonts w:ascii="Times New Roman" w:hAnsi="Times New Roman"/>
          <w:sz w:val="22"/>
          <w:szCs w:val="22"/>
        </w:rPr>
        <w:t>Division</w:t>
      </w:r>
      <w:r w:rsidRPr="00D43E21">
        <w:rPr>
          <w:szCs w:val="22"/>
        </w:rPr>
        <w:br/>
      </w:r>
      <w:r w:rsidRPr="00D43E21">
        <w:rPr>
          <w:rStyle w:val="documentbody1"/>
          <w:rFonts w:ascii="Times New Roman" w:hAnsi="Times New Roman"/>
          <w:sz w:val="22"/>
          <w:szCs w:val="22"/>
        </w:rPr>
        <w:t>Public Safety and Homeland Security Bureau</w:t>
      </w:r>
    </w:p>
    <w:p w:rsidR="00D43E21" w:rsidRDefault="00D43E21" w:rsidP="00D43E21">
      <w:pPr>
        <w:pStyle w:val="ParaNum"/>
        <w:numPr>
          <w:ilvl w:val="0"/>
          <w:numId w:val="0"/>
        </w:numPr>
        <w:rPr>
          <w:szCs w:val="22"/>
        </w:rPr>
      </w:pPr>
    </w:p>
    <w:p w:rsidR="00625351" w:rsidRPr="00D43E21" w:rsidRDefault="00625351" w:rsidP="00D43E21">
      <w:pPr>
        <w:pStyle w:val="ParaNum"/>
        <w:numPr>
          <w:ilvl w:val="0"/>
          <w:numId w:val="0"/>
        </w:numPr>
        <w:rPr>
          <w:szCs w:val="22"/>
        </w:rPr>
      </w:pPr>
      <w:r>
        <w:t xml:space="preserve">  </w:t>
      </w:r>
    </w:p>
    <w:sectPr w:rsidR="00625351" w:rsidRPr="00D43E2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2" w:rsidRDefault="00DC5882">
      <w:pPr>
        <w:spacing w:line="20" w:lineRule="exact"/>
      </w:pPr>
    </w:p>
  </w:endnote>
  <w:endnote w:type="continuationSeparator" w:id="0">
    <w:p w:rsidR="00DC5882" w:rsidRDefault="00DC5882">
      <w:r>
        <w:t xml:space="preserve"> </w:t>
      </w:r>
    </w:p>
  </w:endnote>
  <w:endnote w:type="continuationNotice" w:id="1">
    <w:p w:rsidR="00DC5882" w:rsidRDefault="00DC58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F596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2" w:rsidRDefault="00DC5882">
      <w:r>
        <w:separator/>
      </w:r>
    </w:p>
  </w:footnote>
  <w:footnote w:type="continuationSeparator" w:id="0">
    <w:p w:rsidR="00DC5882" w:rsidRDefault="00DC5882" w:rsidP="00C721AC">
      <w:pPr>
        <w:spacing w:before="120"/>
        <w:rPr>
          <w:sz w:val="20"/>
        </w:rPr>
      </w:pPr>
      <w:r>
        <w:rPr>
          <w:sz w:val="20"/>
        </w:rPr>
        <w:t xml:space="preserve">(Continued from previous page)  </w:t>
      </w:r>
      <w:r>
        <w:rPr>
          <w:sz w:val="20"/>
        </w:rPr>
        <w:separator/>
      </w:r>
    </w:p>
  </w:footnote>
  <w:footnote w:type="continuationNotice" w:id="1">
    <w:p w:rsidR="00DC5882" w:rsidRDefault="00DC5882" w:rsidP="00C721AC">
      <w:pPr>
        <w:jc w:val="right"/>
        <w:rPr>
          <w:sz w:val="20"/>
        </w:rPr>
      </w:pPr>
      <w:r>
        <w:rPr>
          <w:sz w:val="20"/>
        </w:rPr>
        <w:t>(continued….)</w:t>
      </w:r>
    </w:p>
  </w:footnote>
  <w:footnote w:id="2">
    <w:p w:rsidR="00CE7144" w:rsidRDefault="00CE7144" w:rsidP="00CE7144">
      <w:pPr>
        <w:pStyle w:val="FootnoteText"/>
      </w:pPr>
      <w:r>
        <w:rPr>
          <w:rStyle w:val="FootnoteReference"/>
        </w:rPr>
        <w:footnoteRef/>
      </w:r>
      <w:r>
        <w:t xml:space="preserve"> File No</w:t>
      </w:r>
      <w:r w:rsidRPr="008725E9">
        <w:t xml:space="preserve">. </w:t>
      </w:r>
      <w:r w:rsidR="00FF54BA" w:rsidRPr="00FF54BA">
        <w:t xml:space="preserve">0007127177 </w:t>
      </w:r>
      <w:r w:rsidR="00A32B90">
        <w:t xml:space="preserve">(filed </w:t>
      </w:r>
      <w:r w:rsidR="00FF54BA">
        <w:t>Feb</w:t>
      </w:r>
      <w:r w:rsidR="00A32B90">
        <w:t xml:space="preserve">. </w:t>
      </w:r>
      <w:r w:rsidR="00FF54BA">
        <w:t>4</w:t>
      </w:r>
      <w:r w:rsidR="00A32B90">
        <w:t>, 2016)</w:t>
      </w:r>
      <w:r>
        <w:t xml:space="preserve">, </w:t>
      </w:r>
      <w:r w:rsidR="00474302">
        <w:t xml:space="preserve">attached </w:t>
      </w:r>
      <w:r w:rsidR="00DE2DBA">
        <w:t>Letter from Cindy Cast, Radio Systems Manager, Miami-Dade County, to Wireless Telecommunications Bureau, Federal Communications Commission</w:t>
      </w:r>
      <w:r w:rsidR="00474302">
        <w:t xml:space="preserve"> (Waiver Request)</w:t>
      </w:r>
      <w:r w:rsidR="00FF54BA">
        <w:t>.</w:t>
      </w:r>
      <w:r w:rsidR="00474302">
        <w:t xml:space="preserve">  </w:t>
      </w:r>
    </w:p>
  </w:footnote>
  <w:footnote w:id="3">
    <w:p w:rsidR="00E20E95" w:rsidRDefault="00E20E95">
      <w:pPr>
        <w:pStyle w:val="FootnoteText"/>
      </w:pPr>
      <w:r>
        <w:rPr>
          <w:rStyle w:val="FootnoteReference"/>
        </w:rPr>
        <w:footnoteRef/>
      </w:r>
      <w:r>
        <w:t xml:space="preserve"> Waiver Request at 1.</w:t>
      </w:r>
    </w:p>
  </w:footnote>
  <w:footnote w:id="4">
    <w:p w:rsidR="00BD0410" w:rsidRDefault="00BD0410" w:rsidP="00BD0410">
      <w:pPr>
        <w:pStyle w:val="FootnoteText"/>
      </w:pPr>
      <w:r>
        <w:rPr>
          <w:rStyle w:val="FootnoteReference"/>
        </w:rPr>
        <w:footnoteRef/>
      </w:r>
      <w:r>
        <w:t xml:space="preserve"> 47 CFR § 90.242(b)(4)</w:t>
      </w:r>
      <w:r w:rsidR="00B75118">
        <w:t>(iii)-</w:t>
      </w:r>
      <w:r>
        <w:t>(iv).</w:t>
      </w:r>
      <w:r w:rsidR="00B75118">
        <w:t xml:space="preserve">  “Transmitter RF output power shall not exceed 10 watts to enable the user to comply with the specified field strength limit.”</w:t>
      </w:r>
      <w:r w:rsidR="00095BEC">
        <w:t xml:space="preserve">  “The field strength of the emission on the operating frequency shall not exceed 2 mV/m when measured with a standard field strength meter at a distance of 1.50 km (0.93 miles) from the transmitting antenna system.”  </w:t>
      </w:r>
      <w:r w:rsidR="00095BEC" w:rsidRPr="00095BEC">
        <w:rPr>
          <w:i/>
        </w:rPr>
        <w:t>Id</w:t>
      </w:r>
      <w:r w:rsidR="00095BEC">
        <w:t>.</w:t>
      </w:r>
    </w:p>
  </w:footnote>
  <w:footnote w:id="5">
    <w:p w:rsidR="00396953" w:rsidRDefault="00396953">
      <w:pPr>
        <w:pStyle w:val="FootnoteText"/>
      </w:pPr>
      <w:r>
        <w:rPr>
          <w:rStyle w:val="FootnoteReference"/>
        </w:rPr>
        <w:footnoteRef/>
      </w:r>
      <w:r>
        <w:t xml:space="preserve"> </w:t>
      </w:r>
      <w:r w:rsidR="00C052CC">
        <w:t>Waiver Request at 1.</w:t>
      </w:r>
      <w:r w:rsidR="00042D4D">
        <w:t xml:space="preserve">  Miami-Dade did not provide an estimate of the new coverage radius of its 2 mV/m contour.</w:t>
      </w:r>
    </w:p>
  </w:footnote>
  <w:footnote w:id="6">
    <w:p w:rsidR="00C052CC" w:rsidRDefault="00C052CC">
      <w:pPr>
        <w:pStyle w:val="FootnoteText"/>
      </w:pPr>
      <w:r>
        <w:rPr>
          <w:rStyle w:val="FootnoteReference"/>
        </w:rPr>
        <w:footnoteRef/>
      </w:r>
      <w:r>
        <w:t xml:space="preserve"> </w:t>
      </w:r>
      <w:r w:rsidR="00785442">
        <w:t>Letter from Gary Gray, Assistant Telecommunications Manager/Radio Systems Manager, City of Fort Lauderdale, to Marlene H. Dortch, Secretary, Federal Communications Commission</w:t>
      </w:r>
      <w:r w:rsidR="007B3399">
        <w:t xml:space="preserve"> (dated Mar. 21, 2016)</w:t>
      </w:r>
      <w:r w:rsidR="00314C55">
        <w:t xml:space="preserve"> (Petition)</w:t>
      </w:r>
      <w:r w:rsidR="00785442">
        <w:t>.</w:t>
      </w:r>
    </w:p>
  </w:footnote>
  <w:footnote w:id="7">
    <w:p w:rsidR="00235FB6" w:rsidRDefault="00235FB6" w:rsidP="00235FB6">
      <w:pPr>
        <w:pStyle w:val="FootnoteText"/>
      </w:pPr>
      <w:r>
        <w:rPr>
          <w:rStyle w:val="FootnoteReference"/>
        </w:rPr>
        <w:footnoteRef/>
      </w:r>
      <w:r>
        <w:t xml:space="preserve"> </w:t>
      </w:r>
      <w:r w:rsidR="00C052CC">
        <w:t>Waiver Request at 1</w:t>
      </w:r>
      <w:r>
        <w:t>.</w:t>
      </w:r>
    </w:p>
  </w:footnote>
  <w:footnote w:id="8">
    <w:p w:rsidR="00AB123F" w:rsidRPr="00AB123F" w:rsidRDefault="00AB123F">
      <w:pPr>
        <w:pStyle w:val="FootnoteText"/>
      </w:pPr>
      <w:r>
        <w:rPr>
          <w:rStyle w:val="FootnoteReference"/>
        </w:rPr>
        <w:footnoteRef/>
      </w:r>
      <w:r>
        <w:t xml:space="preserve"> </w:t>
      </w:r>
      <w:r>
        <w:rPr>
          <w:i/>
        </w:rPr>
        <w:t>Id</w:t>
      </w:r>
      <w:r>
        <w:t>.</w:t>
      </w:r>
    </w:p>
  </w:footnote>
  <w:footnote w:id="9">
    <w:p w:rsidR="000A718C" w:rsidRPr="000A718C" w:rsidRDefault="000A718C">
      <w:pPr>
        <w:pStyle w:val="FootnoteText"/>
      </w:pPr>
      <w:r>
        <w:rPr>
          <w:rStyle w:val="FootnoteReference"/>
        </w:rPr>
        <w:footnoteRef/>
      </w:r>
      <w:r>
        <w:t xml:space="preserve"> </w:t>
      </w:r>
      <w:r>
        <w:rPr>
          <w:i/>
        </w:rPr>
        <w:t>Id</w:t>
      </w:r>
      <w:r>
        <w:t>.</w:t>
      </w:r>
    </w:p>
  </w:footnote>
  <w:footnote w:id="10">
    <w:p w:rsidR="00BD2BE8" w:rsidRPr="00BD2AAC" w:rsidRDefault="00BD2BE8" w:rsidP="00BD2BE8">
      <w:pPr>
        <w:pStyle w:val="FootnoteText"/>
      </w:pPr>
      <w:r>
        <w:rPr>
          <w:rStyle w:val="FootnoteReference"/>
        </w:rPr>
        <w:footnoteRef/>
      </w:r>
      <w:r>
        <w:t xml:space="preserve"> </w:t>
      </w:r>
      <w:r>
        <w:rPr>
          <w:i/>
        </w:rPr>
        <w:t>Id</w:t>
      </w:r>
      <w:r>
        <w:t>.</w:t>
      </w:r>
    </w:p>
  </w:footnote>
  <w:footnote w:id="11">
    <w:p w:rsidR="00BD2BE8" w:rsidRDefault="00BD2BE8" w:rsidP="00BD2BE8">
      <w:pPr>
        <w:pStyle w:val="FootnoteText"/>
      </w:pPr>
      <w:r>
        <w:rPr>
          <w:rStyle w:val="FootnoteReference"/>
        </w:rPr>
        <w:footnoteRef/>
      </w:r>
      <w:r>
        <w:t xml:space="preserve"> </w:t>
      </w:r>
      <w:r w:rsidR="001662DC">
        <w:rPr>
          <w:i/>
        </w:rPr>
        <w:t>Id</w:t>
      </w:r>
      <w:r>
        <w:t>.</w:t>
      </w:r>
    </w:p>
  </w:footnote>
  <w:footnote w:id="12">
    <w:p w:rsidR="006C13A9" w:rsidRDefault="006C13A9">
      <w:pPr>
        <w:pStyle w:val="FootnoteText"/>
      </w:pPr>
      <w:r>
        <w:rPr>
          <w:rStyle w:val="FootnoteReference"/>
        </w:rPr>
        <w:footnoteRef/>
      </w:r>
      <w:r w:rsidR="002254F7">
        <w:t xml:space="preserve"> </w:t>
      </w:r>
      <w:r w:rsidR="00592045">
        <w:rPr>
          <w:i/>
        </w:rPr>
        <w:t>Id</w:t>
      </w:r>
      <w:r>
        <w:t>.</w:t>
      </w:r>
    </w:p>
  </w:footnote>
  <w:footnote w:id="13">
    <w:p w:rsidR="00A1092F" w:rsidRPr="00A1092F" w:rsidRDefault="00A1092F">
      <w:pPr>
        <w:pStyle w:val="FootnoteText"/>
      </w:pPr>
      <w:r>
        <w:rPr>
          <w:rStyle w:val="FootnoteReference"/>
        </w:rPr>
        <w:footnoteRef/>
      </w:r>
      <w:r>
        <w:t xml:space="preserve"> </w:t>
      </w:r>
      <w:r w:rsidR="003E433E" w:rsidRPr="008E2CC7">
        <w:t>Petition</w:t>
      </w:r>
      <w:r w:rsidR="004F2AD1" w:rsidRPr="008E2CC7">
        <w:t xml:space="preserve"> </w:t>
      </w:r>
      <w:r w:rsidR="004F2AD1">
        <w:t>at 1.</w:t>
      </w:r>
    </w:p>
  </w:footnote>
  <w:footnote w:id="14">
    <w:p w:rsidR="00AC5128" w:rsidRDefault="00AC5128">
      <w:pPr>
        <w:pStyle w:val="FootnoteText"/>
      </w:pPr>
      <w:r>
        <w:rPr>
          <w:rStyle w:val="FootnoteReference"/>
        </w:rPr>
        <w:footnoteRef/>
      </w:r>
      <w:r>
        <w:t xml:space="preserve"> </w:t>
      </w:r>
      <w:r w:rsidRPr="00AC5128">
        <w:rPr>
          <w:i/>
        </w:rPr>
        <w:t>Id</w:t>
      </w:r>
      <w:r>
        <w:t xml:space="preserve">. </w:t>
      </w:r>
      <w:r w:rsidRPr="00740BB2">
        <w:rPr>
          <w:i/>
        </w:rPr>
        <w:t xml:space="preserve">citing </w:t>
      </w:r>
      <w:r w:rsidRPr="00740BB2">
        <w:t>47</w:t>
      </w:r>
      <w:r w:rsidRPr="00D16F29">
        <w:t xml:space="preserve"> CFR §</w:t>
      </w:r>
      <w:r>
        <w:t xml:space="preserve"> </w:t>
      </w:r>
      <w:r w:rsidRPr="005160DE">
        <w:t>90.242(b)(7)</w:t>
      </w:r>
      <w:r>
        <w:t>.</w:t>
      </w:r>
    </w:p>
  </w:footnote>
  <w:footnote w:id="15">
    <w:p w:rsidR="00AC5128" w:rsidRDefault="00AC5128">
      <w:pPr>
        <w:pStyle w:val="FootnoteText"/>
      </w:pPr>
      <w:r>
        <w:rPr>
          <w:rStyle w:val="FootnoteReference"/>
        </w:rPr>
        <w:footnoteRef/>
      </w:r>
      <w:r>
        <w:t xml:space="preserve"> </w:t>
      </w:r>
      <w:r w:rsidRPr="00740BB2">
        <w:t>47</w:t>
      </w:r>
      <w:r w:rsidRPr="00D16F29">
        <w:t xml:space="preserve"> CFR §</w:t>
      </w:r>
      <w:r>
        <w:t xml:space="preserve"> 90.242(b)(5</w:t>
      </w:r>
      <w:r w:rsidRPr="005160DE">
        <w:t>)</w:t>
      </w:r>
      <w:r>
        <w:t>(iii).</w:t>
      </w:r>
    </w:p>
  </w:footnote>
  <w:footnote w:id="16">
    <w:p w:rsidR="000D2115" w:rsidRDefault="000D2115">
      <w:pPr>
        <w:pStyle w:val="FootnoteText"/>
      </w:pPr>
      <w:r>
        <w:rPr>
          <w:rStyle w:val="FootnoteReference"/>
        </w:rPr>
        <w:footnoteRef/>
      </w:r>
      <w:r>
        <w:t xml:space="preserve"> </w:t>
      </w:r>
      <w:r w:rsidR="004D7F4D">
        <w:t>Petition at 1.</w:t>
      </w:r>
    </w:p>
  </w:footnote>
  <w:footnote w:id="17">
    <w:p w:rsidR="000D2115" w:rsidRPr="009A214A" w:rsidRDefault="000D2115">
      <w:pPr>
        <w:pStyle w:val="FootnoteText"/>
      </w:pPr>
      <w:r>
        <w:rPr>
          <w:rStyle w:val="FootnoteReference"/>
        </w:rPr>
        <w:footnoteRef/>
      </w:r>
      <w:r>
        <w:t xml:space="preserve"> </w:t>
      </w:r>
      <w:r w:rsidR="009A214A">
        <w:rPr>
          <w:i/>
        </w:rPr>
        <w:t>Id</w:t>
      </w:r>
      <w:r w:rsidR="009A214A">
        <w:t>.</w:t>
      </w:r>
    </w:p>
  </w:footnote>
  <w:footnote w:id="18">
    <w:p w:rsidR="000D2115" w:rsidRPr="009A214A" w:rsidRDefault="000D2115">
      <w:pPr>
        <w:pStyle w:val="FootnoteText"/>
      </w:pPr>
      <w:r>
        <w:rPr>
          <w:rStyle w:val="FootnoteReference"/>
        </w:rPr>
        <w:footnoteRef/>
      </w:r>
      <w:r>
        <w:t xml:space="preserve"> </w:t>
      </w:r>
      <w:r w:rsidR="009A214A">
        <w:rPr>
          <w:i/>
        </w:rPr>
        <w:t>Id</w:t>
      </w:r>
      <w:r w:rsidR="009A214A">
        <w:t>.</w:t>
      </w:r>
    </w:p>
  </w:footnote>
  <w:footnote w:id="19">
    <w:p w:rsidR="001F6E86" w:rsidRDefault="001F6E86">
      <w:pPr>
        <w:pStyle w:val="FootnoteText"/>
      </w:pPr>
      <w:r w:rsidRPr="005F5221">
        <w:rPr>
          <w:rStyle w:val="FootnoteReference"/>
        </w:rPr>
        <w:footnoteRef/>
      </w:r>
      <w:r w:rsidRPr="001F6E86">
        <w:rPr>
          <w:i/>
        </w:rPr>
        <w:t xml:space="preserve"> See Amendment of Parts 2 and 89 of the Rules to Provide for the Use of Frequencies 530, 1606, and 1612 kHz by Stations in the Local Government Radio Services for the Transmission of Certain Kinds of Information to the Traveling Public,</w:t>
      </w:r>
      <w:r>
        <w:t xml:space="preserve"> Report and Order, 67 FCC 2d 917, 922, para. 17 (1997)</w:t>
      </w:r>
      <w:r w:rsidR="008E2CC7">
        <w:t xml:space="preserve"> </w:t>
      </w:r>
      <w:r w:rsidR="00F9021C" w:rsidRPr="00F9021C">
        <w:t>(</w:t>
      </w:r>
      <w:r w:rsidR="00F9021C" w:rsidRPr="00F9021C">
        <w:rPr>
          <w:i/>
        </w:rPr>
        <w:t>TIS Report and Order</w:t>
      </w:r>
      <w:r w:rsidR="00F9021C" w:rsidRPr="00F9021C">
        <w:t>)</w:t>
      </w:r>
      <w:r>
        <w:t xml:space="preserve">; 47 U.S.C. </w:t>
      </w:r>
      <w:r w:rsidR="008E2CC7">
        <w:t xml:space="preserve">§§ </w:t>
      </w:r>
      <w:r>
        <w:t>309(b), (d).</w:t>
      </w:r>
    </w:p>
  </w:footnote>
  <w:footnote w:id="20">
    <w:p w:rsidR="00420606" w:rsidRDefault="00420606">
      <w:pPr>
        <w:pStyle w:val="FootnoteText"/>
      </w:pPr>
      <w:r>
        <w:rPr>
          <w:rStyle w:val="FootnoteReference"/>
        </w:rPr>
        <w:footnoteRef/>
      </w:r>
      <w:r>
        <w:t xml:space="preserve"> 47 CFR § 1.41.</w:t>
      </w:r>
    </w:p>
  </w:footnote>
  <w:footnote w:id="21">
    <w:p w:rsidR="00314C55" w:rsidRDefault="00314C55" w:rsidP="00314C55">
      <w:pPr>
        <w:pStyle w:val="FootnoteText"/>
      </w:pPr>
      <w:r>
        <w:rPr>
          <w:rStyle w:val="FootnoteReference"/>
        </w:rPr>
        <w:footnoteRef/>
      </w:r>
      <w:r>
        <w:t xml:space="preserve"> </w:t>
      </w:r>
      <w:r w:rsidRPr="00D16F29">
        <w:t xml:space="preserve">47 CFR § </w:t>
      </w:r>
      <w:r>
        <w:t>90.242(b)(7).</w:t>
      </w:r>
    </w:p>
  </w:footnote>
  <w:footnote w:id="22">
    <w:p w:rsidR="00314C55" w:rsidRDefault="00314C55" w:rsidP="00314C55">
      <w:pPr>
        <w:pStyle w:val="FootnoteText"/>
      </w:pPr>
      <w:r>
        <w:rPr>
          <w:rStyle w:val="FootnoteReference"/>
        </w:rPr>
        <w:footnoteRef/>
      </w:r>
      <w:r>
        <w:t xml:space="preserve"> Petition at 1.</w:t>
      </w:r>
    </w:p>
  </w:footnote>
  <w:footnote w:id="23">
    <w:p w:rsidR="00BB0B7E" w:rsidRDefault="00BB0B7E">
      <w:pPr>
        <w:pStyle w:val="FootnoteText"/>
      </w:pPr>
      <w:r>
        <w:rPr>
          <w:rStyle w:val="FootnoteReference"/>
        </w:rPr>
        <w:footnoteRef/>
      </w:r>
      <w:r>
        <w:t xml:space="preserve"> </w:t>
      </w:r>
      <w:r w:rsidRPr="00740BB2">
        <w:t>47</w:t>
      </w:r>
      <w:r w:rsidRPr="00D16F29">
        <w:t xml:space="preserve"> CFR §</w:t>
      </w:r>
      <w:r>
        <w:t xml:space="preserve"> 90.242(b)(5</w:t>
      </w:r>
      <w:r w:rsidRPr="005160DE">
        <w:t>)</w:t>
      </w:r>
      <w:r>
        <w:t>(iii).</w:t>
      </w:r>
    </w:p>
  </w:footnote>
  <w:footnote w:id="24">
    <w:p w:rsidR="00907B12" w:rsidRDefault="00907B12">
      <w:pPr>
        <w:pStyle w:val="FootnoteText"/>
      </w:pPr>
      <w:r>
        <w:rPr>
          <w:rStyle w:val="FootnoteReference"/>
        </w:rPr>
        <w:footnoteRef/>
      </w:r>
      <w:r>
        <w:t xml:space="preserve"> </w:t>
      </w:r>
      <w:r w:rsidRPr="00740BB2">
        <w:t>47</w:t>
      </w:r>
      <w:r w:rsidRPr="00D16F29">
        <w:t xml:space="preserve"> CFR §</w:t>
      </w:r>
      <w:r>
        <w:t xml:space="preserve"> 73.37.</w:t>
      </w:r>
    </w:p>
  </w:footnote>
  <w:footnote w:id="25">
    <w:p w:rsidR="00A95967" w:rsidRPr="00EF0AA3" w:rsidRDefault="00A95967">
      <w:pPr>
        <w:pStyle w:val="FootnoteText"/>
      </w:pPr>
      <w:r>
        <w:rPr>
          <w:rStyle w:val="FootnoteReference"/>
        </w:rPr>
        <w:footnoteRef/>
      </w:r>
      <w:r>
        <w:t xml:space="preserve"> </w:t>
      </w:r>
      <w:r w:rsidRPr="00740BB2">
        <w:t>47</w:t>
      </w:r>
      <w:r w:rsidRPr="00D16F29">
        <w:t xml:space="preserve"> CFR §</w:t>
      </w:r>
      <w:r>
        <w:t xml:space="preserve"> 73.37(a)</w:t>
      </w:r>
      <w:r w:rsidR="00805C1E">
        <w:t>.  For co-channel</w:t>
      </w:r>
      <w:r w:rsidR="002430D8">
        <w:t>,</w:t>
      </w:r>
      <w:r w:rsidR="00805C1E">
        <w:t xml:space="preserve"> </w:t>
      </w:r>
      <w:r w:rsidR="002430D8">
        <w:t xml:space="preserve">non-class A </w:t>
      </w:r>
      <w:r w:rsidR="00805C1E">
        <w:t xml:space="preserve">stations, </w:t>
      </w:r>
      <w:r w:rsidR="00D36E5D">
        <w:t xml:space="preserve">the rule provides two sets of signal strengths </w:t>
      </w:r>
      <w:r w:rsidR="00E322B3">
        <w:t>for analyzing contour overlap</w:t>
      </w:r>
      <w:r w:rsidR="00D36E5D">
        <w:t xml:space="preserve"> </w:t>
      </w:r>
      <w:r w:rsidR="00E322B3">
        <w:t>between</w:t>
      </w:r>
      <w:r w:rsidR="00D36E5D">
        <w:t xml:space="preserve"> proposed </w:t>
      </w:r>
      <w:r w:rsidR="00C21C1D">
        <w:t>and</w:t>
      </w:r>
      <w:r w:rsidR="00D36E5D">
        <w:t xml:space="preserve"> existing stations.  The first set of </w:t>
      </w:r>
      <w:r w:rsidR="00805C1E">
        <w:t xml:space="preserve">signal strengths are 0.025 mV/m </w:t>
      </w:r>
      <w:r w:rsidR="00E322B3">
        <w:t>for</w:t>
      </w:r>
      <w:r w:rsidR="00805C1E">
        <w:t xml:space="preserve"> the proposed station versus 0.500 mV/m </w:t>
      </w:r>
      <w:r w:rsidR="00E322B3">
        <w:t>for</w:t>
      </w:r>
      <w:r w:rsidR="00805C1E">
        <w:t xml:space="preserve"> any other station. </w:t>
      </w:r>
      <w:r w:rsidR="00D36E5D">
        <w:t xml:space="preserve"> The</w:t>
      </w:r>
      <w:r w:rsidR="00805C1E">
        <w:t xml:space="preserve"> </w:t>
      </w:r>
      <w:r w:rsidR="00D36E5D">
        <w:t>second set of signal strengths are</w:t>
      </w:r>
      <w:r w:rsidR="00805C1E">
        <w:t xml:space="preserve"> 0.5</w:t>
      </w:r>
      <w:r w:rsidR="00C95E98">
        <w:t>00</w:t>
      </w:r>
      <w:r w:rsidR="00805C1E">
        <w:t xml:space="preserve"> mV/m </w:t>
      </w:r>
      <w:r w:rsidR="00E322B3">
        <w:t>for</w:t>
      </w:r>
      <w:r w:rsidR="00805C1E">
        <w:t xml:space="preserve"> proposed station versus 0.025 mV/m </w:t>
      </w:r>
      <w:r w:rsidR="00E322B3">
        <w:t>for</w:t>
      </w:r>
      <w:r w:rsidR="00805C1E">
        <w:t xml:space="preserve"> any other station.</w:t>
      </w:r>
      <w:r w:rsidR="00EF0AA3">
        <w:t xml:space="preserve">  </w:t>
      </w:r>
      <w:r w:rsidR="00EF0AA3">
        <w:rPr>
          <w:i/>
        </w:rPr>
        <w:t>Id</w:t>
      </w:r>
      <w:r w:rsidR="00EF0AA3">
        <w:t>.</w:t>
      </w:r>
    </w:p>
  </w:footnote>
  <w:footnote w:id="26">
    <w:p w:rsidR="00907B12" w:rsidRDefault="00907B12">
      <w:pPr>
        <w:pStyle w:val="FootnoteText"/>
      </w:pPr>
      <w:r>
        <w:rPr>
          <w:rStyle w:val="FootnoteReference"/>
        </w:rPr>
        <w:footnoteRef/>
      </w:r>
      <w:r>
        <w:t xml:space="preserve"> </w:t>
      </w:r>
      <w:r w:rsidRPr="00740BB2">
        <w:t>47</w:t>
      </w:r>
      <w:r w:rsidRPr="00D16F29">
        <w:t xml:space="preserve"> CFR §</w:t>
      </w:r>
      <w:r>
        <w:t xml:space="preserve"> </w:t>
      </w:r>
      <w:r w:rsidR="00A95967">
        <w:t xml:space="preserve">73.37 </w:t>
      </w:r>
      <w:r>
        <w:t>Note 1.</w:t>
      </w:r>
    </w:p>
  </w:footnote>
  <w:footnote w:id="27">
    <w:p w:rsidR="00F9021C" w:rsidRDefault="00F9021C">
      <w:pPr>
        <w:pStyle w:val="FootnoteText"/>
      </w:pPr>
      <w:r>
        <w:rPr>
          <w:rStyle w:val="FootnoteReference"/>
        </w:rPr>
        <w:footnoteRef/>
      </w:r>
      <w:r>
        <w:t xml:space="preserve"> Thus, a certain amount of interference is anticipated even when TIS operate in conformity to the rules, </w:t>
      </w:r>
      <w:r w:rsidR="007A2AB2">
        <w:t xml:space="preserve">something consistent with the fact that TIS are intended to serve a relatively small 3 kilometer zone. </w:t>
      </w:r>
      <w:r w:rsidR="007A2AB2" w:rsidRPr="007A2AB2">
        <w:rPr>
          <w:i/>
        </w:rPr>
        <w:t>TIS Report and Order</w:t>
      </w:r>
      <w:r w:rsidR="007A2AB2">
        <w:t xml:space="preserve"> </w:t>
      </w:r>
      <w:r w:rsidR="007A2AB2" w:rsidRPr="007A2AB2">
        <w:t>at 925</w:t>
      </w:r>
      <w:r w:rsidR="008E2CC7">
        <w:t>,</w:t>
      </w:r>
      <w:r w:rsidR="007A2AB2" w:rsidRPr="007A2AB2">
        <w:t xml:space="preserve"> para. 27</w:t>
      </w:r>
      <w:r w:rsidR="007A2AB2">
        <w:t>.</w:t>
      </w:r>
      <w:r>
        <w:t xml:space="preserve"> </w:t>
      </w:r>
    </w:p>
  </w:footnote>
  <w:footnote w:id="28">
    <w:p w:rsidR="00E8753B" w:rsidRDefault="00E8753B" w:rsidP="00E8753B">
      <w:pPr>
        <w:pStyle w:val="FootnoteText"/>
      </w:pPr>
      <w:r w:rsidRPr="00D16F29">
        <w:rPr>
          <w:rStyle w:val="FootnoteReference"/>
        </w:rPr>
        <w:footnoteRef/>
      </w:r>
      <w:r w:rsidRPr="00D16F29">
        <w:t xml:space="preserve"> 47 CFR § 1.925(b)(3).</w:t>
      </w:r>
    </w:p>
  </w:footnote>
  <w:footnote w:id="29">
    <w:p w:rsidR="0010681F" w:rsidRPr="00A12717" w:rsidRDefault="0010681F" w:rsidP="0010681F">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30">
    <w:p w:rsidR="007E0C96" w:rsidRDefault="007E0C96" w:rsidP="007E0C96">
      <w:pPr>
        <w:pStyle w:val="FootnoteText"/>
      </w:pPr>
      <w:r w:rsidRPr="00D16F29">
        <w:rPr>
          <w:rStyle w:val="FootnoteReference"/>
        </w:rPr>
        <w:footnoteRef/>
      </w:r>
      <w:r w:rsidRPr="00D16F29">
        <w:t xml:space="preserve"> </w:t>
      </w:r>
      <w:r w:rsidR="00F9021C">
        <w:rPr>
          <w:i/>
        </w:rPr>
        <w:t xml:space="preserve">TIS Report and Order, </w:t>
      </w:r>
      <w:r w:rsidR="00F9021C">
        <w:t>67 FCC 2d at 924, paras 24-25.</w:t>
      </w:r>
      <w:r>
        <w:t xml:space="preserve">  </w:t>
      </w:r>
    </w:p>
  </w:footnote>
  <w:footnote w:id="31">
    <w:p w:rsidR="00EF4536" w:rsidRDefault="00EF4536">
      <w:pPr>
        <w:pStyle w:val="FootnoteText"/>
      </w:pPr>
      <w:r>
        <w:rPr>
          <w:rStyle w:val="FootnoteReference"/>
        </w:rPr>
        <w:footnoteRef/>
      </w:r>
      <w:r>
        <w:t xml:space="preserve"> </w:t>
      </w:r>
      <w:r w:rsidR="007A2AB2" w:rsidRPr="001C2AA0">
        <w:rPr>
          <w:i/>
        </w:rPr>
        <w:t>Id.</w:t>
      </w:r>
      <w:r w:rsidR="007A2AB2">
        <w:rPr>
          <w:i/>
        </w:rPr>
        <w:t xml:space="preserve"> </w:t>
      </w:r>
      <w:r w:rsidR="00E573D5">
        <w:t>at</w:t>
      </w:r>
      <w:r w:rsidRPr="00EE0CB1">
        <w:t xml:space="preserve"> 925</w:t>
      </w:r>
      <w:r w:rsidR="008E2CC7">
        <w:t>,</w:t>
      </w:r>
      <w:r w:rsidRPr="00EE0CB1">
        <w:t xml:space="preserve"> </w:t>
      </w:r>
      <w:r w:rsidR="00DD78CD">
        <w:t>para.</w:t>
      </w:r>
      <w:r w:rsidRPr="00EE0CB1">
        <w:t xml:space="preserve"> 27.</w:t>
      </w:r>
    </w:p>
  </w:footnote>
  <w:footnote w:id="32">
    <w:p w:rsidR="00EF4536" w:rsidRPr="00EF4536" w:rsidRDefault="00EF4536">
      <w:pPr>
        <w:pStyle w:val="FootnoteText"/>
      </w:pPr>
      <w:r>
        <w:rPr>
          <w:rStyle w:val="FootnoteReference"/>
        </w:rPr>
        <w:footnoteRef/>
      </w:r>
      <w:r>
        <w:t xml:space="preserve"> </w:t>
      </w:r>
      <w:r>
        <w:rPr>
          <w:i/>
        </w:rPr>
        <w:t>Id</w:t>
      </w:r>
      <w:r>
        <w:t>.</w:t>
      </w:r>
      <w:r w:rsidR="00DD78CD">
        <w:t xml:space="preserve"> at 924</w:t>
      </w:r>
      <w:r w:rsidR="008E2CC7">
        <w:t>,</w:t>
      </w:r>
      <w:r w:rsidR="00DD78CD">
        <w:t xml:space="preserve"> para.</w:t>
      </w:r>
      <w:r w:rsidR="00DD78CD" w:rsidRPr="00EE0CB1">
        <w:t xml:space="preserve"> 2</w:t>
      </w:r>
      <w:r w:rsidR="00DD78CD">
        <w:t>5.</w:t>
      </w:r>
    </w:p>
  </w:footnote>
  <w:footnote w:id="33">
    <w:p w:rsidR="00EF4536" w:rsidRDefault="00EF4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926</w:t>
      </w:r>
      <w:r w:rsidR="008E2CC7">
        <w:t>,</w:t>
      </w:r>
      <w:r>
        <w:t xml:space="preserve"> </w:t>
      </w:r>
      <w:r w:rsidR="00DD78CD">
        <w:t>para.</w:t>
      </w:r>
      <w:r>
        <w:t xml:space="preserve"> 31.</w:t>
      </w:r>
    </w:p>
  </w:footnote>
  <w:footnote w:id="34">
    <w:p w:rsidR="008A65EA" w:rsidRPr="008A65EA" w:rsidRDefault="008A65EA">
      <w:pPr>
        <w:pStyle w:val="FootnoteText"/>
      </w:pPr>
      <w:r>
        <w:rPr>
          <w:rStyle w:val="FootnoteReference"/>
        </w:rPr>
        <w:footnoteRef/>
      </w:r>
      <w:r>
        <w:t xml:space="preserve"> </w:t>
      </w:r>
      <w:r>
        <w:rPr>
          <w:i/>
        </w:rPr>
        <w:t>Id</w:t>
      </w:r>
      <w:r>
        <w:t>. at 928</w:t>
      </w:r>
      <w:r w:rsidR="008E2CC7">
        <w:t>,</w:t>
      </w:r>
      <w:r>
        <w:t xml:space="preserve"> para. 37.</w:t>
      </w:r>
    </w:p>
  </w:footnote>
  <w:footnote w:id="35">
    <w:p w:rsidR="00CE0945" w:rsidRDefault="00CE0945" w:rsidP="00CE0945">
      <w:pPr>
        <w:pStyle w:val="FootnoteText"/>
      </w:pPr>
      <w:r>
        <w:rPr>
          <w:rStyle w:val="FootnoteReference"/>
        </w:rPr>
        <w:footnoteRef/>
      </w:r>
      <w:r>
        <w:t xml:space="preserve"> If Miami-Dade were to obtain </w:t>
      </w:r>
      <w:r w:rsidR="00C931D9">
        <w:t xml:space="preserve">Fort </w:t>
      </w:r>
      <w:r>
        <w:t>Lauderdale’s and Sunrise’s consent to increase the power of the MIA TIS facility, it could re-submit its application and waiver request accompanied by evidence of that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86" w:rsidRDefault="009C0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96390">
      <w:t>DA 1</w:t>
    </w:r>
    <w:r w:rsidR="00F75ADE">
      <w:t>7</w:t>
    </w:r>
    <w:r w:rsidR="00AC68B6">
      <w:t>-512</w:t>
    </w:r>
  </w:p>
  <w:p w:rsidR="00D25FB5" w:rsidRDefault="0061301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E24958D" wp14:editId="5C8A36F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2AF1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13011" w:rsidP="00810B6F">
    <w:pPr>
      <w:pStyle w:val="Header"/>
      <w:rPr>
        <w:b w:val="0"/>
      </w:rPr>
    </w:pPr>
    <w:r>
      <w:rPr>
        <w:noProof/>
      </w:rPr>
      <mc:AlternateContent>
        <mc:Choice Requires="wps">
          <w:drawing>
            <wp:anchor distT="0" distB="0" distL="114300" distR="114300" simplePos="0" relativeHeight="251658240" behindDoc="1" locked="0" layoutInCell="0" allowOverlap="1" wp14:anchorId="3D6B5535" wp14:editId="59B0A3E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782EC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96390">
      <w:rPr>
        <w:spacing w:val="-2"/>
      </w:rPr>
      <w:t>DA 1</w:t>
    </w:r>
    <w:r w:rsidR="00F75ADE">
      <w:rPr>
        <w:spacing w:val="-2"/>
      </w:rPr>
      <w:t>7</w:t>
    </w:r>
    <w:r w:rsidR="00AC68B6">
      <w:rPr>
        <w:spacing w:val="-2"/>
      </w:rPr>
      <w:t>-512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3"/>
  </w:num>
  <w:num w:numId="10">
    <w:abstractNumId w:val="3"/>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1"/>
    <w:rsid w:val="00002294"/>
    <w:rsid w:val="00007B93"/>
    <w:rsid w:val="000132EB"/>
    <w:rsid w:val="000305FB"/>
    <w:rsid w:val="000313EA"/>
    <w:rsid w:val="00036039"/>
    <w:rsid w:val="00037F90"/>
    <w:rsid w:val="00042D4D"/>
    <w:rsid w:val="00047457"/>
    <w:rsid w:val="00055838"/>
    <w:rsid w:val="000628AD"/>
    <w:rsid w:val="00066CA9"/>
    <w:rsid w:val="00070B3C"/>
    <w:rsid w:val="00077AEF"/>
    <w:rsid w:val="00085AE5"/>
    <w:rsid w:val="0008734F"/>
    <w:rsid w:val="000875BF"/>
    <w:rsid w:val="0009472E"/>
    <w:rsid w:val="00095BEC"/>
    <w:rsid w:val="00096D8C"/>
    <w:rsid w:val="000A348D"/>
    <w:rsid w:val="000A718C"/>
    <w:rsid w:val="000B3E78"/>
    <w:rsid w:val="000C0B65"/>
    <w:rsid w:val="000C48FE"/>
    <w:rsid w:val="000D2115"/>
    <w:rsid w:val="000E05FE"/>
    <w:rsid w:val="000E2A15"/>
    <w:rsid w:val="000E3D42"/>
    <w:rsid w:val="000F1A58"/>
    <w:rsid w:val="00105245"/>
    <w:rsid w:val="001056CF"/>
    <w:rsid w:val="0010681F"/>
    <w:rsid w:val="00114A17"/>
    <w:rsid w:val="00122BD5"/>
    <w:rsid w:val="00123CCA"/>
    <w:rsid w:val="001257E2"/>
    <w:rsid w:val="00133F79"/>
    <w:rsid w:val="00156161"/>
    <w:rsid w:val="001662DC"/>
    <w:rsid w:val="00174D78"/>
    <w:rsid w:val="00177929"/>
    <w:rsid w:val="001830E0"/>
    <w:rsid w:val="00183828"/>
    <w:rsid w:val="001858F6"/>
    <w:rsid w:val="00194A66"/>
    <w:rsid w:val="001A429D"/>
    <w:rsid w:val="001B0D97"/>
    <w:rsid w:val="001B19D3"/>
    <w:rsid w:val="001C05AC"/>
    <w:rsid w:val="001C6883"/>
    <w:rsid w:val="001D6903"/>
    <w:rsid w:val="001D6BCF"/>
    <w:rsid w:val="001E01CA"/>
    <w:rsid w:val="001E3DED"/>
    <w:rsid w:val="001F6E86"/>
    <w:rsid w:val="00204506"/>
    <w:rsid w:val="0021171E"/>
    <w:rsid w:val="002132AF"/>
    <w:rsid w:val="002139C7"/>
    <w:rsid w:val="00214BF4"/>
    <w:rsid w:val="002220F9"/>
    <w:rsid w:val="002254F7"/>
    <w:rsid w:val="002337E3"/>
    <w:rsid w:val="00235FB6"/>
    <w:rsid w:val="0023603E"/>
    <w:rsid w:val="002430D8"/>
    <w:rsid w:val="002462C0"/>
    <w:rsid w:val="0025053C"/>
    <w:rsid w:val="00253869"/>
    <w:rsid w:val="00273290"/>
    <w:rsid w:val="002736CF"/>
    <w:rsid w:val="00275CF5"/>
    <w:rsid w:val="00280A67"/>
    <w:rsid w:val="0028301F"/>
    <w:rsid w:val="00283D81"/>
    <w:rsid w:val="00284837"/>
    <w:rsid w:val="00285017"/>
    <w:rsid w:val="002875B2"/>
    <w:rsid w:val="002A2D2E"/>
    <w:rsid w:val="002A4F4C"/>
    <w:rsid w:val="002B010F"/>
    <w:rsid w:val="002B2CDC"/>
    <w:rsid w:val="002B4572"/>
    <w:rsid w:val="002B5C5E"/>
    <w:rsid w:val="002C00E8"/>
    <w:rsid w:val="002C47DA"/>
    <w:rsid w:val="002C5618"/>
    <w:rsid w:val="002D1E14"/>
    <w:rsid w:val="002E0BE6"/>
    <w:rsid w:val="003106E4"/>
    <w:rsid w:val="00314C55"/>
    <w:rsid w:val="00315D22"/>
    <w:rsid w:val="00336F20"/>
    <w:rsid w:val="00343749"/>
    <w:rsid w:val="0035042A"/>
    <w:rsid w:val="00350A6C"/>
    <w:rsid w:val="0035610F"/>
    <w:rsid w:val="003660ED"/>
    <w:rsid w:val="00374294"/>
    <w:rsid w:val="00376598"/>
    <w:rsid w:val="003775DA"/>
    <w:rsid w:val="00380A23"/>
    <w:rsid w:val="00396953"/>
    <w:rsid w:val="00396A69"/>
    <w:rsid w:val="003A0D04"/>
    <w:rsid w:val="003A3E28"/>
    <w:rsid w:val="003A4162"/>
    <w:rsid w:val="003B0550"/>
    <w:rsid w:val="003B694F"/>
    <w:rsid w:val="003E433E"/>
    <w:rsid w:val="003F171C"/>
    <w:rsid w:val="003F7AF1"/>
    <w:rsid w:val="00412FC5"/>
    <w:rsid w:val="00420606"/>
    <w:rsid w:val="00422276"/>
    <w:rsid w:val="004242F1"/>
    <w:rsid w:val="00432812"/>
    <w:rsid w:val="00445A00"/>
    <w:rsid w:val="00445B6D"/>
    <w:rsid w:val="00451B0F"/>
    <w:rsid w:val="00451D7B"/>
    <w:rsid w:val="00460006"/>
    <w:rsid w:val="004622A9"/>
    <w:rsid w:val="00467FCE"/>
    <w:rsid w:val="00474302"/>
    <w:rsid w:val="0047786E"/>
    <w:rsid w:val="00480ECF"/>
    <w:rsid w:val="00494529"/>
    <w:rsid w:val="00496D44"/>
    <w:rsid w:val="00497FAA"/>
    <w:rsid w:val="004B064C"/>
    <w:rsid w:val="004C2EE3"/>
    <w:rsid w:val="004D2A54"/>
    <w:rsid w:val="004D7F4D"/>
    <w:rsid w:val="004E35BA"/>
    <w:rsid w:val="004E4A22"/>
    <w:rsid w:val="004E7578"/>
    <w:rsid w:val="004F2AD1"/>
    <w:rsid w:val="004F3BB2"/>
    <w:rsid w:val="005004D3"/>
    <w:rsid w:val="005056AB"/>
    <w:rsid w:val="00505D7A"/>
    <w:rsid w:val="00511968"/>
    <w:rsid w:val="00513637"/>
    <w:rsid w:val="00515BEE"/>
    <w:rsid w:val="005160DE"/>
    <w:rsid w:val="00520CA8"/>
    <w:rsid w:val="00530587"/>
    <w:rsid w:val="0054344B"/>
    <w:rsid w:val="00545FDC"/>
    <w:rsid w:val="00546E46"/>
    <w:rsid w:val="005516BF"/>
    <w:rsid w:val="0055614C"/>
    <w:rsid w:val="00556B4C"/>
    <w:rsid w:val="0056391C"/>
    <w:rsid w:val="0057270E"/>
    <w:rsid w:val="00572939"/>
    <w:rsid w:val="00574076"/>
    <w:rsid w:val="005810F6"/>
    <w:rsid w:val="00584979"/>
    <w:rsid w:val="00585364"/>
    <w:rsid w:val="00592045"/>
    <w:rsid w:val="005924E2"/>
    <w:rsid w:val="005A1786"/>
    <w:rsid w:val="005B05B3"/>
    <w:rsid w:val="005B2E89"/>
    <w:rsid w:val="005B58D4"/>
    <w:rsid w:val="005B63F5"/>
    <w:rsid w:val="005C610B"/>
    <w:rsid w:val="005D47F5"/>
    <w:rsid w:val="005E045C"/>
    <w:rsid w:val="005E14C2"/>
    <w:rsid w:val="005F069B"/>
    <w:rsid w:val="005F0B7C"/>
    <w:rsid w:val="005F4778"/>
    <w:rsid w:val="005F5221"/>
    <w:rsid w:val="0060261F"/>
    <w:rsid w:val="00607BA5"/>
    <w:rsid w:val="0061180A"/>
    <w:rsid w:val="00611F80"/>
    <w:rsid w:val="00613011"/>
    <w:rsid w:val="00613880"/>
    <w:rsid w:val="0062187E"/>
    <w:rsid w:val="00625351"/>
    <w:rsid w:val="00626EB6"/>
    <w:rsid w:val="00631ADD"/>
    <w:rsid w:val="00640AFF"/>
    <w:rsid w:val="00646391"/>
    <w:rsid w:val="00655D03"/>
    <w:rsid w:val="0066256D"/>
    <w:rsid w:val="0066467B"/>
    <w:rsid w:val="00683388"/>
    <w:rsid w:val="00683F84"/>
    <w:rsid w:val="00684530"/>
    <w:rsid w:val="006855C9"/>
    <w:rsid w:val="006877D5"/>
    <w:rsid w:val="006A6A81"/>
    <w:rsid w:val="006C13A9"/>
    <w:rsid w:val="006D051B"/>
    <w:rsid w:val="006D1242"/>
    <w:rsid w:val="006D3A0B"/>
    <w:rsid w:val="006D7119"/>
    <w:rsid w:val="006E2ADC"/>
    <w:rsid w:val="006F1D98"/>
    <w:rsid w:val="006F7052"/>
    <w:rsid w:val="006F7393"/>
    <w:rsid w:val="0070224F"/>
    <w:rsid w:val="007046BE"/>
    <w:rsid w:val="007115F7"/>
    <w:rsid w:val="00714873"/>
    <w:rsid w:val="0072186F"/>
    <w:rsid w:val="0072249D"/>
    <w:rsid w:val="00726348"/>
    <w:rsid w:val="00731BAE"/>
    <w:rsid w:val="00740BB2"/>
    <w:rsid w:val="0074278B"/>
    <w:rsid w:val="0075469B"/>
    <w:rsid w:val="007734F5"/>
    <w:rsid w:val="00773631"/>
    <w:rsid w:val="00780BF3"/>
    <w:rsid w:val="00783A63"/>
    <w:rsid w:val="00785442"/>
    <w:rsid w:val="00785689"/>
    <w:rsid w:val="00794706"/>
    <w:rsid w:val="00794E64"/>
    <w:rsid w:val="0079754B"/>
    <w:rsid w:val="007A0319"/>
    <w:rsid w:val="007A1A8F"/>
    <w:rsid w:val="007A1E6D"/>
    <w:rsid w:val="007A2AB2"/>
    <w:rsid w:val="007A3716"/>
    <w:rsid w:val="007A74D7"/>
    <w:rsid w:val="007B0EB2"/>
    <w:rsid w:val="007B3399"/>
    <w:rsid w:val="007C2982"/>
    <w:rsid w:val="007C6762"/>
    <w:rsid w:val="007C77D3"/>
    <w:rsid w:val="007D067E"/>
    <w:rsid w:val="007D1473"/>
    <w:rsid w:val="007D7664"/>
    <w:rsid w:val="007E0C96"/>
    <w:rsid w:val="007E1B93"/>
    <w:rsid w:val="007E76B8"/>
    <w:rsid w:val="007F4C3D"/>
    <w:rsid w:val="007F62C5"/>
    <w:rsid w:val="00805C1E"/>
    <w:rsid w:val="00810B6F"/>
    <w:rsid w:val="008123C8"/>
    <w:rsid w:val="00822CE0"/>
    <w:rsid w:val="008237DF"/>
    <w:rsid w:val="0082399C"/>
    <w:rsid w:val="008245B2"/>
    <w:rsid w:val="00831E5D"/>
    <w:rsid w:val="00841AB1"/>
    <w:rsid w:val="00844888"/>
    <w:rsid w:val="0084509D"/>
    <w:rsid w:val="00852C9D"/>
    <w:rsid w:val="00875079"/>
    <w:rsid w:val="00881242"/>
    <w:rsid w:val="008926A5"/>
    <w:rsid w:val="008A39D9"/>
    <w:rsid w:val="008A65EA"/>
    <w:rsid w:val="008C1125"/>
    <w:rsid w:val="008C68F1"/>
    <w:rsid w:val="008D34F2"/>
    <w:rsid w:val="008D4C89"/>
    <w:rsid w:val="008D67DE"/>
    <w:rsid w:val="008D78A1"/>
    <w:rsid w:val="008E2CC7"/>
    <w:rsid w:val="008F13FF"/>
    <w:rsid w:val="008F4837"/>
    <w:rsid w:val="0090281B"/>
    <w:rsid w:val="009036F9"/>
    <w:rsid w:val="00905467"/>
    <w:rsid w:val="00907B12"/>
    <w:rsid w:val="00911734"/>
    <w:rsid w:val="00921803"/>
    <w:rsid w:val="00926503"/>
    <w:rsid w:val="00927EED"/>
    <w:rsid w:val="00932663"/>
    <w:rsid w:val="009404CE"/>
    <w:rsid w:val="009422ED"/>
    <w:rsid w:val="009503C7"/>
    <w:rsid w:val="00950AEE"/>
    <w:rsid w:val="00953A81"/>
    <w:rsid w:val="009542B6"/>
    <w:rsid w:val="00966BB6"/>
    <w:rsid w:val="009726D8"/>
    <w:rsid w:val="00981CF5"/>
    <w:rsid w:val="009870E6"/>
    <w:rsid w:val="009A214A"/>
    <w:rsid w:val="009C0D86"/>
    <w:rsid w:val="009D3AED"/>
    <w:rsid w:val="009E0B6A"/>
    <w:rsid w:val="009E2C30"/>
    <w:rsid w:val="009E67FF"/>
    <w:rsid w:val="009F6C2F"/>
    <w:rsid w:val="009F76DB"/>
    <w:rsid w:val="00A1092F"/>
    <w:rsid w:val="00A10EC4"/>
    <w:rsid w:val="00A14AC8"/>
    <w:rsid w:val="00A2151A"/>
    <w:rsid w:val="00A22947"/>
    <w:rsid w:val="00A3033F"/>
    <w:rsid w:val="00A32B90"/>
    <w:rsid w:val="00A32C3B"/>
    <w:rsid w:val="00A40003"/>
    <w:rsid w:val="00A434B7"/>
    <w:rsid w:val="00A45F4F"/>
    <w:rsid w:val="00A461C0"/>
    <w:rsid w:val="00A515D8"/>
    <w:rsid w:val="00A5178D"/>
    <w:rsid w:val="00A5598A"/>
    <w:rsid w:val="00A600A9"/>
    <w:rsid w:val="00A658F1"/>
    <w:rsid w:val="00A724A4"/>
    <w:rsid w:val="00A72511"/>
    <w:rsid w:val="00A7324D"/>
    <w:rsid w:val="00A95967"/>
    <w:rsid w:val="00AA55B7"/>
    <w:rsid w:val="00AA5B9E"/>
    <w:rsid w:val="00AA6818"/>
    <w:rsid w:val="00AB123F"/>
    <w:rsid w:val="00AB1E72"/>
    <w:rsid w:val="00AB2407"/>
    <w:rsid w:val="00AB53DF"/>
    <w:rsid w:val="00AC5128"/>
    <w:rsid w:val="00AC68B6"/>
    <w:rsid w:val="00AD0036"/>
    <w:rsid w:val="00AD281C"/>
    <w:rsid w:val="00AE1501"/>
    <w:rsid w:val="00AF0344"/>
    <w:rsid w:val="00AF1A4F"/>
    <w:rsid w:val="00B04526"/>
    <w:rsid w:val="00B05C95"/>
    <w:rsid w:val="00B07E5C"/>
    <w:rsid w:val="00B10889"/>
    <w:rsid w:val="00B228B7"/>
    <w:rsid w:val="00B508BB"/>
    <w:rsid w:val="00B66737"/>
    <w:rsid w:val="00B704C8"/>
    <w:rsid w:val="00B73635"/>
    <w:rsid w:val="00B75118"/>
    <w:rsid w:val="00B811F7"/>
    <w:rsid w:val="00B819FA"/>
    <w:rsid w:val="00B822C9"/>
    <w:rsid w:val="00BA1656"/>
    <w:rsid w:val="00BA5DC6"/>
    <w:rsid w:val="00BA6196"/>
    <w:rsid w:val="00BB0B7E"/>
    <w:rsid w:val="00BB7BE1"/>
    <w:rsid w:val="00BC6D8C"/>
    <w:rsid w:val="00BD0410"/>
    <w:rsid w:val="00BD2BE8"/>
    <w:rsid w:val="00BE2FC1"/>
    <w:rsid w:val="00BE3346"/>
    <w:rsid w:val="00BF329C"/>
    <w:rsid w:val="00BF71A2"/>
    <w:rsid w:val="00C052CC"/>
    <w:rsid w:val="00C21C1D"/>
    <w:rsid w:val="00C24BC6"/>
    <w:rsid w:val="00C254A0"/>
    <w:rsid w:val="00C26209"/>
    <w:rsid w:val="00C30963"/>
    <w:rsid w:val="00C32839"/>
    <w:rsid w:val="00C34006"/>
    <w:rsid w:val="00C426B1"/>
    <w:rsid w:val="00C5054E"/>
    <w:rsid w:val="00C66160"/>
    <w:rsid w:val="00C721AC"/>
    <w:rsid w:val="00C90D6A"/>
    <w:rsid w:val="00C931D9"/>
    <w:rsid w:val="00C95E98"/>
    <w:rsid w:val="00C97DB9"/>
    <w:rsid w:val="00CA247E"/>
    <w:rsid w:val="00CC72B6"/>
    <w:rsid w:val="00CE0945"/>
    <w:rsid w:val="00CE50FA"/>
    <w:rsid w:val="00CE7144"/>
    <w:rsid w:val="00CF32F0"/>
    <w:rsid w:val="00CF4D7E"/>
    <w:rsid w:val="00CF596D"/>
    <w:rsid w:val="00D00B7F"/>
    <w:rsid w:val="00D0218D"/>
    <w:rsid w:val="00D031AB"/>
    <w:rsid w:val="00D14831"/>
    <w:rsid w:val="00D14C2D"/>
    <w:rsid w:val="00D16304"/>
    <w:rsid w:val="00D178CD"/>
    <w:rsid w:val="00D17F9B"/>
    <w:rsid w:val="00D25FB5"/>
    <w:rsid w:val="00D3267B"/>
    <w:rsid w:val="00D36E5D"/>
    <w:rsid w:val="00D41E53"/>
    <w:rsid w:val="00D43E21"/>
    <w:rsid w:val="00D44223"/>
    <w:rsid w:val="00D47CCD"/>
    <w:rsid w:val="00D63037"/>
    <w:rsid w:val="00D66723"/>
    <w:rsid w:val="00D960C7"/>
    <w:rsid w:val="00D96390"/>
    <w:rsid w:val="00D96703"/>
    <w:rsid w:val="00D971BE"/>
    <w:rsid w:val="00DA2529"/>
    <w:rsid w:val="00DB130A"/>
    <w:rsid w:val="00DB1BF8"/>
    <w:rsid w:val="00DB2EBB"/>
    <w:rsid w:val="00DB396C"/>
    <w:rsid w:val="00DC10A1"/>
    <w:rsid w:val="00DC31F1"/>
    <w:rsid w:val="00DC5882"/>
    <w:rsid w:val="00DC655F"/>
    <w:rsid w:val="00DC6C68"/>
    <w:rsid w:val="00DD0B59"/>
    <w:rsid w:val="00DD2385"/>
    <w:rsid w:val="00DD78CD"/>
    <w:rsid w:val="00DD7EBD"/>
    <w:rsid w:val="00DE2DBA"/>
    <w:rsid w:val="00DE2FCE"/>
    <w:rsid w:val="00DF03B4"/>
    <w:rsid w:val="00DF4B18"/>
    <w:rsid w:val="00DF62B6"/>
    <w:rsid w:val="00E0465C"/>
    <w:rsid w:val="00E05A64"/>
    <w:rsid w:val="00E07225"/>
    <w:rsid w:val="00E0741E"/>
    <w:rsid w:val="00E20E95"/>
    <w:rsid w:val="00E226F0"/>
    <w:rsid w:val="00E22974"/>
    <w:rsid w:val="00E26606"/>
    <w:rsid w:val="00E30967"/>
    <w:rsid w:val="00E322B3"/>
    <w:rsid w:val="00E4238A"/>
    <w:rsid w:val="00E44F3C"/>
    <w:rsid w:val="00E5409F"/>
    <w:rsid w:val="00E573D5"/>
    <w:rsid w:val="00E57F07"/>
    <w:rsid w:val="00E6612D"/>
    <w:rsid w:val="00E81A42"/>
    <w:rsid w:val="00E8753B"/>
    <w:rsid w:val="00EA0AD7"/>
    <w:rsid w:val="00EA20FB"/>
    <w:rsid w:val="00EA238E"/>
    <w:rsid w:val="00EA5892"/>
    <w:rsid w:val="00EB5CC4"/>
    <w:rsid w:val="00EC1F22"/>
    <w:rsid w:val="00EC6E9A"/>
    <w:rsid w:val="00EC73F0"/>
    <w:rsid w:val="00ED7FD1"/>
    <w:rsid w:val="00EE3EF0"/>
    <w:rsid w:val="00EE6488"/>
    <w:rsid w:val="00EF0AA3"/>
    <w:rsid w:val="00EF4536"/>
    <w:rsid w:val="00EF584D"/>
    <w:rsid w:val="00F021FA"/>
    <w:rsid w:val="00F16E4F"/>
    <w:rsid w:val="00F265AB"/>
    <w:rsid w:val="00F31CE4"/>
    <w:rsid w:val="00F32EB3"/>
    <w:rsid w:val="00F35462"/>
    <w:rsid w:val="00F525ED"/>
    <w:rsid w:val="00F55396"/>
    <w:rsid w:val="00F564E9"/>
    <w:rsid w:val="00F62E97"/>
    <w:rsid w:val="00F64209"/>
    <w:rsid w:val="00F74520"/>
    <w:rsid w:val="00F753ED"/>
    <w:rsid w:val="00F75ADE"/>
    <w:rsid w:val="00F8476D"/>
    <w:rsid w:val="00F852AB"/>
    <w:rsid w:val="00F9021C"/>
    <w:rsid w:val="00F93BF5"/>
    <w:rsid w:val="00F9741E"/>
    <w:rsid w:val="00FA39D6"/>
    <w:rsid w:val="00FA5B08"/>
    <w:rsid w:val="00FC224F"/>
    <w:rsid w:val="00FC4C27"/>
    <w:rsid w:val="00FD5102"/>
    <w:rsid w:val="00FF4A34"/>
    <w:rsid w:val="00FF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character" w:customStyle="1" w:styleId="normaltextfont">
    <w:name w:val="normaltextfont"/>
    <w:basedOn w:val="DefaultParagraphFont"/>
    <w:rsid w:val="005B2E89"/>
    <w:rPr>
      <w:rFonts w:ascii="Verdana" w:hAnsi="Verdana" w:hint="default"/>
      <w:sz w:val="19"/>
      <w:szCs w:val="19"/>
    </w:rPr>
  </w:style>
  <w:style w:type="character" w:styleId="CommentReference">
    <w:name w:val="annotation reference"/>
    <w:basedOn w:val="DefaultParagraphFont"/>
    <w:rsid w:val="007E1B93"/>
    <w:rPr>
      <w:sz w:val="16"/>
      <w:szCs w:val="16"/>
    </w:rPr>
  </w:style>
  <w:style w:type="paragraph" w:styleId="CommentText">
    <w:name w:val="annotation text"/>
    <w:basedOn w:val="Normal"/>
    <w:link w:val="CommentTextChar"/>
    <w:rsid w:val="007E1B93"/>
    <w:rPr>
      <w:sz w:val="20"/>
    </w:rPr>
  </w:style>
  <w:style w:type="character" w:customStyle="1" w:styleId="CommentTextChar">
    <w:name w:val="Comment Text Char"/>
    <w:basedOn w:val="DefaultParagraphFont"/>
    <w:link w:val="CommentText"/>
    <w:rsid w:val="007E1B93"/>
    <w:rPr>
      <w:snapToGrid w:val="0"/>
      <w:kern w:val="28"/>
    </w:rPr>
  </w:style>
  <w:style w:type="paragraph" w:styleId="CommentSubject">
    <w:name w:val="annotation subject"/>
    <w:basedOn w:val="CommentText"/>
    <w:next w:val="CommentText"/>
    <w:link w:val="CommentSubjectChar"/>
    <w:rsid w:val="007E1B93"/>
    <w:rPr>
      <w:b/>
      <w:bCs/>
    </w:rPr>
  </w:style>
  <w:style w:type="character" w:customStyle="1" w:styleId="CommentSubjectChar">
    <w:name w:val="Comment Subject Char"/>
    <w:basedOn w:val="CommentTextChar"/>
    <w:link w:val="CommentSubject"/>
    <w:rsid w:val="007E1B93"/>
    <w:rPr>
      <w:b/>
      <w:bCs/>
      <w:snapToGrid w:val="0"/>
      <w:kern w:val="28"/>
    </w:rPr>
  </w:style>
  <w:style w:type="paragraph" w:styleId="BalloonText">
    <w:name w:val="Balloon Text"/>
    <w:basedOn w:val="Normal"/>
    <w:link w:val="BalloonTextChar"/>
    <w:rsid w:val="007E1B93"/>
    <w:rPr>
      <w:rFonts w:ascii="Segoe UI" w:hAnsi="Segoe UI" w:cs="Segoe UI"/>
      <w:sz w:val="18"/>
      <w:szCs w:val="18"/>
    </w:rPr>
  </w:style>
  <w:style w:type="character" w:customStyle="1" w:styleId="BalloonTextChar">
    <w:name w:val="Balloon Text Char"/>
    <w:basedOn w:val="DefaultParagraphFont"/>
    <w:link w:val="BalloonText"/>
    <w:rsid w:val="007E1B93"/>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character" w:customStyle="1" w:styleId="normaltextfont">
    <w:name w:val="normaltextfont"/>
    <w:basedOn w:val="DefaultParagraphFont"/>
    <w:rsid w:val="005B2E89"/>
    <w:rPr>
      <w:rFonts w:ascii="Verdana" w:hAnsi="Verdana" w:hint="default"/>
      <w:sz w:val="19"/>
      <w:szCs w:val="19"/>
    </w:rPr>
  </w:style>
  <w:style w:type="character" w:styleId="CommentReference">
    <w:name w:val="annotation reference"/>
    <w:basedOn w:val="DefaultParagraphFont"/>
    <w:rsid w:val="007E1B93"/>
    <w:rPr>
      <w:sz w:val="16"/>
      <w:szCs w:val="16"/>
    </w:rPr>
  </w:style>
  <w:style w:type="paragraph" w:styleId="CommentText">
    <w:name w:val="annotation text"/>
    <w:basedOn w:val="Normal"/>
    <w:link w:val="CommentTextChar"/>
    <w:rsid w:val="007E1B93"/>
    <w:rPr>
      <w:sz w:val="20"/>
    </w:rPr>
  </w:style>
  <w:style w:type="character" w:customStyle="1" w:styleId="CommentTextChar">
    <w:name w:val="Comment Text Char"/>
    <w:basedOn w:val="DefaultParagraphFont"/>
    <w:link w:val="CommentText"/>
    <w:rsid w:val="007E1B93"/>
    <w:rPr>
      <w:snapToGrid w:val="0"/>
      <w:kern w:val="28"/>
    </w:rPr>
  </w:style>
  <w:style w:type="paragraph" w:styleId="CommentSubject">
    <w:name w:val="annotation subject"/>
    <w:basedOn w:val="CommentText"/>
    <w:next w:val="CommentText"/>
    <w:link w:val="CommentSubjectChar"/>
    <w:rsid w:val="007E1B93"/>
    <w:rPr>
      <w:b/>
      <w:bCs/>
    </w:rPr>
  </w:style>
  <w:style w:type="character" w:customStyle="1" w:styleId="CommentSubjectChar">
    <w:name w:val="Comment Subject Char"/>
    <w:basedOn w:val="CommentTextChar"/>
    <w:link w:val="CommentSubject"/>
    <w:rsid w:val="007E1B93"/>
    <w:rPr>
      <w:b/>
      <w:bCs/>
      <w:snapToGrid w:val="0"/>
      <w:kern w:val="28"/>
    </w:rPr>
  </w:style>
  <w:style w:type="paragraph" w:styleId="BalloonText">
    <w:name w:val="Balloon Text"/>
    <w:basedOn w:val="Normal"/>
    <w:link w:val="BalloonTextChar"/>
    <w:rsid w:val="007E1B93"/>
    <w:rPr>
      <w:rFonts w:ascii="Segoe UI" w:hAnsi="Segoe UI" w:cs="Segoe UI"/>
      <w:sz w:val="18"/>
      <w:szCs w:val="18"/>
    </w:rPr>
  </w:style>
  <w:style w:type="character" w:customStyle="1" w:styleId="BalloonTextChar">
    <w:name w:val="Balloon Text Char"/>
    <w:basedOn w:val="DefaultParagraphFont"/>
    <w:link w:val="BalloonText"/>
    <w:rsid w:val="007E1B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6453">
      <w:bodyDiv w:val="1"/>
      <w:marLeft w:val="0"/>
      <w:marRight w:val="0"/>
      <w:marTop w:val="0"/>
      <w:marBottom w:val="0"/>
      <w:divBdr>
        <w:top w:val="none" w:sz="0" w:space="0" w:color="auto"/>
        <w:left w:val="none" w:sz="0" w:space="0" w:color="auto"/>
        <w:bottom w:val="none" w:sz="0" w:space="0" w:color="auto"/>
        <w:right w:val="none" w:sz="0" w:space="0" w:color="auto"/>
      </w:divBdr>
    </w:div>
    <w:div w:id="2064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1766</Words>
  <Characters>9654</Characters>
  <Application>Microsoft Office Word</Application>
  <DocSecurity>0</DocSecurity>
  <Lines>159</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2017-05-24T19:00:00Z</dcterms:created>
  <dcterms:modified xsi:type="dcterms:W3CDTF">2017-05-24T19:00:00Z</dcterms:modified>
  <cp:category> </cp:category>
  <cp:contentStatus> </cp:contentStatus>
</cp:coreProperties>
</file>