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3E" w:rsidRDefault="001830C9" w:rsidP="00EE4B3E">
      <w:pPr>
        <w:jc w:val="right"/>
        <w:rPr>
          <w:b/>
          <w:szCs w:val="22"/>
        </w:rPr>
      </w:pPr>
      <w:bookmarkStart w:id="0" w:name="_GoBack"/>
      <w:bookmarkEnd w:id="0"/>
      <w:r>
        <w:rPr>
          <w:b/>
          <w:szCs w:val="22"/>
        </w:rPr>
        <w:t xml:space="preserve"> </w:t>
      </w:r>
      <w:r w:rsidR="00EE4B3E">
        <w:rPr>
          <w:b/>
          <w:szCs w:val="22"/>
        </w:rPr>
        <w:t xml:space="preserve">DA </w:t>
      </w:r>
      <w:r w:rsidR="00EE4B3E" w:rsidRPr="0044136D">
        <w:rPr>
          <w:b/>
          <w:szCs w:val="22"/>
        </w:rPr>
        <w:t>17-513</w:t>
      </w:r>
    </w:p>
    <w:p w:rsidR="00EE4B3E" w:rsidRDefault="00EE4B3E" w:rsidP="00EE4B3E">
      <w:pPr>
        <w:tabs>
          <w:tab w:val="left" w:pos="391"/>
          <w:tab w:val="right" w:pos="9360"/>
        </w:tabs>
        <w:spacing w:before="60"/>
        <w:rPr>
          <w:szCs w:val="22"/>
        </w:rPr>
      </w:pPr>
      <w:r>
        <w:rPr>
          <w:b/>
          <w:szCs w:val="22"/>
        </w:rPr>
        <w:tab/>
      </w:r>
      <w:r>
        <w:rPr>
          <w:b/>
          <w:szCs w:val="22"/>
        </w:rPr>
        <w:tab/>
        <w:t>Released:  May 25, 2017</w:t>
      </w:r>
    </w:p>
    <w:p w:rsidR="00EE4B3E" w:rsidRDefault="00EE4B3E" w:rsidP="00EE4B3E">
      <w:pPr>
        <w:jc w:val="center"/>
        <w:rPr>
          <w:szCs w:val="22"/>
        </w:rPr>
      </w:pPr>
    </w:p>
    <w:p w:rsidR="00EE4B3E" w:rsidRDefault="00EE4B3E" w:rsidP="00EE4B3E">
      <w:pPr>
        <w:jc w:val="center"/>
        <w:rPr>
          <w:b/>
          <w:caps/>
          <w:szCs w:val="22"/>
        </w:rPr>
      </w:pPr>
      <w:r w:rsidRPr="00356591">
        <w:rPr>
          <w:b/>
          <w:caps/>
          <w:szCs w:val="22"/>
        </w:rPr>
        <w:t xml:space="preserve">Public Safety and Homeland Security Bureau Seeks Comment on Application and Waiver Request Filed by </w:t>
      </w:r>
      <w:r w:rsidRPr="0096501A">
        <w:rPr>
          <w:b/>
          <w:caps/>
          <w:szCs w:val="22"/>
        </w:rPr>
        <w:t>WASHINGTON COUNTY CONSOLIDATED COMMUNICATIONS AGENCY</w:t>
      </w:r>
      <w:r>
        <w:rPr>
          <w:b/>
          <w:caps/>
          <w:szCs w:val="22"/>
        </w:rPr>
        <w:t xml:space="preserve"> TO LICENSE two 800 MHz </w:t>
      </w:r>
      <w:r w:rsidRPr="00356591">
        <w:rPr>
          <w:b/>
          <w:caps/>
          <w:szCs w:val="22"/>
        </w:rPr>
        <w:t>B</w:t>
      </w:r>
      <w:r>
        <w:rPr>
          <w:b/>
          <w:caps/>
          <w:szCs w:val="22"/>
        </w:rPr>
        <w:t>USINESS/iNDUSTRIAL/lAND TRANSPORTaTION POOL CHANNELs</w:t>
      </w:r>
    </w:p>
    <w:p w:rsidR="00EE4B3E" w:rsidRDefault="00EE4B3E" w:rsidP="00EE4B3E">
      <w:pPr>
        <w:jc w:val="center"/>
        <w:rPr>
          <w:b/>
          <w:caps/>
          <w:szCs w:val="22"/>
        </w:rPr>
      </w:pPr>
    </w:p>
    <w:p w:rsidR="00EE4B3E" w:rsidRPr="006D640C" w:rsidRDefault="00EE4B3E" w:rsidP="00EE4B3E">
      <w:pPr>
        <w:jc w:val="center"/>
        <w:rPr>
          <w:b/>
        </w:rPr>
      </w:pPr>
      <w:bookmarkStart w:id="1" w:name="OLE_LINK1"/>
      <w:bookmarkStart w:id="2" w:name="OLE_LINK2"/>
      <w:r w:rsidRPr="006D640C">
        <w:rPr>
          <w:b/>
        </w:rPr>
        <w:t xml:space="preserve">FCC File Number </w:t>
      </w:r>
      <w:r>
        <w:rPr>
          <w:b/>
        </w:rPr>
        <w:t>0</w:t>
      </w:r>
      <w:r w:rsidRPr="006D640C">
        <w:rPr>
          <w:b/>
        </w:rPr>
        <w:t>00</w:t>
      </w:r>
      <w:r>
        <w:rPr>
          <w:b/>
        </w:rPr>
        <w:t>7375570</w:t>
      </w:r>
    </w:p>
    <w:p w:rsidR="00EE4B3E" w:rsidRPr="006D640C" w:rsidRDefault="00EE4B3E" w:rsidP="00EE4B3E">
      <w:pPr>
        <w:jc w:val="center"/>
        <w:rPr>
          <w:b/>
        </w:rPr>
      </w:pPr>
    </w:p>
    <w:p w:rsidR="00EE4B3E" w:rsidRPr="006D640C" w:rsidRDefault="00EE4B3E" w:rsidP="00EE4B3E">
      <w:pPr>
        <w:rPr>
          <w:b/>
        </w:rPr>
      </w:pPr>
      <w:r w:rsidRPr="006D640C">
        <w:rPr>
          <w:b/>
        </w:rPr>
        <w:t xml:space="preserve">Comment Date: </w:t>
      </w:r>
      <w:r>
        <w:rPr>
          <w:b/>
        </w:rPr>
        <w:t>June 9, 2017</w:t>
      </w:r>
    </w:p>
    <w:p w:rsidR="00EE4B3E" w:rsidRPr="006D640C" w:rsidRDefault="00EE4B3E" w:rsidP="00EE4B3E">
      <w:pPr>
        <w:rPr>
          <w:b/>
        </w:rPr>
      </w:pPr>
      <w:r w:rsidRPr="006D640C">
        <w:rPr>
          <w:b/>
        </w:rPr>
        <w:t xml:space="preserve">Reply Comment Date: </w:t>
      </w:r>
      <w:r>
        <w:rPr>
          <w:b/>
        </w:rPr>
        <w:t>June 23, 2017</w:t>
      </w:r>
    </w:p>
    <w:p w:rsidR="00EE4B3E" w:rsidRDefault="00EE4B3E" w:rsidP="00EE4B3E">
      <w:pPr>
        <w:ind w:firstLine="720"/>
        <w:rPr>
          <w:szCs w:val="22"/>
        </w:rPr>
      </w:pPr>
    </w:p>
    <w:bookmarkEnd w:id="1"/>
    <w:bookmarkEnd w:id="2"/>
    <w:p w:rsidR="00EE4B3E" w:rsidRDefault="00EE4B3E" w:rsidP="00EE4B3E">
      <w:pPr>
        <w:ind w:firstLine="720"/>
      </w:pPr>
      <w:r>
        <w:t xml:space="preserve">The Public Safety and Homeland Security Bureau (Bureau) seeks comment on the above-captioned application and waiver request filed by the </w:t>
      </w:r>
      <w:r w:rsidRPr="0096501A">
        <w:t>Washington County Consolidated Communications Agency</w:t>
      </w:r>
      <w:r>
        <w:t>, Washington County, Oregon</w:t>
      </w:r>
      <w:r w:rsidRPr="0096501A">
        <w:t xml:space="preserve"> </w:t>
      </w:r>
      <w:r>
        <w:t xml:space="preserve">(Washington County), seeking to modify its private land mobile radio license call sign </w:t>
      </w:r>
      <w:r w:rsidRPr="0096501A">
        <w:t xml:space="preserve">WQES436 </w:t>
      </w:r>
      <w:r>
        <w:t>by adding six new 800 MHz channels to its base station located on Gales Peak in Washington County.</w:t>
      </w:r>
      <w:r>
        <w:rPr>
          <w:rStyle w:val="FootnoteReference"/>
        </w:rPr>
        <w:footnoteReference w:id="1"/>
      </w:r>
      <w:r>
        <w:t xml:space="preserve">  Washington County requests a waiver of Commission rules so it can license through inter-category sharing two channels from the </w:t>
      </w:r>
      <w:r w:rsidRPr="006D640C">
        <w:t>Business/Industrial/Land Transpor</w:t>
      </w:r>
      <w:r>
        <w:t>tation (B/ILT) Pool for use at the Gales Peak site.</w:t>
      </w:r>
      <w:r>
        <w:rPr>
          <w:rStyle w:val="FootnoteReference"/>
        </w:rPr>
        <w:footnoteReference w:id="2"/>
      </w:r>
      <w:r>
        <w:t xml:space="preserve">  </w:t>
      </w:r>
    </w:p>
    <w:p w:rsidR="00EE4B3E" w:rsidRDefault="00EE4B3E" w:rsidP="00EE4B3E">
      <w:pPr>
        <w:ind w:firstLine="720"/>
      </w:pPr>
    </w:p>
    <w:p w:rsidR="00EE4B3E" w:rsidRDefault="00EE4B3E" w:rsidP="00EE4B3E">
      <w:pPr>
        <w:ind w:firstLine="720"/>
      </w:pPr>
      <w:r>
        <w:t>Washington County states that its 800 MHz trunked radio system provides mobile radio coverage to 18 police and fire agencies within Washington County but has also expanded service to include 94 agencies from Clackamas County and the City of Newberg and currently serves over 7,000 subscriber units generating more than 14 million push-to-talk transmissions per year.</w:t>
      </w:r>
      <w:r>
        <w:rPr>
          <w:rStyle w:val="FootnoteReference"/>
        </w:rPr>
        <w:footnoteReference w:id="3"/>
      </w:r>
      <w:r>
        <w:t xml:space="preserve">  Washington County has obtained funding to upgrade its legacy analog system to a Project 25 (P25) Phase II trunked system.</w:t>
      </w:r>
      <w:r>
        <w:rPr>
          <w:rStyle w:val="FootnoteReference"/>
        </w:rPr>
        <w:footnoteReference w:id="4"/>
      </w:r>
      <w:r>
        <w:t xml:space="preserve">  Because the area served by the system consists of “extremely rugged terrain,” Washington County intends to increase the number of system sites from 21 to 48 base stations as part of its upgrade.</w:t>
      </w:r>
      <w:r>
        <w:rPr>
          <w:rStyle w:val="FootnoteReference"/>
        </w:rPr>
        <w:footnoteReference w:id="5"/>
      </w:r>
      <w:r>
        <w:t xml:space="preserve">  It also intends to increase the number or radio channels licensed to its system from 71 to 140 channels.</w:t>
      </w:r>
      <w:r>
        <w:rPr>
          <w:rStyle w:val="FootnoteReference"/>
        </w:rPr>
        <w:footnoteReference w:id="6"/>
      </w:r>
      <w:r>
        <w:t xml:space="preserve">  Once the upgrade is complete, Washington County states, the system will provide “</w:t>
      </w:r>
      <w:r w:rsidRPr="008234D7">
        <w:t xml:space="preserve">better in-building portable radio </w:t>
      </w:r>
      <w:r w:rsidRPr="008234D7">
        <w:lastRenderedPageBreak/>
        <w:t>coverage mainly for schoo</w:t>
      </w:r>
      <w:r>
        <w:t>l</w:t>
      </w:r>
      <w:r w:rsidRPr="008234D7">
        <w:t xml:space="preserve"> security</w:t>
      </w:r>
      <w:r>
        <w:t>” and expanded coverage to “</w:t>
      </w:r>
      <w:r w:rsidRPr="008234D7">
        <w:t>rura</w:t>
      </w:r>
      <w:r>
        <w:t xml:space="preserve">l </w:t>
      </w:r>
      <w:r w:rsidRPr="008234D7">
        <w:t>areas such as the Mt Hood Timberline recreational ski area</w:t>
      </w:r>
      <w:r>
        <w:t>.”</w:t>
      </w:r>
      <w:r>
        <w:rPr>
          <w:rStyle w:val="FootnoteReference"/>
        </w:rPr>
        <w:footnoteReference w:id="7"/>
      </w:r>
      <w:r>
        <w:t xml:space="preserve">   </w:t>
      </w:r>
    </w:p>
    <w:p w:rsidR="00EE4B3E" w:rsidRDefault="00EE4B3E" w:rsidP="00EE4B3E">
      <w:pPr>
        <w:ind w:firstLine="720"/>
      </w:pPr>
    </w:p>
    <w:p w:rsidR="00EE4B3E" w:rsidRDefault="00EE4B3E" w:rsidP="00EE4B3E">
      <w:pPr>
        <w:ind w:firstLine="720"/>
      </w:pPr>
      <w:r>
        <w:t>Washington County contends that there are not enough public safety or vacated spectrum frequencies available for licensing at the Gales Peak site to add six channels.  Therefore, in addition to two Public Safety Pool channels,</w:t>
      </w:r>
      <w:r>
        <w:rPr>
          <w:rStyle w:val="FootnoteReference"/>
        </w:rPr>
        <w:footnoteReference w:id="8"/>
      </w:r>
      <w:r>
        <w:t xml:space="preserve"> a General Category channel,</w:t>
      </w:r>
      <w:r>
        <w:rPr>
          <w:rStyle w:val="FootnoteReference"/>
        </w:rPr>
        <w:footnoteReference w:id="9"/>
      </w:r>
      <w:r>
        <w:t xml:space="preserve"> and a Sprint-vacated channel,</w:t>
      </w:r>
      <w:r>
        <w:rPr>
          <w:rStyle w:val="FootnoteReference"/>
        </w:rPr>
        <w:footnoteReference w:id="10"/>
      </w:r>
      <w:r>
        <w:t xml:space="preserve"> Washington County has applied for two channels from the B/ILT Pool (base transmit frequencies 854.7625 MHz and 855.8125 MHz) at the Gales Peak site to increase the capacity of the site by a total of six channels.</w:t>
      </w:r>
      <w:r>
        <w:rPr>
          <w:rStyle w:val="FootnoteReference"/>
        </w:rPr>
        <w:footnoteReference w:id="11"/>
      </w:r>
      <w:r>
        <w:t xml:space="preserve">  Washington County also seeks to license paired mobile transmit frequencies 809.7625 MHz and 810.8125 MHz for use by associated mobile units operating within thirty-two kilometers of the Gales Peak site.</w:t>
      </w:r>
      <w:r>
        <w:rPr>
          <w:rStyle w:val="FootnoteReference"/>
        </w:rPr>
        <w:footnoteReference w:id="12"/>
      </w:r>
    </w:p>
    <w:p w:rsidR="00EE4B3E" w:rsidRDefault="00EE4B3E" w:rsidP="00EE4B3E">
      <w:pPr>
        <w:ind w:firstLine="720"/>
      </w:pPr>
    </w:p>
    <w:p w:rsidR="00EE4B3E" w:rsidRDefault="00EE4B3E" w:rsidP="00EE4B3E">
      <w:pPr>
        <w:ind w:firstLine="720"/>
      </w:pPr>
      <w:r>
        <w:t>Under Section 90.617(b) of the Commission’s rules, channels from the B/ILT Pool are reserved for use by entities performing business related activities.</w:t>
      </w:r>
      <w:r>
        <w:rPr>
          <w:rStyle w:val="FootnoteReference"/>
        </w:rPr>
        <w:footnoteReference w:id="13"/>
      </w:r>
      <w:r>
        <w:t xml:space="preserve">  Washington County, in this case, is not eligible for B/ILT Pool channels because its communications are public safety-related, not business-related.  Commission rules permit an entity to license a channel outside its pool category through inter-category sharing if the entity demonstrates that no channels in its pool category are available.</w:t>
      </w:r>
      <w:r>
        <w:rPr>
          <w:rStyle w:val="FootnoteReference"/>
        </w:rPr>
        <w:footnoteReference w:id="14"/>
      </w:r>
      <w:r>
        <w:t xml:space="preserve">  However, the Wireless Telecommunications Bureau froze inter-category sharing in the 800 MHz band in 1995 to stem an excessive number of intercategory sharing requests from licensees of Specialized Mobile Radio (SMR) facilities.</w:t>
      </w:r>
      <w:r>
        <w:rPr>
          <w:rStyle w:val="FootnoteReference"/>
        </w:rPr>
        <w:footnoteReference w:id="15"/>
      </w:r>
      <w:r>
        <w:t xml:space="preserve">  Washington County therefore requires a waiver of the freeze in order to license,</w:t>
      </w:r>
      <w:r w:rsidRPr="00F20607">
        <w:t xml:space="preserve"> through inter-category sharing</w:t>
      </w:r>
      <w:r>
        <w:t xml:space="preserve">, the B/ILT Pool channels specified in its application </w:t>
      </w:r>
    </w:p>
    <w:p w:rsidR="00EE4B3E" w:rsidRDefault="00EE4B3E" w:rsidP="00EE4B3E">
      <w:pPr>
        <w:ind w:firstLine="720"/>
      </w:pPr>
    </w:p>
    <w:p w:rsidR="00EE4B3E" w:rsidRPr="006D640C" w:rsidRDefault="00EE4B3E" w:rsidP="00EE4B3E">
      <w:pPr>
        <w:autoSpaceDE w:val="0"/>
        <w:autoSpaceDN w:val="0"/>
        <w:adjustRightInd w:val="0"/>
        <w:ind w:firstLine="720"/>
      </w:pPr>
      <w:r w:rsidRPr="006D640C">
        <w:t xml:space="preserve">In support of its waiver request, </w:t>
      </w:r>
      <w:r>
        <w:t>Washington County</w:t>
      </w:r>
      <w:r w:rsidRPr="006D640C">
        <w:t xml:space="preserve"> provides </w:t>
      </w:r>
      <w:r>
        <w:t xml:space="preserve">a letter from the </w:t>
      </w:r>
      <w:r w:rsidRPr="00A530F7">
        <w:t>Association of Public-Safety Communications Officials</w:t>
      </w:r>
      <w:r>
        <w:t>, International</w:t>
      </w:r>
      <w:r w:rsidRPr="00A530F7">
        <w:t xml:space="preserve"> (APCO)</w:t>
      </w:r>
      <w:r>
        <w:t>, an FCC-certified coordinator of Public Safety Pool channels,</w:t>
      </w:r>
      <w:r w:rsidRPr="00A530F7">
        <w:t xml:space="preserve"> </w:t>
      </w:r>
      <w:r>
        <w:t>stating that its search for available channels for the Gales Peak site revealed no additional public safety or vacated spectrum frequencies that can be assigned due to “vacated spectrum not being released yet, incumbents being less than 88 km away or short spacing issues, or a combination of the above.”</w:t>
      </w:r>
      <w:r>
        <w:rPr>
          <w:rStyle w:val="FootnoteReference"/>
        </w:rPr>
        <w:t xml:space="preserve"> </w:t>
      </w:r>
      <w:r>
        <w:rPr>
          <w:rStyle w:val="FootnoteReference"/>
        </w:rPr>
        <w:footnoteReference w:id="16"/>
      </w:r>
      <w:r>
        <w:t xml:space="preserve">  APCO also states that additional B/ILT Pool channels will remain available for licensing in the area surrounding the Gales Peak site even if Washington County receives the B/ILT channels listed on its application.</w:t>
      </w:r>
      <w:r>
        <w:rPr>
          <w:rStyle w:val="FootnoteReference"/>
        </w:rPr>
        <w:footnoteReference w:id="17"/>
      </w:r>
      <w:r>
        <w:t xml:space="preserve">  Washington County also includes a letter from the </w:t>
      </w:r>
      <w:r w:rsidRPr="00E21CA9">
        <w:t>Utilities Technology Council</w:t>
      </w:r>
      <w:r>
        <w:t xml:space="preserve"> (UTC), an FCC-certified coordinator of B/ILT Pool channels, concurring in the coordination of the B/ILT channels at the Gales Peak </w:t>
      </w:r>
      <w:r w:rsidRPr="00E21CA9">
        <w:t>site</w:t>
      </w:r>
      <w:r>
        <w:t>.</w:t>
      </w:r>
      <w:r>
        <w:rPr>
          <w:rStyle w:val="FootnoteReference"/>
        </w:rPr>
        <w:footnoteReference w:id="18"/>
      </w:r>
      <w:r>
        <w:t xml:space="preserve"> </w:t>
      </w:r>
    </w:p>
    <w:p w:rsidR="00EE4B3E" w:rsidRDefault="00EE4B3E" w:rsidP="00EE4B3E">
      <w:pPr>
        <w:autoSpaceDE w:val="0"/>
        <w:autoSpaceDN w:val="0"/>
        <w:adjustRightInd w:val="0"/>
        <w:ind w:firstLine="720"/>
      </w:pPr>
    </w:p>
    <w:p w:rsidR="00EE4B3E" w:rsidRPr="006D640C" w:rsidRDefault="00EE4B3E" w:rsidP="00EE4B3E">
      <w:pPr>
        <w:autoSpaceDE w:val="0"/>
        <w:autoSpaceDN w:val="0"/>
        <w:adjustRightInd w:val="0"/>
        <w:ind w:firstLine="720"/>
      </w:pPr>
      <w:r w:rsidRPr="006D640C">
        <w:t xml:space="preserve">We seek comment on </w:t>
      </w:r>
      <w:r>
        <w:t xml:space="preserve">whether the Bureau should grant Washington County a waiver of the freeze on inter-category sharing to allow licensing of the two </w:t>
      </w:r>
      <w:r w:rsidRPr="006D640C">
        <w:t xml:space="preserve">B/ILT </w:t>
      </w:r>
      <w:r>
        <w:t xml:space="preserve">Pool channels at its Gales Peak site. </w:t>
      </w:r>
      <w:r w:rsidRPr="006D640C">
        <w:t>In particular, we seek comment from any part</w:t>
      </w:r>
      <w:r>
        <w:t>y that</w:t>
      </w:r>
      <w:r w:rsidRPr="006D640C">
        <w:t xml:space="preserve"> would be </w:t>
      </w:r>
      <w:r>
        <w:t>affected by Washington County’s proposal to operate B/ILT Pool frequencies 854.7625 MHz and 855.8125 MHz at Gales Peak and B/ILT Pool frequencies 809.7625 MHz and 810.8125 MHz for associated mobile units operating within 32 kilometers of the Gales Peak site.</w:t>
      </w:r>
      <w:r>
        <w:rPr>
          <w:rStyle w:val="FootnoteReference"/>
        </w:rPr>
        <w:footnoteReference w:id="19"/>
      </w:r>
      <w:r>
        <w:t xml:space="preserve">  </w:t>
      </w:r>
    </w:p>
    <w:p w:rsidR="00EE4B3E" w:rsidRPr="006D640C" w:rsidRDefault="00EE4B3E" w:rsidP="00EE4B3E">
      <w:pPr>
        <w:autoSpaceDE w:val="0"/>
        <w:autoSpaceDN w:val="0"/>
        <w:adjustRightInd w:val="0"/>
      </w:pPr>
    </w:p>
    <w:p w:rsidR="00EE4B3E" w:rsidRDefault="00EE4B3E" w:rsidP="00EE4B3E">
      <w:pPr>
        <w:ind w:firstLine="720"/>
        <w:rPr>
          <w:b/>
        </w:rPr>
      </w:pPr>
      <w:r w:rsidRPr="006D640C">
        <w:t>Interested parties may file com</w:t>
      </w:r>
      <w:r>
        <w:t>ments on or before June 9</w:t>
      </w:r>
      <w:r w:rsidRPr="006B2D9E">
        <w:t>, 2017</w:t>
      </w:r>
      <w:r>
        <w:t xml:space="preserve">, and may </w:t>
      </w:r>
      <w:r w:rsidRPr="006D640C">
        <w:t>file repl</w:t>
      </w:r>
      <w:r>
        <w:t>ies on or before June 23, 2017</w:t>
      </w:r>
      <w:r w:rsidRPr="006D640C">
        <w:t>.</w:t>
      </w:r>
      <w:r w:rsidRPr="007347DF">
        <w:rPr>
          <w:rStyle w:val="FootnoteReference"/>
        </w:rPr>
        <w:t xml:space="preserve"> </w:t>
      </w:r>
      <w:r w:rsidRPr="006D640C">
        <w:rPr>
          <w:rStyle w:val="FootnoteReference"/>
        </w:rPr>
        <w:footnoteReference w:id="20"/>
      </w:r>
      <w:r w:rsidRPr="006D640C">
        <w:rPr>
          <w:b/>
        </w:rPr>
        <w:t xml:space="preserve">  </w:t>
      </w:r>
    </w:p>
    <w:p w:rsidR="00EE4B3E" w:rsidRDefault="00EE4B3E" w:rsidP="00EE4B3E">
      <w:pPr>
        <w:ind w:firstLine="720"/>
        <w:rPr>
          <w:b/>
        </w:rPr>
      </w:pPr>
    </w:p>
    <w:p w:rsidR="00EE4B3E" w:rsidRPr="0048395A" w:rsidRDefault="00EE4B3E" w:rsidP="00EE4B3E">
      <w:pPr>
        <w:rPr>
          <w:szCs w:val="22"/>
        </w:rPr>
      </w:pPr>
      <w:r w:rsidRPr="0048395A">
        <w:rPr>
          <w:szCs w:val="22"/>
          <w:u w:val="single"/>
        </w:rPr>
        <w:t xml:space="preserve">Instructions for Filing Comments </w:t>
      </w:r>
    </w:p>
    <w:p w:rsidR="00EE4B3E" w:rsidRDefault="00EE4B3E" w:rsidP="00EE4B3E">
      <w:pPr>
        <w:ind w:firstLine="720"/>
      </w:pPr>
    </w:p>
    <w:p w:rsidR="00EE4B3E" w:rsidRPr="006D640C" w:rsidRDefault="00EE4B3E" w:rsidP="00EE4B3E">
      <w:pPr>
        <w:ind w:firstLine="720"/>
      </w:pPr>
      <w:r w:rsidRPr="006D640C">
        <w:t xml:space="preserve">All comments and reply comments should reference the subject </w:t>
      </w:r>
      <w:r w:rsidRPr="0096501A">
        <w:t>Washington County Consolidated Communications Agency</w:t>
      </w:r>
      <w:r>
        <w:t xml:space="preserve"> </w:t>
      </w:r>
      <w:r w:rsidRPr="006D640C">
        <w:t xml:space="preserve">Waiver Request and the DA number indicated on this </w:t>
      </w:r>
      <w:r w:rsidRPr="007347DF">
        <w:t>Public Notice.</w:t>
      </w:r>
      <w:r w:rsidRPr="006D640C">
        <w:t xml:space="preserve">  Comments may be filed: (1) electronically by accessing the applicant’s file number(s) in the Commission’s Universal Service Licensing System (ULS),</w:t>
      </w:r>
      <w:r w:rsidRPr="006D640C">
        <w:rPr>
          <w:rStyle w:val="FootnoteReference"/>
        </w:rPr>
        <w:footnoteReference w:id="21"/>
      </w:r>
      <w:r w:rsidRPr="006D640C">
        <w:t xml:space="preserve"> or (2) by filing paper copies.  </w:t>
      </w:r>
    </w:p>
    <w:p w:rsidR="00EE4B3E" w:rsidRPr="006D640C" w:rsidRDefault="00EE4B3E" w:rsidP="00EE4B3E">
      <w:pPr>
        <w:ind w:firstLine="720"/>
      </w:pPr>
    </w:p>
    <w:p w:rsidR="00EE4B3E" w:rsidRPr="006D640C" w:rsidRDefault="00EE4B3E" w:rsidP="00EE4B3E">
      <w:pPr>
        <w:ind w:firstLine="720"/>
      </w:pPr>
      <w:r w:rsidRPr="006D640C">
        <w:rPr>
          <w:u w:val="single"/>
        </w:rPr>
        <w:t>Electronic Filers</w:t>
      </w:r>
      <w:r w:rsidRPr="006D640C">
        <w:t>:  Pleadings may be submitted electronically as follows:</w:t>
      </w:r>
    </w:p>
    <w:p w:rsidR="00EE4B3E" w:rsidRPr="006D640C" w:rsidRDefault="00EE4B3E" w:rsidP="00EE4B3E">
      <w:pPr>
        <w:ind w:firstLine="720"/>
      </w:pPr>
    </w:p>
    <w:p w:rsidR="00EE4B3E" w:rsidRPr="006D640C" w:rsidRDefault="00EE4B3E" w:rsidP="00EE4B3E">
      <w:pPr>
        <w:numPr>
          <w:ilvl w:val="0"/>
          <w:numId w:val="19"/>
        </w:numPr>
        <w:tabs>
          <w:tab w:val="clear" w:pos="1440"/>
          <w:tab w:val="num" w:pos="1080"/>
        </w:tabs>
        <w:ind w:left="1080"/>
      </w:pPr>
      <w:r>
        <w:t xml:space="preserve">Begin the process by using the following link to the </w:t>
      </w:r>
      <w:r w:rsidRPr="006D640C">
        <w:t xml:space="preserve">ULS website </w:t>
      </w:r>
      <w:hyperlink r:id="rId8" w:history="1">
        <w:r w:rsidRPr="00E32C0C">
          <w:rPr>
            <w:rStyle w:val="Hyperlink"/>
          </w:rPr>
          <w:t>https://wireless2.fcc.gov/UlsEntry/pleadings/pleadingsType.jsp</w:t>
        </w:r>
      </w:hyperlink>
      <w:r w:rsidRPr="006D640C">
        <w:t>.</w:t>
      </w:r>
      <w:r>
        <w:t xml:space="preserve"> </w:t>
      </w:r>
      <w:r w:rsidRPr="006D640C">
        <w:t xml:space="preserve"> The link will take you to the “</w:t>
      </w:r>
      <w:r w:rsidRPr="006D640C">
        <w:rPr>
          <w:i/>
        </w:rPr>
        <w:t>Pleading Information</w:t>
      </w:r>
      <w:r w:rsidRPr="006D640C">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Pr="006D640C">
        <w:rPr>
          <w:i/>
        </w:rPr>
        <w:t>Pleadings must be dated and must include a signature, in this instance an electronic signature, and the address and phone number of the signing party</w:t>
      </w:r>
      <w:r w:rsidRPr="006D640C">
        <w:t>.”</w:t>
      </w:r>
      <w:r w:rsidRPr="006D640C">
        <w:rPr>
          <w:rStyle w:val="FootnoteReference"/>
        </w:rPr>
        <w:footnoteReference w:id="22"/>
      </w:r>
      <w:r w:rsidRPr="006D640C">
        <w:rPr>
          <w:i/>
        </w:rPr>
        <w:t xml:space="preserve">  </w:t>
      </w:r>
      <w:r w:rsidRPr="006D640C">
        <w:t>Click on “CONTINUE.”</w:t>
      </w:r>
    </w:p>
    <w:p w:rsidR="00EE4B3E" w:rsidRPr="006D640C" w:rsidRDefault="00EE4B3E" w:rsidP="00EE4B3E">
      <w:pPr>
        <w:ind w:left="1080"/>
      </w:pPr>
    </w:p>
    <w:p w:rsidR="00EE4B3E" w:rsidRPr="006D640C" w:rsidRDefault="00EE4B3E" w:rsidP="00EE4B3E">
      <w:pPr>
        <w:numPr>
          <w:ilvl w:val="0"/>
          <w:numId w:val="19"/>
        </w:numPr>
        <w:tabs>
          <w:tab w:val="clear" w:pos="1440"/>
          <w:tab w:val="num" w:pos="1080"/>
        </w:tabs>
        <w:ind w:left="1080"/>
      </w:pPr>
      <w:r w:rsidRPr="006D640C">
        <w:t xml:space="preserve">The second step is to complete the </w:t>
      </w:r>
      <w:r w:rsidRPr="006D640C">
        <w:rPr>
          <w:i/>
        </w:rPr>
        <w:t xml:space="preserve">File Numbers/Call Signs </w:t>
      </w:r>
      <w:r w:rsidRPr="006D640C">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EE4B3E" w:rsidRPr="006D640C" w:rsidRDefault="00EE4B3E" w:rsidP="00EE4B3E">
      <w:pPr>
        <w:tabs>
          <w:tab w:val="num" w:pos="1080"/>
        </w:tabs>
      </w:pPr>
    </w:p>
    <w:p w:rsidR="00EE4B3E" w:rsidRPr="006D640C" w:rsidRDefault="00EE4B3E" w:rsidP="00EE4B3E">
      <w:pPr>
        <w:numPr>
          <w:ilvl w:val="0"/>
          <w:numId w:val="19"/>
        </w:numPr>
        <w:tabs>
          <w:tab w:val="clear" w:pos="1440"/>
          <w:tab w:val="num" w:pos="1080"/>
        </w:tabs>
        <w:ind w:left="1080"/>
      </w:pPr>
      <w:r w:rsidRPr="006D640C">
        <w:t xml:space="preserve">The third step is to complete the </w:t>
      </w:r>
      <w:r w:rsidRPr="006D640C">
        <w:rPr>
          <w:i/>
        </w:rPr>
        <w:t>Attach File</w:t>
      </w:r>
      <w:r w:rsidRPr="006D640C">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EE4B3E" w:rsidRPr="006D640C" w:rsidRDefault="00EE4B3E" w:rsidP="00EE4B3E">
      <w:pPr>
        <w:tabs>
          <w:tab w:val="num" w:pos="1080"/>
        </w:tabs>
      </w:pPr>
    </w:p>
    <w:p w:rsidR="00EE4B3E" w:rsidRPr="006D640C" w:rsidRDefault="00EE4B3E" w:rsidP="00EE4B3E">
      <w:pPr>
        <w:numPr>
          <w:ilvl w:val="0"/>
          <w:numId w:val="19"/>
        </w:numPr>
        <w:tabs>
          <w:tab w:val="clear" w:pos="1440"/>
          <w:tab w:val="num" w:pos="1080"/>
        </w:tabs>
        <w:ind w:left="1080"/>
      </w:pPr>
      <w:r w:rsidRPr="006D640C">
        <w:t xml:space="preserve">Finally, to complete your electronic pleading submission, click on the “SUBMIT PLEADING” button and the </w:t>
      </w:r>
      <w:r w:rsidRPr="006D640C">
        <w:rPr>
          <w:i/>
        </w:rPr>
        <w:t>Confirmation</w:t>
      </w:r>
      <w:r w:rsidRPr="006D640C">
        <w:t xml:space="preserve"> screen will be displayed.  The </w:t>
      </w:r>
      <w:r w:rsidRPr="006D640C">
        <w:rPr>
          <w:i/>
        </w:rPr>
        <w:t>Confirmation</w:t>
      </w:r>
      <w:r w:rsidRPr="006D640C">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EE4B3E" w:rsidRPr="006D640C" w:rsidRDefault="00EE4B3E" w:rsidP="00EE4B3E">
      <w:pPr>
        <w:ind w:firstLine="720"/>
      </w:pPr>
    </w:p>
    <w:p w:rsidR="00EE4B3E" w:rsidRPr="006D640C" w:rsidRDefault="00EE4B3E" w:rsidP="00EE4B3E">
      <w:pPr>
        <w:ind w:firstLine="720"/>
      </w:pPr>
      <w:r w:rsidRPr="006D640C">
        <w:t>The ULS Application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EE4B3E" w:rsidRPr="006D640C" w:rsidRDefault="00EE4B3E" w:rsidP="00EE4B3E"/>
    <w:p w:rsidR="00EE4B3E" w:rsidRPr="006D640C" w:rsidRDefault="00EE4B3E" w:rsidP="00EE4B3E">
      <w:pPr>
        <w:ind w:firstLine="720"/>
      </w:pPr>
      <w:r w:rsidRPr="006D640C">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EE4B3E" w:rsidRPr="006D640C" w:rsidRDefault="00EE4B3E" w:rsidP="00EE4B3E">
      <w:pPr>
        <w:ind w:firstLine="720"/>
      </w:pPr>
    </w:p>
    <w:p w:rsidR="00EE4B3E" w:rsidRDefault="00EE4B3E" w:rsidP="00EE4B3E">
      <w:pPr>
        <w:ind w:firstLine="720"/>
      </w:pPr>
      <w:r w:rsidRPr="006D640C">
        <w:rPr>
          <w:u w:val="single"/>
        </w:rPr>
        <w:t>Paper Filers</w:t>
      </w:r>
      <w:r w:rsidRPr="006D640C">
        <w:t>:  Parties who choose to file by paper must submit an original and four copies of each filing.</w:t>
      </w:r>
    </w:p>
    <w:p w:rsidR="00EE4B3E" w:rsidRDefault="00EE4B3E" w:rsidP="00EE4B3E"/>
    <w:p w:rsidR="00EE4B3E" w:rsidRPr="00430B8A" w:rsidRDefault="00EE4B3E" w:rsidP="00EE4B3E">
      <w:pPr>
        <w:pStyle w:val="ListParagraph"/>
        <w:numPr>
          <w:ilvl w:val="0"/>
          <w:numId w:val="22"/>
        </w:numPr>
        <w:ind w:left="1080"/>
        <w:rPr>
          <w:szCs w:val="22"/>
        </w:rPr>
      </w:pPr>
      <w:r w:rsidRPr="00430B8A">
        <w:t>All</w:t>
      </w:r>
      <w:r w:rsidRPr="00430B8A">
        <w:rPr>
          <w:szCs w:val="22"/>
        </w:rPr>
        <w:t xml:space="preserve"> hand-delivered or messenger-delivered paper filings for the Commission’s Secretary must be delivered to FCC Headquarters at 445 12</w:t>
      </w:r>
      <w:r w:rsidRPr="00430B8A">
        <w:rPr>
          <w:szCs w:val="22"/>
          <w:vertAlign w:val="superscript"/>
        </w:rPr>
        <w:t>th</w:t>
      </w:r>
      <w:r w:rsidRPr="00430B8A">
        <w:rPr>
          <w:szCs w:val="22"/>
        </w:rPr>
        <w:t xml:space="preserve"> St., SW, Room TW-A325, Washington, DC 20554.  The filing hours are 8:00 a.m. to 7:00 p.m.   All hand deliveries must be held together with rubber bands or fasteners.  Any envelopes and boxes must be disposed of </w:t>
      </w:r>
      <w:r w:rsidRPr="00430B8A">
        <w:rPr>
          <w:szCs w:val="22"/>
          <w:u w:val="single"/>
        </w:rPr>
        <w:t>before</w:t>
      </w:r>
      <w:r w:rsidRPr="00430B8A">
        <w:rPr>
          <w:szCs w:val="22"/>
        </w:rPr>
        <w:t xml:space="preserve"> entering the building.  </w:t>
      </w:r>
    </w:p>
    <w:p w:rsidR="00EE4B3E" w:rsidRPr="00E04057" w:rsidRDefault="00EE4B3E" w:rsidP="00EE4B3E">
      <w:pPr>
        <w:rPr>
          <w:szCs w:val="22"/>
        </w:rPr>
      </w:pPr>
    </w:p>
    <w:p w:rsidR="00EE4B3E" w:rsidRPr="00430B8A" w:rsidRDefault="00EE4B3E" w:rsidP="00EE4B3E">
      <w:pPr>
        <w:pStyle w:val="ListParagraph"/>
        <w:numPr>
          <w:ilvl w:val="0"/>
          <w:numId w:val="22"/>
        </w:numPr>
        <w:ind w:left="1080"/>
        <w:rPr>
          <w:szCs w:val="22"/>
        </w:rPr>
      </w:pPr>
      <w:r w:rsidRPr="00430B8A">
        <w:rPr>
          <w:szCs w:val="22"/>
        </w:rPr>
        <w:t>Commercial overnight mail (other than U.S. Postal Service Express Mail and Priority Mail) must be sent to 9300 East Hampton Drive, Capitol Heights, MD  20743.</w:t>
      </w:r>
    </w:p>
    <w:p w:rsidR="00EE4B3E" w:rsidRPr="00E04057" w:rsidRDefault="00EE4B3E" w:rsidP="00EE4B3E">
      <w:pPr>
        <w:rPr>
          <w:szCs w:val="22"/>
        </w:rPr>
      </w:pPr>
    </w:p>
    <w:p w:rsidR="00EE4B3E" w:rsidRPr="00430B8A" w:rsidRDefault="00EE4B3E" w:rsidP="00EE4B3E">
      <w:pPr>
        <w:pStyle w:val="ListParagraph"/>
        <w:numPr>
          <w:ilvl w:val="0"/>
          <w:numId w:val="22"/>
        </w:numPr>
        <w:ind w:left="1080"/>
        <w:rPr>
          <w:szCs w:val="22"/>
        </w:rPr>
      </w:pPr>
      <w:r w:rsidRPr="00430B8A">
        <w:rPr>
          <w:szCs w:val="22"/>
        </w:rPr>
        <w:t>U.S. Postal Service first-class, Express, and Priority mail must be addressed to 445 12</w:t>
      </w:r>
      <w:r w:rsidRPr="00430B8A">
        <w:rPr>
          <w:szCs w:val="22"/>
          <w:vertAlign w:val="superscript"/>
        </w:rPr>
        <w:t>th</w:t>
      </w:r>
      <w:r w:rsidRPr="00430B8A">
        <w:rPr>
          <w:szCs w:val="22"/>
        </w:rPr>
        <w:t xml:space="preserve"> Street, SW, Washington DC  20554.</w:t>
      </w:r>
    </w:p>
    <w:p w:rsidR="00EE4B3E" w:rsidRPr="006D640C" w:rsidRDefault="00EE4B3E" w:rsidP="00EE4B3E"/>
    <w:p w:rsidR="00EE4B3E" w:rsidRDefault="00EE4B3E" w:rsidP="00EE4B3E">
      <w:pPr>
        <w:ind w:firstLine="720"/>
      </w:pPr>
      <w:r w:rsidRPr="006D640C">
        <w:t xml:space="preserve">The application(s), waiver request, and comments and reply comments can be accessed electronically via the Commission’s Universal Licensing System, http://wireless.fcc.gov/uls.  </w:t>
      </w:r>
    </w:p>
    <w:p w:rsidR="00EE4B3E" w:rsidRDefault="00EE4B3E" w:rsidP="00EE4B3E">
      <w:pPr>
        <w:ind w:firstLine="720"/>
      </w:pPr>
    </w:p>
    <w:p w:rsidR="00EE4B3E" w:rsidRDefault="00EE4B3E" w:rsidP="00EE4B3E">
      <w:pPr>
        <w:ind w:firstLine="720"/>
        <w:rPr>
          <w:szCs w:val="22"/>
        </w:rPr>
      </w:pPr>
      <w:r w:rsidRPr="00E04057">
        <w:rPr>
          <w:szCs w:val="22"/>
        </w:rPr>
        <w:t xml:space="preserve">People with Disabilities:  To request materials in accessible formats for people with disabilities (braille, large print, electronic files, audio format), send an e-mail to </w:t>
      </w:r>
      <w:hyperlink r:id="rId9" w:history="1">
        <w:r w:rsidRPr="00E04057">
          <w:rPr>
            <w:rStyle w:val="Hyperlink"/>
            <w:szCs w:val="22"/>
          </w:rPr>
          <w:t>fcc504@fcc.gov</w:t>
        </w:r>
      </w:hyperlink>
      <w:r w:rsidRPr="00E04057">
        <w:rPr>
          <w:szCs w:val="22"/>
        </w:rPr>
        <w:t xml:space="preserve"> or call the Consumer &amp; Governmental Affairs Bureau at 202-418-0530 (voice), 202-418-0432 (tty).</w:t>
      </w:r>
    </w:p>
    <w:p w:rsidR="00EE4B3E" w:rsidRPr="006D640C" w:rsidRDefault="00EE4B3E" w:rsidP="00EE4B3E">
      <w:pPr>
        <w:ind w:firstLine="720"/>
      </w:pPr>
    </w:p>
    <w:p w:rsidR="00EE4B3E" w:rsidRPr="006D640C" w:rsidRDefault="00EE4B3E" w:rsidP="00EE4B3E">
      <w:pPr>
        <w:ind w:firstLine="720"/>
      </w:pPr>
      <w:r w:rsidRPr="006D640C">
        <w:t xml:space="preserve">For further information regarding this proceeding contact </w:t>
      </w:r>
      <w:r>
        <w:t>Brian Marenco</w:t>
      </w:r>
      <w:r w:rsidRPr="006D640C">
        <w:t xml:space="preserve">, </w:t>
      </w:r>
      <w:r>
        <w:t xml:space="preserve">Electronics Engineer, </w:t>
      </w:r>
      <w:r w:rsidRPr="006D640C">
        <w:t>Policy and Licensing Division, Public Safety and Homeland Security Bureau, (voice) (202) 418-08</w:t>
      </w:r>
      <w:r>
        <w:t>3</w:t>
      </w:r>
      <w:r w:rsidRPr="006D640C">
        <w:t>8 or</w:t>
      </w:r>
      <w:r>
        <w:t xml:space="preserve"> </w:t>
      </w:r>
      <w:hyperlink r:id="rId10" w:history="1">
        <w:r w:rsidRPr="00177A7C">
          <w:rPr>
            <w:rStyle w:val="Hyperlink"/>
          </w:rPr>
          <w:t>Brian.Marenco@fcc.gov</w:t>
        </w:r>
      </w:hyperlink>
      <w:r w:rsidRPr="006D640C">
        <w:t xml:space="preserve">. </w:t>
      </w:r>
    </w:p>
    <w:p w:rsidR="00EE4B3E" w:rsidRPr="006D640C" w:rsidRDefault="00EE4B3E" w:rsidP="00EE4B3E">
      <w:pPr>
        <w:ind w:firstLine="720"/>
        <w:rPr>
          <w:rFonts w:eastAsia="Batang"/>
        </w:rPr>
      </w:pPr>
    </w:p>
    <w:p w:rsidR="00EE4B3E" w:rsidRPr="006D640C" w:rsidRDefault="00EE4B3E" w:rsidP="00EE4B3E">
      <w:pPr>
        <w:jc w:val="center"/>
      </w:pPr>
      <w:r w:rsidRPr="006D640C">
        <w:t>-- FCC --</w:t>
      </w:r>
    </w:p>
    <w:p w:rsidR="00356591" w:rsidRPr="006D640C" w:rsidRDefault="00356591" w:rsidP="00EE4B3E">
      <w:pPr>
        <w:jc w:val="right"/>
      </w:pPr>
    </w:p>
    <w:p w:rsidR="008F188C" w:rsidRDefault="008F188C" w:rsidP="00356591">
      <w:pPr>
        <w:ind w:firstLine="720"/>
        <w:rPr>
          <w:szCs w:val="22"/>
        </w:rPr>
      </w:pPr>
    </w:p>
    <w:sectPr w:rsidR="008F18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2A" w:rsidRDefault="007D4C2A">
      <w:r>
        <w:separator/>
      </w:r>
    </w:p>
  </w:endnote>
  <w:endnote w:type="continuationSeparator" w:id="0">
    <w:p w:rsidR="007D4C2A" w:rsidRDefault="007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73">
      <w:rPr>
        <w:rStyle w:val="PageNumber"/>
        <w:noProof/>
      </w:rPr>
      <w:t>4</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8C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2A" w:rsidRDefault="007D4C2A">
      <w:r>
        <w:separator/>
      </w:r>
    </w:p>
  </w:footnote>
  <w:footnote w:type="continuationSeparator" w:id="0">
    <w:p w:rsidR="007D4C2A" w:rsidRDefault="007D4C2A">
      <w:r>
        <w:continuationSeparator/>
      </w:r>
    </w:p>
  </w:footnote>
  <w:footnote w:id="1">
    <w:p w:rsidR="00EE4B3E" w:rsidRDefault="00EE4B3E" w:rsidP="00EE4B3E">
      <w:pPr>
        <w:pStyle w:val="FootnoteText"/>
        <w:rPr>
          <w:i/>
        </w:rPr>
      </w:pPr>
      <w:r>
        <w:rPr>
          <w:rStyle w:val="FootnoteReference"/>
        </w:rPr>
        <w:footnoteRef/>
      </w:r>
      <w:r>
        <w:t xml:space="preserve"> </w:t>
      </w:r>
      <w:r w:rsidRPr="007D22F2">
        <w:t xml:space="preserve">Washington County Consolidated Communications Agency </w:t>
      </w:r>
      <w:r>
        <w:t xml:space="preserve">Application, ULS File No. </w:t>
      </w:r>
      <w:r w:rsidRPr="007D22F2">
        <w:t>0007375570</w:t>
      </w:r>
      <w:r>
        <w:t xml:space="preserve"> (dated Oct. 1, 2015) (Washington County Application).  Washington County subsequently filed the waiver request accompanying the application.  Attachment labeled “Waivers &amp; support material” (Aug. 12, 2016) (attached to Washington County Application) (Waiver Request).</w:t>
      </w:r>
    </w:p>
  </w:footnote>
  <w:footnote w:id="2">
    <w:p w:rsidR="00EE4B3E" w:rsidRDefault="00EE4B3E" w:rsidP="00EE4B3E">
      <w:pPr>
        <w:pStyle w:val="FootnoteText"/>
      </w:pPr>
      <w:r>
        <w:rPr>
          <w:rStyle w:val="FootnoteReference"/>
        </w:rPr>
        <w:footnoteRef/>
      </w:r>
      <w:r>
        <w:t xml:space="preserve"> Waiver Request at 3.  </w:t>
      </w:r>
    </w:p>
  </w:footnote>
  <w:footnote w:id="3">
    <w:p w:rsidR="00EE4B3E" w:rsidRDefault="00EE4B3E" w:rsidP="00EE4B3E">
      <w:pPr>
        <w:pStyle w:val="FootnoteText"/>
      </w:pPr>
      <w:r>
        <w:rPr>
          <w:rStyle w:val="FootnoteReference"/>
        </w:rPr>
        <w:footnoteRef/>
      </w:r>
      <w:r>
        <w:t xml:space="preserve"> </w:t>
      </w:r>
      <w:r w:rsidRPr="002D27BF">
        <w:rPr>
          <w:i/>
        </w:rPr>
        <w:t>Id.</w:t>
      </w:r>
      <w:r>
        <w:t xml:space="preserve"> at 8.</w:t>
      </w:r>
    </w:p>
  </w:footnote>
  <w:footnote w:id="4">
    <w:p w:rsidR="00EE4B3E" w:rsidRDefault="00EE4B3E" w:rsidP="00EE4B3E">
      <w:pPr>
        <w:pStyle w:val="FootnoteText"/>
      </w:pPr>
      <w:r>
        <w:rPr>
          <w:rStyle w:val="FootnoteReference"/>
        </w:rPr>
        <w:footnoteRef/>
      </w:r>
      <w:r>
        <w:t xml:space="preserve"> </w:t>
      </w:r>
      <w:r w:rsidRPr="009D428D">
        <w:rPr>
          <w:i/>
        </w:rPr>
        <w:t>Id</w:t>
      </w:r>
      <w:r>
        <w:t>.</w:t>
      </w:r>
    </w:p>
  </w:footnote>
  <w:footnote w:id="5">
    <w:p w:rsidR="00EE4B3E" w:rsidRDefault="00EE4B3E" w:rsidP="00EE4B3E">
      <w:pPr>
        <w:pStyle w:val="FootnoteText"/>
      </w:pPr>
      <w:r>
        <w:rPr>
          <w:rStyle w:val="FootnoteReference"/>
        </w:rPr>
        <w:footnoteRef/>
      </w:r>
      <w:r>
        <w:t xml:space="preserve"> </w:t>
      </w:r>
      <w:r w:rsidRPr="009D428D">
        <w:rPr>
          <w:i/>
        </w:rPr>
        <w:t>Id</w:t>
      </w:r>
      <w:r>
        <w:t xml:space="preserve">. </w:t>
      </w:r>
    </w:p>
  </w:footnote>
  <w:footnote w:id="6">
    <w:p w:rsidR="00EE4B3E" w:rsidRDefault="00EE4B3E" w:rsidP="00EE4B3E">
      <w:pPr>
        <w:pStyle w:val="FootnoteText"/>
      </w:pPr>
      <w:r>
        <w:rPr>
          <w:rStyle w:val="FootnoteReference"/>
        </w:rPr>
        <w:footnoteRef/>
      </w:r>
      <w:r>
        <w:t xml:space="preserve"> </w:t>
      </w:r>
      <w:r w:rsidRPr="009D428D">
        <w:rPr>
          <w:i/>
        </w:rPr>
        <w:t>Id</w:t>
      </w:r>
      <w:r>
        <w:t>.</w:t>
      </w:r>
    </w:p>
  </w:footnote>
  <w:footnote w:id="7">
    <w:p w:rsidR="00EE4B3E" w:rsidRDefault="00EE4B3E" w:rsidP="00EE4B3E">
      <w:pPr>
        <w:pStyle w:val="FootnoteText"/>
      </w:pPr>
      <w:r>
        <w:rPr>
          <w:rStyle w:val="FootnoteReference"/>
        </w:rPr>
        <w:footnoteRef/>
      </w:r>
      <w:r>
        <w:t xml:space="preserve"> </w:t>
      </w:r>
      <w:r w:rsidRPr="009D428D">
        <w:rPr>
          <w:i/>
        </w:rPr>
        <w:t>Id</w:t>
      </w:r>
      <w:r>
        <w:t>.</w:t>
      </w:r>
    </w:p>
  </w:footnote>
  <w:footnote w:id="8">
    <w:p w:rsidR="00EE4B3E" w:rsidRDefault="00EE4B3E" w:rsidP="00EE4B3E">
      <w:pPr>
        <w:pStyle w:val="FootnoteText"/>
      </w:pPr>
      <w:r>
        <w:rPr>
          <w:rStyle w:val="FootnoteReference"/>
        </w:rPr>
        <w:footnoteRef/>
      </w:r>
      <w:r>
        <w:t xml:space="preserve"> 47 CFR § 90.617(a).</w:t>
      </w:r>
    </w:p>
  </w:footnote>
  <w:footnote w:id="9">
    <w:p w:rsidR="00EE4B3E" w:rsidRDefault="00EE4B3E" w:rsidP="00EE4B3E">
      <w:pPr>
        <w:pStyle w:val="FootnoteText"/>
      </w:pPr>
      <w:r>
        <w:rPr>
          <w:rStyle w:val="FootnoteReference"/>
        </w:rPr>
        <w:footnoteRef/>
      </w:r>
      <w:r>
        <w:t xml:space="preserve"> 47 CFR § 90.615.</w:t>
      </w:r>
    </w:p>
  </w:footnote>
  <w:footnote w:id="10">
    <w:p w:rsidR="00EE4B3E" w:rsidRDefault="00EE4B3E" w:rsidP="00EE4B3E">
      <w:pPr>
        <w:pStyle w:val="FootnoteText"/>
      </w:pPr>
      <w:r>
        <w:rPr>
          <w:rStyle w:val="FootnoteReference"/>
        </w:rPr>
        <w:footnoteRef/>
      </w:r>
      <w:r>
        <w:t xml:space="preserve"> 47 CFR § 90.617(g).</w:t>
      </w:r>
    </w:p>
  </w:footnote>
  <w:footnote w:id="11">
    <w:p w:rsidR="00EE4B3E" w:rsidRPr="001C3245" w:rsidRDefault="00EE4B3E" w:rsidP="00EE4B3E">
      <w:pPr>
        <w:pStyle w:val="FootnoteText"/>
      </w:pPr>
      <w:r>
        <w:rPr>
          <w:rStyle w:val="FootnoteReference"/>
        </w:rPr>
        <w:footnoteRef/>
      </w:r>
      <w:r>
        <w:t xml:space="preserve"> Washington County Application.  </w:t>
      </w:r>
    </w:p>
  </w:footnote>
  <w:footnote w:id="12">
    <w:p w:rsidR="00EE4B3E" w:rsidRPr="002A3E9A" w:rsidRDefault="00EE4B3E" w:rsidP="00EE4B3E">
      <w:pPr>
        <w:pStyle w:val="FootnoteText"/>
        <w:rPr>
          <w:i/>
        </w:rPr>
      </w:pPr>
      <w:r>
        <w:rPr>
          <w:rStyle w:val="FootnoteReference"/>
        </w:rPr>
        <w:footnoteRef/>
      </w:r>
      <w:r>
        <w:t xml:space="preserve"> </w:t>
      </w:r>
      <w:r>
        <w:rPr>
          <w:i/>
        </w:rPr>
        <w:t>Id.</w:t>
      </w:r>
    </w:p>
  </w:footnote>
  <w:footnote w:id="13">
    <w:p w:rsidR="00EE4B3E" w:rsidRDefault="00EE4B3E" w:rsidP="00EE4B3E">
      <w:pPr>
        <w:pStyle w:val="FootnoteText"/>
      </w:pPr>
      <w:r>
        <w:rPr>
          <w:rStyle w:val="FootnoteReference"/>
        </w:rPr>
        <w:footnoteRef/>
      </w:r>
      <w:r>
        <w:t xml:space="preserve"> </w:t>
      </w:r>
      <w:r w:rsidRPr="000D7FA1">
        <w:t>47</w:t>
      </w:r>
      <w:r>
        <w:t xml:space="preserve"> CFR § 90.617(b) (indicating that applicants eligible for the </w:t>
      </w:r>
      <w:r w:rsidRPr="002A3E9A">
        <w:t xml:space="preserve">Industrial/Business Pool </w:t>
      </w:r>
      <w:r>
        <w:t xml:space="preserve">are eligible to license channels from the B/ILT Pool).  </w:t>
      </w:r>
      <w:r w:rsidRPr="003D4AB7">
        <w:rPr>
          <w:i/>
        </w:rPr>
        <w:t>See</w:t>
      </w:r>
      <w:r>
        <w:rPr>
          <w:i/>
        </w:rPr>
        <w:t xml:space="preserve"> also</w:t>
      </w:r>
      <w:r>
        <w:t xml:space="preserve"> 47 CFR § 90.35 (listing eligibility requirements for entities seeking to license channels from the Industrial/Business Pool).  </w:t>
      </w:r>
    </w:p>
  </w:footnote>
  <w:footnote w:id="14">
    <w:p w:rsidR="00EE4B3E" w:rsidRDefault="00EE4B3E" w:rsidP="00EE4B3E">
      <w:pPr>
        <w:pStyle w:val="FootnoteText"/>
      </w:pPr>
      <w:r>
        <w:rPr>
          <w:rStyle w:val="FootnoteReference"/>
        </w:rPr>
        <w:footnoteRef/>
      </w:r>
      <w:r>
        <w:t xml:space="preserve"> 47 CFR § 90.621(e).  Only channels from the Public Safety or B/ILT Pool are available for inter-category sharing.    </w:t>
      </w:r>
    </w:p>
  </w:footnote>
  <w:footnote w:id="15">
    <w:p w:rsidR="00EE4B3E" w:rsidRDefault="00EE4B3E" w:rsidP="00EE4B3E">
      <w:pPr>
        <w:pStyle w:val="FootnoteText"/>
      </w:pPr>
      <w:r>
        <w:rPr>
          <w:rStyle w:val="FootnoteReference"/>
        </w:rPr>
        <w:footnoteRef/>
      </w:r>
      <w:r>
        <w:t xml:space="preserve"> </w:t>
      </w:r>
      <w:r w:rsidRPr="002E5A3B">
        <w:rPr>
          <w:i/>
        </w:rPr>
        <w:t>See Inter-Category Sharing of Private Mobile Radio Frequencies in the 806-821/851-866 MHz Bands</w:t>
      </w:r>
      <w:r w:rsidRPr="002E5A3B">
        <w:t>, Order, 10 FCC Rcd 7350 (</w:t>
      </w:r>
      <w:r>
        <w:t xml:space="preserve">WTB </w:t>
      </w:r>
      <w:r w:rsidRPr="002E5A3B">
        <w:t>1995).</w:t>
      </w:r>
    </w:p>
  </w:footnote>
  <w:footnote w:id="16">
    <w:p w:rsidR="00EE4B3E" w:rsidRPr="00F9701B" w:rsidRDefault="00EE4B3E" w:rsidP="00EE4B3E">
      <w:pPr>
        <w:pStyle w:val="FootnoteText"/>
      </w:pPr>
      <w:r>
        <w:rPr>
          <w:rStyle w:val="FootnoteReference"/>
        </w:rPr>
        <w:footnoteRef/>
      </w:r>
      <w:r>
        <w:t xml:space="preserve"> Letter from Carol DiCaro, AFC Processor, AFC – APCO’s Spectrum Management Division, APCO International to FCC (Aug. 3, 2016) (attached to Washington County Application).  </w:t>
      </w:r>
    </w:p>
  </w:footnote>
  <w:footnote w:id="17">
    <w:p w:rsidR="00EE4B3E" w:rsidRDefault="00EE4B3E" w:rsidP="00EE4B3E">
      <w:pPr>
        <w:pStyle w:val="FootnoteText"/>
      </w:pPr>
      <w:r>
        <w:rPr>
          <w:rStyle w:val="FootnoteReference"/>
        </w:rPr>
        <w:footnoteRef/>
      </w:r>
      <w:r>
        <w:t xml:space="preserve"> </w:t>
      </w:r>
      <w:r w:rsidRPr="00014FF6">
        <w:rPr>
          <w:i/>
        </w:rPr>
        <w:t>Id</w:t>
      </w:r>
      <w:r>
        <w:t>.</w:t>
      </w:r>
    </w:p>
  </w:footnote>
  <w:footnote w:id="18">
    <w:p w:rsidR="00EE4B3E" w:rsidRDefault="00EE4B3E" w:rsidP="00EE4B3E">
      <w:pPr>
        <w:pStyle w:val="FootnoteText"/>
      </w:pPr>
      <w:r>
        <w:rPr>
          <w:rStyle w:val="FootnoteReference"/>
        </w:rPr>
        <w:footnoteRef/>
      </w:r>
      <w:r>
        <w:t xml:space="preserve"> Letter from Kathy Garrett, UTC Spectrum Services, to </w:t>
      </w:r>
      <w:r w:rsidRPr="00615BE7">
        <w:t xml:space="preserve">Washington County Consolidated Communications Agency </w:t>
      </w:r>
      <w:r>
        <w:t>(Aug. 10, 2016) (attached to Washington County Application).</w:t>
      </w:r>
    </w:p>
  </w:footnote>
  <w:footnote w:id="19">
    <w:p w:rsidR="00EE4B3E" w:rsidRDefault="00EE4B3E" w:rsidP="00EE4B3E">
      <w:pPr>
        <w:pStyle w:val="FootnoteText"/>
      </w:pPr>
      <w:r>
        <w:rPr>
          <w:rStyle w:val="FootnoteReference"/>
        </w:rPr>
        <w:footnoteRef/>
      </w:r>
      <w:r>
        <w:t xml:space="preserve"> Washington County Application.</w:t>
      </w:r>
    </w:p>
  </w:footnote>
  <w:footnote w:id="20">
    <w:p w:rsidR="00EE4B3E" w:rsidRDefault="00EE4B3E" w:rsidP="00EE4B3E">
      <w:pPr>
        <w:pStyle w:val="FootnoteText"/>
      </w:pPr>
      <w:r>
        <w:rPr>
          <w:rStyle w:val="FootnoteReference"/>
        </w:rPr>
        <w:footnoteRef/>
      </w:r>
      <w:r>
        <w:t xml:space="preserve"> 47 CFR § 1.405.</w:t>
      </w:r>
    </w:p>
  </w:footnote>
  <w:footnote w:id="21">
    <w:p w:rsidR="00EE4B3E" w:rsidRDefault="00EE4B3E" w:rsidP="00EE4B3E">
      <w:pPr>
        <w:pStyle w:val="FootnoteText"/>
      </w:pPr>
      <w:r>
        <w:rPr>
          <w:rStyle w:val="FootnoteReference"/>
        </w:rPr>
        <w:footnoteRef/>
      </w:r>
      <w:r>
        <w:t xml:space="preserve"> </w:t>
      </w:r>
      <w:r w:rsidRPr="002E5A3B">
        <w:rPr>
          <w:i/>
        </w:rPr>
        <w:t>Wireless Telecommunications Bureau Enhances the Commission’s Universal Licensing System to Implement Electronic Filing for Pleadings</w:t>
      </w:r>
      <w:r>
        <w:t xml:space="preserve">, </w:t>
      </w:r>
      <w:r w:rsidRPr="002E5A3B">
        <w:t>Public Notice</w:t>
      </w:r>
      <w:r>
        <w:rPr>
          <w:i/>
        </w:rPr>
        <w:t xml:space="preserve">, </w:t>
      </w:r>
      <w:r>
        <w:t xml:space="preserve">21 FCC Rcd 424 (WTB 2006).  </w:t>
      </w:r>
      <w:r>
        <w:rPr>
          <w:i/>
        </w:rPr>
        <w:t xml:space="preserve">See </w:t>
      </w:r>
      <w:r>
        <w:t>http://hraunfoss.fcc.gov/edocs_public/attachmatch/DA-06-125A1.pdf.</w:t>
      </w:r>
    </w:p>
  </w:footnote>
  <w:footnote w:id="22">
    <w:p w:rsidR="00EE4B3E" w:rsidRDefault="00EE4B3E" w:rsidP="00EE4B3E">
      <w:pPr>
        <w:pStyle w:val="FootnoteText"/>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8C2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8C2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F643BA7" wp14:editId="1351261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B2E676B" wp14:editId="2E42366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E676B"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D2E1903" wp14:editId="2C824AC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E1903"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D7B8119" wp14:editId="26145687">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9D2F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04DB"/>
    <w:rsid w:val="0001151F"/>
    <w:rsid w:val="00014AE2"/>
    <w:rsid w:val="00014FF6"/>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71753"/>
    <w:rsid w:val="0007257A"/>
    <w:rsid w:val="000758A5"/>
    <w:rsid w:val="00077350"/>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364D"/>
    <w:rsid w:val="000E3DF1"/>
    <w:rsid w:val="000E7C26"/>
    <w:rsid w:val="000F193A"/>
    <w:rsid w:val="000F6BB7"/>
    <w:rsid w:val="00102D68"/>
    <w:rsid w:val="00110717"/>
    <w:rsid w:val="00115B4D"/>
    <w:rsid w:val="001172A3"/>
    <w:rsid w:val="00126427"/>
    <w:rsid w:val="00127E3B"/>
    <w:rsid w:val="00133FC1"/>
    <w:rsid w:val="00134D49"/>
    <w:rsid w:val="001452CF"/>
    <w:rsid w:val="00154821"/>
    <w:rsid w:val="0016171F"/>
    <w:rsid w:val="00162EF5"/>
    <w:rsid w:val="00172743"/>
    <w:rsid w:val="00174CAB"/>
    <w:rsid w:val="001830C9"/>
    <w:rsid w:val="00186583"/>
    <w:rsid w:val="00195B63"/>
    <w:rsid w:val="001B3F26"/>
    <w:rsid w:val="001C0150"/>
    <w:rsid w:val="001C3245"/>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47B77"/>
    <w:rsid w:val="00267BB2"/>
    <w:rsid w:val="002728F4"/>
    <w:rsid w:val="002730E4"/>
    <w:rsid w:val="00276CF4"/>
    <w:rsid w:val="00283B1F"/>
    <w:rsid w:val="00296EE6"/>
    <w:rsid w:val="002A2716"/>
    <w:rsid w:val="002A3E9A"/>
    <w:rsid w:val="002B2A81"/>
    <w:rsid w:val="002B453B"/>
    <w:rsid w:val="002C25A1"/>
    <w:rsid w:val="002D027F"/>
    <w:rsid w:val="002D549F"/>
    <w:rsid w:val="002D76E0"/>
    <w:rsid w:val="002E56E1"/>
    <w:rsid w:val="002E5A3B"/>
    <w:rsid w:val="002F0E9D"/>
    <w:rsid w:val="002F3B44"/>
    <w:rsid w:val="002F5E93"/>
    <w:rsid w:val="00301D0E"/>
    <w:rsid w:val="0030440F"/>
    <w:rsid w:val="0031345C"/>
    <w:rsid w:val="00321C3D"/>
    <w:rsid w:val="00330556"/>
    <w:rsid w:val="003428E9"/>
    <w:rsid w:val="00351860"/>
    <w:rsid w:val="00355C20"/>
    <w:rsid w:val="00356591"/>
    <w:rsid w:val="003617D6"/>
    <w:rsid w:val="003656F0"/>
    <w:rsid w:val="003743AD"/>
    <w:rsid w:val="00375722"/>
    <w:rsid w:val="00384A9F"/>
    <w:rsid w:val="00386D90"/>
    <w:rsid w:val="00392158"/>
    <w:rsid w:val="00393B50"/>
    <w:rsid w:val="003B0DCA"/>
    <w:rsid w:val="003C44A4"/>
    <w:rsid w:val="003D4AB7"/>
    <w:rsid w:val="003E045A"/>
    <w:rsid w:val="003E0B7F"/>
    <w:rsid w:val="003F0746"/>
    <w:rsid w:val="003F2BBD"/>
    <w:rsid w:val="003F60A0"/>
    <w:rsid w:val="004021C5"/>
    <w:rsid w:val="00405CDE"/>
    <w:rsid w:val="0040721C"/>
    <w:rsid w:val="00407931"/>
    <w:rsid w:val="00411030"/>
    <w:rsid w:val="00412C97"/>
    <w:rsid w:val="00413F99"/>
    <w:rsid w:val="00416C3B"/>
    <w:rsid w:val="0042001A"/>
    <w:rsid w:val="00425877"/>
    <w:rsid w:val="00426790"/>
    <w:rsid w:val="00430B8A"/>
    <w:rsid w:val="004346CF"/>
    <w:rsid w:val="0043643A"/>
    <w:rsid w:val="00445150"/>
    <w:rsid w:val="00455A2E"/>
    <w:rsid w:val="0045753B"/>
    <w:rsid w:val="0046562C"/>
    <w:rsid w:val="00483B93"/>
    <w:rsid w:val="004912B7"/>
    <w:rsid w:val="004A5C0C"/>
    <w:rsid w:val="004B24B0"/>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078F"/>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15BE7"/>
    <w:rsid w:val="00623122"/>
    <w:rsid w:val="00625902"/>
    <w:rsid w:val="00657659"/>
    <w:rsid w:val="00660F53"/>
    <w:rsid w:val="00662D6D"/>
    <w:rsid w:val="00685BC3"/>
    <w:rsid w:val="0068661C"/>
    <w:rsid w:val="00695019"/>
    <w:rsid w:val="006A5458"/>
    <w:rsid w:val="006A5D95"/>
    <w:rsid w:val="006A6E55"/>
    <w:rsid w:val="006B2D9E"/>
    <w:rsid w:val="006B44DD"/>
    <w:rsid w:val="006B7C9E"/>
    <w:rsid w:val="006C2A73"/>
    <w:rsid w:val="006D714B"/>
    <w:rsid w:val="006E74AA"/>
    <w:rsid w:val="006F2276"/>
    <w:rsid w:val="006F484D"/>
    <w:rsid w:val="006F6EC6"/>
    <w:rsid w:val="00722EBF"/>
    <w:rsid w:val="007422E0"/>
    <w:rsid w:val="0074381D"/>
    <w:rsid w:val="00755A24"/>
    <w:rsid w:val="0076104C"/>
    <w:rsid w:val="00767B5C"/>
    <w:rsid w:val="0077626D"/>
    <w:rsid w:val="0078151A"/>
    <w:rsid w:val="007900D4"/>
    <w:rsid w:val="00790939"/>
    <w:rsid w:val="00796FB7"/>
    <w:rsid w:val="007B5648"/>
    <w:rsid w:val="007C266F"/>
    <w:rsid w:val="007C2E19"/>
    <w:rsid w:val="007D22F2"/>
    <w:rsid w:val="007D3240"/>
    <w:rsid w:val="007D3B0D"/>
    <w:rsid w:val="007D4C2A"/>
    <w:rsid w:val="007D63D5"/>
    <w:rsid w:val="007E27E0"/>
    <w:rsid w:val="007E393E"/>
    <w:rsid w:val="007E5666"/>
    <w:rsid w:val="007F13E9"/>
    <w:rsid w:val="00814781"/>
    <w:rsid w:val="00816C95"/>
    <w:rsid w:val="008234D7"/>
    <w:rsid w:val="00824459"/>
    <w:rsid w:val="00827C1E"/>
    <w:rsid w:val="00840FE5"/>
    <w:rsid w:val="0085164C"/>
    <w:rsid w:val="008735B2"/>
    <w:rsid w:val="00880177"/>
    <w:rsid w:val="0088387F"/>
    <w:rsid w:val="00884F29"/>
    <w:rsid w:val="00892BB7"/>
    <w:rsid w:val="00893BD4"/>
    <w:rsid w:val="0089471C"/>
    <w:rsid w:val="008A723B"/>
    <w:rsid w:val="008A7461"/>
    <w:rsid w:val="008C2773"/>
    <w:rsid w:val="008C2D0E"/>
    <w:rsid w:val="008C32CD"/>
    <w:rsid w:val="008C5A96"/>
    <w:rsid w:val="008C6A37"/>
    <w:rsid w:val="008E4693"/>
    <w:rsid w:val="008F09E1"/>
    <w:rsid w:val="008F188C"/>
    <w:rsid w:val="0090198D"/>
    <w:rsid w:val="009108BC"/>
    <w:rsid w:val="00913DE0"/>
    <w:rsid w:val="0092181F"/>
    <w:rsid w:val="00924E66"/>
    <w:rsid w:val="00930B10"/>
    <w:rsid w:val="0093353F"/>
    <w:rsid w:val="00953C3E"/>
    <w:rsid w:val="00955D07"/>
    <w:rsid w:val="0096009B"/>
    <w:rsid w:val="0096501A"/>
    <w:rsid w:val="00965530"/>
    <w:rsid w:val="009713EE"/>
    <w:rsid w:val="00985E98"/>
    <w:rsid w:val="00991313"/>
    <w:rsid w:val="00994D9C"/>
    <w:rsid w:val="009953BD"/>
    <w:rsid w:val="009A1B1C"/>
    <w:rsid w:val="009A30DB"/>
    <w:rsid w:val="009B19C9"/>
    <w:rsid w:val="009C01FB"/>
    <w:rsid w:val="009C0635"/>
    <w:rsid w:val="009C2122"/>
    <w:rsid w:val="009C725D"/>
    <w:rsid w:val="009D2381"/>
    <w:rsid w:val="009D428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5103B"/>
    <w:rsid w:val="00A530F7"/>
    <w:rsid w:val="00A62097"/>
    <w:rsid w:val="00A62886"/>
    <w:rsid w:val="00A753BA"/>
    <w:rsid w:val="00A85F91"/>
    <w:rsid w:val="00A87FEB"/>
    <w:rsid w:val="00A939A8"/>
    <w:rsid w:val="00A965BC"/>
    <w:rsid w:val="00AA2E24"/>
    <w:rsid w:val="00AA6BDC"/>
    <w:rsid w:val="00AA6EED"/>
    <w:rsid w:val="00AD0A4C"/>
    <w:rsid w:val="00AD2E31"/>
    <w:rsid w:val="00AD5456"/>
    <w:rsid w:val="00AE7655"/>
    <w:rsid w:val="00AF0E81"/>
    <w:rsid w:val="00AF4489"/>
    <w:rsid w:val="00AF5C52"/>
    <w:rsid w:val="00B012EC"/>
    <w:rsid w:val="00B142AC"/>
    <w:rsid w:val="00B14626"/>
    <w:rsid w:val="00B22E1D"/>
    <w:rsid w:val="00B258DE"/>
    <w:rsid w:val="00B27EE2"/>
    <w:rsid w:val="00B32231"/>
    <w:rsid w:val="00B35835"/>
    <w:rsid w:val="00B5093B"/>
    <w:rsid w:val="00B51DD0"/>
    <w:rsid w:val="00B67EA7"/>
    <w:rsid w:val="00B701E1"/>
    <w:rsid w:val="00B7186D"/>
    <w:rsid w:val="00B8110E"/>
    <w:rsid w:val="00B91B2E"/>
    <w:rsid w:val="00B95489"/>
    <w:rsid w:val="00B97CD1"/>
    <w:rsid w:val="00BA4A31"/>
    <w:rsid w:val="00BB016B"/>
    <w:rsid w:val="00BB3EC8"/>
    <w:rsid w:val="00BB50B8"/>
    <w:rsid w:val="00BF1472"/>
    <w:rsid w:val="00C007BE"/>
    <w:rsid w:val="00C111EA"/>
    <w:rsid w:val="00C16B1F"/>
    <w:rsid w:val="00C16B37"/>
    <w:rsid w:val="00C177A4"/>
    <w:rsid w:val="00C17D2A"/>
    <w:rsid w:val="00C205FF"/>
    <w:rsid w:val="00C34916"/>
    <w:rsid w:val="00C502C8"/>
    <w:rsid w:val="00C51711"/>
    <w:rsid w:val="00C60D6B"/>
    <w:rsid w:val="00C647C1"/>
    <w:rsid w:val="00C657BF"/>
    <w:rsid w:val="00C74A86"/>
    <w:rsid w:val="00C811AD"/>
    <w:rsid w:val="00C87950"/>
    <w:rsid w:val="00C93E36"/>
    <w:rsid w:val="00C96FAD"/>
    <w:rsid w:val="00CA7731"/>
    <w:rsid w:val="00CB3135"/>
    <w:rsid w:val="00CB7BA8"/>
    <w:rsid w:val="00CD500E"/>
    <w:rsid w:val="00CD7161"/>
    <w:rsid w:val="00CF3554"/>
    <w:rsid w:val="00CF35E9"/>
    <w:rsid w:val="00D15179"/>
    <w:rsid w:val="00D15759"/>
    <w:rsid w:val="00D15BAA"/>
    <w:rsid w:val="00D17D26"/>
    <w:rsid w:val="00D310EB"/>
    <w:rsid w:val="00D3424C"/>
    <w:rsid w:val="00D34A02"/>
    <w:rsid w:val="00D53723"/>
    <w:rsid w:val="00D56963"/>
    <w:rsid w:val="00D6160E"/>
    <w:rsid w:val="00D724E2"/>
    <w:rsid w:val="00D770AD"/>
    <w:rsid w:val="00D80825"/>
    <w:rsid w:val="00D8534B"/>
    <w:rsid w:val="00D91D46"/>
    <w:rsid w:val="00DA0D77"/>
    <w:rsid w:val="00DA1394"/>
    <w:rsid w:val="00DB4266"/>
    <w:rsid w:val="00DB7B95"/>
    <w:rsid w:val="00DC1E7C"/>
    <w:rsid w:val="00DC2EAC"/>
    <w:rsid w:val="00DC57BE"/>
    <w:rsid w:val="00DD0D82"/>
    <w:rsid w:val="00DE44D8"/>
    <w:rsid w:val="00DE4529"/>
    <w:rsid w:val="00DE56D4"/>
    <w:rsid w:val="00DE7680"/>
    <w:rsid w:val="00DF322D"/>
    <w:rsid w:val="00E000D4"/>
    <w:rsid w:val="00E00A89"/>
    <w:rsid w:val="00E040CA"/>
    <w:rsid w:val="00E048F5"/>
    <w:rsid w:val="00E05771"/>
    <w:rsid w:val="00E10484"/>
    <w:rsid w:val="00E12805"/>
    <w:rsid w:val="00E21CA9"/>
    <w:rsid w:val="00E2220A"/>
    <w:rsid w:val="00E2365D"/>
    <w:rsid w:val="00E264B5"/>
    <w:rsid w:val="00E43AD0"/>
    <w:rsid w:val="00E47315"/>
    <w:rsid w:val="00E5072B"/>
    <w:rsid w:val="00E6095D"/>
    <w:rsid w:val="00E63C2E"/>
    <w:rsid w:val="00E65327"/>
    <w:rsid w:val="00E80DBB"/>
    <w:rsid w:val="00E85C4E"/>
    <w:rsid w:val="00E94C2D"/>
    <w:rsid w:val="00E95B11"/>
    <w:rsid w:val="00EB0B9F"/>
    <w:rsid w:val="00EB1E7C"/>
    <w:rsid w:val="00EB6534"/>
    <w:rsid w:val="00ED177F"/>
    <w:rsid w:val="00EE4B3E"/>
    <w:rsid w:val="00F00692"/>
    <w:rsid w:val="00F17D7B"/>
    <w:rsid w:val="00F20607"/>
    <w:rsid w:val="00F206E3"/>
    <w:rsid w:val="00F20ED8"/>
    <w:rsid w:val="00F35B8F"/>
    <w:rsid w:val="00F37861"/>
    <w:rsid w:val="00F4156B"/>
    <w:rsid w:val="00F44C22"/>
    <w:rsid w:val="00F71798"/>
    <w:rsid w:val="00F74877"/>
    <w:rsid w:val="00F82271"/>
    <w:rsid w:val="00F94B2D"/>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eless2.fcc.gov/UlsEntry/pleadings/pleadingsType.j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ian.Marenco@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1589</Words>
  <Characters>8756</Characters>
  <Application>Microsoft Office Word</Application>
  <DocSecurity>0</DocSecurity>
  <Lines>155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10392</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2017-05-24T19:21:00Z</dcterms:created>
  <dcterms:modified xsi:type="dcterms:W3CDTF">2017-05-24T19:21:00Z</dcterms:modified>
  <cp:category> </cp:category>
  <cp:contentStatus> </cp:contentStatus>
</cp:coreProperties>
</file>