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9576" w:type="dxa"/>
        <w:tblLayout w:type="fixed"/>
        <w:tblLook w:val="0000" w:firstRow="0" w:lastRow="0" w:firstColumn="0" w:lastColumn="0" w:noHBand="0" w:noVBand="0"/>
      </w:tblPr>
      <w:tblGrid>
        <w:gridCol w:w="4698"/>
        <w:gridCol w:w="630"/>
        <w:gridCol w:w="4248"/>
      </w:tblGrid>
      <w:tr w:rsidR="004E50A6" w:rsidRPr="001D1D02" w:rsidTr="00A56835">
        <w:tc>
          <w:tcPr>
            <w:tcW w:w="4698" w:type="dxa"/>
          </w:tcPr>
          <w:p w:rsidR="004E50A6" w:rsidRPr="001D1D02" w:rsidRDefault="004E50A6" w:rsidP="00A56835">
            <w:pPr>
              <w:widowControl/>
              <w:tabs>
                <w:tab w:val="center" w:pos="4680"/>
              </w:tabs>
              <w:suppressAutoHyphens/>
              <w:rPr>
                <w:spacing w:val="-2"/>
                <w:szCs w:val="22"/>
              </w:rPr>
            </w:pPr>
            <w:r w:rsidRPr="001D1D02">
              <w:rPr>
                <w:spacing w:val="-2"/>
                <w:szCs w:val="22"/>
              </w:rPr>
              <w:t>In the Matter of</w:t>
            </w:r>
          </w:p>
          <w:p w:rsidR="004E50A6" w:rsidRPr="001D1D02" w:rsidRDefault="004E50A6" w:rsidP="00A56835">
            <w:pPr>
              <w:widowControl/>
              <w:tabs>
                <w:tab w:val="center" w:pos="4680"/>
              </w:tabs>
              <w:suppressAutoHyphens/>
              <w:rPr>
                <w:spacing w:val="-2"/>
                <w:szCs w:val="22"/>
              </w:rPr>
            </w:pPr>
          </w:p>
          <w:p w:rsidR="004E50A6" w:rsidRDefault="00A672F7" w:rsidP="00A56835">
            <w:pPr>
              <w:widowControl/>
              <w:tabs>
                <w:tab w:val="center" w:pos="4680"/>
              </w:tabs>
              <w:suppressAutoHyphens/>
              <w:rPr>
                <w:spacing w:val="-2"/>
                <w:szCs w:val="22"/>
              </w:rPr>
            </w:pPr>
            <w:r>
              <w:rPr>
                <w:spacing w:val="-2"/>
                <w:szCs w:val="22"/>
              </w:rPr>
              <w:t>Streamlining Deployment of Small Cell Infrastructure by Improving Wireless Facilities Siting Policies</w:t>
            </w:r>
          </w:p>
          <w:p w:rsidR="00A672F7" w:rsidRDefault="00A672F7" w:rsidP="00A56835">
            <w:pPr>
              <w:widowControl/>
              <w:tabs>
                <w:tab w:val="center" w:pos="4680"/>
              </w:tabs>
              <w:suppressAutoHyphens/>
              <w:rPr>
                <w:spacing w:val="-2"/>
                <w:szCs w:val="22"/>
              </w:rPr>
            </w:pPr>
          </w:p>
          <w:p w:rsidR="00A672F7" w:rsidRPr="001D1D02" w:rsidRDefault="00A672F7" w:rsidP="00A56835">
            <w:pPr>
              <w:widowControl/>
              <w:tabs>
                <w:tab w:val="center" w:pos="4680"/>
              </w:tabs>
              <w:suppressAutoHyphens/>
              <w:rPr>
                <w:spacing w:val="-2"/>
                <w:szCs w:val="22"/>
              </w:rPr>
            </w:pPr>
            <w:r>
              <w:rPr>
                <w:spacing w:val="-2"/>
                <w:szCs w:val="22"/>
              </w:rPr>
              <w:t>Mobilitie, LLC Petition for Declaratory Ruling</w:t>
            </w:r>
          </w:p>
          <w:p w:rsidR="004E50A6" w:rsidRPr="001D1D02" w:rsidRDefault="004E50A6" w:rsidP="00A56835">
            <w:pPr>
              <w:widowControl/>
              <w:tabs>
                <w:tab w:val="center" w:pos="4680"/>
              </w:tabs>
              <w:suppressAutoHyphens/>
              <w:rPr>
                <w:spacing w:val="-2"/>
                <w:szCs w:val="22"/>
              </w:rPr>
            </w:pPr>
          </w:p>
          <w:p w:rsidR="004E50A6" w:rsidRPr="001D1D02" w:rsidRDefault="004E50A6" w:rsidP="00A672F7">
            <w:pPr>
              <w:widowControl/>
              <w:tabs>
                <w:tab w:val="center" w:pos="4680"/>
              </w:tabs>
              <w:suppressAutoHyphens/>
              <w:rPr>
                <w:spacing w:val="-2"/>
                <w:szCs w:val="22"/>
              </w:rPr>
            </w:pPr>
          </w:p>
        </w:tc>
        <w:tc>
          <w:tcPr>
            <w:tcW w:w="630" w:type="dxa"/>
          </w:tcPr>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4E50A6" w:rsidRPr="001D1D02" w:rsidRDefault="004E50A6" w:rsidP="00A56835">
            <w:pPr>
              <w:widowControl/>
              <w:tabs>
                <w:tab w:val="center" w:pos="4680"/>
              </w:tabs>
              <w:suppressAutoHyphens/>
              <w:rPr>
                <w:spacing w:val="-2"/>
                <w:szCs w:val="22"/>
              </w:rPr>
            </w:pPr>
            <w:r w:rsidRPr="001D1D02">
              <w:rPr>
                <w:spacing w:val="-2"/>
                <w:szCs w:val="22"/>
              </w:rPr>
              <w:t>)</w:t>
            </w:r>
          </w:p>
          <w:p w:rsidR="00A672F7" w:rsidRPr="001D1D02" w:rsidRDefault="00A672F7" w:rsidP="00A672F7">
            <w:pPr>
              <w:widowControl/>
              <w:tabs>
                <w:tab w:val="center" w:pos="4680"/>
              </w:tabs>
              <w:suppressAutoHyphens/>
              <w:rPr>
                <w:spacing w:val="-2"/>
                <w:szCs w:val="22"/>
              </w:rPr>
            </w:pPr>
            <w:r w:rsidRPr="001D1D02">
              <w:rPr>
                <w:spacing w:val="-2"/>
                <w:szCs w:val="22"/>
              </w:rPr>
              <w:t>)</w:t>
            </w:r>
          </w:p>
          <w:p w:rsidR="00A672F7" w:rsidRPr="001D1D02" w:rsidRDefault="00A672F7" w:rsidP="00A672F7">
            <w:pPr>
              <w:widowControl/>
              <w:tabs>
                <w:tab w:val="center" w:pos="4680"/>
              </w:tabs>
              <w:suppressAutoHyphens/>
              <w:rPr>
                <w:spacing w:val="-2"/>
                <w:szCs w:val="22"/>
              </w:rPr>
            </w:pPr>
            <w:r w:rsidRPr="001D1D02">
              <w:rPr>
                <w:spacing w:val="-2"/>
                <w:szCs w:val="22"/>
              </w:rPr>
              <w:t>)</w:t>
            </w:r>
          </w:p>
          <w:p w:rsidR="004E50A6" w:rsidRPr="001D1D02" w:rsidRDefault="004E50A6" w:rsidP="00A672F7">
            <w:pPr>
              <w:widowControl/>
              <w:tabs>
                <w:tab w:val="center" w:pos="4680"/>
              </w:tabs>
              <w:suppressAutoHyphens/>
              <w:rPr>
                <w:spacing w:val="-2"/>
                <w:szCs w:val="22"/>
              </w:rPr>
            </w:pPr>
          </w:p>
        </w:tc>
        <w:tc>
          <w:tcPr>
            <w:tcW w:w="4248" w:type="dxa"/>
          </w:tcPr>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rPr>
                <w:spacing w:val="-2"/>
                <w:szCs w:val="22"/>
              </w:rPr>
            </w:pPr>
          </w:p>
          <w:p w:rsidR="00A672F7" w:rsidRPr="001D1D02" w:rsidRDefault="00A672F7" w:rsidP="00A672F7">
            <w:pPr>
              <w:widowControl/>
              <w:tabs>
                <w:tab w:val="center" w:pos="4680"/>
              </w:tabs>
              <w:suppressAutoHyphens/>
              <w:rPr>
                <w:spacing w:val="-2"/>
                <w:szCs w:val="22"/>
              </w:rPr>
            </w:pPr>
            <w:r>
              <w:rPr>
                <w:spacing w:val="-2"/>
                <w:szCs w:val="22"/>
              </w:rPr>
              <w:t>WT Docket No. 16-421</w:t>
            </w: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p w:rsidR="004E50A6" w:rsidRPr="001D1D02" w:rsidRDefault="004E50A6" w:rsidP="00A56835">
            <w:pPr>
              <w:widowControl/>
              <w:tabs>
                <w:tab w:val="center" w:pos="4680"/>
              </w:tabs>
              <w:suppressAutoHyphens/>
              <w:rPr>
                <w:spacing w:val="-2"/>
                <w:szCs w:val="22"/>
              </w:rPr>
            </w:pPr>
          </w:p>
        </w:tc>
      </w:tr>
    </w:tbl>
    <w:p w:rsidR="004E50A6" w:rsidRDefault="004E50A6" w:rsidP="004E50A6">
      <w:pPr>
        <w:widowControl/>
        <w:rPr>
          <w:b/>
          <w:szCs w:val="22"/>
        </w:rPr>
      </w:pPr>
    </w:p>
    <w:p w:rsidR="004E50A6" w:rsidRDefault="004E50A6" w:rsidP="004E50A6">
      <w:pPr>
        <w:pStyle w:val="StyleBoldCentered"/>
        <w:widowControl/>
      </w:pPr>
      <w:r w:rsidRPr="00FE2E8C">
        <w:t>Order</w:t>
      </w:r>
    </w:p>
    <w:p w:rsidR="004E50A6" w:rsidRPr="00FE2E8C" w:rsidRDefault="004E50A6" w:rsidP="004E50A6">
      <w:pPr>
        <w:pStyle w:val="StyleBoldCentered"/>
        <w:widowControl/>
        <w:rPr>
          <w:spacing w:val="-2"/>
        </w:rPr>
      </w:pPr>
    </w:p>
    <w:p w:rsidR="004E50A6" w:rsidRPr="00FE2E8C" w:rsidRDefault="004E50A6" w:rsidP="004E50A6">
      <w:pPr>
        <w:widowControl/>
        <w:tabs>
          <w:tab w:val="left" w:pos="720"/>
          <w:tab w:val="left" w:pos="5760"/>
        </w:tabs>
        <w:suppressAutoHyphens/>
        <w:spacing w:line="227" w:lineRule="auto"/>
        <w:jc w:val="both"/>
        <w:rPr>
          <w:spacing w:val="-2"/>
          <w:szCs w:val="22"/>
        </w:rPr>
      </w:pPr>
      <w:r w:rsidRPr="00FE2E8C">
        <w:rPr>
          <w:b/>
          <w:spacing w:val="-2"/>
          <w:szCs w:val="22"/>
        </w:rPr>
        <w:t xml:space="preserve">Adopted:  </w:t>
      </w:r>
      <w:r w:rsidR="00A672F7">
        <w:rPr>
          <w:b/>
          <w:spacing w:val="-2"/>
          <w:szCs w:val="22"/>
        </w:rPr>
        <w:t xml:space="preserve">January </w:t>
      </w:r>
      <w:r w:rsidR="00C04B8C">
        <w:rPr>
          <w:b/>
          <w:spacing w:val="-2"/>
          <w:szCs w:val="22"/>
        </w:rPr>
        <w:t>12</w:t>
      </w:r>
      <w:r w:rsidR="00A672F7">
        <w:rPr>
          <w:b/>
          <w:spacing w:val="-2"/>
          <w:szCs w:val="22"/>
        </w:rPr>
        <w:t>, 2017</w:t>
      </w:r>
      <w:r w:rsidRPr="00FE2E8C">
        <w:rPr>
          <w:b/>
          <w:spacing w:val="-2"/>
          <w:szCs w:val="22"/>
        </w:rPr>
        <w:tab/>
      </w:r>
      <w:r>
        <w:rPr>
          <w:b/>
          <w:spacing w:val="-2"/>
          <w:szCs w:val="22"/>
        </w:rPr>
        <w:tab/>
      </w:r>
      <w:r w:rsidRPr="00FE2E8C">
        <w:rPr>
          <w:b/>
          <w:spacing w:val="-2"/>
          <w:szCs w:val="22"/>
        </w:rPr>
        <w:t xml:space="preserve">Released:  </w:t>
      </w:r>
      <w:r w:rsidR="00C04B8C">
        <w:rPr>
          <w:b/>
          <w:spacing w:val="-2"/>
          <w:szCs w:val="22"/>
        </w:rPr>
        <w:t>January 12</w:t>
      </w:r>
      <w:r>
        <w:rPr>
          <w:b/>
          <w:spacing w:val="-2"/>
          <w:szCs w:val="22"/>
        </w:rPr>
        <w:t>, 201</w:t>
      </w:r>
      <w:r w:rsidR="00A672F7">
        <w:rPr>
          <w:b/>
          <w:spacing w:val="-2"/>
          <w:szCs w:val="22"/>
        </w:rPr>
        <w:t>7</w:t>
      </w:r>
    </w:p>
    <w:p w:rsidR="004E50A6" w:rsidRDefault="004E50A6" w:rsidP="004E50A6">
      <w:pPr>
        <w:widowControl/>
        <w:rPr>
          <w:szCs w:val="22"/>
        </w:rPr>
      </w:pPr>
    </w:p>
    <w:p w:rsidR="004E50A6" w:rsidRDefault="00A672F7" w:rsidP="004E50A6">
      <w:pPr>
        <w:widowControl/>
        <w:rPr>
          <w:b/>
          <w:spacing w:val="-2"/>
          <w:szCs w:val="22"/>
        </w:rPr>
      </w:pPr>
      <w:r>
        <w:rPr>
          <w:b/>
          <w:spacing w:val="-2"/>
          <w:szCs w:val="22"/>
        </w:rPr>
        <w:t xml:space="preserve">Revised </w:t>
      </w:r>
      <w:r w:rsidR="005375C9">
        <w:rPr>
          <w:b/>
          <w:spacing w:val="-2"/>
          <w:szCs w:val="22"/>
        </w:rPr>
        <w:t xml:space="preserve">Comment Date:  March </w:t>
      </w:r>
      <w:r w:rsidR="003B4165">
        <w:rPr>
          <w:b/>
          <w:spacing w:val="-2"/>
          <w:szCs w:val="22"/>
        </w:rPr>
        <w:t>8</w:t>
      </w:r>
      <w:r w:rsidR="005375C9">
        <w:rPr>
          <w:b/>
          <w:spacing w:val="-2"/>
          <w:szCs w:val="22"/>
        </w:rPr>
        <w:t>, 2017</w:t>
      </w:r>
    </w:p>
    <w:p w:rsidR="00A672F7" w:rsidRDefault="00A672F7" w:rsidP="00A672F7">
      <w:pPr>
        <w:widowControl/>
        <w:rPr>
          <w:b/>
          <w:spacing w:val="-2"/>
          <w:szCs w:val="22"/>
        </w:rPr>
      </w:pPr>
      <w:r>
        <w:rPr>
          <w:b/>
          <w:spacing w:val="-2"/>
          <w:szCs w:val="22"/>
        </w:rPr>
        <w:t xml:space="preserve">Revised Reply </w:t>
      </w:r>
      <w:r w:rsidR="005375C9">
        <w:rPr>
          <w:b/>
          <w:spacing w:val="-2"/>
          <w:szCs w:val="22"/>
        </w:rPr>
        <w:t xml:space="preserve">Comment Date:  April </w:t>
      </w:r>
      <w:r w:rsidR="003B4165">
        <w:rPr>
          <w:b/>
          <w:spacing w:val="-2"/>
          <w:szCs w:val="22"/>
        </w:rPr>
        <w:t>7</w:t>
      </w:r>
      <w:r w:rsidR="005375C9">
        <w:rPr>
          <w:b/>
          <w:spacing w:val="-2"/>
          <w:szCs w:val="22"/>
        </w:rPr>
        <w:t>, 2017</w:t>
      </w:r>
    </w:p>
    <w:p w:rsidR="00A672F7" w:rsidRDefault="00A672F7" w:rsidP="004E50A6">
      <w:pPr>
        <w:widowControl/>
        <w:rPr>
          <w:b/>
          <w:spacing w:val="-2"/>
          <w:szCs w:val="22"/>
        </w:rPr>
      </w:pPr>
    </w:p>
    <w:p w:rsidR="004E50A6" w:rsidRPr="00FE2E8C" w:rsidRDefault="004E50A6" w:rsidP="004E50A6">
      <w:pPr>
        <w:widowControl/>
        <w:rPr>
          <w:szCs w:val="22"/>
        </w:rPr>
      </w:pPr>
    </w:p>
    <w:p w:rsidR="004E50A6" w:rsidRPr="00FE2E8C" w:rsidRDefault="004E50A6" w:rsidP="004E50A6">
      <w:pPr>
        <w:widowControl/>
        <w:rPr>
          <w:spacing w:val="-2"/>
          <w:szCs w:val="22"/>
        </w:rPr>
      </w:pPr>
      <w:r w:rsidRPr="00FE2E8C">
        <w:rPr>
          <w:szCs w:val="22"/>
        </w:rPr>
        <w:t>By the</w:t>
      </w:r>
      <w:r w:rsidRPr="00FE2E8C">
        <w:rPr>
          <w:spacing w:val="-2"/>
          <w:szCs w:val="22"/>
        </w:rPr>
        <w:t xml:space="preserve"> </w:t>
      </w:r>
      <w:r w:rsidR="00A672F7">
        <w:rPr>
          <w:spacing w:val="-2"/>
          <w:szCs w:val="22"/>
        </w:rPr>
        <w:t>Chief, Wireless Telecommunications</w:t>
      </w:r>
      <w:r>
        <w:rPr>
          <w:spacing w:val="-2"/>
          <w:szCs w:val="22"/>
        </w:rPr>
        <w:t xml:space="preserve"> Bureau:</w:t>
      </w:r>
    </w:p>
    <w:p w:rsidR="004E50A6" w:rsidRDefault="004E50A6" w:rsidP="004E50A6">
      <w:pPr>
        <w:widowControl/>
        <w:rPr>
          <w:b/>
          <w:spacing w:val="-2"/>
          <w:szCs w:val="22"/>
        </w:rPr>
      </w:pPr>
    </w:p>
    <w:p w:rsidR="004E50A6" w:rsidRPr="000A088E" w:rsidRDefault="004E50A6" w:rsidP="004E50A6">
      <w:pPr>
        <w:pStyle w:val="ParaNum"/>
        <w:widowControl/>
      </w:pPr>
      <w:bookmarkStart w:id="1" w:name="_Toc361330014"/>
      <w:r>
        <w:rPr>
          <w:snapToGrid/>
        </w:rPr>
        <w:t>In this</w:t>
      </w:r>
      <w:r w:rsidR="00A672F7">
        <w:rPr>
          <w:snapToGrid/>
        </w:rPr>
        <w:t xml:space="preserve"> Order, the Wireless Telecommunications</w:t>
      </w:r>
      <w:r>
        <w:rPr>
          <w:snapToGrid/>
        </w:rPr>
        <w:t xml:space="preserve"> Bureau (Bureau) grants in part the </w:t>
      </w:r>
      <w:r w:rsidR="003A6C19">
        <w:rPr>
          <w:snapToGrid/>
        </w:rPr>
        <w:t xml:space="preserve">Motion </w:t>
      </w:r>
      <w:r>
        <w:rPr>
          <w:snapToGrid/>
        </w:rPr>
        <w:t xml:space="preserve">for </w:t>
      </w:r>
      <w:r w:rsidR="003A6C19">
        <w:rPr>
          <w:snapToGrid/>
        </w:rPr>
        <w:t>E</w:t>
      </w:r>
      <w:r>
        <w:rPr>
          <w:snapToGrid/>
        </w:rPr>
        <w:t xml:space="preserve">xtension of </w:t>
      </w:r>
      <w:r w:rsidR="003A6C19">
        <w:rPr>
          <w:snapToGrid/>
        </w:rPr>
        <w:t xml:space="preserve">Time </w:t>
      </w:r>
      <w:r w:rsidR="00A672F7">
        <w:rPr>
          <w:snapToGrid/>
        </w:rPr>
        <w:t xml:space="preserve">filed jointly </w:t>
      </w:r>
      <w:r>
        <w:rPr>
          <w:snapToGrid/>
        </w:rPr>
        <w:t xml:space="preserve">by the </w:t>
      </w:r>
      <w:r w:rsidR="00A672F7">
        <w:rPr>
          <w:snapToGrid/>
        </w:rPr>
        <w:t xml:space="preserve">National Association of Telecommunications Officers and Advisors, the United States Conference of Mayors, the National League of Cities, the Government Finance Officers Association, the International Municipal Lawyers Association and the National Association of Counties </w:t>
      </w:r>
      <w:r>
        <w:rPr>
          <w:snapToGrid/>
        </w:rPr>
        <w:t>(Petitioners)</w:t>
      </w:r>
      <w:r w:rsidR="000C6DBB" w:rsidRPr="000C6DBB">
        <w:rPr>
          <w:snapToGrid/>
        </w:rPr>
        <w:t xml:space="preserve"> </w:t>
      </w:r>
      <w:r w:rsidR="000C6DBB">
        <w:rPr>
          <w:snapToGrid/>
        </w:rPr>
        <w:t>on January 5, 2017</w:t>
      </w:r>
      <w:r>
        <w:rPr>
          <w:snapToGrid/>
        </w:rPr>
        <w:t>.</w:t>
      </w:r>
      <w:r>
        <w:rPr>
          <w:rStyle w:val="FootnoteReference"/>
          <w:snapToGrid/>
        </w:rPr>
        <w:footnoteReference w:id="2"/>
      </w:r>
      <w:r>
        <w:rPr>
          <w:snapToGrid/>
        </w:rPr>
        <w:t xml:space="preserve">  </w:t>
      </w:r>
    </w:p>
    <w:p w:rsidR="003A6C19" w:rsidRDefault="00912A9E" w:rsidP="003A6C19">
      <w:pPr>
        <w:pStyle w:val="ParaNum"/>
        <w:widowControl/>
      </w:pPr>
      <w:r>
        <w:t>On December</w:t>
      </w:r>
      <w:r w:rsidR="004E50A6">
        <w:t xml:space="preserve"> 2</w:t>
      </w:r>
      <w:r>
        <w:t xml:space="preserve">2, 2016, the Bureau released its Public Notice </w:t>
      </w:r>
      <w:r w:rsidR="004E50A6">
        <w:t>in this proceeding.</w:t>
      </w:r>
      <w:r w:rsidR="004E50A6">
        <w:rPr>
          <w:rStyle w:val="FootnoteReference"/>
        </w:rPr>
        <w:footnoteReference w:id="3"/>
      </w:r>
      <w:r w:rsidR="004E50A6">
        <w:t xml:space="preserve">  Dates for </w:t>
      </w:r>
      <w:r w:rsidR="000C6DBB">
        <w:t xml:space="preserve">filing </w:t>
      </w:r>
      <w:r w:rsidR="004E50A6">
        <w:t>comments and reply com</w:t>
      </w:r>
      <w:r>
        <w:t>ments were set at February 6, 2017 and March 8, 2017</w:t>
      </w:r>
      <w:r w:rsidR="004E50A6">
        <w:t>, respectively.</w:t>
      </w:r>
      <w:r w:rsidR="004E50A6">
        <w:rPr>
          <w:rStyle w:val="FootnoteReference"/>
        </w:rPr>
        <w:footnoteReference w:id="4"/>
      </w:r>
      <w:r w:rsidR="00BA3A86">
        <w:rPr>
          <w:snapToGrid/>
        </w:rPr>
        <w:t xml:space="preserve">  On January 5</w:t>
      </w:r>
      <w:r w:rsidR="004E50A6">
        <w:rPr>
          <w:snapToGrid/>
        </w:rPr>
        <w:t>,</w:t>
      </w:r>
      <w:r w:rsidR="00BA3A86">
        <w:rPr>
          <w:snapToGrid/>
        </w:rPr>
        <w:t xml:space="preserve"> 2017,</w:t>
      </w:r>
      <w:r w:rsidR="004E50A6">
        <w:rPr>
          <w:snapToGrid/>
        </w:rPr>
        <w:t xml:space="preserve"> the </w:t>
      </w:r>
      <w:r w:rsidR="00BA3A86">
        <w:rPr>
          <w:snapToGrid/>
        </w:rPr>
        <w:t>Petitioners</w:t>
      </w:r>
      <w:r w:rsidR="004E50A6">
        <w:rPr>
          <w:snapToGrid/>
        </w:rPr>
        <w:t xml:space="preserve"> filed a Motion for Extension of Time seeking to extend the comment </w:t>
      </w:r>
      <w:r w:rsidR="00895FED">
        <w:rPr>
          <w:snapToGrid/>
        </w:rPr>
        <w:t xml:space="preserve">deadline to </w:t>
      </w:r>
      <w:r w:rsidR="003A6C19">
        <w:rPr>
          <w:snapToGrid/>
        </w:rPr>
        <w:t>“</w:t>
      </w:r>
      <w:r w:rsidR="00895FED">
        <w:rPr>
          <w:snapToGrid/>
        </w:rPr>
        <w:t>April 7, 2017</w:t>
      </w:r>
      <w:r w:rsidR="003A6C19">
        <w:rPr>
          <w:snapToGrid/>
        </w:rPr>
        <w:t>, or a minimum of at least 30 days,”</w:t>
      </w:r>
      <w:r w:rsidR="00895FED">
        <w:rPr>
          <w:snapToGrid/>
        </w:rPr>
        <w:t xml:space="preserve"> </w:t>
      </w:r>
      <w:r w:rsidR="004E50A6">
        <w:rPr>
          <w:snapToGrid/>
        </w:rPr>
        <w:t>and reply comment deadline</w:t>
      </w:r>
      <w:r w:rsidR="00895FED">
        <w:rPr>
          <w:snapToGrid/>
        </w:rPr>
        <w:t xml:space="preserve"> to </w:t>
      </w:r>
      <w:r w:rsidR="003A6C19">
        <w:rPr>
          <w:snapToGrid/>
        </w:rPr>
        <w:t>“</w:t>
      </w:r>
      <w:r w:rsidR="00895FED">
        <w:rPr>
          <w:snapToGrid/>
        </w:rPr>
        <w:t>June 7, 2017</w:t>
      </w:r>
      <w:r w:rsidR="003A6C19">
        <w:rPr>
          <w:snapToGrid/>
        </w:rPr>
        <w:t>, or a minimum of at least 30 days</w:t>
      </w:r>
      <w:r w:rsidR="004E50A6">
        <w:rPr>
          <w:snapToGrid/>
        </w:rPr>
        <w:t>.</w:t>
      </w:r>
      <w:r w:rsidR="003A6C19">
        <w:rPr>
          <w:snapToGrid/>
        </w:rPr>
        <w:t>”</w:t>
      </w:r>
      <w:r w:rsidR="004E50A6">
        <w:rPr>
          <w:rStyle w:val="FootnoteReference"/>
          <w:snapToGrid/>
        </w:rPr>
        <w:footnoteReference w:id="5"/>
      </w:r>
      <w:r w:rsidR="004E50A6">
        <w:rPr>
          <w:snapToGrid/>
        </w:rPr>
        <w:t xml:space="preserve">  </w:t>
      </w:r>
      <w:bookmarkEnd w:id="1"/>
      <w:r w:rsidR="004E50A6">
        <w:t>Petitioners cite a number of factors in support of their request, including</w:t>
      </w:r>
      <w:r w:rsidR="004F1A52">
        <w:t xml:space="preserve"> the </w:t>
      </w:r>
      <w:r w:rsidR="00B1787E">
        <w:t>“complexity and breadth of the issues involved with this ma</w:t>
      </w:r>
      <w:r w:rsidR="00B45F96">
        <w:t>t</w:t>
      </w:r>
      <w:r w:rsidR="00B1787E">
        <w:t>ter” and the fact that it is a transition period for many local governments due to the large number of municipal elections in 2016.</w:t>
      </w:r>
      <w:r w:rsidR="004E50A6">
        <w:rPr>
          <w:rStyle w:val="FootnoteReference"/>
        </w:rPr>
        <w:footnoteReference w:id="6"/>
      </w:r>
      <w:r w:rsidR="004E50A6">
        <w:t xml:space="preserve">  </w:t>
      </w:r>
    </w:p>
    <w:p w:rsidR="004E50A6" w:rsidRDefault="004E50A6" w:rsidP="004E50A6">
      <w:pPr>
        <w:pStyle w:val="ParaNum"/>
        <w:widowControl/>
      </w:pPr>
      <w:r>
        <w:t>Section 1.46 of the Commission’s rules provides that “[i]t is the policy of the Commission that extensions of time shall not be routinely granted.”</w:t>
      </w:r>
      <w:r>
        <w:rPr>
          <w:rStyle w:val="FootnoteReference"/>
        </w:rPr>
        <w:footnoteReference w:id="7"/>
      </w:r>
      <w:r>
        <w:t xml:space="preserve">  Upon review, we agree that</w:t>
      </w:r>
      <w:r w:rsidR="0064593B">
        <w:t xml:space="preserve"> a </w:t>
      </w:r>
      <w:r w:rsidR="0064593B">
        <w:lastRenderedPageBreak/>
        <w:t>limited extension of the pleading cycle is warranted</w:t>
      </w:r>
      <w:r w:rsidR="007171F0">
        <w:t>.</w:t>
      </w:r>
      <w:r w:rsidR="0064593B">
        <w:t xml:space="preserve"> We find that</w:t>
      </w:r>
      <w:r>
        <w:t xml:space="preserve"> </w:t>
      </w:r>
      <w:r w:rsidR="00D0602E">
        <w:t xml:space="preserve">a </w:t>
      </w:r>
      <w:r>
        <w:t>brief extension</w:t>
      </w:r>
      <w:r w:rsidR="000C6DBB">
        <w:t xml:space="preserve"> of the filing deadline</w:t>
      </w:r>
      <w:r>
        <w:t xml:space="preserve"> will allow parties to provide </w:t>
      </w:r>
      <w:r w:rsidR="0064593B">
        <w:t xml:space="preserve">the Commission </w:t>
      </w:r>
      <w:r>
        <w:t>with more thorough</w:t>
      </w:r>
      <w:r w:rsidR="00BA3A86">
        <w:t xml:space="preserve"> comment</w:t>
      </w:r>
      <w:r w:rsidR="000C6DBB">
        <w:t>s</w:t>
      </w:r>
      <w:r w:rsidR="00BA3A86">
        <w:t xml:space="preserve"> </w:t>
      </w:r>
      <w:r>
        <w:t>that will facilitate the compilation of a complete record in this proceeding, without causing undue delay to the</w:t>
      </w:r>
      <w:r w:rsidR="00272E9B">
        <w:t xml:space="preserve"> </w:t>
      </w:r>
      <w:r w:rsidR="0064593B">
        <w:t xml:space="preserve">Commission’s </w:t>
      </w:r>
      <w:r>
        <w:t>consideration of these is</w:t>
      </w:r>
      <w:r w:rsidR="00711C37">
        <w:t xml:space="preserve">sues.  We find, however, that a 30-day </w:t>
      </w:r>
      <w:r w:rsidRPr="00711C37">
        <w:t>extension</w:t>
      </w:r>
      <w:r w:rsidR="00711C37" w:rsidRPr="00711C37">
        <w:t xml:space="preserve"> for comments </w:t>
      </w:r>
      <w:r w:rsidR="00E73506">
        <w:t>is</w:t>
      </w:r>
      <w:r w:rsidR="003249E2">
        <w:t xml:space="preserve"> </w:t>
      </w:r>
      <w:r w:rsidRPr="00711C37">
        <w:t>sufficient for this purpose and more a</w:t>
      </w:r>
      <w:r w:rsidR="00711C37" w:rsidRPr="00711C37">
        <w:t xml:space="preserve">ppropriate than the </w:t>
      </w:r>
      <w:r w:rsidR="000C6DBB">
        <w:t xml:space="preserve">longer extensions </w:t>
      </w:r>
      <w:r w:rsidR="00711C37" w:rsidRPr="00711C37">
        <w:t xml:space="preserve">requested </w:t>
      </w:r>
      <w:r w:rsidR="000C6DBB">
        <w:t xml:space="preserve">in the Petitioners’ Motion. </w:t>
      </w:r>
    </w:p>
    <w:p w:rsidR="004E50A6" w:rsidRDefault="004E50A6" w:rsidP="004E50A6">
      <w:pPr>
        <w:pStyle w:val="ParaNum"/>
      </w:pPr>
      <w:r>
        <w:t xml:space="preserve">Accordingly, IT IS ORDERED, pursuant to </w:t>
      </w:r>
      <w:r w:rsidRPr="004769E4">
        <w:t>sections 4(i)</w:t>
      </w:r>
      <w:r>
        <w:t>, 4(j),</w:t>
      </w:r>
      <w:r w:rsidRPr="004769E4">
        <w:t xml:space="preserve"> </w:t>
      </w:r>
      <w:r>
        <w:t xml:space="preserve">5, </w:t>
      </w:r>
      <w:r w:rsidRPr="004769E4">
        <w:t>and 303(r) of the Communications Act, as amended, 47 U.S.C. §§ 154(i)</w:t>
      </w:r>
      <w:r>
        <w:t xml:space="preserve">, </w:t>
      </w:r>
      <w:r w:rsidRPr="004769E4">
        <w:t>154</w:t>
      </w:r>
      <w:r>
        <w:t xml:space="preserve">(j), 155, </w:t>
      </w:r>
      <w:r w:rsidRPr="004769E4">
        <w:t>and 303(r)</w:t>
      </w:r>
      <w:r>
        <w:t>,</w:t>
      </w:r>
      <w:r w:rsidRPr="004769E4">
        <w:t xml:space="preserve"> and sections </w:t>
      </w:r>
      <w:r>
        <w:t>0.</w:t>
      </w:r>
      <w:r w:rsidR="002F3997">
        <w:t>131</w:t>
      </w:r>
      <w:r>
        <w:t>, 0.</w:t>
      </w:r>
      <w:r w:rsidR="002F3997">
        <w:t>33</w:t>
      </w:r>
      <w:r>
        <w:t>1, 1.46, and 1.415</w:t>
      </w:r>
      <w:r w:rsidRPr="004769E4">
        <w:t xml:space="preserve"> of the Commission’s rules, 47 CFR §§ </w:t>
      </w:r>
      <w:r>
        <w:t>0.</w:t>
      </w:r>
      <w:r w:rsidR="002F3997">
        <w:t>13</w:t>
      </w:r>
      <w:r>
        <w:t>1, 0.</w:t>
      </w:r>
      <w:r w:rsidR="002F3997">
        <w:t>33</w:t>
      </w:r>
      <w:r>
        <w:t>1, 1.46</w:t>
      </w:r>
      <w:r w:rsidRPr="004769E4">
        <w:t>,</w:t>
      </w:r>
      <w:r w:rsidR="00C22681">
        <w:t xml:space="preserve"> and 1.415, that</w:t>
      </w:r>
      <w:r w:rsidR="00C22681">
        <w:rPr>
          <w:snapToGrid/>
        </w:rPr>
        <w:t xml:space="preserve"> the</w:t>
      </w:r>
      <w:r w:rsidR="003F77DB">
        <w:rPr>
          <w:snapToGrid/>
        </w:rPr>
        <w:t xml:space="preserve"> Motion for Extension of Time filed by the</w:t>
      </w:r>
      <w:r w:rsidR="00C22681">
        <w:rPr>
          <w:snapToGrid/>
        </w:rPr>
        <w:t xml:space="preserve"> National Association of Telecommunications Officers and Advisors, the United States Conference of Mayors, the National League of Cities, the Government Finance Officers Association, the International Municipal Lawyers Association and the National Association of Counties </w:t>
      </w:r>
      <w:r w:rsidR="00BA3A86">
        <w:t>on January 5, 2017</w:t>
      </w:r>
      <w:r>
        <w:t>, IS GRANTED IN PART to the extent described herein, and the deadline</w:t>
      </w:r>
      <w:r w:rsidR="00BA3A86">
        <w:t>s</w:t>
      </w:r>
      <w:r>
        <w:t xml:space="preserve"> for filing </w:t>
      </w:r>
      <w:r w:rsidR="00BA3A86">
        <w:t>comment</w:t>
      </w:r>
      <w:r w:rsidR="00895FED">
        <w:t>s</w:t>
      </w:r>
      <w:r w:rsidR="00BA3A86">
        <w:t xml:space="preserve"> and </w:t>
      </w:r>
      <w:r>
        <w:t>re</w:t>
      </w:r>
      <w:r w:rsidR="00BA3A86">
        <w:t>ply comments in response to the Public</w:t>
      </w:r>
      <w:r w:rsidR="003F77DB">
        <w:t xml:space="preserve"> Notice </w:t>
      </w:r>
      <w:r w:rsidR="00895FED">
        <w:t xml:space="preserve">in WT Docket No. 16-421 </w:t>
      </w:r>
      <w:r w:rsidR="003F77DB">
        <w:t>are</w:t>
      </w:r>
      <w:r>
        <w:rPr>
          <w:i/>
        </w:rPr>
        <w:t xml:space="preserve"> </w:t>
      </w:r>
      <w:r w:rsidR="003F77DB">
        <w:t>extended to</w:t>
      </w:r>
      <w:r>
        <w:t xml:space="preserve"> </w:t>
      </w:r>
      <w:r w:rsidR="00272E9B" w:rsidRPr="00272E9B">
        <w:t xml:space="preserve">March </w:t>
      </w:r>
      <w:r w:rsidR="003B4165">
        <w:t>8</w:t>
      </w:r>
      <w:r w:rsidR="008F654C">
        <w:t>, 2017,</w:t>
      </w:r>
      <w:r w:rsidR="00272E9B" w:rsidRPr="00272E9B">
        <w:t xml:space="preserve"> and </w:t>
      </w:r>
      <w:r w:rsidR="00E73506">
        <w:t xml:space="preserve">April </w:t>
      </w:r>
      <w:r w:rsidR="003B4165">
        <w:t>7</w:t>
      </w:r>
      <w:r w:rsidR="00B45F96">
        <w:t xml:space="preserve">, </w:t>
      </w:r>
      <w:r w:rsidR="00BA3A86" w:rsidRPr="00E73506">
        <w:t>2017</w:t>
      </w:r>
      <w:r w:rsidR="00BA3A86" w:rsidRPr="00272E9B">
        <w:t>, respectively</w:t>
      </w:r>
      <w:r>
        <w:t>.</w:t>
      </w:r>
    </w:p>
    <w:p w:rsidR="004E50A6" w:rsidRDefault="004E50A6" w:rsidP="004E50A6">
      <w:pPr>
        <w:pStyle w:val="ParaNum"/>
        <w:numPr>
          <w:ilvl w:val="0"/>
          <w:numId w:val="0"/>
        </w:numPr>
      </w:pPr>
    </w:p>
    <w:p w:rsidR="004E50A6" w:rsidRDefault="004E50A6" w:rsidP="004E50A6">
      <w:pPr>
        <w:pStyle w:val="ParaNum"/>
        <w:widowControl/>
        <w:numPr>
          <w:ilvl w:val="0"/>
          <w:numId w:val="0"/>
        </w:numPr>
        <w:spacing w:after="0"/>
        <w:ind w:left="3600"/>
      </w:pPr>
      <w:r>
        <w:t>FEDERAL COMMUNICATIONS COMMISSION</w:t>
      </w: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Default="004E50A6" w:rsidP="004E50A6">
      <w:pPr>
        <w:pStyle w:val="ParaNum"/>
        <w:widowControl/>
        <w:numPr>
          <w:ilvl w:val="0"/>
          <w:numId w:val="0"/>
        </w:numPr>
        <w:spacing w:after="0"/>
        <w:ind w:left="3600"/>
      </w:pPr>
    </w:p>
    <w:p w:rsidR="004E50A6" w:rsidRPr="005E3FE4" w:rsidRDefault="00C22681" w:rsidP="004E50A6">
      <w:pPr>
        <w:spacing w:before="40"/>
        <w:ind w:left="2880" w:firstLine="720"/>
        <w:rPr>
          <w:b/>
          <w:szCs w:val="22"/>
        </w:rPr>
      </w:pPr>
      <w:r>
        <w:rPr>
          <w:szCs w:val="22"/>
        </w:rPr>
        <w:t>Jon Wilkins</w:t>
      </w:r>
    </w:p>
    <w:p w:rsidR="004E50A6" w:rsidRDefault="004E50A6" w:rsidP="004E50A6">
      <w:pPr>
        <w:pStyle w:val="ParaNum"/>
        <w:widowControl/>
        <w:numPr>
          <w:ilvl w:val="0"/>
          <w:numId w:val="0"/>
        </w:numPr>
        <w:spacing w:after="0"/>
        <w:ind w:left="3600"/>
      </w:pPr>
      <w:r>
        <w:t xml:space="preserve">Chief </w:t>
      </w:r>
    </w:p>
    <w:p w:rsidR="004C2EE3" w:rsidRDefault="00C22681" w:rsidP="004E50A6">
      <w:pPr>
        <w:ind w:left="2880" w:firstLine="720"/>
      </w:pPr>
      <w:r>
        <w:t>Wireless Telecommunications</w:t>
      </w:r>
      <w:r w:rsidR="004E50A6">
        <w:t xml:space="preserve"> Bureau</w:t>
      </w:r>
    </w:p>
    <w:sectPr w:rsidR="004C2EE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FF" w:rsidRDefault="00767CFF">
      <w:pPr>
        <w:spacing w:line="20" w:lineRule="exact"/>
      </w:pPr>
    </w:p>
  </w:endnote>
  <w:endnote w:type="continuationSeparator" w:id="0">
    <w:p w:rsidR="00767CFF" w:rsidRDefault="00767CFF">
      <w:r>
        <w:t xml:space="preserve"> </w:t>
      </w:r>
    </w:p>
  </w:endnote>
  <w:endnote w:type="continuationNotice" w:id="1">
    <w:p w:rsidR="00767CFF" w:rsidRDefault="00767C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A73D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FF" w:rsidRDefault="00767CFF">
      <w:r>
        <w:separator/>
      </w:r>
    </w:p>
  </w:footnote>
  <w:footnote w:type="continuationSeparator" w:id="0">
    <w:p w:rsidR="00767CFF" w:rsidRDefault="00767CFF" w:rsidP="00C721AC">
      <w:pPr>
        <w:spacing w:before="120"/>
        <w:rPr>
          <w:sz w:val="20"/>
        </w:rPr>
      </w:pPr>
      <w:r>
        <w:rPr>
          <w:sz w:val="20"/>
        </w:rPr>
        <w:t xml:space="preserve">(Continued from previous page)  </w:t>
      </w:r>
      <w:r>
        <w:rPr>
          <w:sz w:val="20"/>
        </w:rPr>
        <w:separator/>
      </w:r>
    </w:p>
  </w:footnote>
  <w:footnote w:type="continuationNotice" w:id="1">
    <w:p w:rsidR="00767CFF" w:rsidRDefault="00767CFF" w:rsidP="00C721AC">
      <w:pPr>
        <w:jc w:val="right"/>
        <w:rPr>
          <w:sz w:val="20"/>
        </w:rPr>
      </w:pPr>
      <w:r>
        <w:rPr>
          <w:sz w:val="20"/>
        </w:rPr>
        <w:t>(continued….)</w:t>
      </w:r>
    </w:p>
  </w:footnote>
  <w:footnote w:id="2">
    <w:p w:rsidR="004E50A6" w:rsidRDefault="004E50A6" w:rsidP="004E50A6">
      <w:pPr>
        <w:pStyle w:val="FootnoteText"/>
      </w:pPr>
      <w:r>
        <w:rPr>
          <w:rStyle w:val="FootnoteReference"/>
        </w:rPr>
        <w:footnoteRef/>
      </w:r>
      <w:r>
        <w:t xml:space="preserve"> The </w:t>
      </w:r>
      <w:r w:rsidR="003B521D">
        <w:t>National</w:t>
      </w:r>
      <w:r w:rsidR="00A672F7">
        <w:t xml:space="preserve"> Association of Telecommunications Officers and Advisors, the United States Conference of Mayors, the </w:t>
      </w:r>
      <w:r w:rsidR="00912A9E">
        <w:t>National</w:t>
      </w:r>
      <w:r w:rsidR="00A672F7">
        <w:t xml:space="preserve"> League of Cities, the Government Finance </w:t>
      </w:r>
      <w:r w:rsidR="00912A9E">
        <w:t>Officers</w:t>
      </w:r>
      <w:r w:rsidR="00A672F7">
        <w:t xml:space="preserve"> Association, the International Municipal Lawyers Association</w:t>
      </w:r>
      <w:r w:rsidR="00912A9E">
        <w:t xml:space="preserve"> and the National Association of Counties</w:t>
      </w:r>
      <w:r>
        <w:t>, Motion for</w:t>
      </w:r>
      <w:r w:rsidR="00A672F7">
        <w:t xml:space="preserve"> Extension of Time, WT Docket No</w:t>
      </w:r>
      <w:r>
        <w:t>. 16</w:t>
      </w:r>
      <w:r w:rsidR="00A672F7">
        <w:t>-421 (filed January 5, 2017</w:t>
      </w:r>
      <w:r>
        <w:t>) (</w:t>
      </w:r>
      <w:r w:rsidRPr="00BA3A86">
        <w:t>Motion for Extension</w:t>
      </w:r>
      <w:r>
        <w:t>).</w:t>
      </w:r>
    </w:p>
  </w:footnote>
  <w:footnote w:id="3">
    <w:p w:rsidR="004E50A6" w:rsidRDefault="004E50A6" w:rsidP="004E50A6">
      <w:pPr>
        <w:pStyle w:val="FootnoteText"/>
      </w:pPr>
      <w:r>
        <w:rPr>
          <w:rStyle w:val="FootnoteReference"/>
        </w:rPr>
        <w:footnoteRef/>
      </w:r>
      <w:r>
        <w:t xml:space="preserve"> </w:t>
      </w:r>
      <w:r w:rsidR="00912A9E">
        <w:rPr>
          <w:i/>
        </w:rPr>
        <w:t>Streamlining Deployment of Small Cell Infrastructure by Improving Wireless Facilities Siting Policies, Mobilitie, LLC Petition for Declaratory Ruling</w:t>
      </w:r>
      <w:r>
        <w:t xml:space="preserve">, </w:t>
      </w:r>
      <w:r w:rsidR="00912A9E">
        <w:t>Public Notice</w:t>
      </w:r>
      <w:r>
        <w:t xml:space="preserve">, </w:t>
      </w:r>
      <w:r w:rsidR="00912A9E">
        <w:t xml:space="preserve">WT Docket No. </w:t>
      </w:r>
      <w:r w:rsidR="003B521D">
        <w:t>16-4</w:t>
      </w:r>
      <w:r w:rsidR="00912A9E">
        <w:t>21</w:t>
      </w:r>
      <w:r>
        <w:t xml:space="preserve"> (</w:t>
      </w:r>
      <w:r w:rsidR="00912A9E">
        <w:t xml:space="preserve">WTB </w:t>
      </w:r>
      <w:r>
        <w:t xml:space="preserve">2016) </w:t>
      </w:r>
      <w:r w:rsidRPr="00912A9E">
        <w:t>(</w:t>
      </w:r>
      <w:r w:rsidR="00912A9E" w:rsidRPr="00912A9E">
        <w:t>Public Notice</w:t>
      </w:r>
      <w:r w:rsidRPr="00912A9E">
        <w:t>).</w:t>
      </w:r>
    </w:p>
  </w:footnote>
  <w:footnote w:id="4">
    <w:p w:rsidR="004E50A6" w:rsidRPr="00B45F96" w:rsidRDefault="004E50A6" w:rsidP="004E50A6">
      <w:pPr>
        <w:pStyle w:val="FootnoteText"/>
      </w:pPr>
      <w:r>
        <w:rPr>
          <w:rStyle w:val="FootnoteReference"/>
        </w:rPr>
        <w:footnoteRef/>
      </w:r>
      <w:r>
        <w:t xml:space="preserve"> </w:t>
      </w:r>
      <w:r>
        <w:rPr>
          <w:i/>
        </w:rPr>
        <w:t>Id.</w:t>
      </w:r>
      <w:r w:rsidR="00B45F96">
        <w:t xml:space="preserve"> at 1.</w:t>
      </w:r>
    </w:p>
  </w:footnote>
  <w:footnote w:id="5">
    <w:p w:rsidR="004E50A6" w:rsidRDefault="004E50A6" w:rsidP="004E50A6">
      <w:pPr>
        <w:pStyle w:val="FootnoteText"/>
      </w:pPr>
      <w:r>
        <w:rPr>
          <w:rStyle w:val="FootnoteReference"/>
        </w:rPr>
        <w:footnoteRef/>
      </w:r>
      <w:r>
        <w:t xml:space="preserve"> </w:t>
      </w:r>
      <w:r w:rsidRPr="00BA229F">
        <w:rPr>
          <w:i/>
        </w:rPr>
        <w:t>See</w:t>
      </w:r>
      <w:r>
        <w:t xml:space="preserve"> </w:t>
      </w:r>
      <w:r w:rsidR="00BA3A86" w:rsidRPr="00BA3A86">
        <w:t>Motion for Extension</w:t>
      </w:r>
      <w:r w:rsidR="005D3031">
        <w:t xml:space="preserve"> at </w:t>
      </w:r>
      <w:r w:rsidR="003A6C19">
        <w:t>4</w:t>
      </w:r>
      <w:r w:rsidR="00BA3A86">
        <w:t>.</w:t>
      </w:r>
    </w:p>
  </w:footnote>
  <w:footnote w:id="6">
    <w:p w:rsidR="004E50A6" w:rsidRDefault="004E50A6" w:rsidP="004E50A6">
      <w:pPr>
        <w:pStyle w:val="FootnoteText"/>
      </w:pPr>
      <w:r>
        <w:rPr>
          <w:rStyle w:val="FootnoteReference"/>
        </w:rPr>
        <w:footnoteRef/>
      </w:r>
      <w:r>
        <w:t xml:space="preserve"> </w:t>
      </w:r>
      <w:r w:rsidR="000315B2" w:rsidRPr="000315B2">
        <w:rPr>
          <w:i/>
        </w:rPr>
        <w:t>Id</w:t>
      </w:r>
      <w:r w:rsidR="000315B2">
        <w:t xml:space="preserve">. </w:t>
      </w:r>
      <w:r w:rsidR="004F1A52">
        <w:t>at 2-4.</w:t>
      </w:r>
    </w:p>
  </w:footnote>
  <w:footnote w:id="7">
    <w:p w:rsidR="004E50A6" w:rsidRDefault="004E50A6" w:rsidP="004E50A6">
      <w:pPr>
        <w:pStyle w:val="FootnoteText"/>
      </w:pPr>
      <w:r>
        <w:rPr>
          <w:rStyle w:val="FootnoteReference"/>
        </w:rPr>
        <w:footnoteRef/>
      </w:r>
      <w:r>
        <w:t xml:space="preserve"> 47 CFR § 1.46.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B49" w:rsidRDefault="00924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E50A6">
      <w:t>DA 1</w:t>
    </w:r>
    <w:r w:rsidR="00B30CB6">
      <w:t>7</w:t>
    </w:r>
    <w:r w:rsidR="00CD6918">
      <w:t>-51</w:t>
    </w:r>
  </w:p>
  <w:p w:rsidR="00D25FB5" w:rsidRDefault="003E668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31C7EB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E668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57684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672F7">
      <w:rPr>
        <w:spacing w:val="-2"/>
      </w:rPr>
      <w:t>DA 17</w:t>
    </w:r>
    <w:r w:rsidR="00CD6918">
      <w:rPr>
        <w:spacing w:val="-2"/>
      </w:rPr>
      <w:t>-51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0A6"/>
    <w:rsid w:val="00011833"/>
    <w:rsid w:val="00025E3B"/>
    <w:rsid w:val="000315B2"/>
    <w:rsid w:val="00036039"/>
    <w:rsid w:val="00037F90"/>
    <w:rsid w:val="000875BF"/>
    <w:rsid w:val="00096D8C"/>
    <w:rsid w:val="000C0B65"/>
    <w:rsid w:val="000C6DBB"/>
    <w:rsid w:val="000E05FE"/>
    <w:rsid w:val="000E3D42"/>
    <w:rsid w:val="000F6640"/>
    <w:rsid w:val="00122BD5"/>
    <w:rsid w:val="00133F79"/>
    <w:rsid w:val="00194A66"/>
    <w:rsid w:val="001B620F"/>
    <w:rsid w:val="001D6BCF"/>
    <w:rsid w:val="001E01CA"/>
    <w:rsid w:val="00272E9B"/>
    <w:rsid w:val="00275CF5"/>
    <w:rsid w:val="0028301F"/>
    <w:rsid w:val="00285017"/>
    <w:rsid w:val="002A2D2E"/>
    <w:rsid w:val="002C00E8"/>
    <w:rsid w:val="002F3997"/>
    <w:rsid w:val="00323CA4"/>
    <w:rsid w:val="003249E2"/>
    <w:rsid w:val="00343749"/>
    <w:rsid w:val="003549D8"/>
    <w:rsid w:val="003660ED"/>
    <w:rsid w:val="00392385"/>
    <w:rsid w:val="00393A60"/>
    <w:rsid w:val="003A6C19"/>
    <w:rsid w:val="003B0550"/>
    <w:rsid w:val="003B4165"/>
    <w:rsid w:val="003B521D"/>
    <w:rsid w:val="003B694F"/>
    <w:rsid w:val="003E6684"/>
    <w:rsid w:val="003F171C"/>
    <w:rsid w:val="003F77DB"/>
    <w:rsid w:val="00412FC5"/>
    <w:rsid w:val="00422276"/>
    <w:rsid w:val="004242F1"/>
    <w:rsid w:val="00445A00"/>
    <w:rsid w:val="00451B0F"/>
    <w:rsid w:val="00461275"/>
    <w:rsid w:val="004C2EE3"/>
    <w:rsid w:val="004E4A22"/>
    <w:rsid w:val="004E50A6"/>
    <w:rsid w:val="004F1A52"/>
    <w:rsid w:val="00511968"/>
    <w:rsid w:val="005375C9"/>
    <w:rsid w:val="0055614C"/>
    <w:rsid w:val="005A3688"/>
    <w:rsid w:val="005D3031"/>
    <w:rsid w:val="005E14C2"/>
    <w:rsid w:val="00607BA5"/>
    <w:rsid w:val="0061180A"/>
    <w:rsid w:val="00614C8D"/>
    <w:rsid w:val="00626EB6"/>
    <w:rsid w:val="0064593B"/>
    <w:rsid w:val="00655D03"/>
    <w:rsid w:val="00683388"/>
    <w:rsid w:val="00683F84"/>
    <w:rsid w:val="006A6A81"/>
    <w:rsid w:val="006F7393"/>
    <w:rsid w:val="0070224F"/>
    <w:rsid w:val="007115F7"/>
    <w:rsid w:val="00711C37"/>
    <w:rsid w:val="007171F0"/>
    <w:rsid w:val="00763CFE"/>
    <w:rsid w:val="00767CFF"/>
    <w:rsid w:val="00785689"/>
    <w:rsid w:val="0079754B"/>
    <w:rsid w:val="007A1E6D"/>
    <w:rsid w:val="007B0EB2"/>
    <w:rsid w:val="00810B6F"/>
    <w:rsid w:val="00817315"/>
    <w:rsid w:val="00822CE0"/>
    <w:rsid w:val="00841AB1"/>
    <w:rsid w:val="00895FED"/>
    <w:rsid w:val="008C68F1"/>
    <w:rsid w:val="008F654C"/>
    <w:rsid w:val="00912A9E"/>
    <w:rsid w:val="00921803"/>
    <w:rsid w:val="00924B49"/>
    <w:rsid w:val="00926503"/>
    <w:rsid w:val="009726D8"/>
    <w:rsid w:val="009F76DB"/>
    <w:rsid w:val="00A32C3B"/>
    <w:rsid w:val="00A45F4F"/>
    <w:rsid w:val="00A600A9"/>
    <w:rsid w:val="00A672F7"/>
    <w:rsid w:val="00AA55B7"/>
    <w:rsid w:val="00AA5B9E"/>
    <w:rsid w:val="00AB2407"/>
    <w:rsid w:val="00AB53DF"/>
    <w:rsid w:val="00AB7371"/>
    <w:rsid w:val="00B05AF9"/>
    <w:rsid w:val="00B07E5C"/>
    <w:rsid w:val="00B1787E"/>
    <w:rsid w:val="00B30CB6"/>
    <w:rsid w:val="00B45F96"/>
    <w:rsid w:val="00B811F7"/>
    <w:rsid w:val="00BA3A86"/>
    <w:rsid w:val="00BA5DC6"/>
    <w:rsid w:val="00BA6196"/>
    <w:rsid w:val="00BA73D6"/>
    <w:rsid w:val="00BC6D8C"/>
    <w:rsid w:val="00BD4CC2"/>
    <w:rsid w:val="00C04B8C"/>
    <w:rsid w:val="00C22681"/>
    <w:rsid w:val="00C34006"/>
    <w:rsid w:val="00C426B1"/>
    <w:rsid w:val="00C66160"/>
    <w:rsid w:val="00C721AC"/>
    <w:rsid w:val="00C86F3A"/>
    <w:rsid w:val="00C90D6A"/>
    <w:rsid w:val="00CA247E"/>
    <w:rsid w:val="00CC72B6"/>
    <w:rsid w:val="00CD6918"/>
    <w:rsid w:val="00D0218D"/>
    <w:rsid w:val="00D0602E"/>
    <w:rsid w:val="00D25FB5"/>
    <w:rsid w:val="00D44223"/>
    <w:rsid w:val="00D62DCA"/>
    <w:rsid w:val="00DA2529"/>
    <w:rsid w:val="00DB130A"/>
    <w:rsid w:val="00DB2EBB"/>
    <w:rsid w:val="00DC10A1"/>
    <w:rsid w:val="00DC655F"/>
    <w:rsid w:val="00DD0B59"/>
    <w:rsid w:val="00DD7EBD"/>
    <w:rsid w:val="00DF62B6"/>
    <w:rsid w:val="00E07225"/>
    <w:rsid w:val="00E37116"/>
    <w:rsid w:val="00E5409F"/>
    <w:rsid w:val="00E73506"/>
    <w:rsid w:val="00E916B0"/>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rsid w:val="004E50A6"/>
  </w:style>
  <w:style w:type="character" w:customStyle="1" w:styleId="ParaNumCharChar1">
    <w:name w:val="ParaNum Char Char1"/>
    <w:link w:val="ParaNum"/>
    <w:rsid w:val="004E50A6"/>
    <w:rPr>
      <w:snapToGrid w:val="0"/>
      <w:kern w:val="28"/>
      <w:sz w:val="22"/>
    </w:rPr>
  </w:style>
  <w:style w:type="paragraph" w:styleId="BalloonText">
    <w:name w:val="Balloon Text"/>
    <w:basedOn w:val="Normal"/>
    <w:link w:val="BalloonTextChar"/>
    <w:semiHidden/>
    <w:unhideWhenUsed/>
    <w:rsid w:val="005D3031"/>
    <w:rPr>
      <w:rFonts w:ascii="Segoe UI" w:hAnsi="Segoe UI" w:cs="Segoe UI"/>
      <w:sz w:val="18"/>
      <w:szCs w:val="18"/>
    </w:rPr>
  </w:style>
  <w:style w:type="character" w:customStyle="1" w:styleId="BalloonTextChar">
    <w:name w:val="Balloon Text Char"/>
    <w:basedOn w:val="DefaultParagraphFont"/>
    <w:link w:val="BalloonText"/>
    <w:semiHidden/>
    <w:rsid w:val="005D303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508</Words>
  <Characters>2726</Characters>
  <Application>Microsoft Office Word</Application>
  <DocSecurity>0</DocSecurity>
  <Lines>78</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2017-01-12T20:06:00Z</dcterms:created>
  <dcterms:modified xsi:type="dcterms:W3CDTF">2017-01-12T20:06:00Z</dcterms:modified>
  <cp:category> </cp:category>
  <cp:contentStatus> </cp:contentStatus>
</cp:coreProperties>
</file>