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55" w:rsidRDefault="00692855">
      <w:pPr>
        <w:pStyle w:val="Header"/>
        <w:tabs>
          <w:tab w:val="clear" w:pos="4320"/>
          <w:tab w:val="clear" w:pos="8640"/>
        </w:tabs>
        <w:sectPr w:rsidR="0069285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t xml:space="preserve"> </w:t>
      </w:r>
    </w:p>
    <w:p w:rsidR="00692855" w:rsidRDefault="00692855">
      <w:pPr>
        <w:suppressAutoHyphens/>
        <w:ind w:left="7920"/>
        <w:jc w:val="right"/>
        <w:rPr>
          <w:b/>
          <w:szCs w:val="22"/>
        </w:rPr>
      </w:pPr>
      <w:r>
        <w:rPr>
          <w:b/>
          <w:szCs w:val="22"/>
        </w:rPr>
        <w:lastRenderedPageBreak/>
        <w:t xml:space="preserve">DA </w:t>
      </w:r>
      <w:r w:rsidR="0039171B">
        <w:rPr>
          <w:b/>
          <w:szCs w:val="22"/>
        </w:rPr>
        <w:t>17</w:t>
      </w:r>
      <w:r w:rsidR="002603E3">
        <w:rPr>
          <w:b/>
          <w:szCs w:val="22"/>
        </w:rPr>
        <w:t>-</w:t>
      </w:r>
      <w:r w:rsidR="0039171B">
        <w:rPr>
          <w:b/>
          <w:szCs w:val="22"/>
        </w:rPr>
        <w:t>52</w:t>
      </w:r>
    </w:p>
    <w:p w:rsidR="00692855" w:rsidRDefault="00692855">
      <w:pPr>
        <w:suppressAutoHyphens/>
        <w:spacing w:after="240"/>
        <w:ind w:left="720"/>
        <w:jc w:val="right"/>
        <w:rPr>
          <w:b/>
          <w:szCs w:val="22"/>
        </w:rPr>
      </w:pPr>
      <w:r>
        <w:rPr>
          <w:b/>
          <w:szCs w:val="22"/>
        </w:rPr>
        <w:t xml:space="preserve">Released:  </w:t>
      </w:r>
      <w:r w:rsidR="003D700E">
        <w:rPr>
          <w:b/>
          <w:szCs w:val="22"/>
        </w:rPr>
        <w:t xml:space="preserve">January </w:t>
      </w:r>
      <w:r w:rsidR="00A105E1">
        <w:rPr>
          <w:b/>
          <w:szCs w:val="22"/>
        </w:rPr>
        <w:t>12</w:t>
      </w:r>
      <w:r w:rsidR="003D700E">
        <w:rPr>
          <w:b/>
          <w:szCs w:val="22"/>
        </w:rPr>
        <w:t>, 2017</w:t>
      </w:r>
    </w:p>
    <w:p w:rsidR="00692855" w:rsidRPr="002603E3" w:rsidRDefault="00692855" w:rsidP="002603E3">
      <w:pPr>
        <w:autoSpaceDE w:val="0"/>
        <w:autoSpaceDN w:val="0"/>
        <w:adjustRightInd w:val="0"/>
        <w:jc w:val="center"/>
        <w:rPr>
          <w:rFonts w:ascii="Times New Roman Bold" w:hAnsi="Times New Roman Bold"/>
          <w:b/>
          <w:caps/>
          <w:szCs w:val="22"/>
        </w:rPr>
      </w:pPr>
      <w:r w:rsidRPr="002603E3">
        <w:rPr>
          <w:rFonts w:ascii="Times New Roman Bold" w:hAnsi="Times New Roman Bold"/>
          <w:b/>
          <w:caps/>
          <w:szCs w:val="22"/>
        </w:rPr>
        <w:t xml:space="preserve">APPLICATIONS FILED BY </w:t>
      </w:r>
      <w:r w:rsidR="002603E3" w:rsidRPr="002603E3">
        <w:rPr>
          <w:rFonts w:ascii="Times New Roman Bold" w:hAnsi="Times New Roman Bold"/>
          <w:b/>
          <w:caps/>
          <w:szCs w:val="22"/>
        </w:rPr>
        <w:t>Consolidated Communications Holdings, Inc.</w:t>
      </w:r>
      <w:r w:rsidRPr="002603E3">
        <w:rPr>
          <w:rFonts w:ascii="Times New Roman Bold" w:hAnsi="Times New Roman Bold"/>
          <w:b/>
          <w:caps/>
          <w:szCs w:val="22"/>
        </w:rPr>
        <w:t xml:space="preserve"> AND </w:t>
      </w:r>
    </w:p>
    <w:p w:rsidR="00692855" w:rsidRPr="002603E3" w:rsidRDefault="002603E3" w:rsidP="002603E3">
      <w:pPr>
        <w:autoSpaceDE w:val="0"/>
        <w:autoSpaceDN w:val="0"/>
        <w:adjustRightInd w:val="0"/>
        <w:jc w:val="center"/>
        <w:rPr>
          <w:rFonts w:ascii="Times New Roman Bold" w:hAnsi="Times New Roman Bold"/>
          <w:b/>
          <w:caps/>
          <w:szCs w:val="22"/>
        </w:rPr>
      </w:pPr>
      <w:r w:rsidRPr="002603E3">
        <w:rPr>
          <w:rFonts w:ascii="Times New Roman Bold" w:hAnsi="Times New Roman Bold"/>
          <w:b/>
          <w:caps/>
          <w:szCs w:val="22"/>
        </w:rPr>
        <w:t>FairPoint Communications, Inc.</w:t>
      </w:r>
      <w:r w:rsidR="00692855" w:rsidRPr="002603E3">
        <w:rPr>
          <w:rFonts w:ascii="Times New Roman Bold" w:hAnsi="Times New Roman Bold"/>
          <w:b/>
          <w:caps/>
          <w:szCs w:val="22"/>
        </w:rPr>
        <w:t xml:space="preserve"> FOR THE ASSIGNMENT OR </w:t>
      </w:r>
    </w:p>
    <w:p w:rsidR="00692855" w:rsidRPr="002603E3" w:rsidRDefault="00692855" w:rsidP="002603E3">
      <w:pPr>
        <w:autoSpaceDE w:val="0"/>
        <w:autoSpaceDN w:val="0"/>
        <w:adjustRightInd w:val="0"/>
        <w:jc w:val="center"/>
        <w:rPr>
          <w:rFonts w:ascii="Times New Roman Bold" w:hAnsi="Times New Roman Bold"/>
          <w:b/>
          <w:caps/>
          <w:szCs w:val="22"/>
        </w:rPr>
      </w:pPr>
      <w:r w:rsidRPr="002603E3">
        <w:rPr>
          <w:rFonts w:ascii="Times New Roman Bold" w:hAnsi="Times New Roman Bold"/>
          <w:b/>
          <w:caps/>
          <w:szCs w:val="22"/>
        </w:rPr>
        <w:t xml:space="preserve">TRANSFER OF CONTROL OF CERTAIN </w:t>
      </w:r>
      <w:r w:rsidR="00D94E18">
        <w:rPr>
          <w:rFonts w:ascii="Times New Roman Bold" w:hAnsi="Times New Roman Bold"/>
          <w:b/>
          <w:caps/>
          <w:szCs w:val="22"/>
        </w:rPr>
        <w:t xml:space="preserve">Domestic and International </w:t>
      </w:r>
      <w:r w:rsidR="00AE6A0D">
        <w:rPr>
          <w:rFonts w:ascii="Times New Roman Bold" w:hAnsi="Times New Roman Bold"/>
          <w:b/>
          <w:caps/>
          <w:szCs w:val="22"/>
        </w:rPr>
        <w:t>AUTHORIZATIONS</w:t>
      </w:r>
    </w:p>
    <w:p w:rsidR="00692855" w:rsidRDefault="00692855">
      <w:pPr>
        <w:autoSpaceDE w:val="0"/>
        <w:autoSpaceDN w:val="0"/>
        <w:adjustRightInd w:val="0"/>
        <w:jc w:val="center"/>
        <w:rPr>
          <w:b/>
          <w:szCs w:val="22"/>
        </w:rPr>
      </w:pPr>
    </w:p>
    <w:p w:rsidR="00692855" w:rsidRDefault="00692855">
      <w:pPr>
        <w:suppressAutoHyphens/>
        <w:spacing w:after="240"/>
        <w:jc w:val="center"/>
        <w:rPr>
          <w:b/>
          <w:caps/>
          <w:szCs w:val="22"/>
        </w:rPr>
      </w:pPr>
      <w:r>
        <w:rPr>
          <w:b/>
          <w:caps/>
          <w:szCs w:val="22"/>
        </w:rPr>
        <w:t>Pleading Cycle Established</w:t>
      </w:r>
    </w:p>
    <w:p w:rsidR="00692855" w:rsidRDefault="00692855">
      <w:pPr>
        <w:suppressAutoHyphens/>
        <w:spacing w:after="240"/>
        <w:jc w:val="center"/>
        <w:rPr>
          <w:b/>
          <w:szCs w:val="22"/>
        </w:rPr>
      </w:pPr>
      <w:r>
        <w:rPr>
          <w:b/>
          <w:szCs w:val="22"/>
        </w:rPr>
        <w:t xml:space="preserve">WC Docket No. </w:t>
      </w:r>
      <w:r w:rsidR="002603E3">
        <w:rPr>
          <w:b/>
          <w:szCs w:val="22"/>
        </w:rPr>
        <w:t>16-</w:t>
      </w:r>
      <w:r w:rsidR="00EF26D8">
        <w:rPr>
          <w:b/>
          <w:szCs w:val="22"/>
        </w:rPr>
        <w:t>417</w:t>
      </w:r>
    </w:p>
    <w:p w:rsidR="00692855" w:rsidRDefault="00692855">
      <w:pPr>
        <w:suppressAutoHyphens/>
        <w:rPr>
          <w:b/>
          <w:szCs w:val="22"/>
        </w:rPr>
      </w:pPr>
      <w:r>
        <w:rPr>
          <w:b/>
          <w:szCs w:val="22"/>
        </w:rPr>
        <w:t xml:space="preserve">Comments/Petitions Due: </w:t>
      </w:r>
      <w:r w:rsidR="00A105E1">
        <w:rPr>
          <w:b/>
          <w:szCs w:val="22"/>
        </w:rPr>
        <w:t>February 13, 2017</w:t>
      </w:r>
      <w:r>
        <w:rPr>
          <w:b/>
          <w:szCs w:val="22"/>
        </w:rPr>
        <w:t xml:space="preserve"> </w:t>
      </w:r>
    </w:p>
    <w:p w:rsidR="00692855" w:rsidRDefault="00D91601">
      <w:pPr>
        <w:suppressAutoHyphens/>
        <w:rPr>
          <w:b/>
          <w:szCs w:val="22"/>
        </w:rPr>
      </w:pPr>
      <w:r>
        <w:rPr>
          <w:b/>
          <w:szCs w:val="22"/>
        </w:rPr>
        <w:t xml:space="preserve">Reply/Oppositions Due: </w:t>
      </w:r>
      <w:r w:rsidR="00A105E1">
        <w:rPr>
          <w:b/>
          <w:szCs w:val="22"/>
        </w:rPr>
        <w:t>February 28, 2017</w:t>
      </w:r>
      <w:r w:rsidR="00692855">
        <w:rPr>
          <w:b/>
          <w:szCs w:val="22"/>
        </w:rPr>
        <w:t xml:space="preserve"> </w:t>
      </w:r>
    </w:p>
    <w:p w:rsidR="00692855" w:rsidRDefault="00692855">
      <w:pPr>
        <w:autoSpaceDE w:val="0"/>
        <w:autoSpaceDN w:val="0"/>
        <w:adjustRightInd w:val="0"/>
        <w:rPr>
          <w:rFonts w:ascii="Arial" w:hAnsi="Arial" w:cs="Arial"/>
          <w:szCs w:val="22"/>
        </w:rPr>
      </w:pPr>
    </w:p>
    <w:p w:rsidR="00692855" w:rsidRDefault="002603E3">
      <w:pPr>
        <w:spacing w:after="240"/>
        <w:ind w:firstLine="720"/>
      </w:pPr>
      <w:r>
        <w:t>Consolidated Communications Holdings, Inc. (Con</w:t>
      </w:r>
      <w:r w:rsidR="00EF26D8">
        <w:t>solidated Holdings)</w:t>
      </w:r>
      <w:r w:rsidR="00692855">
        <w:t xml:space="preserve"> and </w:t>
      </w:r>
      <w:r w:rsidR="00EF26D8">
        <w:t>FairPoint Communications, Inc. (FairPoint)</w:t>
      </w:r>
      <w:r w:rsidR="00692855">
        <w:t xml:space="preserve"> (together, Applicants) filed a</w:t>
      </w:r>
      <w:r w:rsidR="00D91601">
        <w:t xml:space="preserve"> </w:t>
      </w:r>
      <w:r w:rsidR="00E21688">
        <w:t xml:space="preserve">series of </w:t>
      </w:r>
      <w:r w:rsidR="00692855">
        <w:t>application</w:t>
      </w:r>
      <w:r w:rsidR="00E21688">
        <w:t>s</w:t>
      </w:r>
      <w:r w:rsidR="00692855">
        <w:t xml:space="preserve"> pursuant to sections 214 and 310(d) of the Communications Act of 1934, as amended (Act),</w:t>
      </w:r>
      <w:r w:rsidR="00692855">
        <w:rPr>
          <w:szCs w:val="22"/>
          <w:vertAlign w:val="superscript"/>
        </w:rPr>
        <w:footnoteReference w:id="1"/>
      </w:r>
      <w:r w:rsidR="00692855">
        <w:t xml:space="preserve"> seeking approval for various assignments and the transfer of control of licenses and authorizations held by </w:t>
      </w:r>
      <w:r w:rsidR="00EF26D8">
        <w:t>FairPoint</w:t>
      </w:r>
      <w:r w:rsidR="00692855">
        <w:t xml:space="preserve"> to </w:t>
      </w:r>
      <w:r w:rsidR="00EF26D8">
        <w:t>Consolidated Holdings</w:t>
      </w:r>
      <w:r w:rsidR="00692855">
        <w:t>.</w:t>
      </w:r>
      <w:r w:rsidR="00E21688" w:rsidRPr="00E21688">
        <w:rPr>
          <w:vertAlign w:val="superscript"/>
        </w:rPr>
        <w:footnoteReference w:id="2"/>
      </w:r>
      <w:r w:rsidR="00692855">
        <w:t xml:space="preserve">  </w:t>
      </w:r>
    </w:p>
    <w:p w:rsidR="00BC5AB3" w:rsidRDefault="00BC5AB3" w:rsidP="00D70282">
      <w:pPr>
        <w:ind w:firstLine="720"/>
        <w:rPr>
          <w:szCs w:val="22"/>
        </w:rPr>
      </w:pPr>
      <w:r>
        <w:rPr>
          <w:szCs w:val="22"/>
        </w:rPr>
        <w:t>FairPoint</w:t>
      </w:r>
      <w:r w:rsidR="00635167">
        <w:rPr>
          <w:szCs w:val="22"/>
        </w:rPr>
        <w:t>,</w:t>
      </w:r>
      <w:r>
        <w:rPr>
          <w:szCs w:val="22"/>
        </w:rPr>
        <w:t xml:space="preserve"> a publicly-traded Delaware Corporation</w:t>
      </w:r>
      <w:r w:rsidR="00635167">
        <w:rPr>
          <w:szCs w:val="22"/>
        </w:rPr>
        <w:t>,</w:t>
      </w:r>
      <w:r>
        <w:rPr>
          <w:szCs w:val="22"/>
        </w:rPr>
        <w:t xml:space="preserve"> function</w:t>
      </w:r>
      <w:r w:rsidR="00635167">
        <w:rPr>
          <w:szCs w:val="22"/>
        </w:rPr>
        <w:t>s</w:t>
      </w:r>
      <w:r>
        <w:rPr>
          <w:szCs w:val="22"/>
        </w:rPr>
        <w:t xml:space="preserve"> as a holding corporation for a number of </w:t>
      </w:r>
      <w:r w:rsidR="00AE6A0D">
        <w:rPr>
          <w:szCs w:val="22"/>
        </w:rPr>
        <w:t xml:space="preserve">subsidiaries (the </w:t>
      </w:r>
      <w:r>
        <w:rPr>
          <w:szCs w:val="22"/>
        </w:rPr>
        <w:t>Licensees</w:t>
      </w:r>
      <w:r w:rsidR="00AE6A0D">
        <w:rPr>
          <w:szCs w:val="22"/>
        </w:rPr>
        <w:t>)</w:t>
      </w:r>
      <w:r>
        <w:rPr>
          <w:szCs w:val="22"/>
        </w:rPr>
        <w:t xml:space="preserve"> that provide telecommunication</w:t>
      </w:r>
      <w:r w:rsidR="00635167">
        <w:rPr>
          <w:szCs w:val="22"/>
        </w:rPr>
        <w:t>s</w:t>
      </w:r>
      <w:r>
        <w:rPr>
          <w:szCs w:val="22"/>
        </w:rPr>
        <w:t xml:space="preserve"> services.</w:t>
      </w:r>
      <w:r>
        <w:rPr>
          <w:rStyle w:val="FootnoteReference"/>
          <w:szCs w:val="22"/>
        </w:rPr>
        <w:footnoteReference w:id="3"/>
      </w:r>
      <w:r>
        <w:rPr>
          <w:szCs w:val="22"/>
        </w:rPr>
        <w:t xml:space="preserve">  </w:t>
      </w:r>
      <w:r w:rsidR="00D70282">
        <w:rPr>
          <w:szCs w:val="22"/>
        </w:rPr>
        <w:t>FairPoint’s Licensees provide</w:t>
      </w:r>
      <w:r>
        <w:rPr>
          <w:szCs w:val="22"/>
        </w:rPr>
        <w:t xml:space="preserve"> </w:t>
      </w:r>
      <w:r w:rsidR="00D70282">
        <w:rPr>
          <w:szCs w:val="22"/>
        </w:rPr>
        <w:t xml:space="preserve">telecommunications </w:t>
      </w:r>
      <w:r w:rsidR="00251B04">
        <w:rPr>
          <w:szCs w:val="22"/>
        </w:rPr>
        <w:t xml:space="preserve">services </w:t>
      </w:r>
      <w:r w:rsidR="00D70282">
        <w:rPr>
          <w:szCs w:val="22"/>
        </w:rPr>
        <w:t>as incumbent local exchange carrier</w:t>
      </w:r>
      <w:r w:rsidR="00D91601">
        <w:rPr>
          <w:szCs w:val="22"/>
        </w:rPr>
        <w:t>s (</w:t>
      </w:r>
      <w:r w:rsidR="00AE6A0D">
        <w:rPr>
          <w:szCs w:val="22"/>
        </w:rPr>
        <w:t xml:space="preserve">incumbent </w:t>
      </w:r>
      <w:r w:rsidR="00D91601">
        <w:rPr>
          <w:szCs w:val="22"/>
        </w:rPr>
        <w:t>LEC), inter</w:t>
      </w:r>
      <w:r w:rsidR="00D70282">
        <w:rPr>
          <w:szCs w:val="22"/>
        </w:rPr>
        <w:t>exchange carriers (IXC), competitive local exchange carriers (</w:t>
      </w:r>
      <w:r w:rsidR="00AE6A0D">
        <w:rPr>
          <w:szCs w:val="22"/>
        </w:rPr>
        <w:t xml:space="preserve">competitive </w:t>
      </w:r>
      <w:r w:rsidR="00D70282">
        <w:rPr>
          <w:szCs w:val="22"/>
        </w:rPr>
        <w:t>LEC), and global resale service carriers</w:t>
      </w:r>
      <w:r>
        <w:rPr>
          <w:szCs w:val="22"/>
        </w:rPr>
        <w:t>.</w:t>
      </w:r>
      <w:r w:rsidR="00D70282">
        <w:rPr>
          <w:rStyle w:val="FootnoteReference"/>
          <w:szCs w:val="22"/>
        </w:rPr>
        <w:footnoteReference w:id="4"/>
      </w:r>
      <w:r>
        <w:rPr>
          <w:szCs w:val="22"/>
        </w:rPr>
        <w:t xml:space="preserve"> </w:t>
      </w:r>
      <w:r w:rsidR="00D70282">
        <w:rPr>
          <w:szCs w:val="22"/>
        </w:rPr>
        <w:t xml:space="preserve"> The Licensees provide </w:t>
      </w:r>
      <w:r w:rsidR="00D70282" w:rsidRPr="00D70282">
        <w:rPr>
          <w:szCs w:val="22"/>
        </w:rPr>
        <w:t>voice, data and broadband internet access services.</w:t>
      </w:r>
      <w:r w:rsidR="00D70282">
        <w:rPr>
          <w:rStyle w:val="FootnoteReference"/>
          <w:szCs w:val="22"/>
        </w:rPr>
        <w:footnoteReference w:id="5"/>
      </w:r>
      <w:r w:rsidR="00D70282">
        <w:rPr>
          <w:szCs w:val="22"/>
        </w:rPr>
        <w:t xml:space="preserve">  Applicants state that these operations include approximately 310,000 </w:t>
      </w:r>
      <w:r w:rsidR="00A255C5">
        <w:rPr>
          <w:szCs w:val="22"/>
        </w:rPr>
        <w:t>broadband subscribers and 377,000 residential voice subscribers, as well as an extensive fiber network with more than 210,000 miles of fiber optic cable and 1,300 communications towers.</w:t>
      </w:r>
      <w:r w:rsidR="00A255C5">
        <w:rPr>
          <w:rStyle w:val="FootnoteReference"/>
          <w:szCs w:val="22"/>
        </w:rPr>
        <w:footnoteReference w:id="6"/>
      </w:r>
    </w:p>
    <w:p w:rsidR="00692855" w:rsidRDefault="00692855">
      <w:pPr>
        <w:rPr>
          <w:szCs w:val="22"/>
        </w:rPr>
      </w:pPr>
      <w:bookmarkStart w:id="2" w:name="SearchTerm"/>
    </w:p>
    <w:p w:rsidR="00D94E18" w:rsidRDefault="00D94E18" w:rsidP="00BC5CD3">
      <w:pPr>
        <w:ind w:firstLine="720"/>
        <w:rPr>
          <w:szCs w:val="22"/>
        </w:rPr>
      </w:pPr>
      <w:r>
        <w:rPr>
          <w:szCs w:val="22"/>
        </w:rPr>
        <w:t>Consolidated Holdings</w:t>
      </w:r>
      <w:r w:rsidR="00635167">
        <w:rPr>
          <w:szCs w:val="22"/>
        </w:rPr>
        <w:t>,</w:t>
      </w:r>
      <w:r w:rsidR="00E54649">
        <w:rPr>
          <w:szCs w:val="22"/>
        </w:rPr>
        <w:t xml:space="preserve"> a publicly-traded Delaware corporation</w:t>
      </w:r>
      <w:r w:rsidR="00635167">
        <w:rPr>
          <w:szCs w:val="22"/>
        </w:rPr>
        <w:t>,</w:t>
      </w:r>
      <w:r w:rsidR="00E54649">
        <w:rPr>
          <w:szCs w:val="22"/>
        </w:rPr>
        <w:t xml:space="preserve"> provides </w:t>
      </w:r>
      <w:r w:rsidR="00BC5CD3">
        <w:rPr>
          <w:szCs w:val="22"/>
        </w:rPr>
        <w:t>a variety of telecommunication</w:t>
      </w:r>
      <w:r w:rsidR="0046661D">
        <w:rPr>
          <w:szCs w:val="22"/>
        </w:rPr>
        <w:t>s</w:t>
      </w:r>
      <w:r w:rsidR="00BC5CD3">
        <w:rPr>
          <w:szCs w:val="22"/>
        </w:rPr>
        <w:t xml:space="preserve"> services through its subsidiaries including </w:t>
      </w:r>
      <w:r w:rsidR="00BC5CD3" w:rsidRPr="00BC5CD3">
        <w:rPr>
          <w:szCs w:val="22"/>
        </w:rPr>
        <w:t>local and long-distance</w:t>
      </w:r>
      <w:r w:rsidR="00BC5CD3">
        <w:rPr>
          <w:szCs w:val="22"/>
        </w:rPr>
        <w:t xml:space="preserve"> </w:t>
      </w:r>
      <w:r w:rsidR="00BC5CD3" w:rsidRPr="00BC5CD3">
        <w:rPr>
          <w:szCs w:val="22"/>
        </w:rPr>
        <w:t>telephone service</w:t>
      </w:r>
      <w:r w:rsidR="00635167">
        <w:rPr>
          <w:szCs w:val="22"/>
        </w:rPr>
        <w:t>s and</w:t>
      </w:r>
      <w:r w:rsidR="00BC5CD3" w:rsidRPr="00BC5CD3">
        <w:rPr>
          <w:szCs w:val="22"/>
        </w:rPr>
        <w:t xml:space="preserve"> high-speed broadband Internet access</w:t>
      </w:r>
      <w:r w:rsidR="00635167">
        <w:rPr>
          <w:szCs w:val="22"/>
        </w:rPr>
        <w:t xml:space="preserve"> services</w:t>
      </w:r>
      <w:r w:rsidR="00BC5CD3" w:rsidRPr="00BC5CD3">
        <w:rPr>
          <w:szCs w:val="22"/>
        </w:rPr>
        <w:t>.</w:t>
      </w:r>
      <w:r w:rsidR="00BC5CD3">
        <w:rPr>
          <w:rStyle w:val="FootnoteReference"/>
          <w:szCs w:val="22"/>
        </w:rPr>
        <w:footnoteReference w:id="7"/>
      </w:r>
      <w:r w:rsidR="00BC5CD3">
        <w:rPr>
          <w:szCs w:val="22"/>
        </w:rPr>
        <w:t xml:space="preserve"> </w:t>
      </w:r>
      <w:r w:rsidR="0046661D">
        <w:rPr>
          <w:szCs w:val="22"/>
        </w:rPr>
        <w:t xml:space="preserve"> </w:t>
      </w:r>
      <w:r w:rsidR="00BC5CD3">
        <w:rPr>
          <w:szCs w:val="22"/>
        </w:rPr>
        <w:t>Consolidate</w:t>
      </w:r>
      <w:r w:rsidR="0046661D">
        <w:rPr>
          <w:szCs w:val="22"/>
        </w:rPr>
        <w:t>d</w:t>
      </w:r>
      <w:r w:rsidR="00BC5CD3">
        <w:rPr>
          <w:szCs w:val="22"/>
        </w:rPr>
        <w:t xml:space="preserve"> Holdings’ operating companies </w:t>
      </w:r>
      <w:r w:rsidR="001B7740">
        <w:rPr>
          <w:szCs w:val="22"/>
        </w:rPr>
        <w:t xml:space="preserve">include both </w:t>
      </w:r>
      <w:r w:rsidR="00635167">
        <w:rPr>
          <w:szCs w:val="22"/>
        </w:rPr>
        <w:t xml:space="preserve">incumbent </w:t>
      </w:r>
      <w:r w:rsidR="001B7740">
        <w:rPr>
          <w:szCs w:val="22"/>
        </w:rPr>
        <w:t xml:space="preserve">LECs and </w:t>
      </w:r>
      <w:r w:rsidR="00635167">
        <w:rPr>
          <w:szCs w:val="22"/>
        </w:rPr>
        <w:t xml:space="preserve">competitive </w:t>
      </w:r>
      <w:r w:rsidR="001B7740">
        <w:rPr>
          <w:szCs w:val="22"/>
        </w:rPr>
        <w:t>LECs serving</w:t>
      </w:r>
      <w:r w:rsidR="00BC5CD3">
        <w:rPr>
          <w:szCs w:val="22"/>
        </w:rPr>
        <w:t xml:space="preserve"> approximately </w:t>
      </w:r>
      <w:r w:rsidR="00BC5CD3" w:rsidRPr="00BC5CD3">
        <w:rPr>
          <w:szCs w:val="22"/>
        </w:rPr>
        <w:t>219,000 residential broadband connections, 409,000 business broadband connections</w:t>
      </w:r>
      <w:r w:rsidR="00BC5CD3">
        <w:rPr>
          <w:szCs w:val="22"/>
        </w:rPr>
        <w:t xml:space="preserve">, </w:t>
      </w:r>
      <w:r w:rsidR="00BC5CD3" w:rsidRPr="00BC5CD3">
        <w:rPr>
          <w:szCs w:val="22"/>
        </w:rPr>
        <w:t>189,000 residential voice lines, and 269,000 business voice lines</w:t>
      </w:r>
      <w:r w:rsidR="00530958">
        <w:rPr>
          <w:szCs w:val="22"/>
        </w:rPr>
        <w:t xml:space="preserve"> in 11 states</w:t>
      </w:r>
      <w:r w:rsidR="0046661D">
        <w:rPr>
          <w:szCs w:val="22"/>
        </w:rPr>
        <w:t>.</w:t>
      </w:r>
      <w:r w:rsidR="00BC5CD3">
        <w:rPr>
          <w:rStyle w:val="FootnoteReference"/>
          <w:szCs w:val="22"/>
        </w:rPr>
        <w:footnoteReference w:id="8"/>
      </w:r>
      <w:r w:rsidR="00BC5CD3">
        <w:rPr>
          <w:szCs w:val="22"/>
        </w:rPr>
        <w:t xml:space="preserve">  </w:t>
      </w:r>
      <w:r w:rsidR="00B4536C">
        <w:rPr>
          <w:szCs w:val="22"/>
        </w:rPr>
        <w:t xml:space="preserve">The </w:t>
      </w:r>
      <w:r w:rsidR="003F61AF">
        <w:rPr>
          <w:szCs w:val="22"/>
        </w:rPr>
        <w:t>Applicants state that, post-consummation, no person or entity will hold a ten percent or greater interest in Consolidated Holdings.</w:t>
      </w:r>
      <w:r w:rsidR="003F61AF">
        <w:rPr>
          <w:rStyle w:val="FootnoteReference"/>
          <w:szCs w:val="22"/>
        </w:rPr>
        <w:footnoteReference w:id="9"/>
      </w:r>
    </w:p>
    <w:p w:rsidR="00D94E18" w:rsidRDefault="00D94E18">
      <w:pPr>
        <w:ind w:firstLine="720"/>
        <w:rPr>
          <w:szCs w:val="22"/>
        </w:rPr>
      </w:pPr>
    </w:p>
    <w:p w:rsidR="00692855" w:rsidRDefault="001B7740" w:rsidP="001B7740">
      <w:pPr>
        <w:rPr>
          <w:szCs w:val="22"/>
        </w:rPr>
      </w:pPr>
      <w:r>
        <w:rPr>
          <w:szCs w:val="22"/>
        </w:rPr>
        <w:tab/>
        <w:t>On December 3, 2016, FairPoint and Consolidated Holdings entered into the Agreement and Plan of Merger (Agreement).</w:t>
      </w:r>
      <w:r>
        <w:rPr>
          <w:rStyle w:val="FootnoteReference"/>
          <w:szCs w:val="22"/>
        </w:rPr>
        <w:footnoteReference w:id="10"/>
      </w:r>
      <w:r>
        <w:rPr>
          <w:szCs w:val="22"/>
        </w:rPr>
        <w:t xml:space="preserve">  Pursuant to the terms of the Agreement, </w:t>
      </w:r>
      <w:r w:rsidRPr="001B7740">
        <w:rPr>
          <w:szCs w:val="22"/>
        </w:rPr>
        <w:t>Consolidated Holdings</w:t>
      </w:r>
      <w:r>
        <w:rPr>
          <w:szCs w:val="22"/>
        </w:rPr>
        <w:t xml:space="preserve"> through Falcon Merger Sub (Merger Sub)</w:t>
      </w:r>
      <w:r w:rsidRPr="001B7740">
        <w:rPr>
          <w:szCs w:val="22"/>
        </w:rPr>
        <w:t xml:space="preserve"> will acquire all of the </w:t>
      </w:r>
      <w:r>
        <w:rPr>
          <w:szCs w:val="22"/>
        </w:rPr>
        <w:t xml:space="preserve">outstanding equity interests in </w:t>
      </w:r>
      <w:r w:rsidRPr="001B7740">
        <w:rPr>
          <w:szCs w:val="22"/>
        </w:rPr>
        <w:t>FairPoint in exchange for Consolidated Holdings stock valued at</w:t>
      </w:r>
      <w:r>
        <w:rPr>
          <w:szCs w:val="22"/>
        </w:rPr>
        <w:t xml:space="preserve"> </w:t>
      </w:r>
      <w:r w:rsidRPr="001B7740">
        <w:rPr>
          <w:szCs w:val="22"/>
        </w:rPr>
        <w:t>approximately $1.5 billion.</w:t>
      </w:r>
      <w:r>
        <w:rPr>
          <w:rStyle w:val="FootnoteReference"/>
          <w:szCs w:val="22"/>
        </w:rPr>
        <w:footnoteReference w:id="11"/>
      </w:r>
      <w:r w:rsidRPr="001B7740">
        <w:rPr>
          <w:szCs w:val="22"/>
        </w:rPr>
        <w:t xml:space="preserve"> </w:t>
      </w:r>
      <w:r>
        <w:rPr>
          <w:szCs w:val="22"/>
        </w:rPr>
        <w:t xml:space="preserve"> </w:t>
      </w:r>
      <w:r w:rsidRPr="001B7740">
        <w:rPr>
          <w:szCs w:val="22"/>
        </w:rPr>
        <w:t>Specifically, Merger Sub will merge with and into FairPoint,</w:t>
      </w:r>
      <w:r>
        <w:rPr>
          <w:szCs w:val="22"/>
        </w:rPr>
        <w:t xml:space="preserve"> </w:t>
      </w:r>
      <w:r w:rsidRPr="001B7740">
        <w:rPr>
          <w:szCs w:val="22"/>
        </w:rPr>
        <w:t>whereupon the separate existence of Merger Sub will cease and FairPoint will be the</w:t>
      </w:r>
      <w:r>
        <w:rPr>
          <w:szCs w:val="22"/>
        </w:rPr>
        <w:t xml:space="preserve"> </w:t>
      </w:r>
      <w:r w:rsidRPr="001B7740">
        <w:rPr>
          <w:szCs w:val="22"/>
        </w:rPr>
        <w:t>surviving corporation.</w:t>
      </w:r>
      <w:r>
        <w:rPr>
          <w:rStyle w:val="FootnoteReference"/>
          <w:szCs w:val="22"/>
        </w:rPr>
        <w:footnoteReference w:id="12"/>
      </w:r>
      <w:r w:rsidRPr="001B7740">
        <w:rPr>
          <w:szCs w:val="22"/>
        </w:rPr>
        <w:t xml:space="preserve"> </w:t>
      </w:r>
      <w:r>
        <w:rPr>
          <w:szCs w:val="22"/>
        </w:rPr>
        <w:t xml:space="preserve"> Upon completion of the t</w:t>
      </w:r>
      <w:r w:rsidRPr="001B7740">
        <w:rPr>
          <w:szCs w:val="22"/>
        </w:rPr>
        <w:t>ransaction, Consolidated Holdings will contribute</w:t>
      </w:r>
      <w:r>
        <w:rPr>
          <w:szCs w:val="22"/>
        </w:rPr>
        <w:t xml:space="preserve"> </w:t>
      </w:r>
      <w:r w:rsidRPr="001B7740">
        <w:rPr>
          <w:szCs w:val="22"/>
        </w:rPr>
        <w:t>all of the equity interest in FairPoint to its direct, wholly owned</w:t>
      </w:r>
      <w:r w:rsidR="0069052A">
        <w:rPr>
          <w:szCs w:val="22"/>
        </w:rPr>
        <w:t xml:space="preserve"> </w:t>
      </w:r>
      <w:r w:rsidRPr="001B7740">
        <w:rPr>
          <w:szCs w:val="22"/>
        </w:rPr>
        <w:t>subsidiary, Consolidated</w:t>
      </w:r>
      <w:r>
        <w:rPr>
          <w:szCs w:val="22"/>
        </w:rPr>
        <w:t xml:space="preserve"> </w:t>
      </w:r>
      <w:r w:rsidRPr="001B7740">
        <w:rPr>
          <w:szCs w:val="22"/>
        </w:rPr>
        <w:t>Communications, Inc.</w:t>
      </w:r>
      <w:r w:rsidR="00244705">
        <w:rPr>
          <w:szCs w:val="22"/>
        </w:rPr>
        <w:t xml:space="preserve"> </w:t>
      </w:r>
      <w:r w:rsidRPr="001B7740">
        <w:rPr>
          <w:szCs w:val="22"/>
        </w:rPr>
        <w:t>(CCI), so that FairPoint</w:t>
      </w:r>
      <w:r w:rsidR="00D91601">
        <w:rPr>
          <w:szCs w:val="22"/>
        </w:rPr>
        <w:t xml:space="preserve"> will be a direct, wholly</w:t>
      </w:r>
      <w:r w:rsidR="0069052A">
        <w:rPr>
          <w:szCs w:val="22"/>
        </w:rPr>
        <w:t xml:space="preserve"> </w:t>
      </w:r>
      <w:r w:rsidRPr="001B7740">
        <w:rPr>
          <w:szCs w:val="22"/>
        </w:rPr>
        <w:t>owned</w:t>
      </w:r>
      <w:r>
        <w:rPr>
          <w:szCs w:val="22"/>
        </w:rPr>
        <w:t xml:space="preserve"> </w:t>
      </w:r>
      <w:r w:rsidRPr="001B7740">
        <w:rPr>
          <w:szCs w:val="22"/>
        </w:rPr>
        <w:t>subsidiary of CCI.</w:t>
      </w:r>
      <w:r>
        <w:rPr>
          <w:rStyle w:val="FootnoteReference"/>
          <w:szCs w:val="22"/>
        </w:rPr>
        <w:footnoteReference w:id="13"/>
      </w:r>
      <w:r>
        <w:rPr>
          <w:szCs w:val="22"/>
        </w:rPr>
        <w:t xml:space="preserve">  As a result, all of FairPoint’s Licensees will become indirect subsidiaries of Consolidated Holdings.</w:t>
      </w:r>
      <w:r>
        <w:rPr>
          <w:rStyle w:val="FootnoteReference"/>
          <w:szCs w:val="22"/>
        </w:rPr>
        <w:footnoteReference w:id="14"/>
      </w:r>
    </w:p>
    <w:p w:rsidR="00692855" w:rsidRDefault="00692855" w:rsidP="001B7740">
      <w:pPr>
        <w:rPr>
          <w:szCs w:val="22"/>
        </w:rPr>
      </w:pPr>
    </w:p>
    <w:p w:rsidR="00E50D10" w:rsidRDefault="00B4536C" w:rsidP="00FB13C2">
      <w:pPr>
        <w:ind w:firstLine="720"/>
        <w:rPr>
          <w:szCs w:val="22"/>
        </w:rPr>
      </w:pPr>
      <w:r>
        <w:rPr>
          <w:szCs w:val="22"/>
        </w:rPr>
        <w:t xml:space="preserve">The </w:t>
      </w:r>
      <w:r w:rsidR="00692855">
        <w:rPr>
          <w:szCs w:val="22"/>
        </w:rPr>
        <w:t xml:space="preserve">Applicants </w:t>
      </w:r>
      <w:r w:rsidR="00B64ABD">
        <w:rPr>
          <w:szCs w:val="22"/>
        </w:rPr>
        <w:t xml:space="preserve">state </w:t>
      </w:r>
      <w:r w:rsidR="00692855">
        <w:rPr>
          <w:szCs w:val="22"/>
        </w:rPr>
        <w:t xml:space="preserve">that the proposed transaction is in the public interest.  </w:t>
      </w:r>
      <w:r>
        <w:rPr>
          <w:szCs w:val="22"/>
        </w:rPr>
        <w:t xml:space="preserve">The </w:t>
      </w:r>
      <w:r w:rsidR="00267BB0">
        <w:rPr>
          <w:szCs w:val="22"/>
        </w:rPr>
        <w:t>Applicants assert that FairPoint and Consolidated Holdings do not compete with each other in any service territory, as their service areas do not overlap and are not adjacent.</w:t>
      </w:r>
      <w:r w:rsidR="00267BB0">
        <w:rPr>
          <w:rStyle w:val="FootnoteReference"/>
          <w:szCs w:val="22"/>
        </w:rPr>
        <w:footnoteReference w:id="15"/>
      </w:r>
      <w:r w:rsidR="00267BB0">
        <w:rPr>
          <w:szCs w:val="22"/>
        </w:rPr>
        <w:t xml:space="preserve">  </w:t>
      </w:r>
      <w:r>
        <w:rPr>
          <w:szCs w:val="22"/>
        </w:rPr>
        <w:t xml:space="preserve">The </w:t>
      </w:r>
      <w:r w:rsidR="00980B37">
        <w:rPr>
          <w:szCs w:val="22"/>
        </w:rPr>
        <w:t xml:space="preserve">Applicants </w:t>
      </w:r>
      <w:r w:rsidR="00B64ABD">
        <w:rPr>
          <w:szCs w:val="22"/>
        </w:rPr>
        <w:t xml:space="preserve">further </w:t>
      </w:r>
      <w:r w:rsidR="00980B37">
        <w:rPr>
          <w:szCs w:val="22"/>
        </w:rPr>
        <w:t xml:space="preserve">state that </w:t>
      </w:r>
      <w:r w:rsidR="00F00C9C">
        <w:rPr>
          <w:szCs w:val="22"/>
        </w:rPr>
        <w:t xml:space="preserve">FairPoint’s </w:t>
      </w:r>
      <w:r w:rsidR="00980B37">
        <w:rPr>
          <w:szCs w:val="22"/>
        </w:rPr>
        <w:t>customers will not experience any immediate changes in services, rates, terms, or conditions of service.</w:t>
      </w:r>
      <w:r w:rsidR="0069052A">
        <w:rPr>
          <w:rStyle w:val="FootnoteReference"/>
          <w:szCs w:val="22"/>
        </w:rPr>
        <w:footnoteReference w:id="16"/>
      </w:r>
      <w:r w:rsidR="00980B37">
        <w:rPr>
          <w:szCs w:val="22"/>
        </w:rPr>
        <w:t xml:space="preserve">  </w:t>
      </w:r>
      <w:r>
        <w:rPr>
          <w:szCs w:val="22"/>
        </w:rPr>
        <w:t xml:space="preserve">The </w:t>
      </w:r>
      <w:r w:rsidR="00B64ABD">
        <w:rPr>
          <w:szCs w:val="22"/>
        </w:rPr>
        <w:t>Applicants contend that Consolidated Holdings’ previous experience with integrating, improving, and upgrading broadband networks of incumbent LECs will continue with FairPoint.</w:t>
      </w:r>
      <w:r w:rsidR="00B64ABD">
        <w:rPr>
          <w:rStyle w:val="FootnoteReference"/>
          <w:szCs w:val="22"/>
        </w:rPr>
        <w:footnoteReference w:id="17"/>
      </w:r>
      <w:r w:rsidR="00B64ABD">
        <w:rPr>
          <w:szCs w:val="22"/>
        </w:rPr>
        <w:t xml:space="preserve">  </w:t>
      </w:r>
      <w:r w:rsidR="00692855">
        <w:rPr>
          <w:szCs w:val="22"/>
        </w:rPr>
        <w:t xml:space="preserve">They maintain that </w:t>
      </w:r>
      <w:r w:rsidR="006E584F">
        <w:rPr>
          <w:szCs w:val="22"/>
        </w:rPr>
        <w:t>the Applicants’</w:t>
      </w:r>
      <w:r w:rsidR="00692855">
        <w:rPr>
          <w:szCs w:val="22"/>
        </w:rPr>
        <w:t xml:space="preserve"> focus on </w:t>
      </w:r>
      <w:r w:rsidR="006E584F">
        <w:rPr>
          <w:szCs w:val="22"/>
        </w:rPr>
        <w:t>deployment and maintenance of advanced telecommunications networks</w:t>
      </w:r>
      <w:r w:rsidR="00692855">
        <w:rPr>
          <w:szCs w:val="22"/>
        </w:rPr>
        <w:t xml:space="preserve"> will improve service for all </w:t>
      </w:r>
      <w:r w:rsidR="006E584F">
        <w:rPr>
          <w:szCs w:val="22"/>
        </w:rPr>
        <w:t>subscribers</w:t>
      </w:r>
      <w:r w:rsidR="00692855">
        <w:rPr>
          <w:szCs w:val="22"/>
        </w:rPr>
        <w:t>, including in rural areas.</w:t>
      </w:r>
      <w:r w:rsidR="00692855">
        <w:rPr>
          <w:rStyle w:val="FootnoteReference"/>
          <w:szCs w:val="22"/>
        </w:rPr>
        <w:footnoteReference w:id="18"/>
      </w:r>
      <w:bookmarkEnd w:id="2"/>
      <w:r w:rsidR="006E584F">
        <w:rPr>
          <w:szCs w:val="22"/>
        </w:rPr>
        <w:t xml:space="preserve">  </w:t>
      </w:r>
      <w:r w:rsidR="00B64ABD">
        <w:rPr>
          <w:szCs w:val="22"/>
        </w:rPr>
        <w:t xml:space="preserve">Further, the Applicants maintain that </w:t>
      </w:r>
      <w:r w:rsidR="00B64ABD">
        <w:rPr>
          <w:szCs w:val="22"/>
        </w:rPr>
        <w:lastRenderedPageBreak/>
        <w:t xml:space="preserve">the </w:t>
      </w:r>
      <w:r w:rsidR="006E584F">
        <w:rPr>
          <w:szCs w:val="22"/>
        </w:rPr>
        <w:t xml:space="preserve">consolidated company will improve broadband and speed for all subscribers, specifically those subscribers served by </w:t>
      </w:r>
      <w:r w:rsidR="00980B37">
        <w:rPr>
          <w:szCs w:val="22"/>
        </w:rPr>
        <w:t xml:space="preserve">incumbent </w:t>
      </w:r>
      <w:r w:rsidR="006E584F">
        <w:rPr>
          <w:szCs w:val="22"/>
        </w:rPr>
        <w:t>LECs.</w:t>
      </w:r>
      <w:r w:rsidR="006E584F">
        <w:rPr>
          <w:rStyle w:val="FootnoteReference"/>
          <w:szCs w:val="22"/>
        </w:rPr>
        <w:footnoteReference w:id="19"/>
      </w:r>
      <w:r w:rsidR="006E584F">
        <w:rPr>
          <w:szCs w:val="22"/>
        </w:rPr>
        <w:t xml:space="preserve"> </w:t>
      </w:r>
      <w:r w:rsidR="00EE59D6">
        <w:rPr>
          <w:szCs w:val="22"/>
        </w:rPr>
        <w:t xml:space="preserve"> </w:t>
      </w:r>
      <w:r w:rsidR="00897FE9">
        <w:rPr>
          <w:szCs w:val="22"/>
        </w:rPr>
        <w:t xml:space="preserve"> </w:t>
      </w:r>
      <w:r w:rsidR="006E584F">
        <w:rPr>
          <w:szCs w:val="22"/>
        </w:rPr>
        <w:t xml:space="preserve"> </w:t>
      </w:r>
    </w:p>
    <w:p w:rsidR="00B3132E" w:rsidRDefault="00B3132E" w:rsidP="00FB13C2">
      <w:pPr>
        <w:ind w:firstLine="720"/>
        <w:rPr>
          <w:szCs w:val="22"/>
        </w:rPr>
      </w:pPr>
    </w:p>
    <w:p w:rsidR="00E50D10" w:rsidRPr="0088151D" w:rsidRDefault="00E50D10" w:rsidP="0088151D">
      <w:pPr>
        <w:rPr>
          <w:b/>
          <w:szCs w:val="22"/>
        </w:rPr>
      </w:pPr>
      <w:r>
        <w:rPr>
          <w:b/>
          <w:szCs w:val="22"/>
        </w:rPr>
        <w:t>Request for Waiver of Section 61.41(c)(2) of the Commission’s Rules</w:t>
      </w:r>
    </w:p>
    <w:p w:rsidR="00240365" w:rsidRDefault="006E584F">
      <w:pPr>
        <w:ind w:firstLine="720"/>
        <w:rPr>
          <w:szCs w:val="22"/>
        </w:rPr>
      </w:pPr>
      <w:r>
        <w:rPr>
          <w:szCs w:val="22"/>
        </w:rPr>
        <w:t xml:space="preserve"> </w:t>
      </w:r>
    </w:p>
    <w:p w:rsidR="00345433" w:rsidRDefault="00B4536C" w:rsidP="00345433">
      <w:pPr>
        <w:ind w:firstLine="720"/>
        <w:rPr>
          <w:szCs w:val="22"/>
        </w:rPr>
      </w:pPr>
      <w:r>
        <w:rPr>
          <w:szCs w:val="22"/>
        </w:rPr>
        <w:t xml:space="preserve">The </w:t>
      </w:r>
      <w:r w:rsidR="00345433">
        <w:rPr>
          <w:szCs w:val="22"/>
        </w:rPr>
        <w:t>Applicants have received prior waivers of section 61.41(c)(2) of the Commission’s rules, sometimes referred to as the “all-or-nothing rule,”</w:t>
      </w:r>
      <w:r w:rsidR="00345433">
        <w:t xml:space="preserve"> with respect to their incumbent LEC rate-of-return operations, and request a waiver of this rule to be granted to the newly consolidated operations.</w:t>
      </w:r>
      <w:r w:rsidR="00345433">
        <w:rPr>
          <w:rStyle w:val="FootnoteReference"/>
        </w:rPr>
        <w:footnoteReference w:id="20"/>
      </w:r>
      <w:r w:rsidR="00345433">
        <w:t xml:space="preserve">  According to the Applicants, this waiver of section 61.41(c)(2) would allow the operating entities of the Applicants to maintain the </w:t>
      </w:r>
      <w:r w:rsidR="00345433" w:rsidRPr="00995286">
        <w:rPr>
          <w:i/>
        </w:rPr>
        <w:t>status quo</w:t>
      </w:r>
      <w:r w:rsidR="00345433">
        <w:t>, and continue to be regulated pursuant to rate-of return regulation with regard to tariffing and price regulation while being treated as price cap companies for Connect America Fund purposes.</w:t>
      </w:r>
      <w:r w:rsidR="00345433">
        <w:rPr>
          <w:rStyle w:val="FootnoteReference"/>
        </w:rPr>
        <w:footnoteReference w:id="21"/>
      </w:r>
      <w:r w:rsidR="00345433">
        <w:t xml:space="preserve">  </w:t>
      </w:r>
      <w:r>
        <w:t xml:space="preserve">The </w:t>
      </w:r>
      <w:r w:rsidR="00345433">
        <w:t>Applicants submit that the waiver is merited to prevent disruption of the daily operations of the companies.</w:t>
      </w:r>
      <w:r w:rsidR="00345433">
        <w:rPr>
          <w:rStyle w:val="FootnoteReference"/>
        </w:rPr>
        <w:footnoteReference w:id="22"/>
      </w:r>
      <w:r w:rsidR="00345433">
        <w:t xml:space="preserve">  </w:t>
      </w:r>
      <w:r>
        <w:t xml:space="preserve">The </w:t>
      </w:r>
      <w:r w:rsidR="00345433">
        <w:t>Applicants state that requiring the operating companies to transition from rate-of-return to price cap regulation while managing the other compensation transitions that the Commission requires would be disruptive and costly with no clear public interest benefit.</w:t>
      </w:r>
      <w:r w:rsidR="00345433">
        <w:rPr>
          <w:rStyle w:val="FootnoteReference"/>
        </w:rPr>
        <w:footnoteReference w:id="23"/>
      </w:r>
      <w:r w:rsidR="00345433">
        <w:t xml:space="preserve"> </w:t>
      </w:r>
    </w:p>
    <w:p w:rsidR="00692855" w:rsidRDefault="00692855" w:rsidP="00244705">
      <w:pPr>
        <w:rPr>
          <w:color w:val="000000"/>
          <w:szCs w:val="19"/>
        </w:rPr>
      </w:pPr>
    </w:p>
    <w:p w:rsidR="00692855" w:rsidRDefault="00692855">
      <w:pPr>
        <w:keepNext/>
        <w:rPr>
          <w:color w:val="000000"/>
        </w:rPr>
      </w:pPr>
      <w:r>
        <w:rPr>
          <w:b/>
          <w:color w:val="000000"/>
        </w:rPr>
        <w:t>SECTION 214 AUTHORIZATIONS</w:t>
      </w:r>
    </w:p>
    <w:p w:rsidR="00692855" w:rsidRDefault="00692855">
      <w:pPr>
        <w:keepNext/>
        <w:rPr>
          <w:color w:val="000000"/>
        </w:rPr>
      </w:pPr>
    </w:p>
    <w:p w:rsidR="00692855" w:rsidRDefault="00692855">
      <w:pPr>
        <w:keepNext/>
        <w:ind w:firstLine="720"/>
        <w:rPr>
          <w:b/>
          <w:color w:val="000000"/>
        </w:rPr>
      </w:pPr>
      <w:r>
        <w:rPr>
          <w:b/>
          <w:color w:val="000000"/>
        </w:rPr>
        <w:t>A.</w:t>
      </w:r>
      <w:r>
        <w:rPr>
          <w:b/>
          <w:color w:val="000000"/>
        </w:rPr>
        <w:tab/>
        <w:t>International</w:t>
      </w:r>
    </w:p>
    <w:p w:rsidR="00692855" w:rsidRDefault="00692855">
      <w:pPr>
        <w:keepNext/>
        <w:rPr>
          <w:color w:val="000000"/>
        </w:rPr>
      </w:pPr>
    </w:p>
    <w:p w:rsidR="00692855" w:rsidRDefault="00692855" w:rsidP="00240365">
      <w:pPr>
        <w:spacing w:after="240"/>
        <w:ind w:firstLine="720"/>
        <w:rPr>
          <w:color w:val="000000"/>
        </w:rPr>
      </w:pPr>
      <w:r>
        <w:rPr>
          <w:color w:val="000000"/>
        </w:rPr>
        <w:t xml:space="preserve">The application for consent to the transfer of control of certain international section 214 authorizations from </w:t>
      </w:r>
      <w:r w:rsidR="00244705">
        <w:rPr>
          <w:color w:val="000000"/>
        </w:rPr>
        <w:t>FairPoint</w:t>
      </w:r>
      <w:r>
        <w:rPr>
          <w:color w:val="000000"/>
        </w:rPr>
        <w:t xml:space="preserve"> to </w:t>
      </w:r>
      <w:r w:rsidR="00244705">
        <w:rPr>
          <w:color w:val="000000"/>
        </w:rPr>
        <w:t>Consolidated Holdings</w:t>
      </w:r>
      <w:r>
        <w:rPr>
          <w:color w:val="000000"/>
        </w:rPr>
        <w:t xml:space="preserve"> has been assigned the file numbers listed below.</w:t>
      </w:r>
    </w:p>
    <w:tbl>
      <w:tblPr>
        <w:tblW w:w="9620" w:type="dxa"/>
        <w:tblInd w:w="108" w:type="dxa"/>
        <w:tblLook w:val="04A0" w:firstRow="1" w:lastRow="0" w:firstColumn="1" w:lastColumn="0" w:noHBand="0" w:noVBand="1"/>
      </w:tblPr>
      <w:tblGrid>
        <w:gridCol w:w="2610"/>
        <w:gridCol w:w="3960"/>
        <w:gridCol w:w="3050"/>
      </w:tblGrid>
      <w:tr w:rsidR="00F95AB4" w:rsidRPr="00F95AB4" w:rsidTr="00FB13C2">
        <w:trPr>
          <w:trHeight w:val="300"/>
        </w:trPr>
        <w:tc>
          <w:tcPr>
            <w:tcW w:w="2610" w:type="dxa"/>
            <w:tcBorders>
              <w:top w:val="nil"/>
              <w:left w:val="nil"/>
              <w:bottom w:val="nil"/>
              <w:right w:val="nil"/>
            </w:tcBorders>
            <w:shd w:val="clear" w:color="auto" w:fill="auto"/>
            <w:noWrap/>
            <w:vAlign w:val="center"/>
            <w:hideMark/>
          </w:tcPr>
          <w:p w:rsidR="00F95AB4" w:rsidRPr="00F95AB4" w:rsidRDefault="00F95AB4" w:rsidP="00F95AB4">
            <w:pPr>
              <w:rPr>
                <w:b/>
                <w:bCs/>
                <w:color w:val="000000"/>
                <w:szCs w:val="22"/>
                <w:u w:val="single"/>
              </w:rPr>
            </w:pPr>
            <w:r w:rsidRPr="00F95AB4">
              <w:rPr>
                <w:b/>
                <w:bCs/>
                <w:color w:val="000000"/>
                <w:szCs w:val="19"/>
                <w:u w:val="single"/>
              </w:rPr>
              <w:t>File Number</w:t>
            </w:r>
          </w:p>
        </w:tc>
        <w:tc>
          <w:tcPr>
            <w:tcW w:w="3960" w:type="dxa"/>
            <w:tcBorders>
              <w:top w:val="nil"/>
              <w:left w:val="nil"/>
              <w:bottom w:val="nil"/>
              <w:right w:val="nil"/>
            </w:tcBorders>
            <w:shd w:val="clear" w:color="auto" w:fill="auto"/>
            <w:noWrap/>
            <w:vAlign w:val="center"/>
            <w:hideMark/>
          </w:tcPr>
          <w:p w:rsidR="00F95AB4" w:rsidRPr="00F95AB4" w:rsidRDefault="00F95AB4" w:rsidP="00F95AB4">
            <w:pPr>
              <w:rPr>
                <w:b/>
                <w:bCs/>
                <w:color w:val="000000"/>
                <w:szCs w:val="22"/>
                <w:u w:val="single"/>
              </w:rPr>
            </w:pPr>
            <w:r w:rsidRPr="00F95AB4">
              <w:rPr>
                <w:b/>
                <w:bCs/>
                <w:color w:val="000000"/>
                <w:szCs w:val="19"/>
                <w:u w:val="single"/>
              </w:rPr>
              <w:t>Authorization Holder</w:t>
            </w:r>
          </w:p>
        </w:tc>
        <w:tc>
          <w:tcPr>
            <w:tcW w:w="3050" w:type="dxa"/>
            <w:tcBorders>
              <w:top w:val="nil"/>
              <w:left w:val="nil"/>
              <w:bottom w:val="nil"/>
              <w:right w:val="nil"/>
            </w:tcBorders>
            <w:shd w:val="clear" w:color="auto" w:fill="auto"/>
            <w:noWrap/>
            <w:vAlign w:val="center"/>
            <w:hideMark/>
          </w:tcPr>
          <w:p w:rsidR="00F95AB4" w:rsidRPr="00F95AB4" w:rsidRDefault="00F95AB4" w:rsidP="00F95AB4">
            <w:pPr>
              <w:rPr>
                <w:b/>
                <w:bCs/>
                <w:color w:val="000000"/>
                <w:szCs w:val="22"/>
                <w:u w:val="single"/>
              </w:rPr>
            </w:pPr>
            <w:r w:rsidRPr="00F95AB4">
              <w:rPr>
                <w:b/>
                <w:bCs/>
                <w:color w:val="000000"/>
                <w:szCs w:val="19"/>
                <w:u w:val="single"/>
              </w:rPr>
              <w:t>Authorization Number</w:t>
            </w:r>
          </w:p>
        </w:tc>
      </w:tr>
      <w:tr w:rsidR="00F95AB4" w:rsidRPr="00F95AB4" w:rsidTr="00FB13C2">
        <w:trPr>
          <w:trHeight w:val="300"/>
        </w:trPr>
        <w:tc>
          <w:tcPr>
            <w:tcW w:w="261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ITC-T/C-20161220-00361</w:t>
            </w:r>
          </w:p>
        </w:tc>
        <w:tc>
          <w:tcPr>
            <w:tcW w:w="396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Chautauqua &amp; Erie Communications, Inc.</w:t>
            </w:r>
          </w:p>
        </w:tc>
        <w:tc>
          <w:tcPr>
            <w:tcW w:w="305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ITC-214-19940509-00155</w:t>
            </w:r>
          </w:p>
        </w:tc>
      </w:tr>
      <w:tr w:rsidR="00F95AB4" w:rsidRPr="00F95AB4" w:rsidTr="00FB13C2">
        <w:trPr>
          <w:trHeight w:val="300"/>
        </w:trPr>
        <w:tc>
          <w:tcPr>
            <w:tcW w:w="261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ITC-T/C-20161220-00376</w:t>
            </w:r>
          </w:p>
        </w:tc>
        <w:tc>
          <w:tcPr>
            <w:tcW w:w="396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St. Joe Communications, Inc.</w:t>
            </w:r>
          </w:p>
        </w:tc>
        <w:tc>
          <w:tcPr>
            <w:tcW w:w="305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ITC-214-19950920-00045</w:t>
            </w:r>
          </w:p>
        </w:tc>
      </w:tr>
      <w:tr w:rsidR="00F95AB4" w:rsidRPr="00F95AB4" w:rsidTr="00FB13C2">
        <w:trPr>
          <w:trHeight w:val="300"/>
        </w:trPr>
        <w:tc>
          <w:tcPr>
            <w:tcW w:w="261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ITC-T/C-20161220-00359</w:t>
            </w:r>
          </w:p>
        </w:tc>
        <w:tc>
          <w:tcPr>
            <w:tcW w:w="396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The El Paso Long Distance Company</w:t>
            </w:r>
          </w:p>
        </w:tc>
        <w:tc>
          <w:tcPr>
            <w:tcW w:w="305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ITC-214-19960626-00271</w:t>
            </w:r>
          </w:p>
        </w:tc>
      </w:tr>
      <w:tr w:rsidR="00F95AB4" w:rsidRPr="00F95AB4" w:rsidTr="00FB13C2">
        <w:trPr>
          <w:trHeight w:val="300"/>
        </w:trPr>
        <w:tc>
          <w:tcPr>
            <w:tcW w:w="261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ITC-T/C-20161220-00362</w:t>
            </w:r>
          </w:p>
        </w:tc>
        <w:tc>
          <w:tcPr>
            <w:tcW w:w="396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C-R Long Distance, Inc.</w:t>
            </w:r>
          </w:p>
        </w:tc>
        <w:tc>
          <w:tcPr>
            <w:tcW w:w="305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ITC-214-19960404-00139</w:t>
            </w:r>
          </w:p>
        </w:tc>
      </w:tr>
      <w:tr w:rsidR="00F95AB4" w:rsidRPr="00F95AB4" w:rsidTr="00FB13C2">
        <w:trPr>
          <w:trHeight w:val="300"/>
        </w:trPr>
        <w:tc>
          <w:tcPr>
            <w:tcW w:w="261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ITC-T/C-20161220-00373</w:t>
            </w:r>
          </w:p>
        </w:tc>
        <w:tc>
          <w:tcPr>
            <w:tcW w:w="396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ST Long Distance, Inc.</w:t>
            </w:r>
          </w:p>
        </w:tc>
        <w:tc>
          <w:tcPr>
            <w:tcW w:w="305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ITC-214-19961118-00578</w:t>
            </w:r>
          </w:p>
        </w:tc>
      </w:tr>
      <w:tr w:rsidR="00F95AB4" w:rsidRPr="00F95AB4" w:rsidTr="00FB13C2">
        <w:trPr>
          <w:trHeight w:val="300"/>
        </w:trPr>
        <w:tc>
          <w:tcPr>
            <w:tcW w:w="261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ITC-T/C-20161220-00366</w:t>
            </w:r>
          </w:p>
        </w:tc>
        <w:tc>
          <w:tcPr>
            <w:tcW w:w="396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Germantown Long Distance Company</w:t>
            </w:r>
          </w:p>
        </w:tc>
        <w:tc>
          <w:tcPr>
            <w:tcW w:w="305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ITC-214-19970113-00018</w:t>
            </w:r>
          </w:p>
        </w:tc>
      </w:tr>
      <w:tr w:rsidR="00F95AB4" w:rsidRPr="00F95AB4" w:rsidTr="00FB13C2">
        <w:trPr>
          <w:trHeight w:val="300"/>
        </w:trPr>
        <w:tc>
          <w:tcPr>
            <w:tcW w:w="261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ITC-T/C-20161220-00374</w:t>
            </w:r>
          </w:p>
        </w:tc>
        <w:tc>
          <w:tcPr>
            <w:tcW w:w="396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Taconic TelCom Corp.</w:t>
            </w:r>
          </w:p>
        </w:tc>
        <w:tc>
          <w:tcPr>
            <w:tcW w:w="305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ITC-214-19970219-00095</w:t>
            </w:r>
          </w:p>
        </w:tc>
      </w:tr>
      <w:tr w:rsidR="00F95AB4" w:rsidRPr="00F95AB4" w:rsidTr="00FB13C2">
        <w:trPr>
          <w:trHeight w:val="300"/>
        </w:trPr>
        <w:tc>
          <w:tcPr>
            <w:tcW w:w="261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ITC-T/C-20161220-00357</w:t>
            </w:r>
          </w:p>
        </w:tc>
        <w:tc>
          <w:tcPr>
            <w:tcW w:w="396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Berkshire Cable Corp.</w:t>
            </w:r>
          </w:p>
        </w:tc>
        <w:tc>
          <w:tcPr>
            <w:tcW w:w="305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ITC-214-19970416-00213</w:t>
            </w:r>
          </w:p>
        </w:tc>
      </w:tr>
      <w:tr w:rsidR="00F95AB4" w:rsidRPr="00F95AB4" w:rsidTr="00FB13C2">
        <w:trPr>
          <w:trHeight w:val="300"/>
        </w:trPr>
        <w:tc>
          <w:tcPr>
            <w:tcW w:w="261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bCs/>
                <w:color w:val="000000"/>
                <w:szCs w:val="19"/>
              </w:rPr>
              <w:t>ITC-T/C-20161220-00360</w:t>
            </w:r>
          </w:p>
        </w:tc>
        <w:tc>
          <w:tcPr>
            <w:tcW w:w="396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BE Mobile Communications, Inc.</w:t>
            </w:r>
          </w:p>
        </w:tc>
        <w:tc>
          <w:tcPr>
            <w:tcW w:w="305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ITC-214-19970710-00391</w:t>
            </w:r>
          </w:p>
        </w:tc>
      </w:tr>
      <w:tr w:rsidR="00F95AB4" w:rsidRPr="00F95AB4" w:rsidTr="00FB13C2">
        <w:trPr>
          <w:trHeight w:val="300"/>
        </w:trPr>
        <w:tc>
          <w:tcPr>
            <w:tcW w:w="261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ITC-T/C-20161220-00367</w:t>
            </w:r>
          </w:p>
        </w:tc>
        <w:tc>
          <w:tcPr>
            <w:tcW w:w="396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FairPoint Carrier Services, Inc.</w:t>
            </w:r>
          </w:p>
        </w:tc>
        <w:tc>
          <w:tcPr>
            <w:tcW w:w="305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ITC-214-19980610-00403</w:t>
            </w:r>
          </w:p>
        </w:tc>
      </w:tr>
      <w:tr w:rsidR="00F95AB4" w:rsidRPr="00F95AB4" w:rsidTr="00FB13C2">
        <w:trPr>
          <w:trHeight w:val="300"/>
        </w:trPr>
        <w:tc>
          <w:tcPr>
            <w:tcW w:w="261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ITC-T/C-20161220-00365</w:t>
            </w:r>
          </w:p>
        </w:tc>
        <w:tc>
          <w:tcPr>
            <w:tcW w:w="396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Elltel Long Distance Corp.</w:t>
            </w:r>
          </w:p>
        </w:tc>
        <w:tc>
          <w:tcPr>
            <w:tcW w:w="305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ITC-214-19981228-00891</w:t>
            </w:r>
          </w:p>
        </w:tc>
      </w:tr>
      <w:tr w:rsidR="00F95AB4" w:rsidRPr="00F95AB4" w:rsidTr="00FB13C2">
        <w:trPr>
          <w:trHeight w:val="300"/>
        </w:trPr>
        <w:tc>
          <w:tcPr>
            <w:tcW w:w="261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ITC-T/C-20161220-00371</w:t>
            </w:r>
          </w:p>
        </w:tc>
        <w:tc>
          <w:tcPr>
            <w:tcW w:w="396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Quality One Technologies, Inc.</w:t>
            </w:r>
          </w:p>
        </w:tc>
        <w:tc>
          <w:tcPr>
            <w:tcW w:w="305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ITC-214-19990713-00464</w:t>
            </w:r>
          </w:p>
        </w:tc>
      </w:tr>
      <w:tr w:rsidR="00F95AB4" w:rsidRPr="00F95AB4" w:rsidTr="00FB13C2">
        <w:trPr>
          <w:trHeight w:val="300"/>
        </w:trPr>
        <w:tc>
          <w:tcPr>
            <w:tcW w:w="261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22"/>
              </w:rPr>
              <w:t>ITC-T/C-20161220-00362</w:t>
            </w:r>
          </w:p>
        </w:tc>
        <w:tc>
          <w:tcPr>
            <w:tcW w:w="396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22"/>
              </w:rPr>
              <w:t>C-R Long Distance, Inc.</w:t>
            </w:r>
          </w:p>
        </w:tc>
        <w:tc>
          <w:tcPr>
            <w:tcW w:w="305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ITC-214-20000320-00156</w:t>
            </w:r>
          </w:p>
        </w:tc>
      </w:tr>
      <w:tr w:rsidR="00F95AB4" w:rsidRPr="00F95AB4" w:rsidTr="00FB13C2">
        <w:trPr>
          <w:trHeight w:val="300"/>
        </w:trPr>
        <w:tc>
          <w:tcPr>
            <w:tcW w:w="261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ITC-T/C-20161220-00372</w:t>
            </w:r>
          </w:p>
        </w:tc>
        <w:tc>
          <w:tcPr>
            <w:tcW w:w="396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Orwell Communications, Inc.</w:t>
            </w:r>
          </w:p>
        </w:tc>
        <w:tc>
          <w:tcPr>
            <w:tcW w:w="305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ITC-214-20001019-00628</w:t>
            </w:r>
          </w:p>
        </w:tc>
      </w:tr>
      <w:tr w:rsidR="00F95AB4" w:rsidRPr="00F95AB4" w:rsidTr="00FB13C2">
        <w:trPr>
          <w:trHeight w:val="300"/>
        </w:trPr>
        <w:tc>
          <w:tcPr>
            <w:tcW w:w="261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ITC-T/C-20161220-00374</w:t>
            </w:r>
          </w:p>
        </w:tc>
        <w:tc>
          <w:tcPr>
            <w:tcW w:w="396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People Mutual Long Distance Company</w:t>
            </w:r>
          </w:p>
        </w:tc>
        <w:tc>
          <w:tcPr>
            <w:tcW w:w="305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ITC-214-20001207-00717</w:t>
            </w:r>
          </w:p>
        </w:tc>
      </w:tr>
      <w:tr w:rsidR="00F95AB4" w:rsidRPr="00F95AB4" w:rsidTr="00FB13C2">
        <w:trPr>
          <w:trHeight w:val="300"/>
        </w:trPr>
        <w:tc>
          <w:tcPr>
            <w:tcW w:w="261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ITC-T/C-20161220-00368</w:t>
            </w:r>
          </w:p>
        </w:tc>
        <w:tc>
          <w:tcPr>
            <w:tcW w:w="396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GTC, Inc.</w:t>
            </w:r>
          </w:p>
        </w:tc>
        <w:tc>
          <w:tcPr>
            <w:tcW w:w="305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ITC-214-20011019-00531</w:t>
            </w:r>
          </w:p>
        </w:tc>
      </w:tr>
      <w:tr w:rsidR="00F95AB4" w:rsidRPr="00F95AB4" w:rsidTr="00FB13C2">
        <w:trPr>
          <w:trHeight w:val="300"/>
        </w:trPr>
        <w:tc>
          <w:tcPr>
            <w:tcW w:w="261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ITC-T/C-20161220-00370</w:t>
            </w:r>
          </w:p>
        </w:tc>
        <w:tc>
          <w:tcPr>
            <w:tcW w:w="396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Marianna Tel., Inc.</w:t>
            </w:r>
          </w:p>
        </w:tc>
        <w:tc>
          <w:tcPr>
            <w:tcW w:w="305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ITC-214-20011025-00599</w:t>
            </w:r>
          </w:p>
        </w:tc>
      </w:tr>
      <w:tr w:rsidR="00F95AB4" w:rsidRPr="00F95AB4" w:rsidTr="00FB13C2">
        <w:trPr>
          <w:trHeight w:val="300"/>
        </w:trPr>
        <w:tc>
          <w:tcPr>
            <w:tcW w:w="261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ITC-T/C-20161220-00358</w:t>
            </w:r>
          </w:p>
        </w:tc>
        <w:tc>
          <w:tcPr>
            <w:tcW w:w="396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UI Long Distance, Inc.</w:t>
            </w:r>
          </w:p>
        </w:tc>
        <w:tc>
          <w:tcPr>
            <w:tcW w:w="3050" w:type="dxa"/>
            <w:tcBorders>
              <w:top w:val="nil"/>
              <w:left w:val="nil"/>
              <w:bottom w:val="nil"/>
              <w:right w:val="nil"/>
            </w:tcBorders>
            <w:shd w:val="clear" w:color="auto" w:fill="auto"/>
            <w:noWrap/>
            <w:vAlign w:val="center"/>
            <w:hideMark/>
          </w:tcPr>
          <w:p w:rsidR="00F95AB4" w:rsidRPr="00F95AB4" w:rsidRDefault="00F95AB4" w:rsidP="00F95AB4">
            <w:pPr>
              <w:rPr>
                <w:color w:val="000000"/>
                <w:szCs w:val="22"/>
              </w:rPr>
            </w:pPr>
            <w:r w:rsidRPr="00F95AB4">
              <w:rPr>
                <w:color w:val="000000"/>
                <w:szCs w:val="19"/>
              </w:rPr>
              <w:t>ITC-214-20030206-00049</w:t>
            </w:r>
          </w:p>
        </w:tc>
      </w:tr>
      <w:tr w:rsidR="00F95AB4" w:rsidRPr="00F95AB4" w:rsidTr="00FB13C2">
        <w:trPr>
          <w:trHeight w:val="300"/>
        </w:trPr>
        <w:tc>
          <w:tcPr>
            <w:tcW w:w="2610" w:type="dxa"/>
            <w:tcBorders>
              <w:top w:val="nil"/>
              <w:left w:val="nil"/>
              <w:bottom w:val="nil"/>
              <w:right w:val="nil"/>
            </w:tcBorders>
            <w:shd w:val="clear" w:color="auto" w:fill="auto"/>
            <w:noWrap/>
            <w:hideMark/>
          </w:tcPr>
          <w:p w:rsidR="00F95AB4" w:rsidRPr="00F95AB4" w:rsidRDefault="00F95AB4" w:rsidP="00FB13C2">
            <w:pPr>
              <w:rPr>
                <w:color w:val="000000"/>
                <w:szCs w:val="22"/>
              </w:rPr>
            </w:pPr>
            <w:r w:rsidRPr="00F95AB4">
              <w:rPr>
                <w:color w:val="000000"/>
                <w:szCs w:val="19"/>
              </w:rPr>
              <w:t>ITC-T/C-20161220-00369</w:t>
            </w:r>
          </w:p>
        </w:tc>
        <w:tc>
          <w:tcPr>
            <w:tcW w:w="3960" w:type="dxa"/>
            <w:tcBorders>
              <w:top w:val="nil"/>
              <w:left w:val="nil"/>
              <w:bottom w:val="nil"/>
              <w:right w:val="nil"/>
            </w:tcBorders>
            <w:shd w:val="clear" w:color="auto" w:fill="auto"/>
            <w:noWrap/>
            <w:hideMark/>
          </w:tcPr>
          <w:p w:rsidR="00F95AB4" w:rsidRPr="00F95AB4" w:rsidRDefault="00F95AB4" w:rsidP="00FB13C2">
            <w:pPr>
              <w:rPr>
                <w:color w:val="000000"/>
                <w:szCs w:val="22"/>
              </w:rPr>
            </w:pPr>
            <w:r w:rsidRPr="00F95AB4">
              <w:rPr>
                <w:color w:val="000000"/>
                <w:szCs w:val="22"/>
              </w:rPr>
              <w:t>Northern New England Telephone Operations LLC</w:t>
            </w:r>
          </w:p>
        </w:tc>
        <w:tc>
          <w:tcPr>
            <w:tcW w:w="3050" w:type="dxa"/>
            <w:tcBorders>
              <w:top w:val="nil"/>
              <w:left w:val="nil"/>
              <w:bottom w:val="nil"/>
              <w:right w:val="nil"/>
            </w:tcBorders>
            <w:shd w:val="clear" w:color="auto" w:fill="auto"/>
            <w:noWrap/>
            <w:hideMark/>
          </w:tcPr>
          <w:p w:rsidR="00F95AB4" w:rsidRPr="00F95AB4" w:rsidRDefault="00F95AB4" w:rsidP="00FB13C2">
            <w:pPr>
              <w:rPr>
                <w:color w:val="000000"/>
                <w:szCs w:val="22"/>
              </w:rPr>
            </w:pPr>
            <w:r w:rsidRPr="00F95AB4">
              <w:rPr>
                <w:color w:val="000000"/>
                <w:szCs w:val="19"/>
              </w:rPr>
              <w:t>ITC-214-20030516-00243</w:t>
            </w:r>
          </w:p>
        </w:tc>
      </w:tr>
      <w:tr w:rsidR="00F95AB4" w:rsidRPr="00F95AB4" w:rsidTr="00FB13C2">
        <w:trPr>
          <w:trHeight w:val="300"/>
        </w:trPr>
        <w:tc>
          <w:tcPr>
            <w:tcW w:w="2610" w:type="dxa"/>
            <w:tcBorders>
              <w:top w:val="nil"/>
              <w:left w:val="nil"/>
              <w:bottom w:val="nil"/>
              <w:right w:val="nil"/>
            </w:tcBorders>
            <w:shd w:val="clear" w:color="auto" w:fill="auto"/>
            <w:noWrap/>
            <w:hideMark/>
          </w:tcPr>
          <w:p w:rsidR="00F95AB4" w:rsidRPr="00F95AB4" w:rsidRDefault="00F95AB4" w:rsidP="00FB13C2">
            <w:pPr>
              <w:rPr>
                <w:color w:val="000000"/>
                <w:szCs w:val="22"/>
              </w:rPr>
            </w:pPr>
            <w:r w:rsidRPr="00F95AB4">
              <w:rPr>
                <w:color w:val="000000"/>
                <w:szCs w:val="19"/>
              </w:rPr>
              <w:t>ITC-T/C-20161220-00363</w:t>
            </w:r>
          </w:p>
        </w:tc>
        <w:tc>
          <w:tcPr>
            <w:tcW w:w="3960" w:type="dxa"/>
            <w:tcBorders>
              <w:top w:val="nil"/>
              <w:left w:val="nil"/>
              <w:bottom w:val="nil"/>
              <w:right w:val="nil"/>
            </w:tcBorders>
            <w:shd w:val="clear" w:color="auto" w:fill="auto"/>
            <w:noWrap/>
            <w:hideMark/>
          </w:tcPr>
          <w:p w:rsidR="00F95AB4" w:rsidRPr="00F95AB4" w:rsidRDefault="00F95AB4" w:rsidP="00FB13C2">
            <w:pPr>
              <w:rPr>
                <w:color w:val="000000"/>
                <w:szCs w:val="22"/>
              </w:rPr>
            </w:pPr>
            <w:r w:rsidRPr="00F95AB4">
              <w:rPr>
                <w:color w:val="000000"/>
                <w:szCs w:val="19"/>
              </w:rPr>
              <w:t>Comerco, Inc.</w:t>
            </w:r>
          </w:p>
        </w:tc>
        <w:tc>
          <w:tcPr>
            <w:tcW w:w="3050" w:type="dxa"/>
            <w:tcBorders>
              <w:top w:val="nil"/>
              <w:left w:val="nil"/>
              <w:bottom w:val="nil"/>
              <w:right w:val="nil"/>
            </w:tcBorders>
            <w:shd w:val="clear" w:color="auto" w:fill="auto"/>
            <w:noWrap/>
            <w:hideMark/>
          </w:tcPr>
          <w:p w:rsidR="00F95AB4" w:rsidRPr="00F95AB4" w:rsidRDefault="00F95AB4" w:rsidP="00FB13C2">
            <w:pPr>
              <w:rPr>
                <w:color w:val="000000"/>
                <w:szCs w:val="22"/>
              </w:rPr>
            </w:pPr>
            <w:r w:rsidRPr="00F95AB4">
              <w:rPr>
                <w:color w:val="000000"/>
                <w:szCs w:val="19"/>
              </w:rPr>
              <w:t>ITC-214-20030521-00254</w:t>
            </w:r>
          </w:p>
        </w:tc>
      </w:tr>
      <w:tr w:rsidR="00F95AB4" w:rsidRPr="00F95AB4" w:rsidTr="00FB13C2">
        <w:trPr>
          <w:trHeight w:val="600"/>
        </w:trPr>
        <w:tc>
          <w:tcPr>
            <w:tcW w:w="2610" w:type="dxa"/>
            <w:tcBorders>
              <w:top w:val="nil"/>
              <w:left w:val="nil"/>
              <w:bottom w:val="nil"/>
              <w:right w:val="nil"/>
            </w:tcBorders>
            <w:shd w:val="clear" w:color="auto" w:fill="auto"/>
            <w:noWrap/>
            <w:hideMark/>
          </w:tcPr>
          <w:p w:rsidR="00F95AB4" w:rsidRPr="00F95AB4" w:rsidRDefault="00F95AB4" w:rsidP="00FB13C2">
            <w:pPr>
              <w:rPr>
                <w:color w:val="000000"/>
                <w:szCs w:val="22"/>
              </w:rPr>
            </w:pPr>
            <w:r w:rsidRPr="00F95AB4">
              <w:rPr>
                <w:color w:val="000000"/>
                <w:szCs w:val="19"/>
              </w:rPr>
              <w:t>ITC-T/C-20161220-00364</w:t>
            </w:r>
          </w:p>
        </w:tc>
        <w:tc>
          <w:tcPr>
            <w:tcW w:w="3960" w:type="dxa"/>
            <w:tcBorders>
              <w:top w:val="nil"/>
              <w:left w:val="nil"/>
              <w:bottom w:val="nil"/>
              <w:right w:val="nil"/>
            </w:tcBorders>
            <w:shd w:val="clear" w:color="auto" w:fill="auto"/>
            <w:hideMark/>
          </w:tcPr>
          <w:p w:rsidR="00F95AB4" w:rsidRPr="00F95AB4" w:rsidRDefault="00F95AB4" w:rsidP="00FB13C2">
            <w:pPr>
              <w:rPr>
                <w:color w:val="000000"/>
                <w:szCs w:val="22"/>
              </w:rPr>
            </w:pPr>
            <w:r w:rsidRPr="00F95AB4">
              <w:rPr>
                <w:color w:val="000000"/>
                <w:szCs w:val="19"/>
              </w:rPr>
              <w:t>Enhanced Communications of Northern New England, Inc.</w:t>
            </w:r>
          </w:p>
        </w:tc>
        <w:tc>
          <w:tcPr>
            <w:tcW w:w="3050" w:type="dxa"/>
            <w:tcBorders>
              <w:top w:val="nil"/>
              <w:left w:val="nil"/>
              <w:bottom w:val="nil"/>
              <w:right w:val="nil"/>
            </w:tcBorders>
            <w:shd w:val="clear" w:color="auto" w:fill="auto"/>
            <w:noWrap/>
            <w:hideMark/>
          </w:tcPr>
          <w:p w:rsidR="00F95AB4" w:rsidRPr="00F95AB4" w:rsidRDefault="00F95AB4" w:rsidP="00FB13C2">
            <w:pPr>
              <w:rPr>
                <w:color w:val="000000"/>
                <w:szCs w:val="22"/>
              </w:rPr>
            </w:pPr>
            <w:r w:rsidRPr="00F95AB4">
              <w:rPr>
                <w:color w:val="000000"/>
                <w:szCs w:val="19"/>
              </w:rPr>
              <w:t>ITC-214-20070206-00437</w:t>
            </w:r>
          </w:p>
        </w:tc>
      </w:tr>
    </w:tbl>
    <w:p w:rsidR="00240365" w:rsidRDefault="00240365" w:rsidP="005F2319">
      <w:pPr>
        <w:keepNext/>
        <w:rPr>
          <w:b/>
          <w:color w:val="000000"/>
        </w:rPr>
      </w:pPr>
    </w:p>
    <w:p w:rsidR="00692855" w:rsidRDefault="00692855">
      <w:pPr>
        <w:keepNext/>
        <w:ind w:firstLine="720"/>
        <w:rPr>
          <w:b/>
          <w:color w:val="000000"/>
        </w:rPr>
      </w:pPr>
      <w:r>
        <w:rPr>
          <w:b/>
          <w:color w:val="000000"/>
        </w:rPr>
        <w:t>B.</w:t>
      </w:r>
      <w:r>
        <w:rPr>
          <w:b/>
          <w:color w:val="000000"/>
        </w:rPr>
        <w:tab/>
        <w:t>Domestic</w:t>
      </w:r>
    </w:p>
    <w:p w:rsidR="00692855" w:rsidRDefault="00692855">
      <w:pPr>
        <w:keepNext/>
        <w:rPr>
          <w:color w:val="000000"/>
        </w:rPr>
      </w:pPr>
    </w:p>
    <w:p w:rsidR="00240365" w:rsidRPr="00240365" w:rsidRDefault="00692855" w:rsidP="00FC408E">
      <w:pPr>
        <w:ind w:firstLine="720"/>
        <w:rPr>
          <w:szCs w:val="22"/>
        </w:rPr>
      </w:pPr>
      <w:r>
        <w:rPr>
          <w:color w:val="000000"/>
        </w:rPr>
        <w:t xml:space="preserve">The Applicants </w:t>
      </w:r>
      <w:r w:rsidR="0006387C">
        <w:rPr>
          <w:color w:val="000000"/>
        </w:rPr>
        <w:t>request</w:t>
      </w:r>
      <w:r>
        <w:rPr>
          <w:color w:val="000000"/>
        </w:rPr>
        <w:t xml:space="preserve"> transfer </w:t>
      </w:r>
      <w:r w:rsidR="0006387C">
        <w:rPr>
          <w:color w:val="000000"/>
        </w:rPr>
        <w:t xml:space="preserve">of </w:t>
      </w:r>
      <w:r>
        <w:rPr>
          <w:color w:val="000000"/>
        </w:rPr>
        <w:t>control of domestic section 214 authority in connection with the proposed transaction.</w:t>
      </w:r>
      <w:r w:rsidR="0006387C">
        <w:rPr>
          <w:rStyle w:val="FootnoteReference"/>
          <w:color w:val="000000"/>
        </w:rPr>
        <w:footnoteReference w:id="24"/>
      </w:r>
      <w:r>
        <w:rPr>
          <w:color w:val="000000"/>
        </w:rPr>
        <w:t xml:space="preserve">  In light of the </w:t>
      </w:r>
      <w:r w:rsidR="0006387C">
        <w:rPr>
          <w:color w:val="000000"/>
        </w:rPr>
        <w:t>complexity and number of license</w:t>
      </w:r>
      <w:r w:rsidR="00E50D10">
        <w:rPr>
          <w:color w:val="000000"/>
        </w:rPr>
        <w:t xml:space="preserve"> transfers</w:t>
      </w:r>
      <w:r w:rsidR="0006387C">
        <w:rPr>
          <w:color w:val="000000"/>
        </w:rPr>
        <w:t xml:space="preserve"> contemplated by the Application</w:t>
      </w:r>
      <w:r w:rsidR="00E50D10">
        <w:rPr>
          <w:color w:val="000000"/>
        </w:rPr>
        <w:t xml:space="preserve"> </w:t>
      </w:r>
      <w:r>
        <w:rPr>
          <w:color w:val="000000"/>
        </w:rPr>
        <w:t xml:space="preserve">and the </w:t>
      </w:r>
      <w:r w:rsidR="0006387C">
        <w:rPr>
          <w:color w:val="000000"/>
        </w:rPr>
        <w:t xml:space="preserve">associated </w:t>
      </w:r>
      <w:r>
        <w:rPr>
          <w:color w:val="000000"/>
        </w:rPr>
        <w:t>public inte</w:t>
      </w:r>
      <w:r w:rsidR="0006387C">
        <w:rPr>
          <w:color w:val="000000"/>
        </w:rPr>
        <w:t>rest review</w:t>
      </w:r>
      <w:r>
        <w:rPr>
          <w:color w:val="000000"/>
        </w:rPr>
        <w:t>, the domestic transfer of control applications are not subject to streamlined treatment.</w:t>
      </w:r>
      <w:r>
        <w:rPr>
          <w:rStyle w:val="FootnoteReference"/>
          <w:color w:val="000000"/>
          <w:sz w:val="20"/>
        </w:rPr>
        <w:footnoteReference w:id="25"/>
      </w:r>
      <w:bookmarkStart w:id="3" w:name="sp_999_4"/>
      <w:bookmarkStart w:id="4" w:name="SDU_4"/>
      <w:bookmarkStart w:id="5" w:name="citeas((Cite_as:_26_F.C.C.R._13372,_*133"/>
      <w:bookmarkEnd w:id="3"/>
      <w:bookmarkEnd w:id="4"/>
      <w:bookmarkEnd w:id="5"/>
    </w:p>
    <w:p w:rsidR="00692855" w:rsidRDefault="00692855">
      <w:pPr>
        <w:rPr>
          <w:color w:val="000000"/>
          <w:szCs w:val="19"/>
        </w:rPr>
      </w:pP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p>
    <w:p w:rsidR="0006387C" w:rsidRDefault="0006387C" w:rsidP="0006387C">
      <w:pPr>
        <w:keepNext/>
        <w:rPr>
          <w:color w:val="000000"/>
        </w:rPr>
      </w:pPr>
      <w:r>
        <w:rPr>
          <w:b/>
          <w:color w:val="000000"/>
        </w:rPr>
        <w:t>WIRELESS AUTHORIZATIONS</w:t>
      </w:r>
    </w:p>
    <w:p w:rsidR="0006387C" w:rsidRDefault="0006387C">
      <w:pPr>
        <w:ind w:right="720"/>
        <w:rPr>
          <w:b/>
          <w:szCs w:val="22"/>
          <w:u w:val="single"/>
        </w:rPr>
      </w:pPr>
    </w:p>
    <w:tbl>
      <w:tblPr>
        <w:tblW w:w="8766" w:type="dxa"/>
        <w:jc w:val="center"/>
        <w:tblLook w:val="04A0" w:firstRow="1" w:lastRow="0" w:firstColumn="1" w:lastColumn="0" w:noHBand="0" w:noVBand="1"/>
      </w:tblPr>
      <w:tblGrid>
        <w:gridCol w:w="1525"/>
        <w:gridCol w:w="5488"/>
        <w:gridCol w:w="1753"/>
      </w:tblGrid>
      <w:tr w:rsidR="0049247E" w:rsidRPr="0049247E" w:rsidTr="000E0C05">
        <w:trPr>
          <w:jc w:val="center"/>
        </w:trPr>
        <w:tc>
          <w:tcPr>
            <w:tcW w:w="1525" w:type="dxa"/>
            <w:tcBorders>
              <w:top w:val="nil"/>
              <w:left w:val="nil"/>
              <w:bottom w:val="nil"/>
              <w:right w:val="nil"/>
            </w:tcBorders>
            <w:shd w:val="clear" w:color="auto" w:fill="auto"/>
            <w:noWrap/>
            <w:vAlign w:val="bottom"/>
            <w:hideMark/>
          </w:tcPr>
          <w:p w:rsidR="0049247E" w:rsidRPr="0049247E" w:rsidRDefault="0049247E" w:rsidP="0049247E">
            <w:pPr>
              <w:rPr>
                <w:b/>
                <w:bCs/>
                <w:color w:val="000000"/>
                <w:szCs w:val="22"/>
                <w:u w:val="single"/>
              </w:rPr>
            </w:pPr>
            <w:r w:rsidRPr="0049247E">
              <w:rPr>
                <w:b/>
                <w:bCs/>
                <w:color w:val="000000"/>
                <w:szCs w:val="22"/>
                <w:u w:val="single"/>
              </w:rPr>
              <w:t>File Number</w:t>
            </w:r>
          </w:p>
        </w:tc>
        <w:tc>
          <w:tcPr>
            <w:tcW w:w="5488" w:type="dxa"/>
            <w:tcBorders>
              <w:top w:val="nil"/>
              <w:left w:val="nil"/>
              <w:bottom w:val="nil"/>
              <w:right w:val="nil"/>
            </w:tcBorders>
            <w:shd w:val="clear" w:color="auto" w:fill="auto"/>
            <w:noWrap/>
            <w:vAlign w:val="bottom"/>
            <w:hideMark/>
          </w:tcPr>
          <w:p w:rsidR="0049247E" w:rsidRPr="0049247E" w:rsidRDefault="0049247E" w:rsidP="0049247E">
            <w:pPr>
              <w:rPr>
                <w:b/>
                <w:bCs/>
                <w:color w:val="000000"/>
                <w:szCs w:val="22"/>
                <w:u w:val="single"/>
              </w:rPr>
            </w:pPr>
            <w:r w:rsidRPr="0049247E">
              <w:rPr>
                <w:b/>
                <w:bCs/>
                <w:color w:val="000000"/>
                <w:szCs w:val="22"/>
                <w:u w:val="single"/>
              </w:rPr>
              <w:t>Authorization Holder</w:t>
            </w:r>
          </w:p>
        </w:tc>
        <w:tc>
          <w:tcPr>
            <w:tcW w:w="1753" w:type="dxa"/>
            <w:tcBorders>
              <w:top w:val="nil"/>
              <w:left w:val="nil"/>
              <w:bottom w:val="nil"/>
              <w:right w:val="nil"/>
            </w:tcBorders>
            <w:shd w:val="clear" w:color="auto" w:fill="auto"/>
            <w:noWrap/>
            <w:vAlign w:val="bottom"/>
            <w:hideMark/>
          </w:tcPr>
          <w:p w:rsidR="0049247E" w:rsidRPr="0049247E" w:rsidRDefault="0049247E" w:rsidP="0049247E">
            <w:pPr>
              <w:rPr>
                <w:b/>
                <w:bCs/>
                <w:color w:val="000000"/>
                <w:szCs w:val="22"/>
                <w:u w:val="single"/>
              </w:rPr>
            </w:pPr>
            <w:r w:rsidRPr="0049247E">
              <w:rPr>
                <w:b/>
                <w:bCs/>
                <w:color w:val="000000"/>
                <w:szCs w:val="22"/>
                <w:u w:val="single"/>
              </w:rPr>
              <w:t>Lead Call Sign</w:t>
            </w:r>
          </w:p>
        </w:tc>
      </w:tr>
      <w:tr w:rsidR="0049247E" w:rsidRPr="0049247E" w:rsidTr="000E0C05">
        <w:trPr>
          <w:trHeight w:val="302"/>
          <w:jc w:val="center"/>
        </w:trPr>
        <w:tc>
          <w:tcPr>
            <w:tcW w:w="1525" w:type="dxa"/>
            <w:tcBorders>
              <w:top w:val="nil"/>
              <w:left w:val="nil"/>
              <w:bottom w:val="nil"/>
              <w:right w:val="nil"/>
            </w:tcBorders>
            <w:shd w:val="clear" w:color="auto" w:fill="auto"/>
            <w:noWrap/>
            <w:vAlign w:val="center"/>
            <w:hideMark/>
          </w:tcPr>
          <w:p w:rsidR="0049247E" w:rsidRPr="0049247E" w:rsidRDefault="00FB13C2" w:rsidP="0049247E">
            <w:pPr>
              <w:rPr>
                <w:color w:val="000000"/>
                <w:szCs w:val="19"/>
              </w:rPr>
            </w:pPr>
            <w:r>
              <w:rPr>
                <w:color w:val="000000"/>
                <w:szCs w:val="19"/>
              </w:rPr>
              <w:t>000</w:t>
            </w:r>
            <w:r w:rsidR="0049247E" w:rsidRPr="0049247E">
              <w:rPr>
                <w:color w:val="000000"/>
                <w:szCs w:val="19"/>
              </w:rPr>
              <w:t>7597973</w:t>
            </w:r>
          </w:p>
        </w:tc>
        <w:tc>
          <w:tcPr>
            <w:tcW w:w="5488" w:type="dxa"/>
            <w:tcBorders>
              <w:top w:val="nil"/>
              <w:left w:val="nil"/>
              <w:bottom w:val="nil"/>
              <w:right w:val="nil"/>
            </w:tcBorders>
            <w:shd w:val="clear" w:color="auto" w:fill="auto"/>
            <w:noWrap/>
            <w:vAlign w:val="center"/>
            <w:hideMark/>
          </w:tcPr>
          <w:p w:rsidR="0049247E" w:rsidRPr="0049247E" w:rsidRDefault="0049247E" w:rsidP="0049247E">
            <w:pPr>
              <w:rPr>
                <w:color w:val="000000"/>
                <w:szCs w:val="19"/>
              </w:rPr>
            </w:pPr>
            <w:r w:rsidRPr="0049247E">
              <w:rPr>
                <w:color w:val="000000"/>
                <w:szCs w:val="19"/>
              </w:rPr>
              <w:t>Northern New England Telephone Operations LLC</w:t>
            </w:r>
          </w:p>
        </w:tc>
        <w:tc>
          <w:tcPr>
            <w:tcW w:w="1753" w:type="dxa"/>
            <w:tcBorders>
              <w:top w:val="nil"/>
              <w:left w:val="nil"/>
              <w:bottom w:val="nil"/>
              <w:right w:val="nil"/>
            </w:tcBorders>
            <w:shd w:val="clear" w:color="auto" w:fill="auto"/>
            <w:noWrap/>
            <w:vAlign w:val="center"/>
            <w:hideMark/>
          </w:tcPr>
          <w:p w:rsidR="0049247E" w:rsidRPr="0049247E" w:rsidRDefault="0049247E" w:rsidP="0049247E">
            <w:pPr>
              <w:rPr>
                <w:color w:val="000000"/>
                <w:szCs w:val="19"/>
              </w:rPr>
            </w:pPr>
            <w:r w:rsidRPr="0049247E">
              <w:rPr>
                <w:color w:val="000000"/>
                <w:szCs w:val="19"/>
              </w:rPr>
              <w:t>WBB246</w:t>
            </w:r>
          </w:p>
        </w:tc>
      </w:tr>
      <w:tr w:rsidR="0049247E" w:rsidRPr="0049247E" w:rsidTr="000E0C05">
        <w:trPr>
          <w:trHeight w:val="302"/>
          <w:jc w:val="center"/>
        </w:trPr>
        <w:tc>
          <w:tcPr>
            <w:tcW w:w="1525" w:type="dxa"/>
            <w:tcBorders>
              <w:top w:val="nil"/>
              <w:left w:val="nil"/>
              <w:bottom w:val="nil"/>
              <w:right w:val="nil"/>
            </w:tcBorders>
            <w:shd w:val="clear" w:color="auto" w:fill="auto"/>
            <w:noWrap/>
            <w:vAlign w:val="center"/>
            <w:hideMark/>
          </w:tcPr>
          <w:p w:rsidR="0049247E" w:rsidRPr="0049247E" w:rsidRDefault="00FB13C2" w:rsidP="0049247E">
            <w:pPr>
              <w:rPr>
                <w:color w:val="000000"/>
                <w:szCs w:val="19"/>
              </w:rPr>
            </w:pPr>
            <w:r>
              <w:rPr>
                <w:color w:val="000000"/>
                <w:szCs w:val="19"/>
              </w:rPr>
              <w:t>000</w:t>
            </w:r>
            <w:r w:rsidR="0049247E" w:rsidRPr="0049247E">
              <w:rPr>
                <w:color w:val="000000"/>
                <w:szCs w:val="19"/>
              </w:rPr>
              <w:t>7600311</w:t>
            </w:r>
          </w:p>
        </w:tc>
        <w:tc>
          <w:tcPr>
            <w:tcW w:w="5488" w:type="dxa"/>
            <w:tcBorders>
              <w:top w:val="nil"/>
              <w:left w:val="nil"/>
              <w:bottom w:val="nil"/>
              <w:right w:val="nil"/>
            </w:tcBorders>
            <w:shd w:val="clear" w:color="auto" w:fill="auto"/>
            <w:noWrap/>
            <w:vAlign w:val="center"/>
            <w:hideMark/>
          </w:tcPr>
          <w:p w:rsidR="0049247E" w:rsidRPr="0049247E" w:rsidRDefault="0049247E" w:rsidP="0049247E">
            <w:pPr>
              <w:rPr>
                <w:color w:val="000000"/>
                <w:szCs w:val="19"/>
              </w:rPr>
            </w:pPr>
            <w:r w:rsidRPr="0049247E">
              <w:rPr>
                <w:color w:val="000000"/>
                <w:szCs w:val="19"/>
              </w:rPr>
              <w:t>Ellensburg Telephone Company</w:t>
            </w:r>
          </w:p>
        </w:tc>
        <w:tc>
          <w:tcPr>
            <w:tcW w:w="1753" w:type="dxa"/>
            <w:tcBorders>
              <w:top w:val="nil"/>
              <w:left w:val="nil"/>
              <w:bottom w:val="nil"/>
              <w:right w:val="nil"/>
            </w:tcBorders>
            <w:shd w:val="clear" w:color="auto" w:fill="auto"/>
            <w:noWrap/>
            <w:vAlign w:val="center"/>
            <w:hideMark/>
          </w:tcPr>
          <w:p w:rsidR="0049247E" w:rsidRPr="0049247E" w:rsidRDefault="0049247E" w:rsidP="0049247E">
            <w:pPr>
              <w:rPr>
                <w:color w:val="000000"/>
                <w:szCs w:val="19"/>
              </w:rPr>
            </w:pPr>
            <w:r w:rsidRPr="0049247E">
              <w:rPr>
                <w:color w:val="000000"/>
                <w:szCs w:val="19"/>
              </w:rPr>
              <w:t>WBA948</w:t>
            </w:r>
          </w:p>
        </w:tc>
      </w:tr>
      <w:tr w:rsidR="0049247E" w:rsidRPr="0049247E" w:rsidTr="000E0C05">
        <w:trPr>
          <w:trHeight w:val="302"/>
          <w:jc w:val="center"/>
        </w:trPr>
        <w:tc>
          <w:tcPr>
            <w:tcW w:w="1525" w:type="dxa"/>
            <w:tcBorders>
              <w:top w:val="nil"/>
              <w:left w:val="nil"/>
              <w:bottom w:val="nil"/>
              <w:right w:val="nil"/>
            </w:tcBorders>
            <w:shd w:val="clear" w:color="auto" w:fill="auto"/>
            <w:noWrap/>
            <w:vAlign w:val="center"/>
            <w:hideMark/>
          </w:tcPr>
          <w:p w:rsidR="0049247E" w:rsidRPr="0049247E" w:rsidRDefault="00FB13C2" w:rsidP="0049247E">
            <w:pPr>
              <w:rPr>
                <w:color w:val="000000"/>
                <w:szCs w:val="19"/>
              </w:rPr>
            </w:pPr>
            <w:r>
              <w:rPr>
                <w:color w:val="000000"/>
                <w:szCs w:val="19"/>
              </w:rPr>
              <w:t>000</w:t>
            </w:r>
            <w:r w:rsidR="0049247E" w:rsidRPr="0049247E">
              <w:rPr>
                <w:color w:val="000000"/>
                <w:szCs w:val="19"/>
              </w:rPr>
              <w:t>7600313</w:t>
            </w:r>
          </w:p>
        </w:tc>
        <w:tc>
          <w:tcPr>
            <w:tcW w:w="5488" w:type="dxa"/>
            <w:tcBorders>
              <w:top w:val="nil"/>
              <w:left w:val="nil"/>
              <w:bottom w:val="nil"/>
              <w:right w:val="nil"/>
            </w:tcBorders>
            <w:shd w:val="clear" w:color="auto" w:fill="auto"/>
            <w:noWrap/>
            <w:vAlign w:val="center"/>
            <w:hideMark/>
          </w:tcPr>
          <w:p w:rsidR="0049247E" w:rsidRPr="0049247E" w:rsidRDefault="0049247E" w:rsidP="0049247E">
            <w:pPr>
              <w:rPr>
                <w:color w:val="000000"/>
                <w:szCs w:val="19"/>
              </w:rPr>
            </w:pPr>
            <w:r w:rsidRPr="0049247E">
              <w:rPr>
                <w:color w:val="000000"/>
                <w:szCs w:val="19"/>
              </w:rPr>
              <w:t>Telephone Operating Company of Vermont LLC</w:t>
            </w:r>
          </w:p>
        </w:tc>
        <w:tc>
          <w:tcPr>
            <w:tcW w:w="1753" w:type="dxa"/>
            <w:tcBorders>
              <w:top w:val="nil"/>
              <w:left w:val="nil"/>
              <w:bottom w:val="nil"/>
              <w:right w:val="nil"/>
            </w:tcBorders>
            <w:shd w:val="clear" w:color="auto" w:fill="auto"/>
            <w:noWrap/>
            <w:vAlign w:val="center"/>
            <w:hideMark/>
          </w:tcPr>
          <w:p w:rsidR="0049247E" w:rsidRPr="0049247E" w:rsidRDefault="0049247E" w:rsidP="0049247E">
            <w:pPr>
              <w:rPr>
                <w:color w:val="000000"/>
                <w:szCs w:val="19"/>
              </w:rPr>
            </w:pPr>
            <w:r w:rsidRPr="0049247E">
              <w:rPr>
                <w:color w:val="000000"/>
                <w:szCs w:val="19"/>
              </w:rPr>
              <w:t>WQJB443</w:t>
            </w:r>
          </w:p>
        </w:tc>
      </w:tr>
      <w:tr w:rsidR="0049247E" w:rsidRPr="0049247E" w:rsidTr="000E0C05">
        <w:trPr>
          <w:trHeight w:val="302"/>
          <w:jc w:val="center"/>
        </w:trPr>
        <w:tc>
          <w:tcPr>
            <w:tcW w:w="1525" w:type="dxa"/>
            <w:tcBorders>
              <w:top w:val="nil"/>
              <w:left w:val="nil"/>
              <w:bottom w:val="nil"/>
              <w:right w:val="nil"/>
            </w:tcBorders>
            <w:shd w:val="clear" w:color="auto" w:fill="auto"/>
            <w:noWrap/>
            <w:vAlign w:val="center"/>
            <w:hideMark/>
          </w:tcPr>
          <w:p w:rsidR="0049247E" w:rsidRPr="0049247E" w:rsidRDefault="00FB13C2" w:rsidP="0049247E">
            <w:pPr>
              <w:rPr>
                <w:color w:val="000000"/>
                <w:szCs w:val="19"/>
              </w:rPr>
            </w:pPr>
            <w:r>
              <w:rPr>
                <w:color w:val="000000"/>
                <w:szCs w:val="19"/>
              </w:rPr>
              <w:t>000</w:t>
            </w:r>
            <w:r w:rsidR="0049247E" w:rsidRPr="0049247E">
              <w:rPr>
                <w:color w:val="000000"/>
                <w:szCs w:val="19"/>
              </w:rPr>
              <w:t>7600316</w:t>
            </w:r>
          </w:p>
        </w:tc>
        <w:tc>
          <w:tcPr>
            <w:tcW w:w="5488" w:type="dxa"/>
            <w:tcBorders>
              <w:top w:val="nil"/>
              <w:left w:val="nil"/>
              <w:bottom w:val="nil"/>
              <w:right w:val="nil"/>
            </w:tcBorders>
            <w:shd w:val="clear" w:color="auto" w:fill="auto"/>
            <w:noWrap/>
            <w:vAlign w:val="center"/>
            <w:hideMark/>
          </w:tcPr>
          <w:p w:rsidR="0049247E" w:rsidRPr="0049247E" w:rsidRDefault="0049247E" w:rsidP="0049247E">
            <w:pPr>
              <w:rPr>
                <w:color w:val="000000"/>
                <w:szCs w:val="19"/>
              </w:rPr>
            </w:pPr>
            <w:r w:rsidRPr="0049247E">
              <w:rPr>
                <w:color w:val="000000"/>
                <w:szCs w:val="19"/>
              </w:rPr>
              <w:t>FairPoint Communications, Inc.</w:t>
            </w:r>
          </w:p>
        </w:tc>
        <w:tc>
          <w:tcPr>
            <w:tcW w:w="1753" w:type="dxa"/>
            <w:tcBorders>
              <w:top w:val="nil"/>
              <w:left w:val="nil"/>
              <w:bottom w:val="nil"/>
              <w:right w:val="nil"/>
            </w:tcBorders>
            <w:shd w:val="clear" w:color="auto" w:fill="auto"/>
            <w:noWrap/>
            <w:vAlign w:val="center"/>
            <w:hideMark/>
          </w:tcPr>
          <w:p w:rsidR="0049247E" w:rsidRPr="0049247E" w:rsidRDefault="0049247E" w:rsidP="0049247E">
            <w:pPr>
              <w:rPr>
                <w:color w:val="000000"/>
                <w:szCs w:val="19"/>
              </w:rPr>
            </w:pPr>
            <w:r w:rsidRPr="0049247E">
              <w:rPr>
                <w:color w:val="000000"/>
                <w:szCs w:val="19"/>
              </w:rPr>
              <w:t>WQIM469</w:t>
            </w:r>
          </w:p>
        </w:tc>
      </w:tr>
    </w:tbl>
    <w:p w:rsidR="0006387C" w:rsidRDefault="0006387C">
      <w:pPr>
        <w:ind w:right="720"/>
        <w:rPr>
          <w:b/>
          <w:szCs w:val="22"/>
          <w:u w:val="single"/>
        </w:rPr>
      </w:pPr>
    </w:p>
    <w:p w:rsidR="00692855" w:rsidRDefault="00692855">
      <w:pPr>
        <w:ind w:right="720"/>
        <w:rPr>
          <w:szCs w:val="22"/>
        </w:rPr>
      </w:pPr>
      <w:r>
        <w:rPr>
          <w:b/>
          <w:szCs w:val="22"/>
          <w:u w:val="single"/>
        </w:rPr>
        <w:t>GENERAL INFORMATION</w:t>
      </w:r>
    </w:p>
    <w:p w:rsidR="00692855" w:rsidRDefault="00692855">
      <w:pPr>
        <w:ind w:right="720"/>
        <w:rPr>
          <w:szCs w:val="22"/>
        </w:rPr>
      </w:pPr>
    </w:p>
    <w:p w:rsidR="00692855" w:rsidRDefault="00692855">
      <w:pPr>
        <w:autoSpaceDE w:val="0"/>
        <w:autoSpaceDN w:val="0"/>
        <w:adjustRightInd w:val="0"/>
        <w:ind w:firstLine="720"/>
        <w:rPr>
          <w:szCs w:val="22"/>
        </w:rPr>
      </w:pPr>
      <w:r>
        <w:rPr>
          <w:szCs w:val="22"/>
        </w:rPr>
        <w:t xml:space="preserve">The applications referenced herein have been found, upon initial review, to be acceptable for filing.  The Commission reserves the right to return any application if, upon further examination, it is determined to be defective and not in conformance with the Commission’s rules and policies.  Interested parties may file comments </w:t>
      </w:r>
      <w:r>
        <w:rPr>
          <w:b/>
          <w:szCs w:val="22"/>
        </w:rPr>
        <w:t>on or before</w:t>
      </w:r>
      <w:r>
        <w:rPr>
          <w:szCs w:val="22"/>
        </w:rPr>
        <w:t xml:space="preserve"> </w:t>
      </w:r>
      <w:r w:rsidR="00A105E1">
        <w:rPr>
          <w:szCs w:val="22"/>
        </w:rPr>
        <w:t>February 13, 2017</w:t>
      </w:r>
      <w:r>
        <w:rPr>
          <w:b/>
          <w:szCs w:val="22"/>
        </w:rPr>
        <w:t>,</w:t>
      </w:r>
      <w:r>
        <w:rPr>
          <w:szCs w:val="22"/>
        </w:rPr>
        <w:t xml:space="preserve"> and reply comments </w:t>
      </w:r>
      <w:r>
        <w:rPr>
          <w:b/>
          <w:szCs w:val="22"/>
        </w:rPr>
        <w:t xml:space="preserve">on or before </w:t>
      </w:r>
      <w:r w:rsidR="00A105E1">
        <w:rPr>
          <w:b/>
          <w:szCs w:val="22"/>
        </w:rPr>
        <w:t>February 28, 2017</w:t>
      </w:r>
      <w:r>
        <w:rPr>
          <w:b/>
          <w:szCs w:val="22"/>
        </w:rPr>
        <w:t>.</w:t>
      </w:r>
      <w:r>
        <w:rPr>
          <w:szCs w:val="22"/>
        </w:rPr>
        <w:t xml:space="preserve">  </w:t>
      </w:r>
    </w:p>
    <w:p w:rsidR="00692855" w:rsidRDefault="00692855">
      <w:pPr>
        <w:autoSpaceDE w:val="0"/>
        <w:autoSpaceDN w:val="0"/>
        <w:adjustRightInd w:val="0"/>
        <w:ind w:firstLine="720"/>
        <w:rPr>
          <w:szCs w:val="22"/>
        </w:rPr>
      </w:pPr>
    </w:p>
    <w:p w:rsidR="00692855" w:rsidRDefault="00692855">
      <w:pPr>
        <w:ind w:firstLine="720"/>
      </w:pPr>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692855" w:rsidRDefault="00692855"/>
    <w:p w:rsidR="00692855" w:rsidRDefault="00692855">
      <w:pPr>
        <w:numPr>
          <w:ilvl w:val="0"/>
          <w:numId w:val="17"/>
        </w:numPr>
      </w:pPr>
      <w:r>
        <w:t xml:space="preserve">Electronic Filers:  Comments may be filed electronically using the Internet by accessing the ECFS:  </w:t>
      </w:r>
      <w:hyperlink r:id="rId14" w:history="1">
        <w:r>
          <w:rPr>
            <w:rStyle w:val="Hyperlink"/>
          </w:rPr>
          <w:t>http://apps.fcc.gov/ecfs/</w:t>
        </w:r>
      </w:hyperlink>
      <w:r>
        <w:t xml:space="preserve">.  </w:t>
      </w:r>
    </w:p>
    <w:p w:rsidR="00692855" w:rsidRDefault="00692855"/>
    <w:p w:rsidR="00692855" w:rsidRDefault="00692855">
      <w:pPr>
        <w:numPr>
          <w:ilvl w:val="0"/>
          <w:numId w:val="15"/>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692855" w:rsidRDefault="00692855"/>
    <w:p w:rsidR="00692855" w:rsidRDefault="00692855">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692855" w:rsidRDefault="00692855"/>
    <w:p w:rsidR="00692855" w:rsidRDefault="00692855">
      <w:pPr>
        <w:numPr>
          <w:ilvl w:val="0"/>
          <w:numId w:val="16"/>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692855" w:rsidRDefault="00692855">
      <w:pPr>
        <w:ind w:left="1080"/>
      </w:pPr>
    </w:p>
    <w:p w:rsidR="00692855" w:rsidRDefault="00692855">
      <w:pPr>
        <w:numPr>
          <w:ilvl w:val="0"/>
          <w:numId w:val="16"/>
        </w:numPr>
      </w:pPr>
      <w:r>
        <w:t>Commercial overnight mail (other than U.S. Postal Service Express Mail and Priority Mail) must be sent to 9300 East Hampton Drive, Capitol Heights, MD  20743.</w:t>
      </w:r>
    </w:p>
    <w:p w:rsidR="00692855" w:rsidRDefault="00692855"/>
    <w:p w:rsidR="00692855" w:rsidRDefault="00692855">
      <w:pPr>
        <w:numPr>
          <w:ilvl w:val="0"/>
          <w:numId w:val="16"/>
        </w:numPr>
      </w:pPr>
      <w:r>
        <w:t>U.S. Postal Service first-class, Express, and Priority mail must be addressed to 445 12</w:t>
      </w:r>
      <w:r>
        <w:rPr>
          <w:vertAlign w:val="superscript"/>
        </w:rPr>
        <w:t>th</w:t>
      </w:r>
      <w:r>
        <w:t xml:space="preserve"> Street, SW, Washington DC  20554.</w:t>
      </w:r>
    </w:p>
    <w:p w:rsidR="00692855" w:rsidRDefault="00692855"/>
    <w:p w:rsidR="00692855" w:rsidRDefault="00692855">
      <w:pPr>
        <w:ind w:firstLine="720"/>
      </w:pPr>
      <w:r>
        <w:t xml:space="preserve">People with Disabilities:  To request materials in accessible formats for people with disabilities (braille, large print, electronic files, audio format), send an e-mail to </w:t>
      </w:r>
      <w:hyperlink r:id="rId15" w:history="1">
        <w:r>
          <w:rPr>
            <w:color w:val="0000FF"/>
            <w:u w:val="single"/>
          </w:rPr>
          <w:t>fcc504@fcc.gov</w:t>
        </w:r>
      </w:hyperlink>
      <w:r>
        <w:t xml:space="preserve"> or call the Consumer &amp; Governmental Affairs Bureau at 202-418-0530 (voice), 202-418-0432 (tty).</w:t>
      </w:r>
    </w:p>
    <w:p w:rsidR="00692855" w:rsidRDefault="00692855">
      <w:pPr>
        <w:rPr>
          <w:b/>
          <w:szCs w:val="22"/>
        </w:rPr>
      </w:pPr>
    </w:p>
    <w:p w:rsidR="00692855" w:rsidRDefault="00692855">
      <w:pPr>
        <w:rPr>
          <w:szCs w:val="22"/>
        </w:rPr>
      </w:pPr>
      <w:r>
        <w:rPr>
          <w:b/>
          <w:szCs w:val="22"/>
        </w:rPr>
        <w:t>In addition, provide one copy of each pleading to each of the following</w:t>
      </w:r>
      <w:r>
        <w:rPr>
          <w:szCs w:val="22"/>
        </w:rPr>
        <w:t>:</w:t>
      </w:r>
    </w:p>
    <w:p w:rsidR="00692855" w:rsidRDefault="00692855">
      <w:pPr>
        <w:rPr>
          <w:szCs w:val="22"/>
        </w:rPr>
      </w:pPr>
    </w:p>
    <w:p w:rsidR="00692855" w:rsidRDefault="00692855">
      <w:pPr>
        <w:numPr>
          <w:ilvl w:val="0"/>
          <w:numId w:val="14"/>
        </w:numPr>
        <w:spacing w:after="120"/>
        <w:rPr>
          <w:szCs w:val="22"/>
        </w:rPr>
      </w:pPr>
      <w:r>
        <w:rPr>
          <w:szCs w:val="22"/>
        </w:rPr>
        <w:t xml:space="preserve">Dennis Johnson, Wireline Competition Bureau, </w:t>
      </w:r>
      <w:hyperlink r:id="rId16" w:history="1">
        <w:r>
          <w:rPr>
            <w:rStyle w:val="Hyperlink"/>
            <w:szCs w:val="22"/>
          </w:rPr>
          <w:t>dennis.johnson@fcc.gov</w:t>
        </w:r>
      </w:hyperlink>
      <w:r w:rsidR="00240365">
        <w:rPr>
          <w:szCs w:val="22"/>
        </w:rPr>
        <w:t>;</w:t>
      </w:r>
    </w:p>
    <w:p w:rsidR="00692855" w:rsidRDefault="00692855">
      <w:pPr>
        <w:numPr>
          <w:ilvl w:val="0"/>
          <w:numId w:val="14"/>
        </w:numPr>
        <w:spacing w:after="120"/>
        <w:rPr>
          <w:szCs w:val="22"/>
        </w:rPr>
      </w:pPr>
      <w:r>
        <w:rPr>
          <w:szCs w:val="22"/>
        </w:rPr>
        <w:t xml:space="preserve">David Krech, International Bureau, </w:t>
      </w:r>
      <w:hyperlink r:id="rId17" w:history="1">
        <w:r>
          <w:rPr>
            <w:color w:val="0000FF"/>
            <w:szCs w:val="22"/>
            <w:u w:val="single"/>
          </w:rPr>
          <w:t>david.krech@fcc.gov</w:t>
        </w:r>
      </w:hyperlink>
      <w:r>
        <w:rPr>
          <w:szCs w:val="22"/>
        </w:rPr>
        <w:t>;</w:t>
      </w:r>
    </w:p>
    <w:p w:rsidR="00692855" w:rsidRDefault="00240365">
      <w:pPr>
        <w:numPr>
          <w:ilvl w:val="0"/>
          <w:numId w:val="14"/>
        </w:numPr>
        <w:spacing w:after="120"/>
        <w:rPr>
          <w:color w:val="000000"/>
          <w:szCs w:val="22"/>
        </w:rPr>
      </w:pPr>
      <w:r>
        <w:rPr>
          <w:color w:val="000000"/>
          <w:szCs w:val="22"/>
        </w:rPr>
        <w:t>Linda Ray</w:t>
      </w:r>
      <w:r w:rsidR="00692855">
        <w:rPr>
          <w:color w:val="000000"/>
          <w:szCs w:val="22"/>
        </w:rPr>
        <w:t>, Wireless</w:t>
      </w:r>
      <w:r>
        <w:rPr>
          <w:color w:val="000000"/>
          <w:szCs w:val="22"/>
        </w:rPr>
        <w:t xml:space="preserve"> Telecommunications Bureau,</w:t>
      </w:r>
      <w:r w:rsidR="00692855">
        <w:rPr>
          <w:color w:val="000000"/>
          <w:szCs w:val="22"/>
        </w:rPr>
        <w:t xml:space="preserve"> </w:t>
      </w:r>
      <w:r w:rsidR="00692855">
        <w:rPr>
          <w:color w:val="0000FF"/>
          <w:szCs w:val="22"/>
          <w:u w:val="single"/>
        </w:rPr>
        <w:t>linda.ray@fcc.gov</w:t>
      </w:r>
      <w:r>
        <w:rPr>
          <w:color w:val="000000"/>
          <w:szCs w:val="22"/>
        </w:rPr>
        <w:t>;</w:t>
      </w:r>
    </w:p>
    <w:p w:rsidR="00240365" w:rsidRDefault="00692855" w:rsidP="00240365">
      <w:pPr>
        <w:numPr>
          <w:ilvl w:val="0"/>
          <w:numId w:val="14"/>
        </w:numPr>
        <w:rPr>
          <w:szCs w:val="22"/>
        </w:rPr>
      </w:pPr>
      <w:bookmarkStart w:id="6" w:name="SR;3162"/>
      <w:bookmarkEnd w:id="6"/>
      <w:r>
        <w:rPr>
          <w:szCs w:val="22"/>
        </w:rPr>
        <w:t xml:space="preserve">Neil Dellar, Office of General Counsel, </w:t>
      </w:r>
      <w:hyperlink r:id="rId18" w:history="1">
        <w:r>
          <w:rPr>
            <w:rStyle w:val="Hyperlink"/>
          </w:rPr>
          <w:t>TransactionTeam</w:t>
        </w:r>
        <w:r>
          <w:rPr>
            <w:rStyle w:val="Hyperlink"/>
            <w:szCs w:val="22"/>
          </w:rPr>
          <w:t>@fcc.gov</w:t>
        </w:r>
      </w:hyperlink>
      <w:r w:rsidR="00240365">
        <w:rPr>
          <w:szCs w:val="22"/>
        </w:rPr>
        <w:t>.</w:t>
      </w:r>
    </w:p>
    <w:p w:rsidR="00692855" w:rsidRDefault="00692855" w:rsidP="00240365">
      <w:pPr>
        <w:ind w:left="360"/>
        <w:rPr>
          <w:szCs w:val="22"/>
        </w:rPr>
      </w:pPr>
      <w:r>
        <w:rPr>
          <w:szCs w:val="22"/>
        </w:rPr>
        <w:t xml:space="preserve"> </w:t>
      </w:r>
      <w:hyperlink r:id="rId19" w:history="1">
        <w:r w:rsidR="00777879" w:rsidRPr="00777879">
          <w:rPr>
            <w:rStyle w:val="Hyperlink"/>
          </w:rPr>
          <w:t>mailto:</w:t>
        </w:r>
      </w:hyperlink>
    </w:p>
    <w:p w:rsidR="00692855" w:rsidRDefault="00692855">
      <w:pPr>
        <w:ind w:firstLine="720"/>
      </w:pPr>
      <w:r>
        <w:t xml:space="preserve">The proceeding in this Notice shall be treated as a “permit-but-disclose” proceeding in accordance with the Commission’s </w:t>
      </w:r>
      <w:r>
        <w:rPr>
          <w:i/>
          <w:iCs/>
        </w:rPr>
        <w:t xml:space="preserve">ex parte </w:t>
      </w:r>
      <w:r>
        <w:t>rules.</w:t>
      </w:r>
      <w:r>
        <w:rPr>
          <w:vertAlign w:val="superscript"/>
        </w:rPr>
        <w:footnoteReference w:id="26"/>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47 C.F.R. § 1.1206(b).  Participants in this proceeding should familiarize themselves with the Commission’s </w:t>
      </w:r>
      <w:r>
        <w:rPr>
          <w:i/>
          <w:iCs/>
        </w:rPr>
        <w:t xml:space="preserve">ex parte </w:t>
      </w:r>
      <w:r>
        <w:t>rules.</w:t>
      </w:r>
    </w:p>
    <w:p w:rsidR="00692855" w:rsidRDefault="00692855">
      <w:pPr>
        <w:ind w:firstLine="720"/>
      </w:pPr>
    </w:p>
    <w:p w:rsidR="00692855" w:rsidRDefault="00692855">
      <w:pPr>
        <w:spacing w:after="240"/>
        <w:ind w:firstLine="720"/>
        <w:rPr>
          <w:szCs w:val="22"/>
        </w:rPr>
      </w:pPr>
      <w:r>
        <w:rPr>
          <w:spacing w:val="-2"/>
          <w:szCs w:val="22"/>
        </w:rPr>
        <w:t xml:space="preserve">To allow the Commission to consider fully all substantive issues regarding the Applications in as timely and efficient a manner as possible, </w:t>
      </w:r>
      <w:r>
        <w:rPr>
          <w:szCs w:val="22"/>
        </w:rPr>
        <w:t>petitioners and commenters should raise all issues in their initial filings.  New issues may not be raised in responses or replies.</w:t>
      </w:r>
      <w:r>
        <w:rPr>
          <w:szCs w:val="22"/>
          <w:vertAlign w:val="superscript"/>
        </w:rPr>
        <w:footnoteReference w:id="27"/>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692855" w:rsidRDefault="00692855">
      <w:pPr>
        <w:rPr>
          <w:szCs w:val="22"/>
        </w:rPr>
      </w:pPr>
      <w:r>
        <w:rPr>
          <w:szCs w:val="22"/>
        </w:rPr>
        <w:tab/>
        <w:t>For further information, please contact Dennis Johnson, Wireline Competition Bureau, (202) 418-0809; David Krec</w:t>
      </w:r>
      <w:r w:rsidR="00240365">
        <w:rPr>
          <w:szCs w:val="22"/>
        </w:rPr>
        <w:t xml:space="preserve">h, </w:t>
      </w:r>
      <w:r>
        <w:rPr>
          <w:szCs w:val="22"/>
        </w:rPr>
        <w:t>International Bureau, (202) 418-7443; or Linda Ray, Wireless Telecommunications Bureau, (202) 418-0257.</w:t>
      </w:r>
    </w:p>
    <w:p w:rsidR="00692855" w:rsidRDefault="00692855">
      <w:pPr>
        <w:ind w:left="720" w:right="720"/>
        <w:rPr>
          <w:szCs w:val="22"/>
        </w:rPr>
      </w:pPr>
    </w:p>
    <w:p w:rsidR="00692855" w:rsidRDefault="00692855">
      <w:pPr>
        <w:jc w:val="center"/>
        <w:rPr>
          <w:b/>
          <w:color w:val="000000"/>
          <w:szCs w:val="22"/>
        </w:rPr>
      </w:pPr>
      <w:r>
        <w:rPr>
          <w:b/>
          <w:szCs w:val="22"/>
        </w:rPr>
        <w:t>- FCC -</w:t>
      </w:r>
    </w:p>
    <w:p w:rsidR="00692855" w:rsidRDefault="00692855">
      <w:pPr>
        <w:keepNext/>
        <w:rPr>
          <w:b/>
          <w:color w:val="000000"/>
        </w:rPr>
      </w:pPr>
    </w:p>
    <w:sectPr w:rsidR="00692855" w:rsidSect="00FB13C2">
      <w:type w:val="continuous"/>
      <w:pgSz w:w="12240" w:h="15840" w:code="1"/>
      <w:pgMar w:top="144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828" w:rsidRDefault="00472828">
      <w:r>
        <w:separator/>
      </w:r>
    </w:p>
  </w:endnote>
  <w:endnote w:type="continuationSeparator" w:id="0">
    <w:p w:rsidR="00472828" w:rsidRDefault="0047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5" w:rsidRDefault="006928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2855" w:rsidRDefault="00692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5" w:rsidRDefault="006928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39DB">
      <w:rPr>
        <w:rStyle w:val="PageNumber"/>
        <w:noProof/>
      </w:rPr>
      <w:t>2</w:t>
    </w:r>
    <w:r>
      <w:rPr>
        <w:rStyle w:val="PageNumber"/>
      </w:rPr>
      <w:fldChar w:fldCharType="end"/>
    </w:r>
  </w:p>
  <w:p w:rsidR="00692855" w:rsidRDefault="006928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879" w:rsidRDefault="00777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828" w:rsidRDefault="00472828">
      <w:r>
        <w:separator/>
      </w:r>
    </w:p>
  </w:footnote>
  <w:footnote w:type="continuationSeparator" w:id="0">
    <w:p w:rsidR="00472828" w:rsidRDefault="00472828">
      <w:r>
        <w:continuationSeparator/>
      </w:r>
    </w:p>
  </w:footnote>
  <w:footnote w:id="1">
    <w:p w:rsidR="00692855" w:rsidRPr="00EE59D6" w:rsidRDefault="00692855">
      <w:pPr>
        <w:pStyle w:val="FootnoteText"/>
      </w:pPr>
      <w:r w:rsidRPr="00EE59D6">
        <w:rPr>
          <w:rStyle w:val="FootnoteReference"/>
        </w:rPr>
        <w:footnoteRef/>
      </w:r>
      <w:r w:rsidRPr="00EE59D6">
        <w:t xml:space="preserve"> 47 U.S.C. §§ 214, 310(d).</w:t>
      </w:r>
    </w:p>
  </w:footnote>
  <w:footnote w:id="2">
    <w:p w:rsidR="00E21688" w:rsidRPr="00204790" w:rsidRDefault="00E21688" w:rsidP="00E21688">
      <w:pPr>
        <w:pStyle w:val="FootnoteText"/>
        <w:rPr>
          <w:i/>
        </w:rPr>
      </w:pPr>
      <w:r w:rsidRPr="00EE59D6">
        <w:rPr>
          <w:rStyle w:val="FootnoteReference"/>
        </w:rPr>
        <w:footnoteRef/>
      </w:r>
      <w:r w:rsidRPr="00EE59D6">
        <w:t xml:space="preserve"> </w:t>
      </w:r>
      <w:r w:rsidRPr="003D700E">
        <w:rPr>
          <w:i/>
        </w:rPr>
        <w:t>See</w:t>
      </w:r>
      <w:r w:rsidRPr="00EE59D6">
        <w:t xml:space="preserve"> Consolidated Communications Holdings, Inc. and FairPoint Communications, Inc. Application for authority pursuant to Section 214 of the Communications Act of 1934, as amended, to Transfer Indirect Control of Domestic and International Section 214 Authorization Holders to Consolidated Communications Holdings, Inc., WC Docket No. 16-417 (filed Dec. 21, 2016) (</w:t>
      </w:r>
      <w:r>
        <w:t xml:space="preserve">Lead </w:t>
      </w:r>
      <w:r w:rsidRPr="00EE59D6">
        <w:t xml:space="preserve">Application). </w:t>
      </w:r>
      <w:r>
        <w:t xml:space="preserve"> The file numbers for the other applications are listed </w:t>
      </w:r>
      <w:r w:rsidR="00251B04">
        <w:rPr>
          <w:i/>
        </w:rPr>
        <w:t>infra</w:t>
      </w:r>
      <w:r>
        <w:rPr>
          <w:i/>
        </w:rPr>
        <w:t>.</w:t>
      </w:r>
    </w:p>
  </w:footnote>
  <w:footnote w:id="3">
    <w:p w:rsidR="00BC5AB3" w:rsidRPr="00EE59D6" w:rsidRDefault="00BC5AB3">
      <w:pPr>
        <w:pStyle w:val="FootnoteText"/>
      </w:pPr>
      <w:r w:rsidRPr="00EE59D6">
        <w:rPr>
          <w:rStyle w:val="FootnoteReference"/>
        </w:rPr>
        <w:footnoteRef/>
      </w:r>
      <w:r w:rsidRPr="00EE59D6">
        <w:t xml:space="preserve"> </w:t>
      </w:r>
      <w:r w:rsidR="00E21688">
        <w:t xml:space="preserve">Lead </w:t>
      </w:r>
      <w:r w:rsidR="00D70282" w:rsidRPr="00EE59D6">
        <w:t>Application</w:t>
      </w:r>
      <w:r w:rsidRPr="00EE59D6">
        <w:t xml:space="preserve"> at 4. </w:t>
      </w:r>
    </w:p>
  </w:footnote>
  <w:footnote w:id="4">
    <w:p w:rsidR="00D70282" w:rsidRPr="00EE59D6" w:rsidRDefault="00D70282">
      <w:pPr>
        <w:pStyle w:val="FootnoteText"/>
      </w:pPr>
      <w:r w:rsidRPr="00EE59D6">
        <w:rPr>
          <w:rStyle w:val="FootnoteReference"/>
        </w:rPr>
        <w:footnoteRef/>
      </w:r>
      <w:r w:rsidRPr="00EE59D6">
        <w:t xml:space="preserve"> </w:t>
      </w:r>
      <w:r w:rsidRPr="00EE59D6">
        <w:rPr>
          <w:i/>
        </w:rPr>
        <w:t>Id.</w:t>
      </w:r>
      <w:r w:rsidRPr="00EE59D6">
        <w:t xml:space="preserve"> at 9-15.</w:t>
      </w:r>
    </w:p>
  </w:footnote>
  <w:footnote w:id="5">
    <w:p w:rsidR="00D70282" w:rsidRPr="00EE59D6" w:rsidRDefault="00D70282">
      <w:pPr>
        <w:pStyle w:val="FootnoteText"/>
      </w:pPr>
      <w:r w:rsidRPr="00EE59D6">
        <w:rPr>
          <w:rStyle w:val="FootnoteReference"/>
        </w:rPr>
        <w:footnoteRef/>
      </w:r>
      <w:r w:rsidRPr="00EE59D6">
        <w:t xml:space="preserve"> </w:t>
      </w:r>
      <w:r w:rsidRPr="00EE59D6">
        <w:rPr>
          <w:i/>
        </w:rPr>
        <w:t>Id.</w:t>
      </w:r>
      <w:r w:rsidRPr="00EE59D6">
        <w:t xml:space="preserve"> at 4.</w:t>
      </w:r>
    </w:p>
  </w:footnote>
  <w:footnote w:id="6">
    <w:p w:rsidR="00A255C5" w:rsidRPr="00AE6A0D" w:rsidRDefault="00A255C5">
      <w:pPr>
        <w:pStyle w:val="FootnoteText"/>
      </w:pPr>
      <w:r w:rsidRPr="00EE59D6">
        <w:rPr>
          <w:rStyle w:val="FootnoteReference"/>
        </w:rPr>
        <w:footnoteRef/>
      </w:r>
      <w:r w:rsidRPr="00EE59D6">
        <w:t xml:space="preserve"> </w:t>
      </w:r>
      <w:r w:rsidRPr="00EE59D6">
        <w:rPr>
          <w:i/>
        </w:rPr>
        <w:t>Id.</w:t>
      </w:r>
      <w:r w:rsidR="00AE6A0D">
        <w:rPr>
          <w:i/>
        </w:rPr>
        <w:t xml:space="preserve">  </w:t>
      </w:r>
      <w:r w:rsidR="00AE6A0D" w:rsidRPr="0088151D">
        <w:t>Exh</w:t>
      </w:r>
      <w:r w:rsidR="00F2563D">
        <w:t>ibit</w:t>
      </w:r>
      <w:r w:rsidR="00AE6A0D" w:rsidRPr="0088151D">
        <w:t xml:space="preserve"> A</w:t>
      </w:r>
      <w:r w:rsidR="00AE6A0D">
        <w:t xml:space="preserve"> </w:t>
      </w:r>
      <w:r w:rsidR="0061124E">
        <w:t xml:space="preserve">and Sections III and IV of the Application </w:t>
      </w:r>
      <w:r w:rsidR="00F2563D">
        <w:t>detail</w:t>
      </w:r>
      <w:r w:rsidR="00AE6A0D">
        <w:t xml:space="preserve"> a list of services provided by the Licensees and the states where they provide them.</w:t>
      </w:r>
    </w:p>
  </w:footnote>
  <w:footnote w:id="7">
    <w:p w:rsidR="00BC5CD3" w:rsidRPr="00EE59D6" w:rsidRDefault="00BC5CD3">
      <w:pPr>
        <w:pStyle w:val="FootnoteText"/>
      </w:pPr>
      <w:r w:rsidRPr="00EE59D6">
        <w:rPr>
          <w:rStyle w:val="FootnoteReference"/>
        </w:rPr>
        <w:footnoteRef/>
      </w:r>
      <w:r w:rsidRPr="00EE59D6">
        <w:t xml:space="preserve"> </w:t>
      </w:r>
      <w:r w:rsidRPr="00EE59D6">
        <w:rPr>
          <w:i/>
        </w:rPr>
        <w:t>Id.</w:t>
      </w:r>
      <w:r w:rsidRPr="00EE59D6">
        <w:t xml:space="preserve"> at 3.</w:t>
      </w:r>
      <w:r w:rsidR="003F61AF">
        <w:t xml:space="preserve">    </w:t>
      </w:r>
    </w:p>
  </w:footnote>
  <w:footnote w:id="8">
    <w:p w:rsidR="00BC5CD3" w:rsidRPr="00EE59D6" w:rsidRDefault="00BC5CD3">
      <w:pPr>
        <w:pStyle w:val="FootnoteText"/>
      </w:pPr>
      <w:r w:rsidRPr="00EE59D6">
        <w:rPr>
          <w:rStyle w:val="FootnoteReference"/>
        </w:rPr>
        <w:footnoteRef/>
      </w:r>
      <w:r w:rsidRPr="00EE59D6">
        <w:t xml:space="preserve"> </w:t>
      </w:r>
      <w:r w:rsidR="00E21688" w:rsidRPr="00E21688">
        <w:rPr>
          <w:i/>
        </w:rPr>
        <w:t>Id.</w:t>
      </w:r>
      <w:r w:rsidR="00E21688" w:rsidRPr="00E21688">
        <w:t xml:space="preserve"> </w:t>
      </w:r>
      <w:r w:rsidR="00530958">
        <w:t>at 3, 6.</w:t>
      </w:r>
    </w:p>
  </w:footnote>
  <w:footnote w:id="9">
    <w:p w:rsidR="003F61AF" w:rsidRDefault="003F61AF">
      <w:pPr>
        <w:pStyle w:val="FootnoteText"/>
      </w:pPr>
      <w:r>
        <w:rPr>
          <w:rStyle w:val="FootnoteReference"/>
        </w:rPr>
        <w:footnoteRef/>
      </w:r>
      <w:r>
        <w:t xml:space="preserve"> </w:t>
      </w:r>
      <w:r w:rsidR="00AD5528">
        <w:rPr>
          <w:i/>
        </w:rPr>
        <w:t>Id.</w:t>
      </w:r>
      <w:r w:rsidR="00AD5528">
        <w:t xml:space="preserve"> </w:t>
      </w:r>
      <w:r>
        <w:t>at 12.</w:t>
      </w:r>
      <w:r w:rsidR="00AD5528">
        <w:t xml:space="preserve">  </w:t>
      </w:r>
      <w:r w:rsidR="00AD5528">
        <w:rPr>
          <w:szCs w:val="22"/>
        </w:rPr>
        <w:t xml:space="preserve">Applicants state that at present, the following entities own or control ten percent or more of Consolidated Holdings’ stock: BlackRock Institutional Trust Company, BlackRock Inc., and The Vanguard Group Inc.  </w:t>
      </w:r>
      <w:r w:rsidR="00AD5528">
        <w:rPr>
          <w:i/>
        </w:rPr>
        <w:t>Id.</w:t>
      </w:r>
      <w:r w:rsidR="00AD5528" w:rsidRPr="00EE59D6">
        <w:t xml:space="preserve"> at 2-3.</w:t>
      </w:r>
    </w:p>
  </w:footnote>
  <w:footnote w:id="10">
    <w:p w:rsidR="001B7740" w:rsidRPr="00EE59D6" w:rsidRDefault="001B7740">
      <w:pPr>
        <w:pStyle w:val="FootnoteText"/>
      </w:pPr>
      <w:r w:rsidRPr="00EE59D6">
        <w:rPr>
          <w:rStyle w:val="FootnoteReference"/>
        </w:rPr>
        <w:footnoteRef/>
      </w:r>
      <w:r w:rsidRPr="00EE59D6">
        <w:t xml:space="preserve"> </w:t>
      </w:r>
      <w:r w:rsidRPr="00EE59D6">
        <w:rPr>
          <w:i/>
        </w:rPr>
        <w:t>Id.</w:t>
      </w:r>
      <w:r w:rsidRPr="00EE59D6">
        <w:t xml:space="preserve"> at 5.</w:t>
      </w:r>
    </w:p>
  </w:footnote>
  <w:footnote w:id="11">
    <w:p w:rsidR="001B7740" w:rsidRPr="00EE59D6" w:rsidRDefault="001B7740">
      <w:pPr>
        <w:pStyle w:val="FootnoteText"/>
      </w:pPr>
      <w:r w:rsidRPr="00EE59D6">
        <w:rPr>
          <w:rStyle w:val="FootnoteReference"/>
        </w:rPr>
        <w:footnoteRef/>
      </w:r>
      <w:r w:rsidRPr="00EE59D6">
        <w:t xml:space="preserve"> </w:t>
      </w:r>
      <w:r w:rsidRPr="00EE59D6">
        <w:rPr>
          <w:i/>
        </w:rPr>
        <w:t>Id.</w:t>
      </w:r>
      <w:r w:rsidRPr="00EE59D6">
        <w:t xml:space="preserve"> </w:t>
      </w:r>
    </w:p>
  </w:footnote>
  <w:footnote w:id="12">
    <w:p w:rsidR="001B7740" w:rsidRPr="00EE59D6" w:rsidRDefault="001B7740">
      <w:pPr>
        <w:pStyle w:val="FootnoteText"/>
      </w:pPr>
      <w:r w:rsidRPr="00EE59D6">
        <w:rPr>
          <w:rStyle w:val="FootnoteReference"/>
        </w:rPr>
        <w:footnoteRef/>
      </w:r>
      <w:r w:rsidRPr="00EE59D6">
        <w:t xml:space="preserve"> </w:t>
      </w:r>
      <w:r w:rsidRPr="00EE59D6">
        <w:rPr>
          <w:i/>
        </w:rPr>
        <w:t>Id.</w:t>
      </w:r>
    </w:p>
  </w:footnote>
  <w:footnote w:id="13">
    <w:p w:rsidR="001B7740" w:rsidRPr="00EE59D6" w:rsidRDefault="001B7740">
      <w:pPr>
        <w:pStyle w:val="FootnoteText"/>
      </w:pPr>
      <w:r w:rsidRPr="00EE59D6">
        <w:rPr>
          <w:rStyle w:val="FootnoteReference"/>
        </w:rPr>
        <w:footnoteRef/>
      </w:r>
      <w:r w:rsidRPr="00EE59D6">
        <w:t xml:space="preserve"> </w:t>
      </w:r>
      <w:r w:rsidRPr="00EE59D6">
        <w:rPr>
          <w:i/>
        </w:rPr>
        <w:t>Id.</w:t>
      </w:r>
    </w:p>
  </w:footnote>
  <w:footnote w:id="14">
    <w:p w:rsidR="001B7740" w:rsidRPr="00EE59D6" w:rsidRDefault="001B7740">
      <w:pPr>
        <w:pStyle w:val="FootnoteText"/>
      </w:pPr>
      <w:r w:rsidRPr="00EE59D6">
        <w:rPr>
          <w:rStyle w:val="FootnoteReference"/>
        </w:rPr>
        <w:footnoteRef/>
      </w:r>
      <w:r w:rsidRPr="00EE59D6">
        <w:t xml:space="preserve"> </w:t>
      </w:r>
      <w:r w:rsidR="00E21688" w:rsidRPr="00E21688">
        <w:rPr>
          <w:i/>
        </w:rPr>
        <w:t>Id.</w:t>
      </w:r>
      <w:r w:rsidR="00E21688" w:rsidRPr="00E21688">
        <w:t xml:space="preserve"> </w:t>
      </w:r>
      <w:r w:rsidRPr="00EE59D6">
        <w:t>at 5.</w:t>
      </w:r>
      <w:r w:rsidR="00F072E4">
        <w:t xml:space="preserve">  Applicants state that, after consummation, Bob Udell, the current President and Chief Executive Officer of Consolidated Holdings, will continue to serve as President and CEO of the combined company.  One director from the FairPoint Board of Directors will join the Board of </w:t>
      </w:r>
      <w:r w:rsidR="0046661D">
        <w:t>D</w:t>
      </w:r>
      <w:r w:rsidR="00F072E4">
        <w:t xml:space="preserve">irectors of Consolidated Holdings, which will expand from 8 to 9 directors.  </w:t>
      </w:r>
      <w:r w:rsidR="00E21688" w:rsidRPr="00E21688">
        <w:rPr>
          <w:i/>
        </w:rPr>
        <w:t>Id.</w:t>
      </w:r>
      <w:r w:rsidR="00E21688" w:rsidRPr="00E21688">
        <w:t xml:space="preserve"> </w:t>
      </w:r>
    </w:p>
  </w:footnote>
  <w:footnote w:id="15">
    <w:p w:rsidR="00267BB0" w:rsidRPr="00EE59D6" w:rsidRDefault="00267BB0" w:rsidP="00267BB0">
      <w:pPr>
        <w:pStyle w:val="FootnoteText"/>
      </w:pPr>
      <w:r w:rsidRPr="00EE59D6">
        <w:rPr>
          <w:rStyle w:val="FootnoteReference"/>
        </w:rPr>
        <w:footnoteRef/>
      </w:r>
      <w:r w:rsidRPr="00EE59D6">
        <w:t xml:space="preserve"> </w:t>
      </w:r>
      <w:r w:rsidRPr="00EE59D6">
        <w:rPr>
          <w:i/>
        </w:rPr>
        <w:t>Id.</w:t>
      </w:r>
      <w:r w:rsidRPr="00EE59D6">
        <w:t xml:space="preserve"> at Exhibit C, pages 10-12.</w:t>
      </w:r>
    </w:p>
  </w:footnote>
  <w:footnote w:id="16">
    <w:p w:rsidR="0069052A" w:rsidRDefault="0069052A">
      <w:pPr>
        <w:pStyle w:val="FootnoteText"/>
      </w:pPr>
      <w:r>
        <w:rPr>
          <w:rStyle w:val="FootnoteReference"/>
        </w:rPr>
        <w:footnoteRef/>
      </w:r>
      <w:r>
        <w:t xml:space="preserve"> </w:t>
      </w:r>
      <w:r w:rsidRPr="003F6162">
        <w:rPr>
          <w:i/>
        </w:rPr>
        <w:t>Id</w:t>
      </w:r>
      <w:r>
        <w:t>. at Exhibit C, page 5.</w:t>
      </w:r>
    </w:p>
  </w:footnote>
  <w:footnote w:id="17">
    <w:p w:rsidR="00B64ABD" w:rsidRPr="00866467" w:rsidRDefault="00B64ABD" w:rsidP="00B64ABD">
      <w:pPr>
        <w:pStyle w:val="FootnoteText"/>
      </w:pPr>
      <w:r>
        <w:rPr>
          <w:rStyle w:val="FootnoteReference"/>
        </w:rPr>
        <w:footnoteRef/>
      </w:r>
      <w:r>
        <w:t xml:space="preserve"> </w:t>
      </w:r>
      <w:r>
        <w:rPr>
          <w:i/>
        </w:rPr>
        <w:t>Id.</w:t>
      </w:r>
      <w:r>
        <w:t xml:space="preserve"> at Exhibit C, page 3.</w:t>
      </w:r>
    </w:p>
  </w:footnote>
  <w:footnote w:id="18">
    <w:p w:rsidR="00692855" w:rsidRPr="00EE59D6" w:rsidRDefault="00692855">
      <w:pPr>
        <w:pStyle w:val="FootnoteText"/>
      </w:pPr>
      <w:r w:rsidRPr="00EE59D6">
        <w:rPr>
          <w:rStyle w:val="FootnoteReference"/>
        </w:rPr>
        <w:footnoteRef/>
      </w:r>
      <w:r w:rsidRPr="00EE59D6">
        <w:t xml:space="preserve"> </w:t>
      </w:r>
      <w:r w:rsidRPr="00EE59D6">
        <w:rPr>
          <w:i/>
        </w:rPr>
        <w:t>Id</w:t>
      </w:r>
      <w:r w:rsidRPr="00EE59D6">
        <w:t xml:space="preserve">. at </w:t>
      </w:r>
      <w:r w:rsidR="006E584F" w:rsidRPr="00EE59D6">
        <w:t xml:space="preserve">Exhibit C, pages 2-4. </w:t>
      </w:r>
    </w:p>
  </w:footnote>
  <w:footnote w:id="19">
    <w:p w:rsidR="006E584F" w:rsidRPr="00EE59D6" w:rsidRDefault="006E584F">
      <w:pPr>
        <w:pStyle w:val="FootnoteText"/>
      </w:pPr>
      <w:r w:rsidRPr="00EE59D6">
        <w:rPr>
          <w:rStyle w:val="FootnoteReference"/>
        </w:rPr>
        <w:footnoteRef/>
      </w:r>
      <w:r w:rsidRPr="00EE59D6">
        <w:t xml:space="preserve"> </w:t>
      </w:r>
      <w:r w:rsidRPr="00EE59D6">
        <w:rPr>
          <w:i/>
        </w:rPr>
        <w:t>Id.</w:t>
      </w:r>
      <w:r w:rsidRPr="00EE59D6">
        <w:t xml:space="preserve"> at Exhibit C, pages 4-10.</w:t>
      </w:r>
    </w:p>
  </w:footnote>
  <w:footnote w:id="20">
    <w:p w:rsidR="00345433" w:rsidRPr="00EE59D6" w:rsidRDefault="00345433" w:rsidP="00345433">
      <w:pPr>
        <w:pStyle w:val="FootnoteText"/>
      </w:pPr>
      <w:r w:rsidRPr="00EE59D6">
        <w:rPr>
          <w:rStyle w:val="FootnoteReference"/>
        </w:rPr>
        <w:footnoteRef/>
      </w:r>
      <w:r w:rsidRPr="00EE59D6">
        <w:t xml:space="preserve"> </w:t>
      </w:r>
      <w:r w:rsidRPr="00EE59D6">
        <w:rPr>
          <w:i/>
        </w:rPr>
        <w:t>Id.</w:t>
      </w:r>
      <w:r w:rsidRPr="00EE59D6">
        <w:t xml:space="preserve"> at Exhibit C, pages 13-15.</w:t>
      </w:r>
      <w:r>
        <w:t xml:space="preserve"> Section 61.41(c)(2) of the Commission’s rules requires that a telephone company or group of telephone companies that become affiliated with a price cap carrier by merger, acquisition or similar transaction “shall become subject to price cap regulation no later than one year following the effective date” of the transaction.  47 CFR § 61.41(c)(2).</w:t>
      </w:r>
    </w:p>
  </w:footnote>
  <w:footnote w:id="21">
    <w:p w:rsidR="00345433" w:rsidRPr="00EE59D6" w:rsidRDefault="00345433" w:rsidP="00345433">
      <w:pPr>
        <w:pStyle w:val="FootnoteText"/>
      </w:pPr>
      <w:r w:rsidRPr="00EE59D6">
        <w:rPr>
          <w:rStyle w:val="FootnoteReference"/>
        </w:rPr>
        <w:footnoteRef/>
      </w:r>
      <w:r w:rsidRPr="00EE59D6">
        <w:t xml:space="preserve"> </w:t>
      </w:r>
      <w:r w:rsidR="00E21688">
        <w:t xml:space="preserve">Lead </w:t>
      </w:r>
      <w:r>
        <w:t>Application</w:t>
      </w:r>
      <w:r w:rsidRPr="00EE59D6">
        <w:rPr>
          <w:i/>
        </w:rPr>
        <w:t xml:space="preserve"> </w:t>
      </w:r>
      <w:r w:rsidRPr="00EE59D6">
        <w:t>at Exhibit C, page 14.</w:t>
      </w:r>
    </w:p>
  </w:footnote>
  <w:footnote w:id="22">
    <w:p w:rsidR="00345433" w:rsidRPr="00EE59D6" w:rsidRDefault="00345433" w:rsidP="00345433">
      <w:pPr>
        <w:pStyle w:val="FootnoteText"/>
      </w:pPr>
      <w:r w:rsidRPr="00EE59D6">
        <w:rPr>
          <w:rStyle w:val="FootnoteReference"/>
        </w:rPr>
        <w:footnoteRef/>
      </w:r>
      <w:r w:rsidRPr="00EE59D6">
        <w:t xml:space="preserve"> </w:t>
      </w:r>
      <w:r>
        <w:rPr>
          <w:i/>
        </w:rPr>
        <w:t>Id.</w:t>
      </w:r>
      <w:r w:rsidRPr="00EE59D6">
        <w:rPr>
          <w:i/>
        </w:rPr>
        <w:t xml:space="preserve"> </w:t>
      </w:r>
      <w:r w:rsidRPr="00EE59D6">
        <w:t>at Exhibit C, pages 14-15.</w:t>
      </w:r>
    </w:p>
  </w:footnote>
  <w:footnote w:id="23">
    <w:p w:rsidR="00345433" w:rsidRPr="00EE59D6" w:rsidRDefault="00345433" w:rsidP="00345433">
      <w:pPr>
        <w:pStyle w:val="FootnoteText"/>
      </w:pPr>
      <w:r w:rsidRPr="00EE59D6">
        <w:rPr>
          <w:rStyle w:val="FootnoteReference"/>
        </w:rPr>
        <w:footnoteRef/>
      </w:r>
      <w:r w:rsidRPr="00EE59D6">
        <w:t xml:space="preserve"> </w:t>
      </w:r>
      <w:r w:rsidRPr="00EE59D6">
        <w:rPr>
          <w:i/>
        </w:rPr>
        <w:t>Id.</w:t>
      </w:r>
      <w:r w:rsidRPr="00EE59D6">
        <w:t xml:space="preserve"> at 15.</w:t>
      </w:r>
    </w:p>
  </w:footnote>
  <w:footnote w:id="24">
    <w:p w:rsidR="0006387C" w:rsidRPr="00EE59D6" w:rsidRDefault="0006387C">
      <w:pPr>
        <w:pStyle w:val="FootnoteText"/>
      </w:pPr>
      <w:r w:rsidRPr="00EE59D6">
        <w:rPr>
          <w:rStyle w:val="FootnoteReference"/>
        </w:rPr>
        <w:footnoteRef/>
      </w:r>
      <w:r w:rsidRPr="00EE59D6">
        <w:t xml:space="preserve"> </w:t>
      </w:r>
      <w:r w:rsidRPr="00EE59D6">
        <w:rPr>
          <w:i/>
        </w:rPr>
        <w:t>See Id.</w:t>
      </w:r>
      <w:r w:rsidRPr="00EE59D6">
        <w:t xml:space="preserve"> at Exhibit A.</w:t>
      </w:r>
    </w:p>
  </w:footnote>
  <w:footnote w:id="25">
    <w:p w:rsidR="00692855" w:rsidRPr="00EE59D6" w:rsidRDefault="00692855">
      <w:pPr>
        <w:pStyle w:val="FootnoteText"/>
        <w:rPr>
          <w:color w:val="000000"/>
        </w:rPr>
      </w:pPr>
      <w:r w:rsidRPr="00EE59D6">
        <w:rPr>
          <w:rStyle w:val="FootnoteReference"/>
          <w:color w:val="000000"/>
        </w:rPr>
        <w:footnoteRef/>
      </w:r>
      <w:r w:rsidRPr="00EE59D6">
        <w:rPr>
          <w:color w:val="000000"/>
        </w:rPr>
        <w:t xml:space="preserve"> </w:t>
      </w:r>
      <w:r w:rsidRPr="00EE59D6">
        <w:rPr>
          <w:i/>
          <w:color w:val="000000"/>
        </w:rPr>
        <w:t>See</w:t>
      </w:r>
      <w:r w:rsidRPr="00EE59D6">
        <w:rPr>
          <w:color w:val="000000"/>
        </w:rPr>
        <w:t xml:space="preserve"> 47 C.F.R. § 63.03(c)(1).</w:t>
      </w:r>
    </w:p>
  </w:footnote>
  <w:footnote w:id="26">
    <w:p w:rsidR="00692855" w:rsidRPr="00EE59D6" w:rsidRDefault="00692855">
      <w:pPr>
        <w:pStyle w:val="FootnoteText"/>
        <w:rPr>
          <w:i/>
          <w:iCs/>
        </w:rPr>
      </w:pPr>
      <w:r w:rsidRPr="00EE59D6">
        <w:rPr>
          <w:rStyle w:val="FootnoteReference"/>
        </w:rPr>
        <w:footnoteRef/>
      </w:r>
      <w:r w:rsidRPr="00EE59D6">
        <w:t xml:space="preserve"> 47 C.F.R. §§ 1.1200 </w:t>
      </w:r>
      <w:r w:rsidRPr="00EE59D6">
        <w:rPr>
          <w:i/>
          <w:iCs/>
        </w:rPr>
        <w:t>et seq.</w:t>
      </w:r>
    </w:p>
  </w:footnote>
  <w:footnote w:id="27">
    <w:p w:rsidR="00692855" w:rsidRPr="00EE59D6" w:rsidRDefault="00692855">
      <w:pPr>
        <w:pStyle w:val="FootnoteText"/>
      </w:pPr>
      <w:r w:rsidRPr="00EE59D6">
        <w:rPr>
          <w:rStyle w:val="FootnoteReference"/>
        </w:rPr>
        <w:footnoteRef/>
      </w:r>
      <w:r w:rsidRPr="00EE59D6">
        <w:t xml:space="preserve"> </w:t>
      </w:r>
      <w:r w:rsidRPr="00EE59D6">
        <w:rPr>
          <w:i/>
        </w:rPr>
        <w:t>See</w:t>
      </w:r>
      <w:r w:rsidRPr="00EE59D6">
        <w:t xml:space="preserve"> 47 C.F.R. §1.45(c).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879" w:rsidRDefault="00777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879" w:rsidRDefault="007778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5" w:rsidRDefault="00D439D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7.6pt;margin-top:57.6pt;width:244.8pt;height:50.4pt;z-index:251656192" o:allowincell="f" stroked="f">
          <v:textbox style="mso-next-textbox:#_x0000_s2049">
            <w:txbxContent>
              <w:p w:rsidR="00692855" w:rsidRDefault="00692855">
                <w:pPr>
                  <w:rPr>
                    <w:rFonts w:ascii="Arial" w:hAnsi="Arial"/>
                    <w:b/>
                  </w:rPr>
                </w:pPr>
                <w:r>
                  <w:rPr>
                    <w:rFonts w:ascii="Arial" w:hAnsi="Arial"/>
                    <w:b/>
                  </w:rPr>
                  <w:t>Federal Communications Commission</w:t>
                </w:r>
              </w:p>
              <w:p w:rsidR="00692855" w:rsidRDefault="0069285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92855" w:rsidRDefault="00692855">
                <w:pPr>
                  <w:rPr>
                    <w:rFonts w:ascii="Arial" w:hAnsi="Arial"/>
                    <w:sz w:val="24"/>
                  </w:rPr>
                </w:pPr>
                <w:r>
                  <w:rPr>
                    <w:rFonts w:ascii="Arial" w:hAnsi="Arial"/>
                    <w:b/>
                  </w:rPr>
                  <w:t>Washington, D.C. 20554</w:t>
                </w:r>
              </w:p>
            </w:txbxContent>
          </v:textbox>
        </v:shape>
      </w:pict>
    </w:r>
    <w:r w:rsidR="00692855">
      <w:rPr>
        <w:rFonts w:ascii="News Gothic MT" w:hAnsi="News Gothic MT"/>
        <w:b/>
        <w:kern w:val="28"/>
        <w:sz w:val="96"/>
      </w:rPr>
      <w:t>PUBLIC NOTICE</w:t>
    </w:r>
  </w:p>
  <w:p w:rsidR="00692855" w:rsidRDefault="00D439DB">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0,54.95pt" to="540pt,55.15pt" o:allowincell="f"/>
      </w:pict>
    </w:r>
    <w:r>
      <w:rPr>
        <w:rFonts w:ascii="News Gothic MT" w:hAnsi="News Gothic MT"/>
        <w:b/>
        <w:noProof/>
        <w:sz w:val="24"/>
      </w:rPr>
      <w:pict>
        <v:shape id="_x0000_s2051" type="#_x0000_t202" style="position:absolute;left:0;text-align:left;margin-left:336.7pt;margin-top:10.25pt;width:207.95pt;height:43.2pt;z-index:251658240" o:allowincell="f" stroked="f">
          <v:textbox style="mso-next-textbox:#_x0000_s2051" inset=",0,,0">
            <w:txbxContent>
              <w:p w:rsidR="00692855" w:rsidRDefault="00692855">
                <w:pPr>
                  <w:spacing w:before="40"/>
                  <w:jc w:val="right"/>
                  <w:rPr>
                    <w:rFonts w:ascii="Arial" w:hAnsi="Arial"/>
                    <w:b/>
                    <w:sz w:val="16"/>
                  </w:rPr>
                </w:pPr>
                <w:r>
                  <w:rPr>
                    <w:rFonts w:ascii="Arial" w:hAnsi="Arial"/>
                    <w:b/>
                    <w:sz w:val="16"/>
                  </w:rPr>
                  <w:t>News Media Information 202 / 418-0500</w:t>
                </w:r>
              </w:p>
              <w:p w:rsidR="00692855" w:rsidRDefault="0069285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92855" w:rsidRDefault="00692855">
                <w:pPr>
                  <w:jc w:val="right"/>
                  <w:rPr>
                    <w:rFonts w:ascii="Arial" w:hAnsi="Arial"/>
                    <w:b/>
                    <w:sz w:val="16"/>
                  </w:rPr>
                </w:pPr>
                <w:r>
                  <w:rPr>
                    <w:rFonts w:ascii="Arial" w:hAnsi="Arial"/>
                    <w:b/>
                    <w:sz w:val="16"/>
                  </w:rPr>
                  <w:t>TTY: 1-888-835-5322</w:t>
                </w:r>
              </w:p>
              <w:p w:rsidR="00692855" w:rsidRDefault="00692855">
                <w:pPr>
                  <w:jc w:val="right"/>
                </w:pPr>
              </w:p>
            </w:txbxContent>
          </v:textbox>
        </v:shape>
      </w:pict>
    </w:r>
  </w:p>
  <w:p w:rsidR="00692855" w:rsidRDefault="0069285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3E3"/>
    <w:rsid w:val="0006387C"/>
    <w:rsid w:val="00080E69"/>
    <w:rsid w:val="000B7D17"/>
    <w:rsid w:val="000E0C05"/>
    <w:rsid w:val="001B7740"/>
    <w:rsid w:val="00204790"/>
    <w:rsid w:val="00213721"/>
    <w:rsid w:val="00221932"/>
    <w:rsid w:val="00240365"/>
    <w:rsid w:val="00244705"/>
    <w:rsid w:val="00251283"/>
    <w:rsid w:val="00251B04"/>
    <w:rsid w:val="002603E3"/>
    <w:rsid w:val="00267BB0"/>
    <w:rsid w:val="002A6827"/>
    <w:rsid w:val="002F0FEB"/>
    <w:rsid w:val="00325B30"/>
    <w:rsid w:val="00345433"/>
    <w:rsid w:val="0039171B"/>
    <w:rsid w:val="003D3416"/>
    <w:rsid w:val="003D700E"/>
    <w:rsid w:val="003F6162"/>
    <w:rsid w:val="003F61AF"/>
    <w:rsid w:val="00434089"/>
    <w:rsid w:val="0046661D"/>
    <w:rsid w:val="00472828"/>
    <w:rsid w:val="0049247E"/>
    <w:rsid w:val="00530958"/>
    <w:rsid w:val="00551BDD"/>
    <w:rsid w:val="00593FE6"/>
    <w:rsid w:val="005F2319"/>
    <w:rsid w:val="0061124E"/>
    <w:rsid w:val="00621DEB"/>
    <w:rsid w:val="00635167"/>
    <w:rsid w:val="00680DBA"/>
    <w:rsid w:val="0069052A"/>
    <w:rsid w:val="00692855"/>
    <w:rsid w:val="006E4B45"/>
    <w:rsid w:val="006E584F"/>
    <w:rsid w:val="006F3D7C"/>
    <w:rsid w:val="006F4728"/>
    <w:rsid w:val="00743BCB"/>
    <w:rsid w:val="00753AB5"/>
    <w:rsid w:val="00773E17"/>
    <w:rsid w:val="00777879"/>
    <w:rsid w:val="00790876"/>
    <w:rsid w:val="007D34C9"/>
    <w:rsid w:val="008177E7"/>
    <w:rsid w:val="00866465"/>
    <w:rsid w:val="00866467"/>
    <w:rsid w:val="0087544C"/>
    <w:rsid w:val="00876C78"/>
    <w:rsid w:val="0088151D"/>
    <w:rsid w:val="00897FE9"/>
    <w:rsid w:val="008B1655"/>
    <w:rsid w:val="008C6361"/>
    <w:rsid w:val="00980B37"/>
    <w:rsid w:val="00A105E1"/>
    <w:rsid w:val="00A255C5"/>
    <w:rsid w:val="00A52253"/>
    <w:rsid w:val="00A81E6C"/>
    <w:rsid w:val="00A83946"/>
    <w:rsid w:val="00A94590"/>
    <w:rsid w:val="00AA02CA"/>
    <w:rsid w:val="00AD5528"/>
    <w:rsid w:val="00AE2789"/>
    <w:rsid w:val="00AE6A0D"/>
    <w:rsid w:val="00AF2319"/>
    <w:rsid w:val="00B3132E"/>
    <w:rsid w:val="00B4536C"/>
    <w:rsid w:val="00B64ABD"/>
    <w:rsid w:val="00BA1174"/>
    <w:rsid w:val="00BB2C83"/>
    <w:rsid w:val="00BC5AB3"/>
    <w:rsid w:val="00BC5CD3"/>
    <w:rsid w:val="00C04CB7"/>
    <w:rsid w:val="00CB26A7"/>
    <w:rsid w:val="00D339E0"/>
    <w:rsid w:val="00D439DB"/>
    <w:rsid w:val="00D70282"/>
    <w:rsid w:val="00D91601"/>
    <w:rsid w:val="00D94E18"/>
    <w:rsid w:val="00DF1AA8"/>
    <w:rsid w:val="00E21688"/>
    <w:rsid w:val="00E50D10"/>
    <w:rsid w:val="00E54649"/>
    <w:rsid w:val="00E55B94"/>
    <w:rsid w:val="00E738CA"/>
    <w:rsid w:val="00EA0A39"/>
    <w:rsid w:val="00EE59D6"/>
    <w:rsid w:val="00EF26D8"/>
    <w:rsid w:val="00F00C9C"/>
    <w:rsid w:val="00F072E4"/>
    <w:rsid w:val="00F2563D"/>
    <w:rsid w:val="00F717DA"/>
    <w:rsid w:val="00F95AB4"/>
    <w:rsid w:val="00FB13C2"/>
    <w:rsid w:val="00FC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rsid w:val="00AD5528"/>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sid w:val="00AD5528"/>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table" w:styleId="TableGrid">
    <w:name w:val="Table Grid"/>
    <w:basedOn w:val="TableNormal"/>
    <w:rsid w:val="00240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0498">
      <w:bodyDiv w:val="1"/>
      <w:marLeft w:val="0"/>
      <w:marRight w:val="0"/>
      <w:marTop w:val="0"/>
      <w:marBottom w:val="0"/>
      <w:divBdr>
        <w:top w:val="none" w:sz="0" w:space="0" w:color="auto"/>
        <w:left w:val="none" w:sz="0" w:space="0" w:color="auto"/>
        <w:bottom w:val="none" w:sz="0" w:space="0" w:color="auto"/>
        <w:right w:val="none" w:sz="0" w:space="0" w:color="auto"/>
      </w:divBdr>
    </w:div>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547300195">
      <w:bodyDiv w:val="1"/>
      <w:marLeft w:val="0"/>
      <w:marRight w:val="0"/>
      <w:marTop w:val="0"/>
      <w:marBottom w:val="0"/>
      <w:divBdr>
        <w:top w:val="none" w:sz="0" w:space="0" w:color="auto"/>
        <w:left w:val="none" w:sz="0" w:space="0" w:color="auto"/>
        <w:bottom w:val="none" w:sz="0" w:space="0" w:color="auto"/>
        <w:right w:val="none" w:sz="0" w:space="0" w:color="auto"/>
      </w:divBdr>
    </w:div>
    <w:div w:id="647053589">
      <w:bodyDiv w:val="1"/>
      <w:marLeft w:val="0"/>
      <w:marRight w:val="0"/>
      <w:marTop w:val="0"/>
      <w:marBottom w:val="0"/>
      <w:divBdr>
        <w:top w:val="none" w:sz="0" w:space="0" w:color="auto"/>
        <w:left w:val="none" w:sz="0" w:space="0" w:color="auto"/>
        <w:bottom w:val="none" w:sz="0" w:space="0" w:color="auto"/>
        <w:right w:val="none" w:sz="0" w:space="0" w:color="auto"/>
      </w:divBdr>
    </w:div>
    <w:div w:id="941186243">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TransactionTeam@fcc.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dennis.johnson@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1733</Words>
  <Characters>11068</Characters>
  <Application>Microsoft Office Word</Application>
  <DocSecurity>0</DocSecurity>
  <Lines>246</Lines>
  <Paragraphs>123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12755</CharactersWithSpaces>
  <SharedDoc>false</SharedDoc>
  <HyperlinkBase> </HyperlinkBase>
  <HLinks>
    <vt:vector size="36" baseType="variant">
      <vt:variant>
        <vt:i4>6422640</vt:i4>
      </vt:variant>
      <vt:variant>
        <vt:i4>15</vt:i4>
      </vt:variant>
      <vt:variant>
        <vt:i4>0</vt:i4>
      </vt:variant>
      <vt:variant>
        <vt:i4>5</vt:i4>
      </vt:variant>
      <vt:variant>
        <vt:lpwstr>mailto:</vt:lpwstr>
      </vt:variant>
      <vt:variant>
        <vt:lpwstr/>
      </vt:variant>
      <vt:variant>
        <vt:i4>8126555</vt:i4>
      </vt:variant>
      <vt:variant>
        <vt:i4>12</vt:i4>
      </vt:variant>
      <vt:variant>
        <vt:i4>0</vt:i4>
      </vt:variant>
      <vt:variant>
        <vt:i4>5</vt:i4>
      </vt:variant>
      <vt:variant>
        <vt:lpwstr>mailto:TransactionTeam@fcc.gov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2293839</vt:i4>
      </vt:variant>
      <vt:variant>
        <vt:i4>6</vt:i4>
      </vt:variant>
      <vt:variant>
        <vt:i4>0</vt:i4>
      </vt:variant>
      <vt:variant>
        <vt:i4>5</vt:i4>
      </vt:variant>
      <vt:variant>
        <vt:lpwstr>mailto:dennis.johnson@fcc.gov</vt:lpwstr>
      </vt:variant>
      <vt:variant>
        <vt:lpwstr/>
      </vt:variant>
      <vt:variant>
        <vt:i4>3473482</vt:i4>
      </vt:variant>
      <vt:variant>
        <vt:i4>3</vt:i4>
      </vt:variant>
      <vt:variant>
        <vt:i4>0</vt:i4>
      </vt:variant>
      <vt:variant>
        <vt:i4>5</vt:i4>
      </vt:variant>
      <vt:variant>
        <vt:lpwstr>mailto:fcc504@fcc.gov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2015-03-12T18:36:00Z</cp:lastPrinted>
  <dcterms:created xsi:type="dcterms:W3CDTF">2017-01-12T20:48:00Z</dcterms:created>
  <dcterms:modified xsi:type="dcterms:W3CDTF">2017-01-12T20:48:00Z</dcterms:modified>
  <cp:category> </cp:category>
  <cp:contentStatus> </cp:contentStatus>
</cp:coreProperties>
</file>