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2E4C" w14:textId="77777777" w:rsidR="004D5504" w:rsidRPr="00736932" w:rsidRDefault="004D5504" w:rsidP="00FA44B9">
      <w:pPr>
        <w:rPr>
          <w:sz w:val="22"/>
          <w:szCs w:val="22"/>
        </w:rPr>
      </w:pPr>
      <w:bookmarkStart w:id="0" w:name="_GoBack"/>
      <w:bookmarkEnd w:id="0"/>
    </w:p>
    <w:p w14:paraId="6D453735" w14:textId="77777777" w:rsidR="00624D2A" w:rsidRPr="00736932" w:rsidRDefault="00624D2A" w:rsidP="00FA44B9">
      <w:pPr>
        <w:rPr>
          <w:sz w:val="22"/>
          <w:szCs w:val="22"/>
        </w:rPr>
      </w:pPr>
    </w:p>
    <w:p w14:paraId="6887DC25" w14:textId="4263C950" w:rsidR="00624EA1" w:rsidRPr="00736932" w:rsidRDefault="005D3989" w:rsidP="00FA44B9">
      <w:pPr>
        <w:jc w:val="right"/>
        <w:rPr>
          <w:sz w:val="22"/>
          <w:szCs w:val="22"/>
        </w:rPr>
      </w:pPr>
      <w:r w:rsidRPr="00736932">
        <w:rPr>
          <w:sz w:val="22"/>
          <w:szCs w:val="22"/>
        </w:rPr>
        <w:t xml:space="preserve">DA </w:t>
      </w:r>
      <w:r w:rsidR="00B8235D" w:rsidRPr="00736932">
        <w:rPr>
          <w:sz w:val="22"/>
          <w:szCs w:val="22"/>
        </w:rPr>
        <w:t>17</w:t>
      </w:r>
      <w:r w:rsidRPr="00736932">
        <w:rPr>
          <w:sz w:val="22"/>
          <w:szCs w:val="22"/>
        </w:rPr>
        <w:t>-</w:t>
      </w:r>
      <w:r w:rsidR="008F4A48">
        <w:rPr>
          <w:sz w:val="22"/>
          <w:szCs w:val="22"/>
        </w:rPr>
        <w:t>548</w:t>
      </w:r>
    </w:p>
    <w:p w14:paraId="024A668E" w14:textId="77777777" w:rsidR="00E23755" w:rsidRPr="00736932" w:rsidRDefault="00E23755" w:rsidP="00FA44B9">
      <w:pPr>
        <w:pStyle w:val="Header"/>
        <w:tabs>
          <w:tab w:val="left" w:pos="720"/>
          <w:tab w:val="left" w:pos="1440"/>
        </w:tabs>
        <w:rPr>
          <w:sz w:val="22"/>
          <w:szCs w:val="22"/>
        </w:rPr>
      </w:pPr>
      <w:r w:rsidRPr="00736932">
        <w:rPr>
          <w:sz w:val="22"/>
          <w:szCs w:val="22"/>
        </w:rPr>
        <w:t xml:space="preserve">Ms. Cindy Hall </w:t>
      </w:r>
    </w:p>
    <w:p w14:paraId="0CD6DA6F" w14:textId="79A808ED" w:rsidR="00E23755" w:rsidRPr="00736932" w:rsidRDefault="00BE3185" w:rsidP="00FA44B9">
      <w:pPr>
        <w:pStyle w:val="Header"/>
        <w:tabs>
          <w:tab w:val="left" w:pos="720"/>
          <w:tab w:val="left" w:pos="1440"/>
        </w:tabs>
        <w:rPr>
          <w:sz w:val="22"/>
          <w:szCs w:val="22"/>
        </w:rPr>
      </w:pPr>
      <w:r w:rsidRPr="00736932">
        <w:rPr>
          <w:sz w:val="22"/>
          <w:szCs w:val="22"/>
        </w:rPr>
        <w:t xml:space="preserve">The </w:t>
      </w:r>
      <w:r w:rsidR="00E23755" w:rsidRPr="00736932">
        <w:rPr>
          <w:sz w:val="22"/>
          <w:szCs w:val="22"/>
        </w:rPr>
        <w:t>Alaska Wireless Network, LLC</w:t>
      </w:r>
    </w:p>
    <w:p w14:paraId="298686E7" w14:textId="77777777" w:rsidR="00E23755" w:rsidRPr="00736932" w:rsidRDefault="00E23755" w:rsidP="00FA44B9">
      <w:pPr>
        <w:pStyle w:val="Header"/>
        <w:tabs>
          <w:tab w:val="left" w:pos="720"/>
          <w:tab w:val="left" w:pos="1440"/>
        </w:tabs>
        <w:rPr>
          <w:sz w:val="22"/>
          <w:szCs w:val="22"/>
        </w:rPr>
      </w:pPr>
      <w:r w:rsidRPr="00736932">
        <w:rPr>
          <w:sz w:val="22"/>
          <w:szCs w:val="22"/>
        </w:rPr>
        <w:t>2550 Denali Street, Suite 1000</w:t>
      </w:r>
    </w:p>
    <w:p w14:paraId="28F216B3" w14:textId="77777777" w:rsidR="00E23755" w:rsidRPr="00736932" w:rsidRDefault="00E23755" w:rsidP="00FA44B9">
      <w:pPr>
        <w:pStyle w:val="Header"/>
        <w:tabs>
          <w:tab w:val="left" w:pos="720"/>
          <w:tab w:val="left" w:pos="1440"/>
        </w:tabs>
        <w:rPr>
          <w:sz w:val="22"/>
          <w:szCs w:val="22"/>
        </w:rPr>
      </w:pPr>
      <w:r w:rsidRPr="00736932">
        <w:rPr>
          <w:sz w:val="22"/>
          <w:szCs w:val="22"/>
        </w:rPr>
        <w:t xml:space="preserve">Anchorage, AK 99503 </w:t>
      </w:r>
    </w:p>
    <w:p w14:paraId="2249482C" w14:textId="77777777" w:rsidR="00E23755" w:rsidRPr="00736932" w:rsidRDefault="00E23755" w:rsidP="00FA44B9">
      <w:pPr>
        <w:pStyle w:val="Header"/>
        <w:tabs>
          <w:tab w:val="clear" w:pos="4320"/>
          <w:tab w:val="left" w:pos="720"/>
          <w:tab w:val="left" w:pos="1440"/>
        </w:tabs>
        <w:rPr>
          <w:b/>
          <w:sz w:val="22"/>
          <w:szCs w:val="22"/>
        </w:rPr>
      </w:pPr>
    </w:p>
    <w:p w14:paraId="284ECC09" w14:textId="20085C3F" w:rsidR="00056F09" w:rsidRPr="00736932" w:rsidRDefault="00F81BC1" w:rsidP="00FA44B9">
      <w:pPr>
        <w:pStyle w:val="Header"/>
        <w:tabs>
          <w:tab w:val="clear" w:pos="4320"/>
          <w:tab w:val="left" w:pos="720"/>
          <w:tab w:val="left" w:pos="1440"/>
        </w:tabs>
        <w:rPr>
          <w:b/>
          <w:sz w:val="22"/>
          <w:szCs w:val="22"/>
        </w:rPr>
      </w:pPr>
      <w:r w:rsidRPr="00736932">
        <w:rPr>
          <w:b/>
          <w:sz w:val="22"/>
          <w:szCs w:val="22"/>
        </w:rPr>
        <w:t xml:space="preserve">RE:  </w:t>
      </w:r>
      <w:r w:rsidR="00056F09" w:rsidRPr="00736932">
        <w:rPr>
          <w:b/>
          <w:sz w:val="22"/>
          <w:szCs w:val="22"/>
        </w:rPr>
        <w:t xml:space="preserve">Request </w:t>
      </w:r>
      <w:r w:rsidR="00D21344" w:rsidRPr="00736932">
        <w:rPr>
          <w:b/>
          <w:sz w:val="22"/>
          <w:szCs w:val="22"/>
        </w:rPr>
        <w:t xml:space="preserve">for </w:t>
      </w:r>
      <w:r w:rsidR="004A2A1D" w:rsidRPr="00736932">
        <w:rPr>
          <w:b/>
          <w:sz w:val="22"/>
          <w:szCs w:val="22"/>
        </w:rPr>
        <w:t>Waive</w:t>
      </w:r>
      <w:r w:rsidR="00D21344" w:rsidRPr="00736932">
        <w:rPr>
          <w:b/>
          <w:sz w:val="22"/>
          <w:szCs w:val="22"/>
        </w:rPr>
        <w:t>r</w:t>
      </w:r>
      <w:r w:rsidR="004A2A1D" w:rsidRPr="00736932">
        <w:rPr>
          <w:b/>
          <w:sz w:val="22"/>
          <w:szCs w:val="22"/>
        </w:rPr>
        <w:t xml:space="preserve"> </w:t>
      </w:r>
      <w:r w:rsidR="00D21344" w:rsidRPr="00736932">
        <w:rPr>
          <w:b/>
          <w:sz w:val="22"/>
          <w:szCs w:val="22"/>
        </w:rPr>
        <w:t xml:space="preserve">of </w:t>
      </w:r>
      <w:r w:rsidR="00DF2E8C" w:rsidRPr="00736932">
        <w:rPr>
          <w:b/>
          <w:sz w:val="22"/>
          <w:szCs w:val="22"/>
        </w:rPr>
        <w:t>Section 27.14(g)</w:t>
      </w:r>
      <w:r w:rsidR="00D21344" w:rsidRPr="00736932">
        <w:rPr>
          <w:b/>
          <w:sz w:val="22"/>
          <w:szCs w:val="22"/>
        </w:rPr>
        <w:t xml:space="preserve">, </w:t>
      </w:r>
      <w:r w:rsidR="00DF2E8C" w:rsidRPr="00736932">
        <w:rPr>
          <w:b/>
          <w:sz w:val="22"/>
          <w:szCs w:val="22"/>
        </w:rPr>
        <w:t xml:space="preserve">WT Docket No. </w:t>
      </w:r>
      <w:r w:rsidR="008520C0" w:rsidRPr="00736932">
        <w:rPr>
          <w:b/>
          <w:sz w:val="22"/>
          <w:szCs w:val="22"/>
        </w:rPr>
        <w:t>16-402</w:t>
      </w:r>
    </w:p>
    <w:p w14:paraId="71F62C0A" w14:textId="560701B4" w:rsidR="00056F09" w:rsidRPr="00736932" w:rsidRDefault="00056F09" w:rsidP="00FA44B9">
      <w:pPr>
        <w:pStyle w:val="Header"/>
        <w:tabs>
          <w:tab w:val="clear" w:pos="4320"/>
          <w:tab w:val="left" w:pos="720"/>
          <w:tab w:val="left" w:pos="1440"/>
        </w:tabs>
        <w:rPr>
          <w:sz w:val="22"/>
          <w:szCs w:val="22"/>
        </w:rPr>
      </w:pPr>
    </w:p>
    <w:p w14:paraId="0C04735F" w14:textId="5D4E5D22" w:rsidR="00056F09" w:rsidRPr="00736932" w:rsidRDefault="00C548B9" w:rsidP="00FA44B9">
      <w:pPr>
        <w:rPr>
          <w:sz w:val="22"/>
          <w:szCs w:val="22"/>
        </w:rPr>
      </w:pPr>
      <w:r w:rsidRPr="00736932">
        <w:rPr>
          <w:sz w:val="22"/>
          <w:szCs w:val="22"/>
        </w:rPr>
        <w:t xml:space="preserve">Dear </w:t>
      </w:r>
      <w:r w:rsidR="00E23755" w:rsidRPr="00736932">
        <w:rPr>
          <w:sz w:val="22"/>
          <w:szCs w:val="22"/>
        </w:rPr>
        <w:t>Ms. Hall</w:t>
      </w:r>
      <w:r w:rsidR="00056F09" w:rsidRPr="00736932">
        <w:rPr>
          <w:sz w:val="22"/>
          <w:szCs w:val="22"/>
        </w:rPr>
        <w:t>:</w:t>
      </w:r>
    </w:p>
    <w:p w14:paraId="77E4D596" w14:textId="77777777" w:rsidR="00823DEF" w:rsidRPr="00736932" w:rsidRDefault="00823DEF" w:rsidP="00FA44B9">
      <w:pPr>
        <w:pStyle w:val="ParaNum"/>
      </w:pPr>
    </w:p>
    <w:p w14:paraId="0F33469B" w14:textId="3B43B8FA" w:rsidR="00A77695" w:rsidRPr="00736932" w:rsidRDefault="006D208A" w:rsidP="00FA44B9">
      <w:pPr>
        <w:pStyle w:val="ParaNum"/>
      </w:pPr>
      <w:r w:rsidRPr="00736932">
        <w:t>T</w:t>
      </w:r>
      <w:r w:rsidR="00A55147" w:rsidRPr="00736932">
        <w:t>he Mobility Division</w:t>
      </w:r>
      <w:r w:rsidR="00FC1CCB" w:rsidRPr="00736932">
        <w:t xml:space="preserve"> (Division)</w:t>
      </w:r>
      <w:r w:rsidR="00A55147" w:rsidRPr="00736932">
        <w:t xml:space="preserve"> of the Wireless Telecommunications Bureau (Bureau) </w:t>
      </w:r>
      <w:r w:rsidR="005F4C06" w:rsidRPr="00736932">
        <w:t xml:space="preserve">hereby </w:t>
      </w:r>
      <w:r w:rsidR="00C110DC" w:rsidRPr="00736932">
        <w:t xml:space="preserve">grants </w:t>
      </w:r>
      <w:r w:rsidR="009938DC" w:rsidRPr="00736932">
        <w:t xml:space="preserve">the request of </w:t>
      </w:r>
      <w:r w:rsidR="003E3856" w:rsidRPr="00736932">
        <w:t xml:space="preserve">The </w:t>
      </w:r>
      <w:r w:rsidR="008520C0" w:rsidRPr="00736932">
        <w:rPr>
          <w:color w:val="auto"/>
        </w:rPr>
        <w:t xml:space="preserve">Alaska Wireless Network, LLC (AWN) (a wholly-owned subsidiary of GCI Communication Corp.) </w:t>
      </w:r>
      <w:r w:rsidR="009938DC" w:rsidRPr="00736932">
        <w:t xml:space="preserve">for </w:t>
      </w:r>
      <w:r w:rsidR="00E53795" w:rsidRPr="00736932">
        <w:t xml:space="preserve">a </w:t>
      </w:r>
      <w:r w:rsidR="009938DC" w:rsidRPr="00736932">
        <w:t xml:space="preserve">limited </w:t>
      </w:r>
      <w:r w:rsidR="00A005DA" w:rsidRPr="00736932">
        <w:t>waiver of Section 27.14(g) of the Commission’s rules</w:t>
      </w:r>
      <w:r w:rsidR="00183E35" w:rsidRPr="00736932">
        <w:t>.</w:t>
      </w:r>
      <w:r w:rsidR="00A005DA" w:rsidRPr="00736932">
        <w:rPr>
          <w:vertAlign w:val="superscript"/>
        </w:rPr>
        <w:footnoteReference w:id="2"/>
      </w:r>
      <w:r w:rsidR="00183E35" w:rsidRPr="00736932">
        <w:t xml:space="preserve">  </w:t>
      </w:r>
      <w:r w:rsidR="00A777E1" w:rsidRPr="00736932">
        <w:t xml:space="preserve">In </w:t>
      </w:r>
      <w:r w:rsidR="0046542F" w:rsidRPr="00736932">
        <w:t xml:space="preserve">light </w:t>
      </w:r>
      <w:r w:rsidR="00A777E1" w:rsidRPr="00736932">
        <w:t xml:space="preserve">of the unique and unusual challenges </w:t>
      </w:r>
      <w:r w:rsidR="0046542F" w:rsidRPr="00736932">
        <w:t>of serving the State of Alaska</w:t>
      </w:r>
      <w:r w:rsidR="00A777E1" w:rsidRPr="00736932">
        <w:t>, t</w:t>
      </w:r>
      <w:r w:rsidR="00183E35" w:rsidRPr="00736932">
        <w:t xml:space="preserve">he waiver </w:t>
      </w:r>
      <w:r w:rsidR="00B166E9" w:rsidRPr="00736932">
        <w:t xml:space="preserve">will </w:t>
      </w:r>
      <w:r w:rsidR="00F3444F" w:rsidRPr="00736932">
        <w:t xml:space="preserve">allow </w:t>
      </w:r>
      <w:r w:rsidR="005E3D14" w:rsidRPr="00736932">
        <w:t>AWN</w:t>
      </w:r>
      <w:r w:rsidR="00F3444F" w:rsidRPr="00736932">
        <w:t xml:space="preserve"> to meet </w:t>
      </w:r>
      <w:r w:rsidR="007E4AC2" w:rsidRPr="00736932">
        <w:t xml:space="preserve">population- rather than geographic-based construction </w:t>
      </w:r>
      <w:r w:rsidR="00323ADD" w:rsidRPr="00736932">
        <w:t>benchmarks</w:t>
      </w:r>
      <w:r w:rsidR="00C922EA" w:rsidRPr="00736932">
        <w:t xml:space="preserve"> for a Lower 700 MHz </w:t>
      </w:r>
      <w:r w:rsidR="005E3D14" w:rsidRPr="00736932">
        <w:t>A</w:t>
      </w:r>
      <w:r w:rsidR="007E4AC2" w:rsidRPr="00736932">
        <w:t xml:space="preserve"> </w:t>
      </w:r>
      <w:r w:rsidR="00F01C5C" w:rsidRPr="00736932">
        <w:t xml:space="preserve">Block </w:t>
      </w:r>
      <w:r w:rsidR="00C922EA" w:rsidRPr="00736932">
        <w:t>license</w:t>
      </w:r>
      <w:r w:rsidR="00E01616" w:rsidRPr="00736932">
        <w:t xml:space="preserve">, </w:t>
      </w:r>
      <w:r w:rsidR="0083035C" w:rsidRPr="00736932">
        <w:t>cover</w:t>
      </w:r>
      <w:r w:rsidR="003B73FE" w:rsidRPr="00736932">
        <w:t>ing</w:t>
      </w:r>
      <w:r w:rsidR="0083035C" w:rsidRPr="00736932">
        <w:t xml:space="preserve"> the entire</w:t>
      </w:r>
      <w:r w:rsidR="0046542F" w:rsidRPr="00736932">
        <w:t xml:space="preserve"> State</w:t>
      </w:r>
      <w:r w:rsidR="00A777E1" w:rsidRPr="00736932">
        <w:t>.</w:t>
      </w:r>
      <w:r w:rsidR="002E3D47" w:rsidRPr="00736932">
        <w:rPr>
          <w:rStyle w:val="FootnoteReference"/>
        </w:rPr>
        <w:footnoteReference w:id="3"/>
      </w:r>
      <w:r w:rsidR="00AB12FD" w:rsidRPr="00736932">
        <w:t xml:space="preserve">  </w:t>
      </w:r>
      <w:r w:rsidR="006065F8" w:rsidRPr="00736932">
        <w:t>G</w:t>
      </w:r>
      <w:r w:rsidR="005728EF" w:rsidRPr="00736932">
        <w:t xml:space="preserve">rant of the </w:t>
      </w:r>
      <w:r w:rsidR="00A65F5D" w:rsidRPr="00736932">
        <w:t>W</w:t>
      </w:r>
      <w:r w:rsidR="005C653D" w:rsidRPr="00736932">
        <w:t>aiver</w:t>
      </w:r>
      <w:r w:rsidR="00A65F5D" w:rsidRPr="00736932">
        <w:t xml:space="preserve"> Request</w:t>
      </w:r>
      <w:r w:rsidR="009938DC" w:rsidRPr="00736932">
        <w:t>, subject to the performance and related conditions we adopt below,</w:t>
      </w:r>
      <w:r w:rsidR="00D34EEF" w:rsidRPr="00736932">
        <w:t xml:space="preserve"> </w:t>
      </w:r>
      <w:r w:rsidR="005C653D" w:rsidRPr="00736932">
        <w:t xml:space="preserve">will </w:t>
      </w:r>
      <w:r w:rsidR="006065F8" w:rsidRPr="00736932">
        <w:t xml:space="preserve">promote the </w:t>
      </w:r>
      <w:r w:rsidR="0046542F" w:rsidRPr="00736932">
        <w:t xml:space="preserve">underlying </w:t>
      </w:r>
      <w:r w:rsidR="004A5A66" w:rsidRPr="00736932">
        <w:t xml:space="preserve">purpose </w:t>
      </w:r>
      <w:r w:rsidR="006065F8" w:rsidRPr="00736932">
        <w:t xml:space="preserve">of </w:t>
      </w:r>
      <w:r w:rsidR="0046542F" w:rsidRPr="00736932">
        <w:t xml:space="preserve">Section 27.14(g) </w:t>
      </w:r>
      <w:r w:rsidR="006065F8" w:rsidRPr="00736932">
        <w:t xml:space="preserve">and </w:t>
      </w:r>
      <w:r w:rsidR="005C653D" w:rsidRPr="00736932">
        <w:t xml:space="preserve">serve the public interest by </w:t>
      </w:r>
      <w:r w:rsidR="00F3444F" w:rsidRPr="00736932">
        <w:t xml:space="preserve">fostering </w:t>
      </w:r>
      <w:r w:rsidR="00E23755" w:rsidRPr="00736932">
        <w:t>AWN</w:t>
      </w:r>
      <w:r w:rsidR="00B166E9" w:rsidRPr="00736932">
        <w:t xml:space="preserve">’s </w:t>
      </w:r>
      <w:r w:rsidR="006065F8" w:rsidRPr="00736932">
        <w:t xml:space="preserve">rapid </w:t>
      </w:r>
      <w:r w:rsidR="00F3444F" w:rsidRPr="00736932">
        <w:t>provision of</w:t>
      </w:r>
      <w:r w:rsidR="009B06BC" w:rsidRPr="00736932">
        <w:t xml:space="preserve"> new and advanced </w:t>
      </w:r>
      <w:r w:rsidR="005C653D" w:rsidRPr="00736932">
        <w:t xml:space="preserve">wireless services </w:t>
      </w:r>
      <w:r w:rsidR="00C922EA" w:rsidRPr="00736932">
        <w:t xml:space="preserve">to </w:t>
      </w:r>
      <w:r w:rsidR="001D5F40" w:rsidRPr="00736932">
        <w:t>Alaska</w:t>
      </w:r>
      <w:r w:rsidR="000A2FDC" w:rsidRPr="00736932">
        <w:t>ns</w:t>
      </w:r>
      <w:r w:rsidR="00E23755" w:rsidRPr="00736932">
        <w:t xml:space="preserve">, </w:t>
      </w:r>
      <w:r w:rsidR="00AB70DF" w:rsidRPr="00736932">
        <w:t xml:space="preserve">including </w:t>
      </w:r>
      <w:r w:rsidR="00E23755" w:rsidRPr="00736932">
        <w:t>those living in remote areas</w:t>
      </w:r>
      <w:r w:rsidR="00AB70DF" w:rsidRPr="00736932">
        <w:t xml:space="preserve"> of the State, where competition and choice of </w:t>
      </w:r>
      <w:r w:rsidR="00EA4C2F" w:rsidRPr="00736932">
        <w:t xml:space="preserve">available </w:t>
      </w:r>
      <w:r w:rsidR="00AB70DF" w:rsidRPr="00736932">
        <w:t>services is</w:t>
      </w:r>
      <w:r w:rsidR="003B73FE" w:rsidRPr="00736932">
        <w:t xml:space="preserve"> often</w:t>
      </w:r>
      <w:r w:rsidR="00AB70DF" w:rsidRPr="00736932">
        <w:t xml:space="preserve"> limited</w:t>
      </w:r>
      <w:r w:rsidR="001D5F40" w:rsidRPr="00736932">
        <w:t>.</w:t>
      </w:r>
      <w:r w:rsidR="001D5F40" w:rsidRPr="00736932">
        <w:rPr>
          <w:rStyle w:val="FootnoteReference"/>
        </w:rPr>
        <w:footnoteReference w:id="4"/>
      </w:r>
    </w:p>
    <w:p w14:paraId="0A93EC07" w14:textId="77777777" w:rsidR="00D260C1" w:rsidRPr="00736932" w:rsidRDefault="00D260C1" w:rsidP="00FA44B9">
      <w:pPr>
        <w:pStyle w:val="ParaNum"/>
      </w:pPr>
    </w:p>
    <w:p w14:paraId="402BCB4F" w14:textId="0DE35E88" w:rsidR="00FB5C3F" w:rsidRPr="00736932" w:rsidRDefault="0048510E" w:rsidP="00FA44B9">
      <w:pPr>
        <w:pStyle w:val="ParaNum"/>
      </w:pPr>
      <w:r w:rsidRPr="00736932">
        <w:rPr>
          <w:i/>
        </w:rPr>
        <w:t>Background</w:t>
      </w:r>
      <w:r w:rsidRPr="00736932">
        <w:t xml:space="preserve">.  In the </w:t>
      </w:r>
      <w:r w:rsidRPr="00736932">
        <w:rPr>
          <w:i/>
        </w:rPr>
        <w:t>700 MHz Second Report and Order</w:t>
      </w:r>
      <w:r w:rsidRPr="00736932">
        <w:t>,</w:t>
      </w:r>
      <w:r w:rsidRPr="00736932">
        <w:rPr>
          <w:i/>
        </w:rPr>
        <w:t xml:space="preserve"> </w:t>
      </w:r>
      <w:r w:rsidRPr="00736932">
        <w:t>the Commission adopted interim and end</w:t>
      </w:r>
      <w:r w:rsidR="00864F24" w:rsidRPr="00736932">
        <w:t>-</w:t>
      </w:r>
      <w:r w:rsidRPr="00736932">
        <w:t>of</w:t>
      </w:r>
      <w:r w:rsidR="00864F24" w:rsidRPr="00736932">
        <w:t>-</w:t>
      </w:r>
      <w:r w:rsidRPr="00736932">
        <w:t>license term construction benchmarks for certain 700 MHz band licensees.</w:t>
      </w:r>
      <w:r w:rsidRPr="00736932">
        <w:rPr>
          <w:rStyle w:val="FootnoteReference"/>
          <w:color w:val="000000" w:themeColor="text1"/>
        </w:rPr>
        <w:footnoteReference w:id="5"/>
      </w:r>
      <w:r w:rsidRPr="00736932">
        <w:t xml:space="preserve">  The Commission required Lower 700 MHz band A and B Block licensees to provide signal coverage and offer service over at least 35 percent of their license area by June 13, 2013,</w:t>
      </w:r>
      <w:r w:rsidRPr="00736932">
        <w:rPr>
          <w:rStyle w:val="FootnoteReference"/>
          <w:color w:val="000000" w:themeColor="text1"/>
        </w:rPr>
        <w:footnoteReference w:id="6"/>
      </w:r>
      <w:r w:rsidRPr="00736932">
        <w:t xml:space="preserve"> later extended to December 13, 2016</w:t>
      </w:r>
      <w:r w:rsidRPr="00736932">
        <w:rPr>
          <w:rStyle w:val="FootnoteReference"/>
        </w:rPr>
        <w:footnoteReference w:id="7"/>
      </w:r>
      <w:r w:rsidRPr="00736932">
        <w:t xml:space="preserve"> (Interim Construction Requirement), and to provide signal coverage and offer service over at least 70 percent of that area by the end of their initial 10-year license term, </w:t>
      </w:r>
      <w:r w:rsidR="00D71AB4" w:rsidRPr="00736932">
        <w:t xml:space="preserve">here </w:t>
      </w:r>
      <w:r w:rsidRPr="00736932">
        <w:rPr>
          <w:color w:val="000000" w:themeColor="text1"/>
        </w:rPr>
        <w:t>June 13, 2019</w:t>
      </w:r>
      <w:r w:rsidRPr="00736932">
        <w:t xml:space="preserve"> (Final Construction Requirement).</w:t>
      </w:r>
      <w:r w:rsidR="00D71AB4" w:rsidRPr="00736932">
        <w:rPr>
          <w:rStyle w:val="FootnoteReference"/>
          <w:color w:val="000000" w:themeColor="text1"/>
        </w:rPr>
        <w:footnoteReference w:id="8"/>
      </w:r>
      <w:r w:rsidRPr="00736932">
        <w:t xml:space="preserve">  </w:t>
      </w:r>
      <w:r w:rsidR="00916CF6" w:rsidRPr="00736932">
        <w:t>Section 27.14(g)(1) provides that if a licensee does not satisfy the Interim Construction Requirement, its license term will be reduced by two years, thereby requiring it to meet the Final Construction Requirement two years sooner.</w:t>
      </w:r>
      <w:r w:rsidR="00916CF6" w:rsidRPr="00736932">
        <w:rPr>
          <w:rStyle w:val="FootnoteReference"/>
          <w:color w:val="000000" w:themeColor="text1"/>
        </w:rPr>
        <w:footnoteReference w:id="9"/>
      </w:r>
      <w:r w:rsidR="00916CF6" w:rsidRPr="00736932">
        <w:t xml:space="preserve">  Further, if a licensee does not meet its Final Construction </w:t>
      </w:r>
      <w:r w:rsidR="00916CF6" w:rsidRPr="00736932">
        <w:lastRenderedPageBreak/>
        <w:t xml:space="preserve">Requirement, </w:t>
      </w:r>
      <w:r w:rsidR="00916CF6" w:rsidRPr="00736932">
        <w:rPr>
          <w:color w:val="auto"/>
        </w:rPr>
        <w:t>it will be subject to a “keep-what-you-</w:t>
      </w:r>
      <w:r w:rsidR="00916CF6" w:rsidRPr="00736932">
        <w:t>serve” rule, whereby its “authorization will terminate automatically without Commission action for those geographic portions of its license in which the licensee is not providing service, and those unserved areas will become available for reassignment by the Commission.”</w:t>
      </w:r>
      <w:r w:rsidR="00916CF6" w:rsidRPr="00736932">
        <w:rPr>
          <w:rStyle w:val="FootnoteReference"/>
        </w:rPr>
        <w:footnoteReference w:id="10"/>
      </w:r>
    </w:p>
    <w:p w14:paraId="67D28682" w14:textId="77777777" w:rsidR="00D260C1" w:rsidRPr="00736932" w:rsidRDefault="00D260C1" w:rsidP="00FA44B9">
      <w:pPr>
        <w:pStyle w:val="ParaNum"/>
      </w:pPr>
    </w:p>
    <w:p w14:paraId="10FADF13" w14:textId="0A723AAA" w:rsidR="004F7FBB" w:rsidRPr="00736932" w:rsidRDefault="005967E3" w:rsidP="00FA44B9">
      <w:pPr>
        <w:pStyle w:val="ParaNum"/>
      </w:pPr>
      <w:r w:rsidRPr="00736932">
        <w:t>AWN</w:t>
      </w:r>
      <w:r w:rsidR="00B8218F" w:rsidRPr="00736932">
        <w:t xml:space="preserve"> filed the </w:t>
      </w:r>
      <w:r w:rsidR="00E1535E" w:rsidRPr="00736932">
        <w:t xml:space="preserve">Waiver Request </w:t>
      </w:r>
      <w:r w:rsidR="004A20E9" w:rsidRPr="00736932">
        <w:t xml:space="preserve">on </w:t>
      </w:r>
      <w:r w:rsidRPr="00736932">
        <w:t>December 7</w:t>
      </w:r>
      <w:r w:rsidR="00BB4DA4" w:rsidRPr="00736932">
        <w:t xml:space="preserve">, </w:t>
      </w:r>
      <w:r w:rsidR="004A20E9" w:rsidRPr="00736932">
        <w:t xml:space="preserve">2016, </w:t>
      </w:r>
      <w:r w:rsidR="00D71AB4" w:rsidRPr="00736932">
        <w:t>proposing</w:t>
      </w:r>
      <w:r w:rsidR="004F7FBB" w:rsidRPr="00736932">
        <w:t xml:space="preserve"> to satisfy the following construction benchmarks:</w:t>
      </w:r>
      <w:r w:rsidR="00D71AB4" w:rsidRPr="00736932">
        <w:t xml:space="preserve"> </w:t>
      </w:r>
    </w:p>
    <w:p w14:paraId="034C98F9" w14:textId="77777777" w:rsidR="004F7FBB" w:rsidRPr="00736932" w:rsidRDefault="004F7FBB" w:rsidP="00FA44B9">
      <w:pPr>
        <w:pStyle w:val="ParaNum"/>
      </w:pPr>
    </w:p>
    <w:p w14:paraId="2C953D5C" w14:textId="7AE70182" w:rsidR="004F7FBB" w:rsidRPr="00736932" w:rsidRDefault="004F7FBB" w:rsidP="00FA44B9">
      <w:pPr>
        <w:pStyle w:val="ListParagraph"/>
        <w:numPr>
          <w:ilvl w:val="0"/>
          <w:numId w:val="18"/>
        </w:numPr>
        <w:rPr>
          <w:szCs w:val="22"/>
        </w:rPr>
      </w:pPr>
      <w:r w:rsidRPr="00736932">
        <w:rPr>
          <w:szCs w:val="22"/>
        </w:rPr>
        <w:t xml:space="preserve">By December 13, 2016, provide coverage and offer service to 50 percent of </w:t>
      </w:r>
      <w:r w:rsidR="0023295C" w:rsidRPr="00736932">
        <w:rPr>
          <w:szCs w:val="22"/>
        </w:rPr>
        <w:t xml:space="preserve">Alaska’s </w:t>
      </w:r>
      <w:r w:rsidRPr="00736932">
        <w:rPr>
          <w:szCs w:val="22"/>
        </w:rPr>
        <w:t>population.</w:t>
      </w:r>
      <w:r w:rsidRPr="00736932">
        <w:rPr>
          <w:rStyle w:val="FootnoteReference"/>
          <w:szCs w:val="22"/>
        </w:rPr>
        <w:footnoteReference w:id="11"/>
      </w:r>
    </w:p>
    <w:p w14:paraId="745FAF0A" w14:textId="77777777" w:rsidR="004F7FBB" w:rsidRPr="00736932" w:rsidRDefault="004F7FBB" w:rsidP="00FA44B9">
      <w:pPr>
        <w:pStyle w:val="ListParagraph"/>
        <w:ind w:left="1170"/>
        <w:rPr>
          <w:szCs w:val="22"/>
        </w:rPr>
      </w:pPr>
    </w:p>
    <w:p w14:paraId="15CB0174" w14:textId="14D37ADB" w:rsidR="004F7FBB" w:rsidRPr="00736932" w:rsidRDefault="004F7FBB" w:rsidP="00FA44B9">
      <w:pPr>
        <w:pStyle w:val="ListParagraph"/>
        <w:numPr>
          <w:ilvl w:val="0"/>
          <w:numId w:val="18"/>
        </w:numPr>
        <w:rPr>
          <w:szCs w:val="22"/>
        </w:rPr>
      </w:pPr>
      <w:r w:rsidRPr="00736932">
        <w:rPr>
          <w:szCs w:val="22"/>
        </w:rPr>
        <w:t xml:space="preserve">By June 13, 2019, provide coverage and offer service to 80 percent of </w:t>
      </w:r>
      <w:r w:rsidR="0023295C" w:rsidRPr="00736932">
        <w:rPr>
          <w:szCs w:val="22"/>
        </w:rPr>
        <w:t>Alaska’s</w:t>
      </w:r>
      <w:r w:rsidRPr="00736932">
        <w:rPr>
          <w:szCs w:val="22"/>
        </w:rPr>
        <w:t xml:space="preserve"> population.</w:t>
      </w:r>
      <w:r w:rsidR="00F82E41" w:rsidRPr="00736932">
        <w:rPr>
          <w:rStyle w:val="FootnoteReference"/>
          <w:szCs w:val="22"/>
        </w:rPr>
        <w:footnoteReference w:id="12"/>
      </w:r>
      <w:r w:rsidR="00F82E41" w:rsidRPr="00736932">
        <w:rPr>
          <w:szCs w:val="22"/>
        </w:rPr>
        <w:t xml:space="preserve">  If AWN fails to meet this benchmark, it would lose authorization to serve all geographic areas of Alaska that it did not serve by June 13, 2017.</w:t>
      </w:r>
      <w:r w:rsidR="00BF1A3C" w:rsidRPr="00736932">
        <w:rPr>
          <w:rStyle w:val="FootnoteReference"/>
          <w:szCs w:val="22"/>
        </w:rPr>
        <w:footnoteReference w:id="13"/>
      </w:r>
    </w:p>
    <w:p w14:paraId="695B84A0" w14:textId="77777777" w:rsidR="004F7FBB" w:rsidRPr="00736932" w:rsidRDefault="004F7FBB" w:rsidP="00FA44B9">
      <w:pPr>
        <w:pStyle w:val="ListParagraph"/>
        <w:ind w:left="1170"/>
        <w:rPr>
          <w:szCs w:val="22"/>
        </w:rPr>
      </w:pPr>
    </w:p>
    <w:p w14:paraId="76FBEC00" w14:textId="7F62C016" w:rsidR="004F7FBB" w:rsidRPr="00736932" w:rsidRDefault="00BF1A3C" w:rsidP="00FA44B9">
      <w:pPr>
        <w:pStyle w:val="ParaNum"/>
      </w:pPr>
      <w:r w:rsidRPr="00736932">
        <w:t>AWN</w:t>
      </w:r>
      <w:r w:rsidR="004F7FBB" w:rsidRPr="00736932">
        <w:t xml:space="preserve"> </w:t>
      </w:r>
      <w:r w:rsidR="00A016BC" w:rsidRPr="00736932">
        <w:t xml:space="preserve">has </w:t>
      </w:r>
      <w:r w:rsidR="004F7FBB" w:rsidRPr="00736932">
        <w:t xml:space="preserve">committed to maintaining coverage and </w:t>
      </w:r>
      <w:r w:rsidR="00F11070" w:rsidRPr="00736932">
        <w:t xml:space="preserve">offering </w:t>
      </w:r>
      <w:r w:rsidR="004F7FBB" w:rsidRPr="00736932">
        <w:t xml:space="preserve">service to at least 80 percent of </w:t>
      </w:r>
      <w:r w:rsidR="0023295C" w:rsidRPr="00736932">
        <w:t>Alaska</w:t>
      </w:r>
      <w:r w:rsidR="00F11070" w:rsidRPr="00736932">
        <w:t>’s</w:t>
      </w:r>
      <w:r w:rsidR="004F7FBB" w:rsidRPr="00736932">
        <w:t xml:space="preserve"> population for five years </w:t>
      </w:r>
      <w:r w:rsidR="00DD03F4" w:rsidRPr="00736932">
        <w:t xml:space="preserve">beginning </w:t>
      </w:r>
      <w:r w:rsidR="004F7FBB" w:rsidRPr="00736932">
        <w:t xml:space="preserve">June 13, </w:t>
      </w:r>
      <w:r w:rsidR="00D8218A" w:rsidRPr="00736932">
        <w:t>2019</w:t>
      </w:r>
      <w:r w:rsidR="004F7FBB" w:rsidRPr="00736932">
        <w:t>,</w:t>
      </w:r>
      <w:r w:rsidR="004F7FBB" w:rsidRPr="00736932">
        <w:rPr>
          <w:rStyle w:val="FootnoteReference"/>
        </w:rPr>
        <w:footnoteReference w:id="14"/>
      </w:r>
      <w:r w:rsidR="004F7FBB" w:rsidRPr="00736932">
        <w:t xml:space="preserve"> </w:t>
      </w:r>
      <w:r w:rsidR="00DD03F4" w:rsidRPr="00736932">
        <w:t>and</w:t>
      </w:r>
      <w:r w:rsidR="004F7FBB" w:rsidRPr="00736932">
        <w:t xml:space="preserve"> propose</w:t>
      </w:r>
      <w:r w:rsidR="00A016BC" w:rsidRPr="00736932">
        <w:t>s</w:t>
      </w:r>
      <w:r w:rsidR="004F7FBB" w:rsidRPr="00736932">
        <w:t xml:space="preserve"> that if it fails to </w:t>
      </w:r>
      <w:r w:rsidR="00A016BC" w:rsidRPr="00736932">
        <w:t>do so</w:t>
      </w:r>
      <w:r w:rsidR="00D5545A" w:rsidRPr="00736932">
        <w:t xml:space="preserve">, it would lose authorization to serve </w:t>
      </w:r>
      <w:r w:rsidR="00DD03F4" w:rsidRPr="00736932">
        <w:t xml:space="preserve">all </w:t>
      </w:r>
      <w:r w:rsidR="00D5545A" w:rsidRPr="00736932">
        <w:t xml:space="preserve">geographic areas </w:t>
      </w:r>
      <w:r w:rsidR="00DD03F4" w:rsidRPr="00736932">
        <w:t xml:space="preserve">of Alaska </w:t>
      </w:r>
      <w:r w:rsidR="00D5545A" w:rsidRPr="00736932">
        <w:t xml:space="preserve">that it </w:t>
      </w:r>
      <w:r w:rsidR="003B73FE" w:rsidRPr="00736932">
        <w:t xml:space="preserve">was not able to </w:t>
      </w:r>
      <w:r w:rsidR="00D5545A" w:rsidRPr="00736932">
        <w:t>serve by June 13, 2017</w:t>
      </w:r>
      <w:r w:rsidR="00467ECF" w:rsidRPr="00736932">
        <w:t xml:space="preserve"> (the accelerated end-of-license term absent a waiver</w:t>
      </w:r>
      <w:r w:rsidR="001F6E66" w:rsidRPr="00736932">
        <w:t xml:space="preserve"> of Section 27.14(g)</w:t>
      </w:r>
      <w:r w:rsidR="00467ECF" w:rsidRPr="00736932">
        <w:t>)</w:t>
      </w:r>
      <w:r w:rsidR="00D5545A" w:rsidRPr="00736932">
        <w:t>.</w:t>
      </w:r>
      <w:r w:rsidR="00D5545A" w:rsidRPr="00736932">
        <w:rPr>
          <w:rStyle w:val="FootnoteReference"/>
        </w:rPr>
        <w:footnoteReference w:id="15"/>
      </w:r>
      <w:r w:rsidR="004F7FBB" w:rsidRPr="00736932">
        <w:t xml:space="preserve">  </w:t>
      </w:r>
      <w:r w:rsidR="00D5545A" w:rsidRPr="00736932">
        <w:t>AWN</w:t>
      </w:r>
      <w:r w:rsidR="004F7FBB" w:rsidRPr="00736932">
        <w:t xml:space="preserve"> further state</w:t>
      </w:r>
      <w:r w:rsidR="00A016BC" w:rsidRPr="00736932">
        <w:t>s</w:t>
      </w:r>
      <w:r w:rsidR="004F7FBB" w:rsidRPr="00736932">
        <w:t xml:space="preserve"> that during any </w:t>
      </w:r>
      <w:r w:rsidR="00DD03F4" w:rsidRPr="00736932">
        <w:t xml:space="preserve">license </w:t>
      </w:r>
      <w:r w:rsidR="004F7FBB" w:rsidRPr="00736932">
        <w:t xml:space="preserve">renewal term, it would negotiate in good faith with any third party seeking to lease spectrum in an area not served by </w:t>
      </w:r>
      <w:r w:rsidR="00D5545A" w:rsidRPr="00736932">
        <w:t>AWN</w:t>
      </w:r>
      <w:r w:rsidR="004F7FBB" w:rsidRPr="00736932">
        <w:t>.</w:t>
      </w:r>
      <w:r w:rsidR="004F7FBB" w:rsidRPr="00736932">
        <w:rPr>
          <w:rStyle w:val="FootnoteReference"/>
        </w:rPr>
        <w:footnoteReference w:id="16"/>
      </w:r>
    </w:p>
    <w:p w14:paraId="6146B790" w14:textId="77777777" w:rsidR="00544331" w:rsidRPr="00736932" w:rsidRDefault="00544331" w:rsidP="00FA44B9">
      <w:pPr>
        <w:pStyle w:val="ParaNum"/>
      </w:pPr>
    </w:p>
    <w:p w14:paraId="21734F76" w14:textId="50CDE640" w:rsidR="0063018A" w:rsidRPr="00736932" w:rsidRDefault="00544331" w:rsidP="00FA44B9">
      <w:pPr>
        <w:pStyle w:val="ParaNum"/>
      </w:pPr>
      <w:r w:rsidRPr="00736932">
        <w:t xml:space="preserve">The Waiver Request </w:t>
      </w:r>
      <w:r w:rsidR="00841592" w:rsidRPr="00736932">
        <w:t xml:space="preserve">appeared </w:t>
      </w:r>
      <w:r w:rsidRPr="00736932">
        <w:t>on public notice for comment on December 12, 2016.</w:t>
      </w:r>
      <w:r w:rsidRPr="00736932">
        <w:rPr>
          <w:rStyle w:val="FootnoteReference"/>
        </w:rPr>
        <w:footnoteReference w:id="17"/>
      </w:r>
      <w:r w:rsidRPr="00736932">
        <w:t xml:space="preserve">  AT&amp;T Services, Inc. (AT&amp;T) and King Street Wireless, L.P. (King Street) support </w:t>
      </w:r>
      <w:r w:rsidR="00DD03F4" w:rsidRPr="00736932">
        <w:t>AWN’s</w:t>
      </w:r>
      <w:r w:rsidRPr="00736932">
        <w:t xml:space="preserve"> Waiver Request.</w:t>
      </w:r>
      <w:r w:rsidRPr="00736932">
        <w:rPr>
          <w:rStyle w:val="FootnoteReference"/>
        </w:rPr>
        <w:footnoteReference w:id="18"/>
      </w:r>
      <w:r w:rsidRPr="00736932">
        <w:t xml:space="preserve">  AT&amp;T states that </w:t>
      </w:r>
      <w:r w:rsidR="001F2CD0" w:rsidRPr="00736932">
        <w:t>Alaska's unique conditions, geography, and demographics make geographic construction benchmarks in Alaska impractical and unduly burdensome, and that forcing AWN to adhere to Section 27.14(g)’s geographic benchmarks “would just delay rural build-out and frustrate the purpose of the build-out rules.”</w:t>
      </w:r>
      <w:r w:rsidR="001F2CD0" w:rsidRPr="00736932">
        <w:rPr>
          <w:rStyle w:val="FootnoteReference"/>
        </w:rPr>
        <w:footnoteReference w:id="19"/>
      </w:r>
      <w:r w:rsidR="009165F0" w:rsidRPr="00736932">
        <w:t xml:space="preserve">  </w:t>
      </w:r>
      <w:r w:rsidRPr="00736932">
        <w:t xml:space="preserve">King Street states that, </w:t>
      </w:r>
      <w:r w:rsidR="00DD03F4" w:rsidRPr="00736932">
        <w:t>al</w:t>
      </w:r>
      <w:r w:rsidRPr="00736932">
        <w:t xml:space="preserve">though </w:t>
      </w:r>
      <w:r w:rsidR="00E577ED" w:rsidRPr="00736932">
        <w:t xml:space="preserve">it </w:t>
      </w:r>
      <w:r w:rsidRPr="00736932">
        <w:t xml:space="preserve">has met the Interim Construction Requirement for </w:t>
      </w:r>
      <w:r w:rsidR="006B7F6B" w:rsidRPr="00736932">
        <w:t xml:space="preserve">its </w:t>
      </w:r>
      <w:r w:rsidR="007C1876" w:rsidRPr="00736932">
        <w:t xml:space="preserve">152 </w:t>
      </w:r>
      <w:r w:rsidRPr="00736932">
        <w:t xml:space="preserve">Lower 700 MHz A and B Block licenses, </w:t>
      </w:r>
      <w:r w:rsidR="00E577ED" w:rsidRPr="00736932">
        <w:t>“</w:t>
      </w:r>
      <w:r w:rsidRPr="00736932">
        <w:t>it</w:t>
      </w:r>
      <w:r w:rsidR="00E577ED" w:rsidRPr="00736932">
        <w:t xml:space="preserve"> recognizes that in certain circumstances, strict compliance with construction obligations simply may not serve the public </w:t>
      </w:r>
      <w:r w:rsidR="008A6C37" w:rsidRPr="00736932">
        <w:t xml:space="preserve">interest </w:t>
      </w:r>
      <w:r w:rsidR="00E577ED" w:rsidRPr="00736932">
        <w:t>and/or are not</w:t>
      </w:r>
      <w:r w:rsidR="008A6C37" w:rsidRPr="00736932">
        <w:t xml:space="preserve"> practical . . .</w:t>
      </w:r>
      <w:r w:rsidR="007337AA" w:rsidRPr="00736932">
        <w:t xml:space="preserve"> .</w:t>
      </w:r>
      <w:r w:rsidR="008A6C37" w:rsidRPr="00736932">
        <w:t>”</w:t>
      </w:r>
      <w:r w:rsidR="008A6C37" w:rsidRPr="00736932">
        <w:rPr>
          <w:rStyle w:val="FootnoteReference"/>
        </w:rPr>
        <w:footnoteReference w:id="20"/>
      </w:r>
      <w:r w:rsidR="00E577ED" w:rsidRPr="00736932">
        <w:t xml:space="preserve"> </w:t>
      </w:r>
      <w:r w:rsidRPr="00736932">
        <w:t xml:space="preserve"> </w:t>
      </w:r>
      <w:r w:rsidR="000368B1" w:rsidRPr="00736932">
        <w:t xml:space="preserve">Citing the “extreme circumstances such as exists in Alaska,” King Street </w:t>
      </w:r>
      <w:r w:rsidR="000368B1" w:rsidRPr="00736932">
        <w:lastRenderedPageBreak/>
        <w:t xml:space="preserve">states </w:t>
      </w:r>
      <w:r w:rsidR="00A016BC" w:rsidRPr="00736932">
        <w:t xml:space="preserve">that </w:t>
      </w:r>
      <w:r w:rsidR="000368B1" w:rsidRPr="00736932">
        <w:t>the proposed “</w:t>
      </w:r>
      <w:r w:rsidRPr="00736932">
        <w:t>construction relief appears to be warranted.”</w:t>
      </w:r>
      <w:r w:rsidRPr="00736932">
        <w:rPr>
          <w:rStyle w:val="FootnoteReference"/>
        </w:rPr>
        <w:footnoteReference w:id="21"/>
      </w:r>
      <w:r w:rsidRPr="00736932">
        <w:t xml:space="preserve"> </w:t>
      </w:r>
      <w:r w:rsidR="00D12AB7" w:rsidRPr="00736932">
        <w:t xml:space="preserve"> </w:t>
      </w:r>
      <w:r w:rsidR="00D27872" w:rsidRPr="00736932">
        <w:t>One commenter, t</w:t>
      </w:r>
      <w:r w:rsidR="004F7FBB" w:rsidRPr="00736932">
        <w:t>he Rural Wireless Association, Inc. (RWA)</w:t>
      </w:r>
      <w:r w:rsidR="00D27872" w:rsidRPr="00736932">
        <w:t>,</w:t>
      </w:r>
      <w:r w:rsidR="004F7FBB" w:rsidRPr="00736932">
        <w:t xml:space="preserve"> </w:t>
      </w:r>
      <w:r w:rsidR="00D27872" w:rsidRPr="00736932">
        <w:t>oppos</w:t>
      </w:r>
      <w:r w:rsidR="00266986" w:rsidRPr="00736932">
        <w:t>es</w:t>
      </w:r>
      <w:r w:rsidR="00D27872" w:rsidRPr="00736932">
        <w:t xml:space="preserve"> the Waiver Request</w:t>
      </w:r>
      <w:r w:rsidR="00B55DCA" w:rsidRPr="00736932">
        <w:t xml:space="preserve">, </w:t>
      </w:r>
      <w:r w:rsidR="00DD03F4" w:rsidRPr="00736932">
        <w:t xml:space="preserve">asserting </w:t>
      </w:r>
      <w:r w:rsidR="00B55DCA" w:rsidRPr="00736932">
        <w:t xml:space="preserve">that a waiver grant </w:t>
      </w:r>
      <w:r w:rsidR="00400CD0" w:rsidRPr="00736932">
        <w:t>“would incent licensees to ignore their buildout obligations”</w:t>
      </w:r>
      <w:r w:rsidR="00400CD0" w:rsidRPr="00736932">
        <w:rPr>
          <w:rStyle w:val="FootnoteReference"/>
        </w:rPr>
        <w:footnoteReference w:id="22"/>
      </w:r>
      <w:r w:rsidR="00395A61" w:rsidRPr="00736932">
        <w:rPr>
          <w:rStyle w:val="FootnoteReference"/>
        </w:rPr>
        <w:t xml:space="preserve"> </w:t>
      </w:r>
      <w:r w:rsidR="00400CD0" w:rsidRPr="00736932">
        <w:t>and that no unique or special circumstances exist in Alaska</w:t>
      </w:r>
      <w:r w:rsidR="007B0C69" w:rsidRPr="00736932">
        <w:t xml:space="preserve"> warranting the requested relief</w:t>
      </w:r>
      <w:r w:rsidR="00400CD0" w:rsidRPr="00736932">
        <w:t>.</w:t>
      </w:r>
      <w:r w:rsidR="00400CD0" w:rsidRPr="00736932">
        <w:rPr>
          <w:rStyle w:val="FootnoteReference"/>
        </w:rPr>
        <w:footnoteReference w:id="23"/>
      </w:r>
      <w:r w:rsidR="00B55DCA" w:rsidRPr="00736932">
        <w:t xml:space="preserve">  </w:t>
      </w:r>
      <w:r w:rsidR="00954ACA" w:rsidRPr="00736932">
        <w:t xml:space="preserve">In </w:t>
      </w:r>
      <w:r w:rsidR="00E50586" w:rsidRPr="00736932">
        <w:t>reply</w:t>
      </w:r>
      <w:r w:rsidR="0063018A" w:rsidRPr="00736932">
        <w:t xml:space="preserve">, </w:t>
      </w:r>
      <w:r w:rsidR="00954ACA" w:rsidRPr="00736932">
        <w:t>AWN states</w:t>
      </w:r>
      <w:r w:rsidR="0063018A" w:rsidRPr="00736932">
        <w:t xml:space="preserve"> that</w:t>
      </w:r>
      <w:r w:rsidR="00395A61" w:rsidRPr="00736932">
        <w:t xml:space="preserve"> it is best positioned to “introduce[] competitive services to the vast majority of Alaskans, including consumers in numerous rural areas,”</w:t>
      </w:r>
      <w:r w:rsidR="00395A61" w:rsidRPr="00736932">
        <w:rPr>
          <w:rStyle w:val="FootnoteReference"/>
        </w:rPr>
        <w:footnoteReference w:id="24"/>
      </w:r>
      <w:r w:rsidR="0063018A" w:rsidRPr="00736932">
        <w:t xml:space="preserve"> </w:t>
      </w:r>
      <w:r w:rsidR="00395A61" w:rsidRPr="00736932">
        <w:t xml:space="preserve">and that </w:t>
      </w:r>
      <w:r w:rsidR="00F147C6" w:rsidRPr="00736932">
        <w:t>“</w:t>
      </w:r>
      <w:r w:rsidR="002E1FA1" w:rsidRPr="00736932">
        <w:t xml:space="preserve">RWA does not dispute that [AWN] </w:t>
      </w:r>
      <w:r w:rsidR="0063018A" w:rsidRPr="00736932">
        <w:t xml:space="preserve">is </w:t>
      </w:r>
      <w:r w:rsidR="00F147C6" w:rsidRPr="00736932">
        <w:t>working hard to build out its license in Alaska</w:t>
      </w:r>
      <w:r w:rsidR="00395A61" w:rsidRPr="00736932">
        <w:t>.</w:t>
      </w:r>
      <w:r w:rsidR="00F147C6" w:rsidRPr="00736932">
        <w:t>”</w:t>
      </w:r>
      <w:r w:rsidR="00F147C6" w:rsidRPr="00736932">
        <w:rPr>
          <w:rStyle w:val="FootnoteReference"/>
        </w:rPr>
        <w:footnoteReference w:id="25"/>
      </w:r>
      <w:r w:rsidR="00F147C6" w:rsidRPr="00736932">
        <w:t xml:space="preserve"> </w:t>
      </w:r>
    </w:p>
    <w:p w14:paraId="3DF4DC18" w14:textId="33913C8D" w:rsidR="001E3D55" w:rsidRPr="00736932" w:rsidRDefault="001E3D55" w:rsidP="00FA44B9">
      <w:pPr>
        <w:rPr>
          <w:sz w:val="22"/>
          <w:szCs w:val="22"/>
        </w:rPr>
      </w:pPr>
    </w:p>
    <w:p w14:paraId="616A4067" w14:textId="09200C4B" w:rsidR="00712CB5" w:rsidRPr="00736932" w:rsidRDefault="00CD7548" w:rsidP="005B05A6">
      <w:pPr>
        <w:pStyle w:val="ParaNum"/>
      </w:pPr>
      <w:r w:rsidRPr="00736932">
        <w:rPr>
          <w:i/>
        </w:rPr>
        <w:t>Discussion</w:t>
      </w:r>
      <w:r w:rsidRPr="00736932">
        <w:t>.</w:t>
      </w:r>
      <w:r w:rsidR="00013A04" w:rsidRPr="00736932">
        <w:t xml:space="preserve">  </w:t>
      </w:r>
      <w:r w:rsidR="00976D58" w:rsidRPr="00736932">
        <w:rPr>
          <w:spacing w:val="-3"/>
        </w:rPr>
        <w:t xml:space="preserve">As with other Commission rules, requests to waive </w:t>
      </w:r>
      <w:r w:rsidR="003B27E0" w:rsidRPr="00736932">
        <w:rPr>
          <w:spacing w:val="-3"/>
        </w:rPr>
        <w:t xml:space="preserve">a </w:t>
      </w:r>
      <w:r w:rsidR="00976D58" w:rsidRPr="00736932">
        <w:rPr>
          <w:spacing w:val="-3"/>
        </w:rPr>
        <w:t>requirement of the wireless construction and coverage rules must “meet a high hurdle at the starting gate.”</w:t>
      </w:r>
      <w:r w:rsidR="00976D58" w:rsidRPr="00736932">
        <w:rPr>
          <w:rStyle w:val="FootnoteReference"/>
          <w:spacing w:val="-3"/>
        </w:rPr>
        <w:footnoteReference w:id="26"/>
      </w:r>
      <w:r w:rsidR="00976D58" w:rsidRPr="00736932">
        <w:rPr>
          <w:spacing w:val="-3"/>
        </w:rPr>
        <w:t xml:space="preserve">  </w:t>
      </w:r>
      <w:r w:rsidR="000A740D" w:rsidRPr="00736932">
        <w:t xml:space="preserve">Under the Commission’s general standard for considering waiver requests, we </w:t>
      </w:r>
      <w:r w:rsidR="005A26DB" w:rsidRPr="00736932">
        <w:t xml:space="preserve">may grant </w:t>
      </w:r>
      <w:r w:rsidR="000A740D" w:rsidRPr="00736932">
        <w:t xml:space="preserve">such </w:t>
      </w:r>
      <w:r w:rsidR="005A26DB" w:rsidRPr="00736932">
        <w:t>a request when: (i) the underlying purpose of the rule(s)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1" w:name="FN_FN45_"/>
      <w:bookmarkEnd w:id="1"/>
      <w:r w:rsidR="005A26DB" w:rsidRPr="00736932">
        <w:rPr>
          <w:rStyle w:val="FootnoteReference"/>
        </w:rPr>
        <w:footnoteReference w:id="27"/>
      </w:r>
      <w:r w:rsidR="005A26DB" w:rsidRPr="00736932">
        <w:t xml:space="preserve"> </w:t>
      </w:r>
      <w:r w:rsidR="004A5A66" w:rsidRPr="00736932">
        <w:t xml:space="preserve">  </w:t>
      </w:r>
      <w:r w:rsidR="00976D58" w:rsidRPr="00736932">
        <w:rPr>
          <w:color w:val="000000" w:themeColor="text1"/>
        </w:rPr>
        <w:t xml:space="preserve">While each case must be determined in light of its specific circumstances, </w:t>
      </w:r>
      <w:r w:rsidR="00976D58" w:rsidRPr="00736932">
        <w:t>t</w:t>
      </w:r>
      <w:r w:rsidR="004A5A66" w:rsidRPr="00736932">
        <w:t xml:space="preserve">he Commission’s construction </w:t>
      </w:r>
      <w:r w:rsidR="005825D3" w:rsidRPr="00736932">
        <w:t xml:space="preserve">requirements </w:t>
      </w:r>
      <w:r w:rsidR="004A5A66" w:rsidRPr="00736932">
        <w:t xml:space="preserve">are intended to ensure </w:t>
      </w:r>
      <w:r w:rsidR="00CE415A" w:rsidRPr="00736932">
        <w:t xml:space="preserve">intensive </w:t>
      </w:r>
      <w:r w:rsidR="00B12D3D" w:rsidRPr="00736932">
        <w:t xml:space="preserve">use of valuable </w:t>
      </w:r>
      <w:r w:rsidR="00CE415A" w:rsidRPr="00736932">
        <w:t>spectrum</w:t>
      </w:r>
      <w:r w:rsidR="00851BE9" w:rsidRPr="00736932">
        <w:t>.</w:t>
      </w:r>
      <w:r w:rsidR="00391A95" w:rsidRPr="00736932">
        <w:rPr>
          <w:rStyle w:val="FootnoteReference"/>
        </w:rPr>
        <w:footnoteReference w:id="28"/>
      </w:r>
      <w:r w:rsidR="00851BE9" w:rsidRPr="00736932">
        <w:t xml:space="preserve">  W</w:t>
      </w:r>
      <w:r w:rsidR="00CE415A" w:rsidRPr="00736932">
        <w:t>aiver of those requirements</w:t>
      </w:r>
      <w:r w:rsidR="00B12D3D" w:rsidRPr="00736932">
        <w:t xml:space="preserve"> is </w:t>
      </w:r>
      <w:r w:rsidR="00CE415A" w:rsidRPr="00736932">
        <w:t>infrequent,</w:t>
      </w:r>
      <w:r w:rsidR="005825D3" w:rsidRPr="00736932">
        <w:t xml:space="preserve"> </w:t>
      </w:r>
      <w:r w:rsidR="00851BE9" w:rsidRPr="00736932">
        <w:t xml:space="preserve">and </w:t>
      </w:r>
      <w:r w:rsidR="00B12D3D" w:rsidRPr="00736932">
        <w:t xml:space="preserve">it </w:t>
      </w:r>
      <w:r w:rsidR="00CE415A" w:rsidRPr="00736932">
        <w:t xml:space="preserve">is </w:t>
      </w:r>
      <w:r w:rsidR="00851BE9" w:rsidRPr="00736932">
        <w:t xml:space="preserve">only </w:t>
      </w:r>
      <w:r w:rsidR="00CE415A" w:rsidRPr="00736932">
        <w:t xml:space="preserve">appropriate when consistent with </w:t>
      </w:r>
      <w:r w:rsidR="007F487A" w:rsidRPr="00736932">
        <w:t xml:space="preserve">that goal and </w:t>
      </w:r>
      <w:r w:rsidR="00CE415A" w:rsidRPr="00736932">
        <w:t>the public interest.</w:t>
      </w:r>
      <w:r w:rsidR="00391A95" w:rsidRPr="00736932">
        <w:rPr>
          <w:rStyle w:val="FootnoteReference"/>
        </w:rPr>
        <w:footnoteReference w:id="29"/>
      </w:r>
      <w:r w:rsidR="005A26DB" w:rsidRPr="00736932">
        <w:t xml:space="preserve"> </w:t>
      </w:r>
    </w:p>
    <w:p w14:paraId="26A797A4" w14:textId="77777777" w:rsidR="001E3D55" w:rsidRPr="00736932" w:rsidRDefault="001E3D55" w:rsidP="00FA44B9">
      <w:pPr>
        <w:pStyle w:val="ParaNum"/>
      </w:pPr>
    </w:p>
    <w:p w14:paraId="29955AEB" w14:textId="429416F5" w:rsidR="00EB5771" w:rsidRPr="00736932" w:rsidRDefault="008650B7" w:rsidP="00FA44B9">
      <w:pPr>
        <w:pStyle w:val="ParaNum"/>
      </w:pPr>
      <w:r w:rsidRPr="00736932">
        <w:t xml:space="preserve">We have carefully reviewed the record before us and find that </w:t>
      </w:r>
      <w:r w:rsidR="00663EB5" w:rsidRPr="00736932">
        <w:t xml:space="preserve">the fundamental </w:t>
      </w:r>
      <w:r w:rsidRPr="00736932">
        <w:t>underlying purpose of Section 27.14(g)—“to better promote access to spectrum and the provision of service, especially in rural areas”</w:t>
      </w:r>
      <w:r w:rsidRPr="00736932">
        <w:rPr>
          <w:rStyle w:val="FootnoteReference"/>
        </w:rPr>
        <w:footnoteReference w:id="30"/>
      </w:r>
      <w:r w:rsidRPr="00736932">
        <w:t>—would be frustrated by application of the rule here</w:t>
      </w:r>
      <w:r w:rsidR="00A618CE" w:rsidRPr="00736932">
        <w:t>,</w:t>
      </w:r>
      <w:r w:rsidRPr="00736932">
        <w:t xml:space="preserve"> and that grant of the requested waiver, subject to the performance and related conditions</w:t>
      </w:r>
      <w:r w:rsidR="00382558" w:rsidRPr="00736932">
        <w:t xml:space="preserve"> we adopt</w:t>
      </w:r>
      <w:r w:rsidRPr="00736932">
        <w:t xml:space="preserve"> below, will serve the public interest.  </w:t>
      </w:r>
      <w:r w:rsidR="00F82677" w:rsidRPr="00736932">
        <w:t xml:space="preserve">We also find that in </w:t>
      </w:r>
      <w:r w:rsidR="00842EE3" w:rsidRPr="00736932">
        <w:t xml:space="preserve">view </w:t>
      </w:r>
      <w:r w:rsidR="00F82677" w:rsidRPr="00736932">
        <w:t>of the</w:t>
      </w:r>
      <w:r w:rsidR="00EA6317" w:rsidRPr="00736932">
        <w:t xml:space="preserve"> </w:t>
      </w:r>
      <w:r w:rsidR="00F82677" w:rsidRPr="00736932">
        <w:t>unique challenges of serving Alaska</w:t>
      </w:r>
      <w:r w:rsidR="00EA6317" w:rsidRPr="00736932">
        <w:t xml:space="preserve">—including, </w:t>
      </w:r>
      <w:r w:rsidR="00F82677" w:rsidRPr="00736932">
        <w:t xml:space="preserve">as </w:t>
      </w:r>
      <w:r w:rsidR="00EA6317" w:rsidRPr="00736932">
        <w:t xml:space="preserve">detailed further </w:t>
      </w:r>
      <w:r w:rsidR="00F82677" w:rsidRPr="00736932">
        <w:t>below</w:t>
      </w:r>
      <w:r w:rsidR="006F46D5" w:rsidRPr="00736932">
        <w:t xml:space="preserve">, its </w:t>
      </w:r>
      <w:r w:rsidR="00EA6317" w:rsidRPr="00736932">
        <w:t>daunting climat</w:t>
      </w:r>
      <w:r w:rsidR="006F46D5" w:rsidRPr="00736932">
        <w:t>e and geography</w:t>
      </w:r>
      <w:r w:rsidR="00EA6317" w:rsidRPr="00736932">
        <w:t xml:space="preserve">, </w:t>
      </w:r>
      <w:r w:rsidR="006F46D5" w:rsidRPr="00736932">
        <w:t>and widely dispersed population—</w:t>
      </w:r>
      <w:r w:rsidR="00FA154B" w:rsidRPr="00736932">
        <w:t xml:space="preserve">strict </w:t>
      </w:r>
      <w:r w:rsidR="00F82677" w:rsidRPr="00736932">
        <w:t>application of Section 27.14(g) here would be contrary to the public interest.</w:t>
      </w:r>
    </w:p>
    <w:p w14:paraId="00F3F8A1" w14:textId="77777777" w:rsidR="001761E3" w:rsidRPr="00736932" w:rsidRDefault="001761E3" w:rsidP="00FA44B9">
      <w:pPr>
        <w:pStyle w:val="ParaNum"/>
      </w:pPr>
    </w:p>
    <w:p w14:paraId="01DE451B" w14:textId="5A2CA0E7" w:rsidR="001761E3" w:rsidRPr="00736932" w:rsidRDefault="009E313D" w:rsidP="00FA44B9">
      <w:pPr>
        <w:pStyle w:val="ParaNum"/>
      </w:pPr>
      <w:r w:rsidRPr="00736932">
        <w:t>RWA argues that granting a waiver of Section 27.14(g)’s geographic-based construction benchmarks in favor of the population-based construction benchmarks requested by AWN would not serve the public interest.</w:t>
      </w:r>
      <w:r w:rsidRPr="00736932">
        <w:rPr>
          <w:rStyle w:val="FootnoteReference"/>
        </w:rPr>
        <w:footnoteReference w:id="31"/>
      </w:r>
      <w:r w:rsidRPr="00736932">
        <w:t xml:space="preserve">  It claims that the extreme weather conditions and low population densities </w:t>
      </w:r>
      <w:r w:rsidR="00ED465B" w:rsidRPr="00736932">
        <w:t xml:space="preserve">of </w:t>
      </w:r>
      <w:r w:rsidRPr="00736932">
        <w:t>Alaska do not warrant waiver relief.</w:t>
      </w:r>
      <w:r w:rsidRPr="00736932">
        <w:rPr>
          <w:vertAlign w:val="superscript"/>
        </w:rPr>
        <w:footnoteReference w:id="32"/>
      </w:r>
      <w:r w:rsidRPr="00736932">
        <w:t xml:space="preserve">  It </w:t>
      </w:r>
      <w:r w:rsidR="00121139" w:rsidRPr="00736932">
        <w:t xml:space="preserve">also </w:t>
      </w:r>
      <w:r w:rsidRPr="00736932">
        <w:t>argues that if spectrum under Call Sign WQJU656 were returned to the Commission under Section 27.14(g)(2), unspecified RWA members would apply for portions of the returned spectrum and satisfy the applicable buildout requirements.</w:t>
      </w:r>
      <w:r w:rsidRPr="00736932">
        <w:rPr>
          <w:vertAlign w:val="superscript"/>
        </w:rPr>
        <w:footnoteReference w:id="33"/>
      </w:r>
      <w:r w:rsidRPr="00736932">
        <w:t xml:space="preserve">  </w:t>
      </w:r>
      <w:r w:rsidR="00ED465B" w:rsidRPr="00736932">
        <w:t xml:space="preserve">RWA </w:t>
      </w:r>
      <w:r w:rsidR="00121139" w:rsidRPr="00736932">
        <w:t>further</w:t>
      </w:r>
      <w:r w:rsidRPr="00736932">
        <w:t xml:space="preserve"> argues </w:t>
      </w:r>
      <w:r w:rsidR="00E4098F" w:rsidRPr="00736932">
        <w:t xml:space="preserve">that a waiver grant </w:t>
      </w:r>
      <w:r w:rsidRPr="00736932">
        <w:t>c</w:t>
      </w:r>
      <w:r w:rsidR="00E4098F" w:rsidRPr="00736932">
        <w:t xml:space="preserve">ould </w:t>
      </w:r>
      <w:r w:rsidRPr="00736932">
        <w:t xml:space="preserve">foster “spectrum warehousing,” noting that AWN acquired </w:t>
      </w:r>
      <w:r w:rsidR="00E4098F" w:rsidRPr="00736932">
        <w:t>the License six months before the December 13, 2016, interim construction deadline.</w:t>
      </w:r>
      <w:r w:rsidR="00E4098F" w:rsidRPr="00736932">
        <w:rPr>
          <w:rStyle w:val="FootnoteReference"/>
        </w:rPr>
        <w:footnoteReference w:id="34"/>
      </w:r>
      <w:r w:rsidR="00E4098F" w:rsidRPr="00736932">
        <w:t xml:space="preserve">  </w:t>
      </w:r>
      <w:r w:rsidR="00366340" w:rsidRPr="00736932">
        <w:t>Finally, RWA claims that the Waiver Request does not meet the requirements for an extension of time to construct a license under Section 1.946(e) of the Commission’s rules.</w:t>
      </w:r>
      <w:r w:rsidR="00366340" w:rsidRPr="00736932">
        <w:rPr>
          <w:vertAlign w:val="superscript"/>
        </w:rPr>
        <w:footnoteReference w:id="35"/>
      </w:r>
      <w:r w:rsidR="00366340" w:rsidRPr="00736932">
        <w:t xml:space="preserve">  </w:t>
      </w:r>
      <w:r w:rsidR="001761E3" w:rsidRPr="00736932">
        <w:t xml:space="preserve">As </w:t>
      </w:r>
      <w:r w:rsidR="00D2347F" w:rsidRPr="00736932">
        <w:t xml:space="preserve">explained </w:t>
      </w:r>
      <w:r w:rsidR="001761E3" w:rsidRPr="00736932">
        <w:t xml:space="preserve">below, we find that the public interest </w:t>
      </w:r>
      <w:r w:rsidR="00D2347F" w:rsidRPr="00736932">
        <w:t xml:space="preserve">would be served by </w:t>
      </w:r>
      <w:r w:rsidR="001761E3" w:rsidRPr="00736932">
        <w:t xml:space="preserve">granting </w:t>
      </w:r>
      <w:r w:rsidR="00A85F6A" w:rsidRPr="00736932">
        <w:t>AWN</w:t>
      </w:r>
      <w:r w:rsidR="00463039" w:rsidRPr="00736932">
        <w:t>’</w:t>
      </w:r>
      <w:r w:rsidR="002B0FE9" w:rsidRPr="00736932">
        <w:t>s W</w:t>
      </w:r>
      <w:r w:rsidR="00C6628E" w:rsidRPr="00736932">
        <w:t xml:space="preserve">aiver </w:t>
      </w:r>
      <w:r w:rsidR="002B0FE9" w:rsidRPr="00736932">
        <w:t>Request pursuant to</w:t>
      </w:r>
      <w:r w:rsidR="001761E3" w:rsidRPr="00736932">
        <w:t xml:space="preserve"> Section 1.925</w:t>
      </w:r>
      <w:r w:rsidRPr="00736932">
        <w:t xml:space="preserve"> of the Commission’s rules</w:t>
      </w:r>
      <w:r w:rsidR="00366340" w:rsidRPr="00736932">
        <w:t>, and we note that w</w:t>
      </w:r>
      <w:r w:rsidR="004323F2" w:rsidRPr="00736932">
        <w:t xml:space="preserve">e </w:t>
      </w:r>
      <w:r w:rsidR="002B0FE9" w:rsidRPr="00736932">
        <w:t xml:space="preserve">are </w:t>
      </w:r>
      <w:r w:rsidR="004323F2" w:rsidRPr="00736932">
        <w:t>n</w:t>
      </w:r>
      <w:r w:rsidR="00871C67" w:rsidRPr="00736932">
        <w:t>ot act</w:t>
      </w:r>
      <w:r w:rsidR="002B0FE9" w:rsidRPr="00736932">
        <w:t>ing</w:t>
      </w:r>
      <w:r w:rsidR="00871C67" w:rsidRPr="00736932">
        <w:t xml:space="preserve"> under Section 1.946(e)</w:t>
      </w:r>
      <w:r w:rsidR="00366340" w:rsidRPr="00736932">
        <w:t xml:space="preserve"> today</w:t>
      </w:r>
      <w:r w:rsidR="004323F2" w:rsidRPr="00736932">
        <w:t>.</w:t>
      </w:r>
    </w:p>
    <w:p w14:paraId="71583BBD" w14:textId="77777777" w:rsidR="00EC747E" w:rsidRPr="00736932" w:rsidRDefault="00EC747E" w:rsidP="00FA44B9">
      <w:pPr>
        <w:pStyle w:val="ParaNum"/>
      </w:pPr>
    </w:p>
    <w:p w14:paraId="31B53481" w14:textId="1FDC2743" w:rsidR="00ED283D" w:rsidRPr="00736932" w:rsidRDefault="00663EB5" w:rsidP="00ED283D">
      <w:pPr>
        <w:pStyle w:val="ParaNum"/>
      </w:pPr>
      <w:r w:rsidRPr="00736932">
        <w:t>The Division recently granted</w:t>
      </w:r>
      <w:r w:rsidR="007B0C69" w:rsidRPr="00736932">
        <w:t xml:space="preserve"> a request of </w:t>
      </w:r>
      <w:r w:rsidRPr="00736932">
        <w:t>AT&amp;T</w:t>
      </w:r>
      <w:r w:rsidR="00ED283D" w:rsidRPr="00736932">
        <w:t xml:space="preserve"> for similar </w:t>
      </w:r>
      <w:r w:rsidRPr="00736932">
        <w:t>waiver</w:t>
      </w:r>
      <w:r w:rsidR="00ED465B" w:rsidRPr="00736932">
        <w:t xml:space="preserve"> relief</w:t>
      </w:r>
      <w:r w:rsidR="00AC5140" w:rsidRPr="00736932">
        <w:t xml:space="preserve"> regarding deployment in Alaska</w:t>
      </w:r>
      <w:r w:rsidR="007B0C69" w:rsidRPr="00736932">
        <w:t>,</w:t>
      </w:r>
      <w:r w:rsidR="006518A7" w:rsidRPr="00736932">
        <w:t xml:space="preserve"> </w:t>
      </w:r>
      <w:r w:rsidR="00ED283D" w:rsidRPr="00736932">
        <w:t xml:space="preserve">enabling </w:t>
      </w:r>
      <w:r w:rsidR="006518A7" w:rsidRPr="00736932">
        <w:t>AT&amp;T</w:t>
      </w:r>
      <w:r w:rsidRPr="00736932">
        <w:t xml:space="preserve"> to meet population- rather than geographic-based construction benchmarks for a Lower 700 MHz B Block license, which covers nearly half of Alaska.</w:t>
      </w:r>
      <w:r w:rsidR="00ED283D" w:rsidRPr="00736932">
        <w:rPr>
          <w:rStyle w:val="FootnoteReference"/>
        </w:rPr>
        <w:footnoteReference w:id="36"/>
      </w:r>
      <w:r w:rsidR="00ED283D" w:rsidRPr="00736932">
        <w:t xml:space="preserve">  The Division</w:t>
      </w:r>
      <w:r w:rsidR="002365BE" w:rsidRPr="00736932">
        <w:t xml:space="preserve">, citing </w:t>
      </w:r>
      <w:r w:rsidR="008C4AB6" w:rsidRPr="00736932">
        <w:t xml:space="preserve">the </w:t>
      </w:r>
      <w:r w:rsidR="002365BE" w:rsidRPr="00736932">
        <w:t xml:space="preserve">unique challenges of </w:t>
      </w:r>
      <w:r w:rsidR="008C4AB6" w:rsidRPr="00736932">
        <w:t>servi</w:t>
      </w:r>
      <w:r w:rsidR="002365BE" w:rsidRPr="00736932">
        <w:t>ng Alaska,</w:t>
      </w:r>
      <w:r w:rsidR="002365BE" w:rsidRPr="00736932">
        <w:rPr>
          <w:rStyle w:val="FootnoteReference"/>
        </w:rPr>
        <w:footnoteReference w:id="37"/>
      </w:r>
      <w:r w:rsidR="00ED283D" w:rsidRPr="00736932">
        <w:t xml:space="preserve"> found a waiver would “serve the public interest by fostering AT&amp;T’s provision of new and advanced wireless services to citizens in the interior and northern reaches of Alaska.”</w:t>
      </w:r>
      <w:r w:rsidR="00ED283D" w:rsidRPr="00736932">
        <w:rPr>
          <w:rStyle w:val="FootnoteReference"/>
        </w:rPr>
        <w:footnoteReference w:id="38"/>
      </w:r>
      <w:r w:rsidR="008C4AB6" w:rsidRPr="00736932">
        <w:t xml:space="preserve">  For like reasons, we grant</w:t>
      </w:r>
      <w:r w:rsidR="002365BE" w:rsidRPr="00736932">
        <w:t xml:space="preserve"> </w:t>
      </w:r>
      <w:r w:rsidR="000A740D" w:rsidRPr="00736932">
        <w:t xml:space="preserve">similar </w:t>
      </w:r>
      <w:r w:rsidR="002365BE" w:rsidRPr="00736932">
        <w:t>relief to AWN today</w:t>
      </w:r>
      <w:r w:rsidR="000A740D" w:rsidRPr="00736932">
        <w:t xml:space="preserve"> regarding its Lower 700 MHz A Block license, which covers all of Alaska.</w:t>
      </w:r>
    </w:p>
    <w:p w14:paraId="546536F2" w14:textId="77777777" w:rsidR="00ED283D" w:rsidRPr="00736932" w:rsidRDefault="00ED283D" w:rsidP="00FA44B9">
      <w:pPr>
        <w:pStyle w:val="ParaNum"/>
      </w:pPr>
    </w:p>
    <w:p w14:paraId="1E6C8924" w14:textId="1532692B" w:rsidR="00197532" w:rsidRPr="00736932" w:rsidRDefault="003A4408" w:rsidP="00FA44B9">
      <w:pPr>
        <w:pStyle w:val="ParaNum"/>
      </w:pPr>
      <w:r w:rsidRPr="00736932">
        <w:t>A</w:t>
      </w:r>
      <w:r w:rsidR="003D13D6" w:rsidRPr="00736932">
        <w:t>lthough, a</w:t>
      </w:r>
      <w:r w:rsidRPr="00736932">
        <w:t xml:space="preserve">s a general matter, we observe that </w:t>
      </w:r>
      <w:r w:rsidRPr="00736932">
        <w:rPr>
          <w:color w:val="000000" w:themeColor="text1"/>
        </w:rPr>
        <w:t xml:space="preserve">it is a licensee’s responsibility to </w:t>
      </w:r>
      <w:r w:rsidR="003D13D6" w:rsidRPr="00736932">
        <w:rPr>
          <w:color w:val="000000" w:themeColor="text1"/>
        </w:rPr>
        <w:t>confirm that it can satisfy construction and service requirements in advance of acquiring spectrum,</w:t>
      </w:r>
      <w:r w:rsidR="003D13D6" w:rsidRPr="00736932">
        <w:rPr>
          <w:rStyle w:val="FootnoteReference"/>
          <w:color w:val="000000" w:themeColor="text1"/>
        </w:rPr>
        <w:footnoteReference w:id="39"/>
      </w:r>
      <w:r w:rsidR="003D13D6" w:rsidRPr="00736932">
        <w:rPr>
          <w:color w:val="000000" w:themeColor="text1"/>
        </w:rPr>
        <w:t xml:space="preserve"> the Commission anticipated </w:t>
      </w:r>
      <w:r w:rsidR="00915501" w:rsidRPr="00736932">
        <w:rPr>
          <w:color w:val="000000" w:themeColor="text1"/>
        </w:rPr>
        <w:t xml:space="preserve">that </w:t>
      </w:r>
      <w:r w:rsidR="003D13D6" w:rsidRPr="00736932">
        <w:rPr>
          <w:color w:val="000000" w:themeColor="text1"/>
        </w:rPr>
        <w:t xml:space="preserve">the type of waiver that </w:t>
      </w:r>
      <w:r w:rsidR="00C620B9">
        <w:rPr>
          <w:color w:val="000000" w:themeColor="text1"/>
        </w:rPr>
        <w:t>AWN</w:t>
      </w:r>
      <w:r w:rsidR="003D13D6" w:rsidRPr="00736932">
        <w:rPr>
          <w:color w:val="000000" w:themeColor="text1"/>
        </w:rPr>
        <w:t xml:space="preserve"> seeks here might be necessary in certain factual circumstances.  </w:t>
      </w:r>
      <w:r w:rsidR="003D13D6" w:rsidRPr="00736932">
        <w:t>Specifically, i</w:t>
      </w:r>
      <w:r w:rsidR="00FC4688" w:rsidRPr="00736932">
        <w:t xml:space="preserve">n the </w:t>
      </w:r>
      <w:r w:rsidR="00FC4688" w:rsidRPr="00736932">
        <w:rPr>
          <w:i/>
        </w:rPr>
        <w:t>700 MHz Reconsideration Order</w:t>
      </w:r>
      <w:r w:rsidR="00FC4688" w:rsidRPr="00736932">
        <w:t>, the Commission explained that “[f]or specific cases of hardship . . . p</w:t>
      </w:r>
      <w:r w:rsidR="00D52D0A" w:rsidRPr="00736932">
        <w:t>roviders can seek waiver relief”</w:t>
      </w:r>
      <w:r w:rsidR="00FC4688" w:rsidRPr="00736932">
        <w:t xml:space="preserve"> related to their construction obligations.</w:t>
      </w:r>
      <w:r w:rsidR="00FC4688" w:rsidRPr="00736932">
        <w:rPr>
          <w:vertAlign w:val="superscript"/>
        </w:rPr>
        <w:footnoteReference w:id="40"/>
      </w:r>
      <w:r w:rsidR="00FC4688" w:rsidRPr="00736932">
        <w:t xml:space="preserve">  The Commission explained that “requests must be well founded and not based solely on grounds of low population density,” and it directed staff to “consider these types of r</w:t>
      </w:r>
      <w:r w:rsidR="00D14846" w:rsidRPr="00736932">
        <w:t>equests on a case-by-case basis.</w:t>
      </w:r>
      <w:r w:rsidR="00FC4688" w:rsidRPr="00736932">
        <w:t>”</w:t>
      </w:r>
      <w:r w:rsidR="00FC4688" w:rsidRPr="00736932">
        <w:rPr>
          <w:vertAlign w:val="superscript"/>
        </w:rPr>
        <w:footnoteReference w:id="41"/>
      </w:r>
      <w:r w:rsidRPr="00736932">
        <w:rPr>
          <w:color w:val="000000" w:themeColor="text1"/>
        </w:rPr>
        <w:t xml:space="preserve">  </w:t>
      </w:r>
      <w:r w:rsidRPr="00736932">
        <w:t>In this specific instance, w</w:t>
      </w:r>
      <w:r w:rsidR="00155B5E" w:rsidRPr="00736932">
        <w:t xml:space="preserve">e find </w:t>
      </w:r>
      <w:r w:rsidR="00ED3D59" w:rsidRPr="00736932">
        <w:t xml:space="preserve">that </w:t>
      </w:r>
      <w:r w:rsidR="00712CB5" w:rsidRPr="00736932">
        <w:t xml:space="preserve">the </w:t>
      </w:r>
      <w:r w:rsidR="00382558" w:rsidRPr="00736932">
        <w:t xml:space="preserve">many </w:t>
      </w:r>
      <w:r w:rsidR="00712CB5" w:rsidRPr="00736932">
        <w:t xml:space="preserve">unique </w:t>
      </w:r>
      <w:r w:rsidR="002365BE" w:rsidRPr="00736932">
        <w:t xml:space="preserve">and unusual </w:t>
      </w:r>
      <w:r w:rsidR="00382558" w:rsidRPr="00736932">
        <w:t xml:space="preserve">circumstances </w:t>
      </w:r>
      <w:r w:rsidR="00B07106" w:rsidRPr="00736932">
        <w:t xml:space="preserve">for which </w:t>
      </w:r>
      <w:r w:rsidR="000F6B0F" w:rsidRPr="00736932">
        <w:t xml:space="preserve">AWN </w:t>
      </w:r>
      <w:r w:rsidR="00B07106" w:rsidRPr="00736932">
        <w:t xml:space="preserve">must account </w:t>
      </w:r>
      <w:r w:rsidR="000F6B0F" w:rsidRPr="00736932">
        <w:t xml:space="preserve">to serve </w:t>
      </w:r>
      <w:r w:rsidR="000D48A6" w:rsidRPr="00736932">
        <w:t>the entire state of</w:t>
      </w:r>
      <w:r w:rsidR="00725136" w:rsidRPr="00736932">
        <w:t xml:space="preserve"> Alaska</w:t>
      </w:r>
      <w:r w:rsidR="0020115A" w:rsidRPr="00736932">
        <w:t xml:space="preserve"> </w:t>
      </w:r>
      <w:r w:rsidR="00ED3D59" w:rsidRPr="00736932">
        <w:t xml:space="preserve">make it impracticable to </w:t>
      </w:r>
      <w:r w:rsidR="003C36A8" w:rsidRPr="00736932">
        <w:t xml:space="preserve">meet </w:t>
      </w:r>
      <w:r w:rsidR="002522D8" w:rsidRPr="00736932">
        <w:t xml:space="preserve">the applicable </w:t>
      </w:r>
      <w:r w:rsidR="003C36A8" w:rsidRPr="00736932">
        <w:t xml:space="preserve">geographic </w:t>
      </w:r>
      <w:r w:rsidR="005A4239" w:rsidRPr="00736932">
        <w:t xml:space="preserve">construction </w:t>
      </w:r>
      <w:r w:rsidR="002522D8" w:rsidRPr="00736932">
        <w:t>requirements</w:t>
      </w:r>
      <w:r w:rsidR="00725136" w:rsidRPr="00736932">
        <w:t xml:space="preserve"> under Section 27.</w:t>
      </w:r>
      <w:r w:rsidR="00B80989" w:rsidRPr="00736932">
        <w:t>14(g)</w:t>
      </w:r>
      <w:r w:rsidR="00002344" w:rsidRPr="00736932">
        <w:t xml:space="preserve"> and warrant waiver relief</w:t>
      </w:r>
      <w:r w:rsidR="00712CB5" w:rsidRPr="00736932">
        <w:t>.</w:t>
      </w:r>
      <w:r w:rsidR="00712CB5" w:rsidRPr="00736932">
        <w:rPr>
          <w:rStyle w:val="FootnoteReference"/>
        </w:rPr>
        <w:footnoteReference w:id="42"/>
      </w:r>
    </w:p>
    <w:p w14:paraId="74A60468" w14:textId="77777777" w:rsidR="00197532" w:rsidRPr="00736932" w:rsidRDefault="00197532" w:rsidP="00FA44B9">
      <w:pPr>
        <w:pStyle w:val="ParaNum"/>
      </w:pPr>
    </w:p>
    <w:p w14:paraId="5E86E96B" w14:textId="74057A67" w:rsidR="00476B98" w:rsidRPr="00736932" w:rsidRDefault="00197532" w:rsidP="00FA44B9">
      <w:pPr>
        <w:pStyle w:val="ParaNum"/>
      </w:pPr>
      <w:r w:rsidRPr="00736932">
        <w:t xml:space="preserve">The unique challenges of bringing widespread service to Alaska are not present in any other state. </w:t>
      </w:r>
      <w:r w:rsidR="00476B98" w:rsidRPr="00736932">
        <w:t xml:space="preserve">The Commission has </w:t>
      </w:r>
      <w:r w:rsidR="00FB2FEA" w:rsidRPr="00736932">
        <w:t xml:space="preserve">found </w:t>
      </w:r>
      <w:r w:rsidR="00476B98" w:rsidRPr="00736932">
        <w:t>that carriers in Alaska face unique conditions due to “its remoteness, lack of roads, challenges and costs associated with transporting fuel, lack of scalability per community, satellite and backhaul availability, extreme weather conditions, challenging topography, and short construction season.”</w:t>
      </w:r>
      <w:r w:rsidR="00476B98" w:rsidRPr="00736932">
        <w:rPr>
          <w:vertAlign w:val="superscript"/>
        </w:rPr>
        <w:footnoteReference w:id="43"/>
      </w:r>
      <w:r w:rsidR="00476B98" w:rsidRPr="00736932">
        <w:t xml:space="preserve">  </w:t>
      </w:r>
      <w:r w:rsidR="006358BD" w:rsidRPr="00736932">
        <w:t xml:space="preserve">Alaska is a land of atypical geography, with </w:t>
      </w:r>
      <w:r w:rsidR="00003F29" w:rsidRPr="00736932">
        <w:t>hundreds of islands</w:t>
      </w:r>
      <w:r w:rsidR="00F04EE4" w:rsidRPr="00736932">
        <w:t>,</w:t>
      </w:r>
      <w:r w:rsidR="00003F29" w:rsidRPr="00736932">
        <w:t xml:space="preserve"> many undeveloped</w:t>
      </w:r>
      <w:r w:rsidR="00F04EE4" w:rsidRPr="00736932">
        <w:t>;</w:t>
      </w:r>
      <w:r w:rsidR="006358BD" w:rsidRPr="00736932">
        <w:t xml:space="preserve"> vast mountain ranges, including America’s highest peak, </w:t>
      </w:r>
      <w:r w:rsidR="00B80989" w:rsidRPr="00736932">
        <w:t>Denali</w:t>
      </w:r>
      <w:r w:rsidR="00F04EE4" w:rsidRPr="00736932">
        <w:t>;</w:t>
      </w:r>
      <w:r w:rsidR="00B80989" w:rsidRPr="00736932">
        <w:t xml:space="preserve"> </w:t>
      </w:r>
      <w:r w:rsidR="006358BD" w:rsidRPr="00736932">
        <w:t xml:space="preserve">and extreme </w:t>
      </w:r>
      <w:r w:rsidR="0093375D" w:rsidRPr="00736932">
        <w:t>weather</w:t>
      </w:r>
      <w:r w:rsidR="006358BD" w:rsidRPr="00736932">
        <w:t>.</w:t>
      </w:r>
      <w:r w:rsidR="00D15B45" w:rsidRPr="00736932">
        <w:rPr>
          <w:rStyle w:val="FootnoteReference"/>
        </w:rPr>
        <w:footnoteReference w:id="44"/>
      </w:r>
      <w:r w:rsidR="00003F29" w:rsidRPr="00736932">
        <w:t xml:space="preserve"> </w:t>
      </w:r>
      <w:r w:rsidR="003B4EF2" w:rsidRPr="00736932">
        <w:t xml:space="preserve"> </w:t>
      </w:r>
      <w:r w:rsidR="006358BD" w:rsidRPr="00736932">
        <w:t xml:space="preserve">Alaska’s </w:t>
      </w:r>
      <w:r w:rsidR="003B4EF2" w:rsidRPr="00736932">
        <w:t>m</w:t>
      </w:r>
      <w:r w:rsidR="00003F29" w:rsidRPr="00736932">
        <w:t xml:space="preserve">ean </w:t>
      </w:r>
      <w:r w:rsidR="0065615C" w:rsidRPr="00736932">
        <w:t xml:space="preserve">winter </w:t>
      </w:r>
      <w:r w:rsidR="00003F29" w:rsidRPr="00736932">
        <w:t>temper</w:t>
      </w:r>
      <w:r w:rsidR="003B4EF2" w:rsidRPr="00736932">
        <w:t>ature</w:t>
      </w:r>
      <w:r w:rsidR="006358BD" w:rsidRPr="00736932">
        <w:t xml:space="preserve"> </w:t>
      </w:r>
      <w:r w:rsidR="008A0B96" w:rsidRPr="00736932">
        <w:t>is 4° F</w:t>
      </w:r>
      <w:r w:rsidR="006358BD" w:rsidRPr="00736932">
        <w:t>;</w:t>
      </w:r>
      <w:r w:rsidR="008A0B96" w:rsidRPr="00736932">
        <w:rPr>
          <w:rStyle w:val="FootnoteReference"/>
        </w:rPr>
        <w:footnoteReference w:id="45"/>
      </w:r>
      <w:r w:rsidR="004A714A" w:rsidRPr="00736932">
        <w:t xml:space="preserve"> </w:t>
      </w:r>
      <w:r w:rsidR="006358BD" w:rsidRPr="00736932">
        <w:t>i</w:t>
      </w:r>
      <w:r w:rsidR="003B4EF2" w:rsidRPr="00736932">
        <w:t>n the north,</w:t>
      </w:r>
      <w:r w:rsidR="008A0B96" w:rsidRPr="00736932">
        <w:t xml:space="preserve"> </w:t>
      </w:r>
      <w:r w:rsidR="006358BD" w:rsidRPr="00736932">
        <w:t xml:space="preserve">it is </w:t>
      </w:r>
      <w:r w:rsidR="007D0A4C" w:rsidRPr="00736932">
        <w:t>-13</w:t>
      </w:r>
      <w:r w:rsidR="00EC415B" w:rsidRPr="00736932">
        <w:t>° F</w:t>
      </w:r>
      <w:r w:rsidR="00F04EE4" w:rsidRPr="00736932">
        <w:t>,</w:t>
      </w:r>
      <w:r w:rsidR="00EC415B" w:rsidRPr="00736932">
        <w:t xml:space="preserve"> </w:t>
      </w:r>
      <w:r w:rsidR="006358BD" w:rsidRPr="00736932">
        <w:t xml:space="preserve">and </w:t>
      </w:r>
      <w:r w:rsidR="00EC415B" w:rsidRPr="00736932">
        <w:t xml:space="preserve">certain parts </w:t>
      </w:r>
      <w:r w:rsidR="004A714A" w:rsidRPr="00736932">
        <w:t>a</w:t>
      </w:r>
      <w:r w:rsidR="00EC415B" w:rsidRPr="00736932">
        <w:t>verage -20 to -30° F.</w:t>
      </w:r>
      <w:r w:rsidR="005F68BC" w:rsidRPr="00736932">
        <w:rPr>
          <w:rStyle w:val="FootnoteReference"/>
        </w:rPr>
        <w:footnoteReference w:id="46"/>
      </w:r>
      <w:r w:rsidR="0093375D" w:rsidRPr="00736932">
        <w:t xml:space="preserve">  Travel in Alaska </w:t>
      </w:r>
      <w:r w:rsidR="00C86DCE" w:rsidRPr="00736932">
        <w:t xml:space="preserve">can be </w:t>
      </w:r>
      <w:r w:rsidR="0093375D" w:rsidRPr="00736932">
        <w:t>extraordinarily difficult: many areas can only be reached by aircraft,</w:t>
      </w:r>
      <w:r w:rsidR="0093375D" w:rsidRPr="00736932">
        <w:rPr>
          <w:rStyle w:val="FootnoteReference"/>
        </w:rPr>
        <w:footnoteReference w:id="47"/>
      </w:r>
      <w:r w:rsidR="0093375D" w:rsidRPr="00736932">
        <w:t xml:space="preserve"> and others only by </w:t>
      </w:r>
      <w:r w:rsidR="00C86DCE" w:rsidRPr="00736932">
        <w:t xml:space="preserve">Alaska’s famed </w:t>
      </w:r>
      <w:r w:rsidR="0093375D" w:rsidRPr="00736932">
        <w:t>ice roads in the winter months.</w:t>
      </w:r>
      <w:r w:rsidR="0093375D" w:rsidRPr="00736932">
        <w:rPr>
          <w:rStyle w:val="FootnoteReference"/>
        </w:rPr>
        <w:footnoteReference w:id="48"/>
      </w:r>
      <w:r w:rsidR="0093375D" w:rsidRPr="00736932">
        <w:t xml:space="preserve">  </w:t>
      </w:r>
    </w:p>
    <w:p w14:paraId="3121FF53" w14:textId="069AECF3" w:rsidR="00197532" w:rsidRPr="00736932" w:rsidRDefault="00197532" w:rsidP="00FA44B9">
      <w:pPr>
        <w:pStyle w:val="ParaNum"/>
      </w:pPr>
    </w:p>
    <w:p w14:paraId="78B590B3" w14:textId="5E3400A9" w:rsidR="00476B98" w:rsidRPr="00736932" w:rsidRDefault="00474F6B" w:rsidP="00FA44B9">
      <w:pPr>
        <w:pStyle w:val="ParaNum"/>
      </w:pPr>
      <w:r w:rsidRPr="00736932">
        <w:t>In addition to the unique factors described above, t</w:t>
      </w:r>
      <w:r w:rsidR="00BF474B" w:rsidRPr="00736932">
        <w:t>he far</w:t>
      </w:r>
      <w:r w:rsidR="003741AA" w:rsidRPr="00736932">
        <w:t>-</w:t>
      </w:r>
      <w:r w:rsidR="00BF474B" w:rsidRPr="00736932">
        <w:t xml:space="preserve">flung distribution of </w:t>
      </w:r>
      <w:r w:rsidR="00476B98" w:rsidRPr="00736932">
        <w:t>Alaska</w:t>
      </w:r>
      <w:r w:rsidR="00BF474B" w:rsidRPr="00736932">
        <w:t xml:space="preserve">’s </w:t>
      </w:r>
      <w:r w:rsidR="003816B3" w:rsidRPr="00736932">
        <w:t>population</w:t>
      </w:r>
      <w:r w:rsidR="00BF474B" w:rsidRPr="00736932">
        <w:t xml:space="preserve"> across great expanses of unforgiving land</w:t>
      </w:r>
      <w:r w:rsidR="003741AA" w:rsidRPr="00736932">
        <w:t>s</w:t>
      </w:r>
      <w:r w:rsidR="00BF474B" w:rsidRPr="00736932">
        <w:t xml:space="preserve"> adds to the complexity of bringing new </w:t>
      </w:r>
      <w:r w:rsidR="00372A9F" w:rsidRPr="00736932">
        <w:t xml:space="preserve">wireless </w:t>
      </w:r>
      <w:r w:rsidR="00BF474B" w:rsidRPr="00736932">
        <w:t>services</w:t>
      </w:r>
      <w:r w:rsidR="00372A9F" w:rsidRPr="00736932">
        <w:t xml:space="preserve"> </w:t>
      </w:r>
      <w:r w:rsidR="00BF474B" w:rsidRPr="00736932">
        <w:t>t</w:t>
      </w:r>
      <w:r w:rsidR="00372A9F" w:rsidRPr="00736932">
        <w:t>o</w:t>
      </w:r>
      <w:r w:rsidR="00BF474B" w:rsidRPr="00736932">
        <w:t xml:space="preserve"> i</w:t>
      </w:r>
      <w:r w:rsidR="00372A9F" w:rsidRPr="00736932">
        <w:t>t</w:t>
      </w:r>
      <w:r w:rsidR="00BF474B" w:rsidRPr="00736932">
        <w:t>s citizens</w:t>
      </w:r>
      <w:r w:rsidR="003816B3" w:rsidRPr="00736932">
        <w:t xml:space="preserve">. </w:t>
      </w:r>
      <w:r w:rsidR="00567B29" w:rsidRPr="00736932">
        <w:t xml:space="preserve"> Alaska </w:t>
      </w:r>
      <w:r w:rsidR="00476B98" w:rsidRPr="00736932">
        <w:t>comprises 663,209 square miles and is more than twice the size of Texas,</w:t>
      </w:r>
      <w:r w:rsidR="00476B98" w:rsidRPr="00736932">
        <w:rPr>
          <w:rStyle w:val="FootnoteReference"/>
        </w:rPr>
        <w:footnoteReference w:id="49"/>
      </w:r>
      <w:r w:rsidR="00476B98" w:rsidRPr="00736932">
        <w:t xml:space="preserve"> yet </w:t>
      </w:r>
      <w:r w:rsidR="003816B3" w:rsidRPr="00736932">
        <w:t xml:space="preserve">it </w:t>
      </w:r>
      <w:r w:rsidR="00476B98" w:rsidRPr="00736932">
        <w:t xml:space="preserve">has less than three percent of </w:t>
      </w:r>
      <w:r w:rsidR="003816B3" w:rsidRPr="00736932">
        <w:t>Texas’</w:t>
      </w:r>
      <w:r w:rsidR="00476B98" w:rsidRPr="00736932">
        <w:t xml:space="preserve"> population, and a population density of just 1.2 persons per square mile.</w:t>
      </w:r>
      <w:r w:rsidR="00476B98" w:rsidRPr="00736932">
        <w:rPr>
          <w:rStyle w:val="FootnoteReference"/>
        </w:rPr>
        <w:footnoteReference w:id="50"/>
      </w:r>
      <w:r w:rsidR="00476B98" w:rsidRPr="00736932">
        <w:t xml:space="preserve">  </w:t>
      </w:r>
      <w:r w:rsidR="003816B3" w:rsidRPr="00736932">
        <w:t>Additionally, t</w:t>
      </w:r>
      <w:r w:rsidR="00476B98" w:rsidRPr="00736932">
        <w:t>he Commission defines a “rural” county as one with a population density of 100 persons per square mile or less.</w:t>
      </w:r>
      <w:r w:rsidR="00476B98" w:rsidRPr="00736932">
        <w:rPr>
          <w:rStyle w:val="FootnoteReference"/>
        </w:rPr>
        <w:footnoteReference w:id="51"/>
      </w:r>
      <w:r w:rsidR="00476B98" w:rsidRPr="00736932">
        <w:t xml:space="preserve">  Twenty-eight of Alaska’s 29 boroughs and census areas (the equivalent of counties for statistical purposes)</w:t>
      </w:r>
      <w:r w:rsidR="00476B98" w:rsidRPr="00736932">
        <w:rPr>
          <w:rStyle w:val="FootnoteReference"/>
        </w:rPr>
        <w:footnoteReference w:id="52"/>
      </w:r>
      <w:r w:rsidR="00476B98" w:rsidRPr="00736932">
        <w:t xml:space="preserve"> are rural, and 15 have a population density of less than half a person per square mile.</w:t>
      </w:r>
      <w:r w:rsidR="00476B98" w:rsidRPr="00736932">
        <w:rPr>
          <w:rStyle w:val="FootnoteReference"/>
        </w:rPr>
        <w:footnoteReference w:id="53"/>
      </w:r>
    </w:p>
    <w:p w14:paraId="1783E539" w14:textId="0441FEFC" w:rsidR="00A30AA1" w:rsidRPr="00736932" w:rsidRDefault="00003F29" w:rsidP="00FA44B9">
      <w:pPr>
        <w:pStyle w:val="ParaNum"/>
      </w:pPr>
      <w:r w:rsidRPr="00736932">
        <w:t xml:space="preserve"> </w:t>
      </w:r>
    </w:p>
    <w:p w14:paraId="799C65F3" w14:textId="1078B824" w:rsidR="006F1695" w:rsidRPr="00736932" w:rsidRDefault="00C51F9B" w:rsidP="00D16A18">
      <w:pPr>
        <w:pStyle w:val="ParaNum"/>
      </w:pPr>
      <w:r w:rsidRPr="00736932">
        <w:t xml:space="preserve">We concur </w:t>
      </w:r>
      <w:r w:rsidR="00C43E61" w:rsidRPr="00736932">
        <w:t>with AWN</w:t>
      </w:r>
      <w:r w:rsidR="00EC747E" w:rsidRPr="00736932">
        <w:t xml:space="preserve"> that</w:t>
      </w:r>
      <w:r w:rsidR="0093375D" w:rsidRPr="00736932">
        <w:t xml:space="preserve"> </w:t>
      </w:r>
      <w:r w:rsidR="00EC747E" w:rsidRPr="00736932">
        <w:t>without the requested waiver relief, it would lose</w:t>
      </w:r>
      <w:r w:rsidR="00712CB5" w:rsidRPr="00736932">
        <w:t xml:space="preserve"> authorization </w:t>
      </w:r>
      <w:r w:rsidR="00EC747E" w:rsidRPr="00736932">
        <w:t xml:space="preserve">to serve </w:t>
      </w:r>
      <w:r w:rsidR="00712CB5" w:rsidRPr="00736932">
        <w:t>most of the License area</w:t>
      </w:r>
      <w:r w:rsidR="00F86CE4" w:rsidRPr="00736932">
        <w:t xml:space="preserve"> at the June 13, 2017, accelerated end-of-license term construction deadline</w:t>
      </w:r>
      <w:r w:rsidR="00712CB5" w:rsidRPr="00736932">
        <w:t xml:space="preserve">, which </w:t>
      </w:r>
      <w:r w:rsidR="0093375D" w:rsidRPr="00736932">
        <w:t>w</w:t>
      </w:r>
      <w:r w:rsidRPr="00736932">
        <w:t xml:space="preserve">ould </w:t>
      </w:r>
      <w:r w:rsidR="00C92C1F" w:rsidRPr="00736932">
        <w:t xml:space="preserve">impede its ability to expand </w:t>
      </w:r>
      <w:r w:rsidR="00EC747E" w:rsidRPr="00736932">
        <w:t>to other area</w:t>
      </w:r>
      <w:r w:rsidR="00E01616" w:rsidRPr="00736932">
        <w:t>s</w:t>
      </w:r>
      <w:r w:rsidR="00EC747E" w:rsidRPr="00736932">
        <w:t xml:space="preserve"> of </w:t>
      </w:r>
      <w:r w:rsidR="0093375D" w:rsidRPr="00736932">
        <w:t>Alaska</w:t>
      </w:r>
      <w:r w:rsidR="00E01616" w:rsidRPr="00736932">
        <w:t xml:space="preserve"> in need of </w:t>
      </w:r>
      <w:r w:rsidR="00C86DCE" w:rsidRPr="00736932">
        <w:t xml:space="preserve">new </w:t>
      </w:r>
      <w:r w:rsidR="00E01616" w:rsidRPr="00736932">
        <w:t>service</w:t>
      </w:r>
      <w:r w:rsidR="00712CB5" w:rsidRPr="00736932">
        <w:t>.</w:t>
      </w:r>
      <w:r w:rsidR="00712CB5" w:rsidRPr="00736932">
        <w:rPr>
          <w:rStyle w:val="FootnoteReference"/>
        </w:rPr>
        <w:footnoteReference w:id="54"/>
      </w:r>
      <w:r w:rsidR="00712CB5" w:rsidRPr="00736932">
        <w:t xml:space="preserve">  </w:t>
      </w:r>
      <w:r w:rsidR="0093375D" w:rsidRPr="00736932">
        <w:t xml:space="preserve">AWN states that </w:t>
      </w:r>
      <w:r w:rsidR="009932E5" w:rsidRPr="00736932">
        <w:t xml:space="preserve">absent a waiver, it </w:t>
      </w:r>
      <w:r w:rsidR="00C43E61" w:rsidRPr="00736932">
        <w:t xml:space="preserve">would be forced </w:t>
      </w:r>
      <w:r w:rsidR="005D2DED" w:rsidRPr="00736932">
        <w:t>“</w:t>
      </w:r>
      <w:r w:rsidR="00C43E61" w:rsidRPr="00736932">
        <w:t xml:space="preserve">to cover </w:t>
      </w:r>
      <w:r w:rsidR="00C43E61" w:rsidRPr="00736932">
        <w:rPr>
          <w:i/>
        </w:rPr>
        <w:t>entirely unpopulated</w:t>
      </w:r>
      <w:r w:rsidR="00C43E61" w:rsidRPr="00736932">
        <w:t xml:space="preserve"> areas that are larger than many U.S. states”</w:t>
      </w:r>
      <w:r w:rsidR="004A5371" w:rsidRPr="00736932">
        <w:t xml:space="preserve"> at great expense </w:t>
      </w:r>
      <w:r w:rsidR="009932E5" w:rsidRPr="00736932">
        <w:t>simply to meet the geographic construction benchmarks.</w:t>
      </w:r>
      <w:r w:rsidR="005D2DED" w:rsidRPr="00736932">
        <w:rPr>
          <w:rStyle w:val="FootnoteReference"/>
        </w:rPr>
        <w:footnoteReference w:id="55"/>
      </w:r>
      <w:r w:rsidR="00E05A88" w:rsidRPr="00736932">
        <w:t xml:space="preserve">  </w:t>
      </w:r>
      <w:r w:rsidR="00F617BA" w:rsidRPr="00736932">
        <w:t>In the foregoing circumstances, w</w:t>
      </w:r>
      <w:r w:rsidR="009015FA" w:rsidRPr="00736932">
        <w:t xml:space="preserve">e do not believe the public interest is served by rigid application of geographic-based </w:t>
      </w:r>
      <w:r w:rsidR="00F617BA" w:rsidRPr="00736932">
        <w:t xml:space="preserve">as opposed to population-based </w:t>
      </w:r>
      <w:r w:rsidR="009015FA" w:rsidRPr="00736932">
        <w:t>construction benchmarks, where doing so would re</w:t>
      </w:r>
      <w:r w:rsidR="00904955" w:rsidRPr="00736932">
        <w:t xml:space="preserve">quire </w:t>
      </w:r>
      <w:r w:rsidR="00E05A88" w:rsidRPr="00736932">
        <w:t xml:space="preserve">construction of </w:t>
      </w:r>
      <w:r w:rsidR="009015FA" w:rsidRPr="00736932">
        <w:t xml:space="preserve">vast </w:t>
      </w:r>
      <w:r w:rsidR="00E05A88" w:rsidRPr="00736932">
        <w:t xml:space="preserve">unpopulated areas </w:t>
      </w:r>
      <w:r w:rsidR="009015FA" w:rsidRPr="00736932">
        <w:t xml:space="preserve">of Alaska simply </w:t>
      </w:r>
      <w:r w:rsidR="00E05A88" w:rsidRPr="00736932">
        <w:t xml:space="preserve">to meet </w:t>
      </w:r>
      <w:r w:rsidR="009015FA" w:rsidRPr="00736932">
        <w:t>the benchmarks.</w:t>
      </w:r>
    </w:p>
    <w:p w14:paraId="22AEE8F5" w14:textId="77777777" w:rsidR="006F1695" w:rsidRPr="00736932" w:rsidRDefault="006F1695" w:rsidP="00D16A18">
      <w:pPr>
        <w:pStyle w:val="ParaNum"/>
      </w:pPr>
    </w:p>
    <w:p w14:paraId="1E88A2B3" w14:textId="055908A0" w:rsidR="00ED465B" w:rsidRPr="00736932" w:rsidRDefault="009015FA" w:rsidP="00D16A18">
      <w:pPr>
        <w:pStyle w:val="ParaNum"/>
      </w:pPr>
      <w:r w:rsidRPr="00736932">
        <w:t xml:space="preserve">Rather, </w:t>
      </w:r>
      <w:r w:rsidR="00E05A88" w:rsidRPr="00736932">
        <w:t>w</w:t>
      </w:r>
      <w:r w:rsidR="00540DE1" w:rsidRPr="00736932">
        <w:t xml:space="preserve">e </w:t>
      </w:r>
      <w:r w:rsidR="003D13D6" w:rsidRPr="00736932">
        <w:t xml:space="preserve">find that this </w:t>
      </w:r>
      <w:r w:rsidR="006F1695" w:rsidRPr="00736932">
        <w:t>case</w:t>
      </w:r>
      <w:r w:rsidR="003D13D6" w:rsidRPr="00736932">
        <w:t xml:space="preserve"> fits within the </w:t>
      </w:r>
      <w:r w:rsidR="00675321" w:rsidRPr="00736932">
        <w:t xml:space="preserve">ambit of “specific cases of hardship” envisioned by the Commission in the </w:t>
      </w:r>
      <w:r w:rsidR="00675321" w:rsidRPr="00736932">
        <w:rPr>
          <w:i/>
        </w:rPr>
        <w:t>700 MHz Reconsideration Order</w:t>
      </w:r>
      <w:r w:rsidR="00675321" w:rsidRPr="00736932">
        <w:t xml:space="preserve"> as potential grounds for waiving construction requirements based on geographic benchmarks.</w:t>
      </w:r>
      <w:r w:rsidR="00BA78A2" w:rsidRPr="00736932">
        <w:rPr>
          <w:rStyle w:val="FootnoteReference"/>
        </w:rPr>
        <w:footnoteReference w:id="56"/>
      </w:r>
      <w:r w:rsidR="00675321" w:rsidRPr="00736932">
        <w:t xml:space="preserve">  We thus </w:t>
      </w:r>
      <w:r w:rsidR="00540DE1" w:rsidRPr="00736932">
        <w:t xml:space="preserve">agree with </w:t>
      </w:r>
      <w:r w:rsidR="00C43E61" w:rsidRPr="00736932">
        <w:t>AWN</w:t>
      </w:r>
      <w:r w:rsidR="0093375D" w:rsidRPr="00736932">
        <w:t xml:space="preserve"> </w:t>
      </w:r>
      <w:r w:rsidR="00904955" w:rsidRPr="00736932">
        <w:t xml:space="preserve">that the public interest </w:t>
      </w:r>
      <w:r w:rsidRPr="00736932">
        <w:t xml:space="preserve">would be better </w:t>
      </w:r>
      <w:r w:rsidR="00904955" w:rsidRPr="00736932">
        <w:t xml:space="preserve">served by </w:t>
      </w:r>
      <w:r w:rsidRPr="00736932">
        <w:t>apply</w:t>
      </w:r>
      <w:r w:rsidR="00904955" w:rsidRPr="00736932">
        <w:t>ing</w:t>
      </w:r>
      <w:r w:rsidRPr="00736932">
        <w:t xml:space="preserve"> </w:t>
      </w:r>
      <w:r w:rsidR="009932E5" w:rsidRPr="00736932">
        <w:t>population-based construction benchmark</w:t>
      </w:r>
      <w:r w:rsidR="00904955" w:rsidRPr="00736932">
        <w:t>s</w:t>
      </w:r>
      <w:r w:rsidR="009932E5" w:rsidRPr="00736932">
        <w:t xml:space="preserve"> </w:t>
      </w:r>
      <w:r w:rsidR="00904955" w:rsidRPr="00736932">
        <w:t xml:space="preserve">thereby </w:t>
      </w:r>
      <w:r w:rsidR="009932E5" w:rsidRPr="00736932">
        <w:t>afford</w:t>
      </w:r>
      <w:r w:rsidR="00904955" w:rsidRPr="00736932">
        <w:t>ing</w:t>
      </w:r>
      <w:r w:rsidR="009932E5" w:rsidRPr="00736932">
        <w:t xml:space="preserve"> AWN </w:t>
      </w:r>
      <w:r w:rsidR="00712CB5" w:rsidRPr="00736932">
        <w:t>t</w:t>
      </w:r>
      <w:r w:rsidR="003C36A8" w:rsidRPr="00736932">
        <w:t>he</w:t>
      </w:r>
      <w:r w:rsidR="00FD524F" w:rsidRPr="00736932">
        <w:t xml:space="preserve"> needed </w:t>
      </w:r>
      <w:r w:rsidR="00712CB5" w:rsidRPr="00736932">
        <w:t xml:space="preserve">flexibility to </w:t>
      </w:r>
      <w:r w:rsidR="00976CDB" w:rsidRPr="00736932">
        <w:t>“</w:t>
      </w:r>
      <w:r w:rsidR="00540DE1" w:rsidRPr="00736932">
        <w:t xml:space="preserve">cover remote areas more effectively, especially in underserved and rural communities where </w:t>
      </w:r>
      <w:r w:rsidR="00E15948" w:rsidRPr="00736932">
        <w:t>. . .</w:t>
      </w:r>
      <w:r w:rsidR="00540DE1" w:rsidRPr="00736932">
        <w:t xml:space="preserve"> national carriers do not have service</w:t>
      </w:r>
      <w:r w:rsidR="00712CB5" w:rsidRPr="00736932">
        <w:t>.”</w:t>
      </w:r>
      <w:r w:rsidR="00712CB5" w:rsidRPr="00736932">
        <w:rPr>
          <w:rStyle w:val="FootnoteReference"/>
        </w:rPr>
        <w:footnoteReference w:id="57"/>
      </w:r>
      <w:r w:rsidR="006F1695" w:rsidRPr="00736932">
        <w:t xml:space="preserve">  </w:t>
      </w:r>
      <w:r w:rsidR="004A714A" w:rsidRPr="00736932">
        <w:t xml:space="preserve">Additionally, </w:t>
      </w:r>
      <w:r w:rsidR="006F1695" w:rsidRPr="00736932">
        <w:t xml:space="preserve">we note that </w:t>
      </w:r>
      <w:r w:rsidR="00206A04" w:rsidRPr="00736932">
        <w:t>th</w:t>
      </w:r>
      <w:r w:rsidR="006F1695" w:rsidRPr="00736932">
        <w:t>e</w:t>
      </w:r>
      <w:r w:rsidR="00206A04" w:rsidRPr="00736932">
        <w:t xml:space="preserve"> Commission in the </w:t>
      </w:r>
      <w:r w:rsidR="00206A04" w:rsidRPr="00736932">
        <w:rPr>
          <w:i/>
        </w:rPr>
        <w:t>700 MHz Second Report and Order</w:t>
      </w:r>
      <w:r w:rsidR="00206A04" w:rsidRPr="00736932">
        <w:t xml:space="preserve"> found that population</w:t>
      </w:r>
      <w:r w:rsidR="004739AD" w:rsidRPr="00736932">
        <w:t>-based</w:t>
      </w:r>
      <w:r w:rsidR="00206A04" w:rsidRPr="00736932">
        <w:t xml:space="preserve"> benchmarks are appropriate </w:t>
      </w:r>
      <w:r w:rsidR="006F1695" w:rsidRPr="00736932">
        <w:t xml:space="preserve">to ensure intensive spectrum use </w:t>
      </w:r>
      <w:r w:rsidR="00206A04" w:rsidRPr="00736932">
        <w:t>for large Regional Economic Area Grouping (REAG)-based commercial 700 MHz licenses</w:t>
      </w:r>
      <w:r w:rsidR="006A00A3" w:rsidRPr="00736932">
        <w:t>;</w:t>
      </w:r>
      <w:r w:rsidR="00113EB4" w:rsidRPr="00736932">
        <w:rPr>
          <w:rStyle w:val="FootnoteReference"/>
        </w:rPr>
        <w:footnoteReference w:id="58"/>
      </w:r>
      <w:r w:rsidR="006A00A3" w:rsidRPr="00736932">
        <w:t xml:space="preserve"> </w:t>
      </w:r>
      <w:r w:rsidR="004B034E">
        <w:t xml:space="preserve">AWN’s license, </w:t>
      </w:r>
      <w:r w:rsidR="006211FB" w:rsidRPr="00736932">
        <w:t>BEA171</w:t>
      </w:r>
      <w:r w:rsidR="004B034E">
        <w:t>,</w:t>
      </w:r>
      <w:r w:rsidR="006211FB" w:rsidRPr="00736932">
        <w:t xml:space="preserve"> is the </w:t>
      </w:r>
      <w:r w:rsidR="00F001FA" w:rsidRPr="00736932">
        <w:t xml:space="preserve">same </w:t>
      </w:r>
      <w:r w:rsidR="006211FB" w:rsidRPr="00736932">
        <w:t xml:space="preserve">size </w:t>
      </w:r>
      <w:r w:rsidR="00F001FA" w:rsidRPr="00736932">
        <w:t xml:space="preserve">as </w:t>
      </w:r>
      <w:r w:rsidR="006211FB" w:rsidRPr="00736932">
        <w:t>REAG7</w:t>
      </w:r>
      <w:r w:rsidR="00F001FA" w:rsidRPr="00736932">
        <w:t>, which also covers the entire state</w:t>
      </w:r>
      <w:r w:rsidR="00DC5EF1" w:rsidRPr="00736932">
        <w:t>,</w:t>
      </w:r>
      <w:r w:rsidR="006211FB" w:rsidRPr="00736932">
        <w:rPr>
          <w:rStyle w:val="FootnoteReference"/>
        </w:rPr>
        <w:footnoteReference w:id="59"/>
      </w:r>
      <w:r w:rsidR="00DC5EF1" w:rsidRPr="00736932">
        <w:t xml:space="preserve"> and i</w:t>
      </w:r>
      <w:r w:rsidR="00FA154B" w:rsidRPr="00736932">
        <w:t xml:space="preserve">n fact is larger in area than </w:t>
      </w:r>
      <w:r w:rsidR="00DC5EF1" w:rsidRPr="00736932">
        <w:t>nine</w:t>
      </w:r>
      <w:r w:rsidR="00F91705" w:rsidRPr="00736932">
        <w:t xml:space="preserve"> </w:t>
      </w:r>
      <w:r w:rsidR="00FA154B" w:rsidRPr="00736932">
        <w:t xml:space="preserve">of the </w:t>
      </w:r>
      <w:r w:rsidR="00161095" w:rsidRPr="00736932">
        <w:t xml:space="preserve">12 </w:t>
      </w:r>
      <w:r w:rsidR="00FA154B" w:rsidRPr="00736932">
        <w:t>REAG license areas.</w:t>
      </w:r>
      <w:r w:rsidR="00161095" w:rsidRPr="00736932">
        <w:rPr>
          <w:rStyle w:val="FootnoteReference"/>
        </w:rPr>
        <w:footnoteReference w:id="60"/>
      </w:r>
      <w:r w:rsidR="00904955" w:rsidRPr="00736932">
        <w:t xml:space="preserve"> </w:t>
      </w:r>
      <w:r w:rsidR="00412419" w:rsidRPr="00736932">
        <w:t xml:space="preserve"> Th</w:t>
      </w:r>
      <w:r w:rsidR="006F1695" w:rsidRPr="00736932">
        <w:t xml:space="preserve">e Commission’s finding in the 700 MHz proceeding that population-based benchmarks are well suited to larger areas confirms </w:t>
      </w:r>
      <w:r w:rsidR="00412419" w:rsidRPr="00736932">
        <w:t>that granting a waiver in th</w:t>
      </w:r>
      <w:r w:rsidR="006F1695" w:rsidRPr="00736932">
        <w:t>e</w:t>
      </w:r>
      <w:r w:rsidR="00412419" w:rsidRPr="00736932">
        <w:t xml:space="preserve"> specific circumstance</w:t>
      </w:r>
      <w:r w:rsidR="006F1695" w:rsidRPr="00736932">
        <w:t>s</w:t>
      </w:r>
      <w:r w:rsidR="00412419" w:rsidRPr="00736932">
        <w:t xml:space="preserve"> </w:t>
      </w:r>
      <w:r w:rsidR="006F1695" w:rsidRPr="00736932">
        <w:t xml:space="preserve">here is consistent </w:t>
      </w:r>
      <w:r w:rsidR="00412419" w:rsidRPr="00736932">
        <w:t>with the Commission’s objective</w:t>
      </w:r>
      <w:r w:rsidR="006F1695" w:rsidRPr="00736932">
        <w:t xml:space="preserve"> of ensuring intensive spectrum use.</w:t>
      </w:r>
    </w:p>
    <w:p w14:paraId="2E9829CE" w14:textId="77777777" w:rsidR="00ED465B" w:rsidRPr="00736932" w:rsidRDefault="00ED465B" w:rsidP="00FA44B9">
      <w:pPr>
        <w:pStyle w:val="ParaNum"/>
      </w:pPr>
    </w:p>
    <w:p w14:paraId="72F8045E" w14:textId="3160CDAC" w:rsidR="00B54FC7" w:rsidRPr="00736932" w:rsidRDefault="002B16B8" w:rsidP="00B011EE">
      <w:pPr>
        <w:pStyle w:val="ParaNum"/>
      </w:pPr>
      <w:r w:rsidRPr="00736932">
        <w:t xml:space="preserve">We </w:t>
      </w:r>
      <w:r w:rsidR="004A5371" w:rsidRPr="00736932">
        <w:t xml:space="preserve">disagree with </w:t>
      </w:r>
      <w:r w:rsidRPr="00736932">
        <w:t xml:space="preserve">RWA that permitting AWN to meet an 80 percent end-of-term population construction benchmark would undermine </w:t>
      </w:r>
      <w:r w:rsidR="00C86DCE" w:rsidRPr="00736932">
        <w:t xml:space="preserve">the </w:t>
      </w:r>
      <w:r w:rsidRPr="00736932">
        <w:t>fundamental purpose of Section 27.14(g)</w:t>
      </w:r>
      <w:r w:rsidR="00334F94" w:rsidRPr="00736932">
        <w:t>—</w:t>
      </w:r>
      <w:r w:rsidRPr="00736932">
        <w:t xml:space="preserve">namely, as </w:t>
      </w:r>
      <w:r w:rsidR="00E25140" w:rsidRPr="00736932">
        <w:t>RWA</w:t>
      </w:r>
      <w:r w:rsidRPr="00736932">
        <w:t xml:space="preserve"> itself acknowledges, to ensure widespread deployment including in “particularly rural areas, and </w:t>
      </w:r>
      <w:r w:rsidRPr="00736932">
        <w:rPr>
          <w:i/>
        </w:rPr>
        <w:t>not</w:t>
      </w:r>
      <w:r w:rsidRPr="00736932">
        <w:t xml:space="preserve"> just the most populated portions of a license area.”</w:t>
      </w:r>
      <w:r w:rsidRPr="00736932">
        <w:rPr>
          <w:rStyle w:val="FootnoteReference"/>
        </w:rPr>
        <w:footnoteReference w:id="61"/>
      </w:r>
      <w:r w:rsidRPr="00736932">
        <w:t xml:space="preserve">  </w:t>
      </w:r>
      <w:r w:rsidR="00DF47A0" w:rsidRPr="00736932">
        <w:t>AWN is not limiting its deployment to densely populated areas as RWA suggest</w:t>
      </w:r>
      <w:r w:rsidR="00FA31A4" w:rsidRPr="00736932">
        <w:t>s</w:t>
      </w:r>
      <w:r w:rsidR="00DF47A0" w:rsidRPr="00736932">
        <w:t xml:space="preserve">.  </w:t>
      </w:r>
      <w:r w:rsidR="00F001FA" w:rsidRPr="00736932">
        <w:t xml:space="preserve">Nor can it.  </w:t>
      </w:r>
      <w:r w:rsidR="00DF47A0" w:rsidRPr="00736932">
        <w:t xml:space="preserve">As </w:t>
      </w:r>
      <w:r w:rsidR="00185CA6" w:rsidRPr="00736932">
        <w:t>AWN notes</w:t>
      </w:r>
      <w:r w:rsidR="009E4687" w:rsidRPr="00736932">
        <w:t>,</w:t>
      </w:r>
      <w:r w:rsidR="00185CA6" w:rsidRPr="00736932">
        <w:t xml:space="preserve"> “[l]ess than half of Alaskans live in urban areas,” and “its commitment to cover 80</w:t>
      </w:r>
      <w:r w:rsidR="00026125" w:rsidRPr="00736932">
        <w:t xml:space="preserve"> [percent]</w:t>
      </w:r>
      <w:r w:rsidR="00185CA6" w:rsidRPr="00736932">
        <w:t xml:space="preserve"> of Alaska’s population requires large-scale rural deployment.”</w:t>
      </w:r>
      <w:r w:rsidR="00185CA6" w:rsidRPr="00736932">
        <w:rPr>
          <w:rStyle w:val="FootnoteReference"/>
        </w:rPr>
        <w:footnoteReference w:id="62"/>
      </w:r>
      <w:r w:rsidR="00185CA6" w:rsidRPr="00736932">
        <w:t xml:space="preserve">  </w:t>
      </w:r>
      <w:r w:rsidR="00F001FA" w:rsidRPr="00736932">
        <w:t xml:space="preserve">According to recent census data, AWN would have to serve all </w:t>
      </w:r>
      <w:r w:rsidR="00AA6FD6" w:rsidRPr="00736932">
        <w:t xml:space="preserve">149 </w:t>
      </w:r>
      <w:r w:rsidR="004522EE" w:rsidRPr="00736932">
        <w:t xml:space="preserve">incorporated </w:t>
      </w:r>
      <w:r w:rsidR="00F001FA" w:rsidRPr="00736932">
        <w:t>cit</w:t>
      </w:r>
      <w:r w:rsidR="00AA6FD6" w:rsidRPr="00736932">
        <w:t>i</w:t>
      </w:r>
      <w:r w:rsidR="00F001FA" w:rsidRPr="00736932">
        <w:t>es</w:t>
      </w:r>
      <w:r w:rsidR="004522EE" w:rsidRPr="00736932">
        <w:t xml:space="preserve"> in Alaska—90 of which have less than 500 </w:t>
      </w:r>
      <w:r w:rsidR="00F001FA" w:rsidRPr="00736932">
        <w:t>persons</w:t>
      </w:r>
      <w:r w:rsidR="004522EE" w:rsidRPr="00736932">
        <w:t xml:space="preserve"> (</w:t>
      </w:r>
      <w:r w:rsidR="001C1874" w:rsidRPr="00736932">
        <w:t xml:space="preserve">and </w:t>
      </w:r>
      <w:r w:rsidR="004522EE" w:rsidRPr="00736932">
        <w:t>21 of which have less than 100 persons)—</w:t>
      </w:r>
      <w:r w:rsidR="00F001FA" w:rsidRPr="00736932">
        <w:t>to reach 68.8</w:t>
      </w:r>
      <w:r w:rsidR="00AA6FD6" w:rsidRPr="00736932">
        <w:t xml:space="preserve"> percent of </w:t>
      </w:r>
      <w:r w:rsidR="004522EE" w:rsidRPr="00736932">
        <w:t xml:space="preserve">the State’s </w:t>
      </w:r>
      <w:r w:rsidR="00AA6FD6" w:rsidRPr="00736932">
        <w:t>population.</w:t>
      </w:r>
      <w:r w:rsidR="00AA6FD6" w:rsidRPr="00736932">
        <w:rPr>
          <w:rStyle w:val="FootnoteReference"/>
        </w:rPr>
        <w:footnoteReference w:id="63"/>
      </w:r>
      <w:r w:rsidR="00AA6FD6" w:rsidRPr="00736932">
        <w:t xml:space="preserve"> </w:t>
      </w:r>
      <w:r w:rsidR="00F001FA" w:rsidRPr="00736932">
        <w:t xml:space="preserve"> </w:t>
      </w:r>
    </w:p>
    <w:p w14:paraId="2CA1DE3C" w14:textId="77777777" w:rsidR="00B54FC7" w:rsidRPr="00736932" w:rsidRDefault="00B54FC7" w:rsidP="00B011EE">
      <w:pPr>
        <w:pStyle w:val="ParaNum"/>
      </w:pPr>
    </w:p>
    <w:p w14:paraId="60113520" w14:textId="72A422B9" w:rsidR="00D83D84" w:rsidRPr="00736932" w:rsidRDefault="00940E90" w:rsidP="00B011EE">
      <w:pPr>
        <w:pStyle w:val="ParaNum"/>
      </w:pPr>
      <w:r w:rsidRPr="00736932">
        <w:t xml:space="preserve">AWN </w:t>
      </w:r>
      <w:r w:rsidR="00842D16" w:rsidRPr="00736932">
        <w:t>also</w:t>
      </w:r>
      <w:r w:rsidRPr="00736932">
        <w:t xml:space="preserve"> </w:t>
      </w:r>
      <w:r w:rsidR="00842D16" w:rsidRPr="00736932">
        <w:t xml:space="preserve">committed in the </w:t>
      </w:r>
      <w:r w:rsidR="00842D16" w:rsidRPr="00736932">
        <w:rPr>
          <w:i/>
        </w:rPr>
        <w:t xml:space="preserve">Alaska Plan </w:t>
      </w:r>
      <w:r w:rsidR="00842D16" w:rsidRPr="00736932">
        <w:t xml:space="preserve">proceeding to </w:t>
      </w:r>
      <w:r w:rsidR="00441ADD" w:rsidRPr="00736932">
        <w:t>bring new LTE</w:t>
      </w:r>
      <w:r w:rsidR="00394EFF" w:rsidRPr="00736932">
        <w:t xml:space="preserve"> service to</w:t>
      </w:r>
      <w:r w:rsidR="00441ADD" w:rsidRPr="00736932">
        <w:t xml:space="preserve"> more than 100,000 Alaskans living in</w:t>
      </w:r>
      <w:r w:rsidR="00394EFF" w:rsidRPr="00736932">
        <w:t xml:space="preserve"> “remote areas”</w:t>
      </w:r>
      <w:r w:rsidR="00394EFF" w:rsidRPr="00736932">
        <w:rPr>
          <w:rStyle w:val="FootnoteReference"/>
        </w:rPr>
        <w:footnoteReference w:id="64"/>
      </w:r>
      <w:r w:rsidR="0085202E" w:rsidRPr="00736932">
        <w:t xml:space="preserve"> that are otherwise largely without LTE coverage</w:t>
      </w:r>
      <w:r w:rsidR="00441ADD" w:rsidRPr="00736932">
        <w:t>.</w:t>
      </w:r>
      <w:r w:rsidR="00441ADD" w:rsidRPr="00736932">
        <w:rPr>
          <w:rStyle w:val="FootnoteReference"/>
        </w:rPr>
        <w:footnoteReference w:id="65"/>
      </w:r>
      <w:r w:rsidR="00441ADD" w:rsidRPr="00736932">
        <w:t xml:space="preserve">  AWN’s commitment </w:t>
      </w:r>
      <w:r w:rsidR="00A86B85" w:rsidRPr="00736932">
        <w:t>demonstrate</w:t>
      </w:r>
      <w:r w:rsidR="00441ADD" w:rsidRPr="00736932">
        <w:t xml:space="preserve">s that it will use its 700 MHz spectrum to provide this new </w:t>
      </w:r>
      <w:r w:rsidR="00484E51" w:rsidRPr="00736932">
        <w:t xml:space="preserve">LTE </w:t>
      </w:r>
      <w:r w:rsidR="00441ADD" w:rsidRPr="00736932">
        <w:t>service,</w:t>
      </w:r>
      <w:r w:rsidR="00441ADD" w:rsidRPr="00736932">
        <w:rPr>
          <w:rStyle w:val="FootnoteReference"/>
        </w:rPr>
        <w:footnoteReference w:id="66"/>
      </w:r>
      <w:r w:rsidR="00441ADD" w:rsidRPr="00736932">
        <w:t xml:space="preserve"> and AWN states in its Waiver Request that “[a]cquiring the 700 MHz license in June 2016 provided [AWN] with an important tool to advance its effort to bring wireless service to remote areas of Alaska.”</w:t>
      </w:r>
      <w:r w:rsidR="00441ADD" w:rsidRPr="00736932">
        <w:rPr>
          <w:rStyle w:val="FootnoteReference"/>
        </w:rPr>
        <w:footnoteReference w:id="67"/>
      </w:r>
      <w:r w:rsidR="00484E51" w:rsidRPr="00736932">
        <w:t xml:space="preserve">  </w:t>
      </w:r>
      <w:r w:rsidR="002009BE" w:rsidRPr="00736932">
        <w:t xml:space="preserve">Further, AWN’s </w:t>
      </w:r>
      <w:r w:rsidR="00F2097B" w:rsidRPr="00736932">
        <w:t>public coverage map</w:t>
      </w:r>
      <w:r w:rsidR="00636695" w:rsidRPr="00736932">
        <w:rPr>
          <w:rStyle w:val="FootnoteReference"/>
        </w:rPr>
        <w:footnoteReference w:id="68"/>
      </w:r>
      <w:r w:rsidR="00DB7412" w:rsidRPr="00736932">
        <w:t xml:space="preserve"> </w:t>
      </w:r>
      <w:r w:rsidR="00F2097B" w:rsidRPr="00736932">
        <w:t xml:space="preserve">shows that </w:t>
      </w:r>
      <w:r w:rsidR="00441ADD" w:rsidRPr="00736932">
        <w:t xml:space="preserve">AWN </w:t>
      </w:r>
      <w:r w:rsidR="00F2097B" w:rsidRPr="00736932">
        <w:t xml:space="preserve">already is </w:t>
      </w:r>
      <w:r w:rsidR="00227B07" w:rsidRPr="00736932">
        <w:t>serving</w:t>
      </w:r>
      <w:r w:rsidR="00F2097B" w:rsidRPr="00736932">
        <w:t xml:space="preserve"> sparsely-populated areas such as the Bethel Census Area, which has a population density of just 0.4 p</w:t>
      </w:r>
      <w:r w:rsidR="00227B07" w:rsidRPr="00736932">
        <w:t>ersons</w:t>
      </w:r>
      <w:r w:rsidR="00F2097B" w:rsidRPr="00736932">
        <w:t xml:space="preserve"> per</w:t>
      </w:r>
      <w:r w:rsidR="00227B07" w:rsidRPr="00736932">
        <w:t xml:space="preserve"> square mile.</w:t>
      </w:r>
      <w:r w:rsidR="00227B07" w:rsidRPr="00736932">
        <w:rPr>
          <w:rStyle w:val="FootnoteReference"/>
        </w:rPr>
        <w:footnoteReference w:id="69"/>
      </w:r>
      <w:r w:rsidR="00F2097B" w:rsidRPr="00736932">
        <w:t xml:space="preserve"> </w:t>
      </w:r>
      <w:r w:rsidR="00227B07" w:rsidRPr="00736932">
        <w:t xml:space="preserve"> Within the Bethel Census Area, for example, </w:t>
      </w:r>
      <w:r w:rsidR="007021BD">
        <w:t>AWN</w:t>
      </w:r>
      <w:r w:rsidR="00227B07" w:rsidRPr="00736932">
        <w:t xml:space="preserve"> is providing 3G or better service to Napakiak City, with a population of just 354 people</w:t>
      </w:r>
      <w:r w:rsidR="0079766B" w:rsidRPr="00736932">
        <w:t>,</w:t>
      </w:r>
      <w:r w:rsidR="00227B07" w:rsidRPr="00736932">
        <w:t xml:space="preserve"> and Akiak City, with</w:t>
      </w:r>
      <w:r w:rsidR="00FE14D1" w:rsidRPr="00736932">
        <w:t xml:space="preserve"> just</w:t>
      </w:r>
      <w:r w:rsidR="00227B07" w:rsidRPr="00736932">
        <w:t xml:space="preserve"> 346 people.</w:t>
      </w:r>
      <w:r w:rsidR="00227B07" w:rsidRPr="00736932">
        <w:rPr>
          <w:rStyle w:val="FootnoteReference"/>
        </w:rPr>
        <w:footnoteReference w:id="70"/>
      </w:r>
      <w:r w:rsidR="00636695" w:rsidRPr="00736932">
        <w:t xml:space="preserve">  </w:t>
      </w:r>
    </w:p>
    <w:p w14:paraId="40D706E3" w14:textId="77777777" w:rsidR="0068668A" w:rsidRPr="00736932" w:rsidRDefault="0068668A" w:rsidP="00837E8E">
      <w:pPr>
        <w:pStyle w:val="ParaNum"/>
      </w:pPr>
    </w:p>
    <w:p w14:paraId="2EBAC351" w14:textId="51EE2F23" w:rsidR="00EF1515" w:rsidRPr="00736932" w:rsidRDefault="00842EE3" w:rsidP="00FA44B9">
      <w:pPr>
        <w:pStyle w:val="ParaNum"/>
      </w:pPr>
      <w:r w:rsidRPr="00736932">
        <w:t xml:space="preserve">We </w:t>
      </w:r>
      <w:r w:rsidR="00C7516B" w:rsidRPr="00736932">
        <w:t xml:space="preserve">also </w:t>
      </w:r>
      <w:r w:rsidRPr="00736932">
        <w:t>note</w:t>
      </w:r>
      <w:r w:rsidR="00AE235D" w:rsidRPr="00736932">
        <w:t xml:space="preserve"> </w:t>
      </w:r>
      <w:r w:rsidR="00092AEF" w:rsidRPr="00736932">
        <w:t xml:space="preserve">that by covering 80 percent of </w:t>
      </w:r>
      <w:r w:rsidR="004B034E">
        <w:t xml:space="preserve">Alaska’s </w:t>
      </w:r>
      <w:r w:rsidR="00092AEF" w:rsidRPr="00736932">
        <w:t>population</w:t>
      </w:r>
      <w:r w:rsidR="00335F96" w:rsidRPr="00736932">
        <w:t xml:space="preserve">, </w:t>
      </w:r>
      <w:r w:rsidR="000261FD" w:rsidRPr="00736932">
        <w:t>AWN</w:t>
      </w:r>
      <w:r w:rsidR="00092AEF" w:rsidRPr="00736932">
        <w:t xml:space="preserve"> </w:t>
      </w:r>
      <w:r w:rsidR="00AE235D" w:rsidRPr="00736932">
        <w:t xml:space="preserve">would be </w:t>
      </w:r>
      <w:r w:rsidR="00092AEF" w:rsidRPr="00736932">
        <w:t xml:space="preserve">serving </w:t>
      </w:r>
      <w:r w:rsidR="00335F96" w:rsidRPr="00736932">
        <w:t xml:space="preserve">a </w:t>
      </w:r>
      <w:r w:rsidR="00F82677" w:rsidRPr="00736932">
        <w:t xml:space="preserve">benchmark </w:t>
      </w:r>
      <w:r w:rsidR="00335F96" w:rsidRPr="00736932">
        <w:t>10</w:t>
      </w:r>
      <w:r w:rsidR="002137B7" w:rsidRPr="00736932">
        <w:t xml:space="preserve"> percent</w:t>
      </w:r>
      <w:r w:rsidRPr="00736932">
        <w:t>age</w:t>
      </w:r>
      <w:r w:rsidR="00335F96" w:rsidRPr="00736932">
        <w:t xml:space="preserve"> </w:t>
      </w:r>
      <w:r w:rsidR="00F82677" w:rsidRPr="00736932">
        <w:t xml:space="preserve">points </w:t>
      </w:r>
      <w:r w:rsidR="00335F96" w:rsidRPr="00736932">
        <w:t xml:space="preserve">higher than the </w:t>
      </w:r>
      <w:r w:rsidR="00B870AE" w:rsidRPr="00736932">
        <w:t xml:space="preserve">70 percent </w:t>
      </w:r>
      <w:r w:rsidR="00335F96" w:rsidRPr="00736932">
        <w:t>population benchmark for the Lower 700</w:t>
      </w:r>
      <w:r w:rsidR="00092AEF" w:rsidRPr="00736932">
        <w:t xml:space="preserve"> </w:t>
      </w:r>
      <w:r w:rsidR="00335F96" w:rsidRPr="00736932">
        <w:t>MHz E Block</w:t>
      </w:r>
      <w:r w:rsidR="00382558" w:rsidRPr="00736932">
        <w:t>,</w:t>
      </w:r>
      <w:r w:rsidR="002137B7" w:rsidRPr="00736932">
        <w:rPr>
          <w:rStyle w:val="FootnoteReference"/>
        </w:rPr>
        <w:footnoteReference w:id="71"/>
      </w:r>
      <w:r w:rsidR="00335F96" w:rsidRPr="00736932">
        <w:t xml:space="preserve"> </w:t>
      </w:r>
      <w:r w:rsidR="000261FD" w:rsidRPr="00736932">
        <w:t>five percentage points higher than the 75 percent population benchmark for the Upper 700 MHz C Block,</w:t>
      </w:r>
      <w:r w:rsidR="000261FD" w:rsidRPr="00736932">
        <w:rPr>
          <w:rStyle w:val="FootnoteReference"/>
        </w:rPr>
        <w:footnoteReference w:id="72"/>
      </w:r>
      <w:r w:rsidR="000261FD" w:rsidRPr="00736932">
        <w:t xml:space="preserve"> </w:t>
      </w:r>
      <w:r w:rsidR="00335F96" w:rsidRPr="00736932">
        <w:t xml:space="preserve">and </w:t>
      </w:r>
      <w:r w:rsidRPr="00736932">
        <w:t xml:space="preserve">would </w:t>
      </w:r>
      <w:r w:rsidR="00B870AE" w:rsidRPr="00736932">
        <w:t xml:space="preserve">meet </w:t>
      </w:r>
      <w:r w:rsidR="00092AEF" w:rsidRPr="00736932">
        <w:t>a</w:t>
      </w:r>
      <w:r w:rsidR="00335F96" w:rsidRPr="00736932">
        <w:t xml:space="preserve"> higher </w:t>
      </w:r>
      <w:r w:rsidR="00911857" w:rsidRPr="00736932">
        <w:t xml:space="preserve">population-based </w:t>
      </w:r>
      <w:r w:rsidR="00335F96" w:rsidRPr="00736932">
        <w:t xml:space="preserve">benchmark than </w:t>
      </w:r>
      <w:r w:rsidR="00B870AE" w:rsidRPr="00736932">
        <w:t xml:space="preserve">required in </w:t>
      </w:r>
      <w:r w:rsidR="00335F96" w:rsidRPr="00736932">
        <w:t xml:space="preserve">any other commercial </w:t>
      </w:r>
      <w:r w:rsidR="00FA31A4" w:rsidRPr="00736932">
        <w:t xml:space="preserve">wireless </w:t>
      </w:r>
      <w:r w:rsidR="00335F96" w:rsidRPr="00736932">
        <w:t>service</w:t>
      </w:r>
      <w:r w:rsidR="0063469D" w:rsidRPr="00736932">
        <w:t>.</w:t>
      </w:r>
      <w:r w:rsidR="00335F96" w:rsidRPr="00736932">
        <w:rPr>
          <w:rStyle w:val="FootnoteReference"/>
        </w:rPr>
        <w:footnoteReference w:id="73"/>
      </w:r>
      <w:r w:rsidR="00532516" w:rsidRPr="00736932">
        <w:t xml:space="preserve">  </w:t>
      </w:r>
    </w:p>
    <w:p w14:paraId="6A6726DC" w14:textId="77777777" w:rsidR="00915501" w:rsidRPr="00736932" w:rsidRDefault="00915501" w:rsidP="00FA44B9">
      <w:pPr>
        <w:pStyle w:val="ParaNum"/>
      </w:pPr>
    </w:p>
    <w:p w14:paraId="6F32F70F" w14:textId="23413824" w:rsidR="00915501" w:rsidRPr="00736932" w:rsidRDefault="00915501" w:rsidP="00915501">
      <w:pPr>
        <w:pStyle w:val="ParaNum"/>
      </w:pPr>
      <w:r w:rsidRPr="00736932">
        <w:t xml:space="preserve">In sum, the record thus shows </w:t>
      </w:r>
      <w:r w:rsidR="001B1025" w:rsidRPr="00736932">
        <w:t xml:space="preserve">not only that AWN’s service area involves unique size, topography, weather, and other challenges but also </w:t>
      </w:r>
      <w:r w:rsidRPr="00736932">
        <w:t xml:space="preserve">that AWN’s proposed deployment to serve 80 percent of the State’s population would bring new wireless services to Alaskans living in small towns and rural areas, including some </w:t>
      </w:r>
      <w:r w:rsidR="0086206C" w:rsidRPr="00736932">
        <w:t xml:space="preserve">in sparsely populated areas </w:t>
      </w:r>
      <w:r w:rsidRPr="00736932">
        <w:t>that may not receive new services absent the requested waiver.</w:t>
      </w:r>
    </w:p>
    <w:p w14:paraId="36701C1A" w14:textId="1F9881A7" w:rsidR="00EF1515" w:rsidRPr="00736932" w:rsidRDefault="00EF1515" w:rsidP="009F33BB">
      <w:pPr>
        <w:pStyle w:val="ParaNum"/>
        <w:ind w:firstLine="0"/>
      </w:pPr>
    </w:p>
    <w:p w14:paraId="3E5697EE" w14:textId="43580152" w:rsidR="007C2A4C" w:rsidRPr="00736932" w:rsidRDefault="00B22C43" w:rsidP="00FA44B9">
      <w:pPr>
        <w:pStyle w:val="ParaNum"/>
      </w:pPr>
      <w:r w:rsidRPr="00736932">
        <w:t xml:space="preserve">The record </w:t>
      </w:r>
      <w:r w:rsidR="00B7561E" w:rsidRPr="00736932">
        <w:t xml:space="preserve">moreover </w:t>
      </w:r>
      <w:r w:rsidRPr="00736932">
        <w:t>does not support RWA’s c</w:t>
      </w:r>
      <w:r w:rsidR="004A5371" w:rsidRPr="00736932">
        <w:t xml:space="preserve">laim </w:t>
      </w:r>
      <w:r w:rsidRPr="00736932">
        <w:t xml:space="preserve">that </w:t>
      </w:r>
      <w:r w:rsidR="004A5371" w:rsidRPr="00736932">
        <w:t>granting AWN waiver r</w:t>
      </w:r>
      <w:r w:rsidR="00E965DF" w:rsidRPr="00736932">
        <w:t>e</w:t>
      </w:r>
      <w:r w:rsidR="004A5371" w:rsidRPr="00736932">
        <w:t xml:space="preserve">lief </w:t>
      </w:r>
      <w:r w:rsidRPr="00736932">
        <w:t>w</w:t>
      </w:r>
      <w:r w:rsidR="004A5371" w:rsidRPr="00736932">
        <w:t xml:space="preserve">ould </w:t>
      </w:r>
      <w:r w:rsidRPr="00736932">
        <w:t>promote spectrum warehousing.</w:t>
      </w:r>
      <w:r w:rsidR="00E965DF" w:rsidRPr="00736932">
        <w:rPr>
          <w:rStyle w:val="FootnoteReference"/>
        </w:rPr>
        <w:footnoteReference w:id="74"/>
      </w:r>
      <w:r w:rsidRPr="00736932">
        <w:t xml:space="preserve"> </w:t>
      </w:r>
      <w:r w:rsidRPr="00736932" w:rsidDel="004833E7">
        <w:t xml:space="preserve"> </w:t>
      </w:r>
      <w:r w:rsidRPr="00736932">
        <w:t xml:space="preserve">To the contrary, </w:t>
      </w:r>
      <w:r w:rsidR="00185CA6" w:rsidRPr="00736932">
        <w:t xml:space="preserve">Commission records indicate that </w:t>
      </w:r>
      <w:r w:rsidRPr="00736932">
        <w:t xml:space="preserve">it </w:t>
      </w:r>
      <w:r w:rsidR="004833E7" w:rsidRPr="00736932">
        <w:t>has</w:t>
      </w:r>
      <w:r w:rsidR="009031FF" w:rsidRPr="00736932">
        <w:t xml:space="preserve"> already</w:t>
      </w:r>
      <w:r w:rsidR="004833E7" w:rsidRPr="00736932">
        <w:t xml:space="preserve"> deployed new 700 MHz coverage in portions of Anchorage, Eagle River, the Matanuska-Susitna Valley, Kenai-Soldotna, and the</w:t>
      </w:r>
      <w:r w:rsidR="004833E7" w:rsidRPr="00736932" w:rsidDel="004833E7">
        <w:t xml:space="preserve"> </w:t>
      </w:r>
      <w:r w:rsidR="00064926" w:rsidRPr="00736932">
        <w:t xml:space="preserve">remote </w:t>
      </w:r>
      <w:r w:rsidR="004833E7" w:rsidRPr="00736932">
        <w:t>Prudhoe Bay Oilfield</w:t>
      </w:r>
      <w:r w:rsidR="0050052D" w:rsidRPr="00736932">
        <w:t>.</w:t>
      </w:r>
      <w:r w:rsidR="00185CA6" w:rsidRPr="00736932">
        <w:rPr>
          <w:rStyle w:val="FootnoteReference"/>
        </w:rPr>
        <w:footnoteReference w:id="75"/>
      </w:r>
      <w:r w:rsidR="004833E7" w:rsidRPr="00736932">
        <w:t xml:space="preserve"> </w:t>
      </w:r>
      <w:r w:rsidR="00EF1515" w:rsidRPr="00736932">
        <w:t xml:space="preserve"> </w:t>
      </w:r>
      <w:r w:rsidR="00326210" w:rsidRPr="00736932">
        <w:t>Further</w:t>
      </w:r>
      <w:r w:rsidR="00EF1515" w:rsidRPr="00736932">
        <w:t>, AWN states that it “currently</w:t>
      </w:r>
      <w:r w:rsidR="004833E7" w:rsidRPr="00736932">
        <w:t xml:space="preserve"> has projects</w:t>
      </w:r>
      <w:r w:rsidR="00FF62A0" w:rsidRPr="00736932">
        <w:t xml:space="preserve"> </w:t>
      </w:r>
      <w:r w:rsidR="004833E7" w:rsidRPr="00736932">
        <w:t>underway</w:t>
      </w:r>
      <w:r w:rsidR="00DD5650" w:rsidRPr="00736932">
        <w:t xml:space="preserve"> . . .</w:t>
      </w:r>
      <w:r w:rsidR="004833E7" w:rsidRPr="00736932">
        <w:t xml:space="preserve"> in Fairbanks, Juneau, Kodiak, Ketc</w:t>
      </w:r>
      <w:r w:rsidR="00FF62A0" w:rsidRPr="00736932">
        <w:t>hikan, Girdwood, Nome, Sitka,</w:t>
      </w:r>
      <w:r w:rsidR="004833E7" w:rsidRPr="00736932">
        <w:t xml:space="preserve"> Wrangell</w:t>
      </w:r>
      <w:r w:rsidR="00FF62A0" w:rsidRPr="00736932">
        <w:t>, and</w:t>
      </w:r>
      <w:r w:rsidR="004833E7" w:rsidRPr="00736932">
        <w:t xml:space="preserve"> the Kenai Peninsula</w:t>
      </w:r>
      <w:r w:rsidR="00F57632" w:rsidRPr="00736932">
        <w:t>.”</w:t>
      </w:r>
      <w:r w:rsidR="008203FD" w:rsidRPr="00736932">
        <w:rPr>
          <w:rStyle w:val="FootnoteReference"/>
        </w:rPr>
        <w:footnoteReference w:id="76"/>
      </w:r>
    </w:p>
    <w:p w14:paraId="05BC5496" w14:textId="6692E3C9" w:rsidR="004323F2" w:rsidRPr="00736932" w:rsidRDefault="004323F2" w:rsidP="00FA44B9">
      <w:pPr>
        <w:pStyle w:val="ParaNum"/>
        <w:ind w:firstLine="0"/>
      </w:pPr>
    </w:p>
    <w:p w14:paraId="210EC1BF" w14:textId="54CB3FDA" w:rsidR="001679CD" w:rsidRPr="00736932" w:rsidRDefault="00E7577E" w:rsidP="00FA44B9">
      <w:pPr>
        <w:pStyle w:val="ParaNum"/>
      </w:pPr>
      <w:r w:rsidRPr="00736932">
        <w:t>Section 309 of t</w:t>
      </w:r>
      <w:r w:rsidR="00CD3D2F" w:rsidRPr="00736932">
        <w:t xml:space="preserve">he </w:t>
      </w:r>
      <w:r w:rsidR="00A726B5" w:rsidRPr="00736932">
        <w:t>Act</w:t>
      </w:r>
      <w:r w:rsidR="00CD3D2F" w:rsidRPr="00736932">
        <w:t xml:space="preserve"> directs the Commission to ensure “the development and rapid deployment of new technologies, products, and services for the benefit of the public, including those residing in rural areas.”</w:t>
      </w:r>
      <w:r w:rsidRPr="00736932">
        <w:rPr>
          <w:rStyle w:val="FootnoteReference"/>
        </w:rPr>
        <w:footnoteReference w:id="77"/>
      </w:r>
      <w:r w:rsidR="00CD3D2F" w:rsidRPr="00736932">
        <w:t xml:space="preserve">  Consistent with that </w:t>
      </w:r>
      <w:r w:rsidRPr="00736932">
        <w:t xml:space="preserve">mandate </w:t>
      </w:r>
      <w:r w:rsidR="00094460" w:rsidRPr="00736932">
        <w:t xml:space="preserve">and </w:t>
      </w:r>
      <w:r w:rsidR="00C51F9B" w:rsidRPr="00736932">
        <w:t>in light of the</w:t>
      </w:r>
      <w:r w:rsidR="00094460" w:rsidRPr="00736932">
        <w:t xml:space="preserve"> unique challenges </w:t>
      </w:r>
      <w:r w:rsidR="00C51F9B" w:rsidRPr="00736932">
        <w:t>of</w:t>
      </w:r>
      <w:r w:rsidR="00094460" w:rsidRPr="00736932">
        <w:t xml:space="preserve"> deploying </w:t>
      </w:r>
      <w:r w:rsidR="00FA31A4" w:rsidRPr="00736932">
        <w:t xml:space="preserve">wireless </w:t>
      </w:r>
      <w:r w:rsidR="00094460" w:rsidRPr="00736932">
        <w:t xml:space="preserve">service in Alaska, </w:t>
      </w:r>
      <w:r w:rsidR="00A726B5" w:rsidRPr="00736932">
        <w:t>we find that a limited waiver of Section 27.14(g)</w:t>
      </w:r>
      <w:r w:rsidR="00752138" w:rsidRPr="00736932">
        <w:t xml:space="preserve">—subject to the conditions </w:t>
      </w:r>
      <w:r w:rsidR="00FA31A4" w:rsidRPr="00736932">
        <w:t xml:space="preserve">specified </w:t>
      </w:r>
      <w:r w:rsidR="00752138" w:rsidRPr="00736932">
        <w:t>below—</w:t>
      </w:r>
      <w:r w:rsidR="00A726B5" w:rsidRPr="00736932">
        <w:t xml:space="preserve">will serve the public interest by fostering </w:t>
      </w:r>
      <w:r w:rsidR="00752138" w:rsidRPr="00736932">
        <w:t>the</w:t>
      </w:r>
      <w:r w:rsidR="00A726B5" w:rsidRPr="00736932">
        <w:t xml:space="preserve"> provision of new wireless services to </w:t>
      </w:r>
      <w:r w:rsidR="00CD3D2F" w:rsidRPr="00736932">
        <w:t>Alaskans</w:t>
      </w:r>
      <w:r w:rsidR="00490E97" w:rsidRPr="00736932">
        <w:t>.</w:t>
      </w:r>
      <w:r w:rsidR="00A726B5" w:rsidRPr="00736932">
        <w:t xml:space="preserve"> </w:t>
      </w:r>
      <w:r w:rsidR="001679CD" w:rsidRPr="00736932">
        <w:t xml:space="preserve"> </w:t>
      </w:r>
      <w:r w:rsidR="004930D1" w:rsidRPr="00736932">
        <w:t xml:space="preserve">We </w:t>
      </w:r>
      <w:r w:rsidR="009031FF" w:rsidRPr="00736932">
        <w:t xml:space="preserve">find </w:t>
      </w:r>
      <w:r w:rsidR="004930D1" w:rsidRPr="00736932">
        <w:t>that</w:t>
      </w:r>
      <w:r w:rsidR="00904955" w:rsidRPr="00736932">
        <w:t xml:space="preserve"> </w:t>
      </w:r>
      <w:r w:rsidR="00732006" w:rsidRPr="00736932">
        <w:t xml:space="preserve">absent a waiver, </w:t>
      </w:r>
      <w:r w:rsidR="00904955" w:rsidRPr="00736932">
        <w:t>the</w:t>
      </w:r>
      <w:r w:rsidR="009C3B8E" w:rsidRPr="00736932">
        <w:t xml:space="preserve"> unique geography and climate </w:t>
      </w:r>
      <w:r w:rsidR="00732006" w:rsidRPr="00736932">
        <w:t>of Alaska</w:t>
      </w:r>
      <w:r w:rsidR="004930D1" w:rsidRPr="00736932">
        <w:t xml:space="preserve"> </w:t>
      </w:r>
      <w:r w:rsidR="00732006" w:rsidRPr="00736932">
        <w:t xml:space="preserve">could impede </w:t>
      </w:r>
      <w:r w:rsidR="004930D1" w:rsidRPr="00736932">
        <w:t xml:space="preserve">the </w:t>
      </w:r>
      <w:r w:rsidR="00732006" w:rsidRPr="00736932">
        <w:t xml:space="preserve">timely </w:t>
      </w:r>
      <w:r w:rsidR="004930D1" w:rsidRPr="00736932">
        <w:t xml:space="preserve">provision of </w:t>
      </w:r>
      <w:r w:rsidRPr="00736932">
        <w:t xml:space="preserve">new </w:t>
      </w:r>
      <w:r w:rsidR="004930D1" w:rsidRPr="00736932">
        <w:t xml:space="preserve">wireless services to </w:t>
      </w:r>
      <w:r w:rsidR="00732006" w:rsidRPr="00736932">
        <w:t>its citizens</w:t>
      </w:r>
      <w:r w:rsidR="004930D1" w:rsidRPr="00736932">
        <w:t xml:space="preserve">, especially those residing in remote areas, frustrating </w:t>
      </w:r>
      <w:r w:rsidR="008A5882" w:rsidRPr="00736932">
        <w:t xml:space="preserve">Section 27.14(g)’s </w:t>
      </w:r>
      <w:r w:rsidR="002F1C57" w:rsidRPr="00736932">
        <w:t xml:space="preserve">core </w:t>
      </w:r>
      <w:r w:rsidR="004930D1" w:rsidRPr="00736932">
        <w:t xml:space="preserve">purpose of </w:t>
      </w:r>
      <w:r w:rsidR="008A5882" w:rsidRPr="00736932">
        <w:t>promoting</w:t>
      </w:r>
      <w:r w:rsidR="004930D1" w:rsidRPr="00736932">
        <w:t xml:space="preserve"> </w:t>
      </w:r>
      <w:r w:rsidR="008A5882" w:rsidRPr="00736932">
        <w:t xml:space="preserve">spectrum </w:t>
      </w:r>
      <w:r w:rsidR="004930D1" w:rsidRPr="00736932">
        <w:t xml:space="preserve">access </w:t>
      </w:r>
      <w:r w:rsidR="008A5882" w:rsidRPr="00736932">
        <w:t>and service, particularly in rural areas</w:t>
      </w:r>
      <w:r w:rsidR="004930D1" w:rsidRPr="00736932">
        <w:t xml:space="preserve">.  </w:t>
      </w:r>
      <w:r w:rsidR="008A5882" w:rsidRPr="00736932">
        <w:t>That said, w</w:t>
      </w:r>
      <w:r w:rsidR="001679CD" w:rsidRPr="00736932">
        <w:t xml:space="preserve">e adopt stringent performance </w:t>
      </w:r>
      <w:r w:rsidR="00B06FFB" w:rsidRPr="00736932">
        <w:t xml:space="preserve">benchmarks and certain </w:t>
      </w:r>
      <w:r w:rsidR="001679CD" w:rsidRPr="00736932">
        <w:t xml:space="preserve">conditions </w:t>
      </w:r>
      <w:r w:rsidR="00F57632" w:rsidRPr="00736932">
        <w:t xml:space="preserve">in </w:t>
      </w:r>
      <w:r w:rsidR="008A5882" w:rsidRPr="00736932">
        <w:t>this grant</w:t>
      </w:r>
      <w:r w:rsidR="001679CD" w:rsidRPr="00736932">
        <w:t xml:space="preserve"> to ensure that, consistent with </w:t>
      </w:r>
      <w:r w:rsidR="00B06FFB" w:rsidRPr="00736932">
        <w:t xml:space="preserve">Section 309 and </w:t>
      </w:r>
      <w:r w:rsidR="001679CD" w:rsidRPr="00736932">
        <w:t>Section 27.14(g)</w:t>
      </w:r>
      <w:r w:rsidR="008A5882" w:rsidRPr="00736932">
        <w:t>’s purposes</w:t>
      </w:r>
      <w:r w:rsidR="001679CD" w:rsidRPr="00736932">
        <w:t xml:space="preserve">, </w:t>
      </w:r>
      <w:r w:rsidR="00017625" w:rsidRPr="00736932">
        <w:t>AWN</w:t>
      </w:r>
      <w:r w:rsidR="001679CD" w:rsidRPr="00736932">
        <w:t xml:space="preserve"> </w:t>
      </w:r>
      <w:r w:rsidR="008A5882" w:rsidRPr="00736932">
        <w:t>delivers</w:t>
      </w:r>
      <w:r w:rsidR="001679CD" w:rsidRPr="00736932">
        <w:t xml:space="preserve"> new services </w:t>
      </w:r>
      <w:r w:rsidR="00490E97" w:rsidRPr="00736932">
        <w:t>to</w:t>
      </w:r>
      <w:r w:rsidR="00323ADD" w:rsidRPr="00736932">
        <w:t xml:space="preserve"> </w:t>
      </w:r>
      <w:r w:rsidR="00CC6CCA" w:rsidRPr="00736932">
        <w:t xml:space="preserve">rural and </w:t>
      </w:r>
      <w:r w:rsidR="00323ADD" w:rsidRPr="00736932">
        <w:t xml:space="preserve">remote </w:t>
      </w:r>
      <w:r w:rsidR="00490E97" w:rsidRPr="00736932">
        <w:t xml:space="preserve">communities </w:t>
      </w:r>
      <w:r w:rsidR="00017625" w:rsidRPr="00736932">
        <w:t>throughout Alaska</w:t>
      </w:r>
      <w:r w:rsidR="001679CD" w:rsidRPr="00736932">
        <w:t>.</w:t>
      </w:r>
      <w:r w:rsidR="001761E3" w:rsidRPr="00736932">
        <w:t xml:space="preserve">  </w:t>
      </w:r>
      <w:r w:rsidR="008A5882" w:rsidRPr="00736932">
        <w:t>A</w:t>
      </w:r>
      <w:r w:rsidR="009031FF" w:rsidRPr="00736932">
        <w:t>ddition</w:t>
      </w:r>
      <w:r w:rsidR="008A5882" w:rsidRPr="00736932">
        <w:t>ally</w:t>
      </w:r>
      <w:r w:rsidR="009031FF" w:rsidRPr="00736932">
        <w:t>,</w:t>
      </w:r>
      <w:r w:rsidR="001761E3" w:rsidRPr="00736932">
        <w:t xml:space="preserve"> </w:t>
      </w:r>
      <w:r w:rsidR="00B44C02" w:rsidRPr="00736932">
        <w:t>AWN’s</w:t>
      </w:r>
      <w:r w:rsidR="00912C58" w:rsidRPr="00736932">
        <w:t xml:space="preserve"> commitment to negotiate in good faith with any third party seeking to lease spectrum in an area </w:t>
      </w:r>
      <w:r w:rsidR="008A5882" w:rsidRPr="00736932">
        <w:t>AWN does not</w:t>
      </w:r>
      <w:r w:rsidR="00912C58" w:rsidRPr="00736932">
        <w:t xml:space="preserve"> serve, which we have included as a </w:t>
      </w:r>
      <w:r w:rsidRPr="00736932">
        <w:t xml:space="preserve">waiver </w:t>
      </w:r>
      <w:r w:rsidR="00912C58" w:rsidRPr="00736932">
        <w:t xml:space="preserve">condition, will ensure </w:t>
      </w:r>
      <w:r w:rsidR="008A5882" w:rsidRPr="00736932">
        <w:t xml:space="preserve">other providers have spectrum </w:t>
      </w:r>
      <w:r w:rsidR="00912C58" w:rsidRPr="00736932">
        <w:t>access</w:t>
      </w:r>
      <w:r w:rsidR="00CC6CCA" w:rsidRPr="00736932">
        <w:t xml:space="preserve"> in </w:t>
      </w:r>
      <w:r w:rsidR="00912C58" w:rsidRPr="00736932">
        <w:t>un</w:t>
      </w:r>
      <w:r w:rsidR="007F1153" w:rsidRPr="00736932">
        <w:t>served areas</w:t>
      </w:r>
      <w:r w:rsidR="00912C58" w:rsidRPr="00736932">
        <w:t>.</w:t>
      </w:r>
    </w:p>
    <w:p w14:paraId="39F38DDD" w14:textId="77777777" w:rsidR="00912C58" w:rsidRPr="00736932" w:rsidRDefault="00912C58" w:rsidP="00FA44B9">
      <w:pPr>
        <w:pStyle w:val="ParaNum"/>
      </w:pPr>
    </w:p>
    <w:p w14:paraId="4661D301" w14:textId="2892EBC4" w:rsidR="002137B7" w:rsidRPr="00736932" w:rsidRDefault="00A726B5" w:rsidP="00FA44B9">
      <w:pPr>
        <w:pStyle w:val="ParaNum"/>
      </w:pPr>
      <w:r w:rsidRPr="00736932">
        <w:t xml:space="preserve">Accordingly, </w:t>
      </w:r>
      <w:r w:rsidR="00F82677" w:rsidRPr="00736932">
        <w:t xml:space="preserve">we hereby </w:t>
      </w:r>
      <w:r w:rsidR="002137B7" w:rsidRPr="00736932">
        <w:t xml:space="preserve">grant </w:t>
      </w:r>
      <w:r w:rsidR="00B44C02" w:rsidRPr="00736932">
        <w:t>AWN’s</w:t>
      </w:r>
      <w:r w:rsidR="00B06FFB" w:rsidRPr="00736932">
        <w:t xml:space="preserve"> request for</w:t>
      </w:r>
      <w:r w:rsidR="002137B7" w:rsidRPr="00736932">
        <w:t xml:space="preserve"> a waiver of Section 27.14(g) </w:t>
      </w:r>
      <w:r w:rsidRPr="00736932">
        <w:t xml:space="preserve">as </w:t>
      </w:r>
      <w:r w:rsidR="002137B7" w:rsidRPr="00736932">
        <w:t>condit</w:t>
      </w:r>
      <w:r w:rsidRPr="00736932">
        <w:t>ioned</w:t>
      </w:r>
      <w:r w:rsidR="002137B7" w:rsidRPr="00736932">
        <w:t xml:space="preserve"> below.</w:t>
      </w:r>
    </w:p>
    <w:p w14:paraId="31E89632" w14:textId="77777777" w:rsidR="002137B7" w:rsidRPr="00736932" w:rsidRDefault="002137B7" w:rsidP="00FA44B9">
      <w:pPr>
        <w:pStyle w:val="ParaNum"/>
      </w:pPr>
      <w:r w:rsidRPr="00736932">
        <w:tab/>
      </w:r>
    </w:p>
    <w:p w14:paraId="42D6C4EB" w14:textId="5E25D651" w:rsidR="002137B7" w:rsidRPr="00736932" w:rsidRDefault="007F6C08" w:rsidP="00FA44B9">
      <w:pPr>
        <w:pStyle w:val="ParaNum"/>
      </w:pPr>
      <w:r w:rsidRPr="00736932">
        <w:rPr>
          <w:i/>
        </w:rPr>
        <w:t xml:space="preserve">Coverage Benchmarks and </w:t>
      </w:r>
      <w:r w:rsidR="002137B7" w:rsidRPr="00736932">
        <w:rPr>
          <w:i/>
        </w:rPr>
        <w:t>Waiver Conditions.</w:t>
      </w:r>
      <w:r w:rsidR="002137B7" w:rsidRPr="00736932">
        <w:t xml:space="preserve">  To ensure that the benefits of the waiver relief are realized by </w:t>
      </w:r>
      <w:r w:rsidR="00A96696" w:rsidRPr="00736932">
        <w:t xml:space="preserve">Alaska’s </w:t>
      </w:r>
      <w:r w:rsidR="002137B7" w:rsidRPr="00736932">
        <w:t>citizens</w:t>
      </w:r>
      <w:r w:rsidR="00A96696" w:rsidRPr="00736932">
        <w:t>, including those</w:t>
      </w:r>
      <w:r w:rsidR="002137B7" w:rsidRPr="00736932">
        <w:t xml:space="preserve"> </w:t>
      </w:r>
      <w:r w:rsidR="00B870AE" w:rsidRPr="00736932">
        <w:t xml:space="preserve">in </w:t>
      </w:r>
      <w:r w:rsidR="005B1FA3" w:rsidRPr="00736932">
        <w:t>isolated</w:t>
      </w:r>
      <w:r w:rsidR="00B870AE" w:rsidRPr="00736932">
        <w:t xml:space="preserve"> area</w:t>
      </w:r>
      <w:r w:rsidR="00A415E4" w:rsidRPr="00736932">
        <w:t>s</w:t>
      </w:r>
      <w:r w:rsidR="00B870AE" w:rsidRPr="00736932">
        <w:t xml:space="preserve"> </w:t>
      </w:r>
      <w:r w:rsidR="002137B7" w:rsidRPr="00736932">
        <w:t>of</w:t>
      </w:r>
      <w:r w:rsidR="004B034E">
        <w:t xml:space="preserve"> the state</w:t>
      </w:r>
      <w:r w:rsidR="002137B7" w:rsidRPr="00736932">
        <w:t xml:space="preserve">, we require </w:t>
      </w:r>
      <w:r w:rsidR="00B44C02" w:rsidRPr="00736932">
        <w:t>AWN</w:t>
      </w:r>
      <w:r w:rsidR="002137B7" w:rsidRPr="00736932">
        <w:t xml:space="preserve"> to satisfy </w:t>
      </w:r>
      <w:r w:rsidR="00A726B5" w:rsidRPr="00736932">
        <w:t xml:space="preserve">certain </w:t>
      </w:r>
      <w:r w:rsidR="00B06FFB" w:rsidRPr="00736932">
        <w:t>coverage benchmarks</w:t>
      </w:r>
      <w:r w:rsidRPr="00736932">
        <w:t xml:space="preserve"> and other </w:t>
      </w:r>
      <w:r w:rsidR="002137B7" w:rsidRPr="00736932">
        <w:t xml:space="preserve">conditions.  If </w:t>
      </w:r>
      <w:r w:rsidR="00B44C02" w:rsidRPr="00736932">
        <w:t>AWN</w:t>
      </w:r>
      <w:r w:rsidR="002137B7" w:rsidRPr="00736932">
        <w:t xml:space="preserve"> fails to </w:t>
      </w:r>
      <w:r w:rsidRPr="00736932">
        <w:t xml:space="preserve">meet any benchmark or </w:t>
      </w:r>
      <w:r w:rsidR="002137B7" w:rsidRPr="00736932">
        <w:t>satisfy any condition, it will (unless specified otherwise) be subject to Section 27.14(g)(2)</w:t>
      </w:r>
      <w:r w:rsidR="008A5882" w:rsidRPr="00736932">
        <w:t>’s</w:t>
      </w:r>
      <w:r w:rsidR="002137B7" w:rsidRPr="00736932">
        <w:t xml:space="preserve"> </w:t>
      </w:r>
      <w:r w:rsidR="002137B7" w:rsidRPr="00736932">
        <w:rPr>
          <w:color w:val="auto"/>
        </w:rPr>
        <w:t>“keep-what-you-</w:t>
      </w:r>
      <w:r w:rsidR="002137B7" w:rsidRPr="00736932">
        <w:t>serve” rule</w:t>
      </w:r>
      <w:r w:rsidR="008A5882" w:rsidRPr="00736932">
        <w:t>, as it</w:t>
      </w:r>
      <w:r w:rsidR="002137B7" w:rsidRPr="00736932">
        <w:t xml:space="preserve"> would have applied as of June 13, 2017</w:t>
      </w:r>
      <w:r w:rsidR="00A726B5" w:rsidRPr="00736932">
        <w:t xml:space="preserve"> (</w:t>
      </w:r>
      <w:r w:rsidR="002137B7" w:rsidRPr="00736932">
        <w:t xml:space="preserve">the </w:t>
      </w:r>
      <w:r w:rsidR="00AB05BF" w:rsidRPr="00736932">
        <w:t xml:space="preserve">accelerated </w:t>
      </w:r>
      <w:r w:rsidR="002137B7" w:rsidRPr="00736932">
        <w:t>end</w:t>
      </w:r>
      <w:r w:rsidR="002B69E0" w:rsidRPr="00736932">
        <w:t>-</w:t>
      </w:r>
      <w:r w:rsidR="002137B7" w:rsidRPr="00736932">
        <w:t>of</w:t>
      </w:r>
      <w:r w:rsidR="002B69E0" w:rsidRPr="00736932">
        <w:t>-</w:t>
      </w:r>
      <w:r w:rsidR="002137B7" w:rsidRPr="00736932">
        <w:t>license term absent</w:t>
      </w:r>
      <w:r w:rsidR="00A91048" w:rsidRPr="00736932">
        <w:t xml:space="preserve"> a waiver of Section 27.14(g)</w:t>
      </w:r>
      <w:r w:rsidR="00A726B5" w:rsidRPr="00736932">
        <w:t>)</w:t>
      </w:r>
      <w:r w:rsidR="002137B7" w:rsidRPr="00736932">
        <w:t>.</w:t>
      </w:r>
      <w:r w:rsidR="002137B7" w:rsidRPr="00736932">
        <w:rPr>
          <w:rStyle w:val="FootnoteReference"/>
        </w:rPr>
        <w:footnoteReference w:id="78"/>
      </w:r>
      <w:r w:rsidR="002137B7" w:rsidRPr="00736932">
        <w:t xml:space="preserve"> </w:t>
      </w:r>
    </w:p>
    <w:p w14:paraId="6B36AAF8" w14:textId="77777777" w:rsidR="001E3D55" w:rsidRPr="00736932" w:rsidRDefault="001E3D55" w:rsidP="00FA44B9">
      <w:pPr>
        <w:pStyle w:val="ParaNum"/>
      </w:pPr>
    </w:p>
    <w:p w14:paraId="1E8FD6BF" w14:textId="58F5555F" w:rsidR="001E3D55" w:rsidRPr="00736932" w:rsidRDefault="00B44C02" w:rsidP="007E1879">
      <w:pPr>
        <w:pStyle w:val="ParaNum"/>
        <w:numPr>
          <w:ilvl w:val="0"/>
          <w:numId w:val="33"/>
        </w:numPr>
        <w:ind w:left="1080"/>
      </w:pPr>
      <w:r w:rsidRPr="00736932">
        <w:rPr>
          <w:i/>
        </w:rPr>
        <w:t>5</w:t>
      </w:r>
      <w:r w:rsidR="002E455C" w:rsidRPr="00736932">
        <w:rPr>
          <w:i/>
        </w:rPr>
        <w:t>0</w:t>
      </w:r>
      <w:r w:rsidR="002E613B" w:rsidRPr="00736932">
        <w:rPr>
          <w:i/>
        </w:rPr>
        <w:t xml:space="preserve"> Percent Population Coverage </w:t>
      </w:r>
      <w:r w:rsidR="00EA5DA0" w:rsidRPr="00736932">
        <w:rPr>
          <w:i/>
        </w:rPr>
        <w:t>Benchmark</w:t>
      </w:r>
      <w:r w:rsidR="002E613B" w:rsidRPr="00736932">
        <w:t xml:space="preserve">.  </w:t>
      </w:r>
      <w:r w:rsidR="0052475E" w:rsidRPr="00736932">
        <w:t xml:space="preserve">The waiver relief </w:t>
      </w:r>
      <w:r w:rsidR="00B22C43" w:rsidRPr="00736932">
        <w:t xml:space="preserve">described in this Order </w:t>
      </w:r>
      <w:r w:rsidR="0052475E" w:rsidRPr="00736932">
        <w:t xml:space="preserve">is effective only if </w:t>
      </w:r>
      <w:r w:rsidRPr="00736932">
        <w:t>AWN</w:t>
      </w:r>
      <w:r w:rsidR="0052475E" w:rsidRPr="00736932">
        <w:t xml:space="preserve"> provided</w:t>
      </w:r>
      <w:r w:rsidR="005F39C8" w:rsidRPr="00736932">
        <w:t xml:space="preserve"> </w:t>
      </w:r>
      <w:r w:rsidR="00F26D48" w:rsidRPr="00736932">
        <w:t>signal coverage and offer</w:t>
      </w:r>
      <w:r w:rsidR="0052475E" w:rsidRPr="00736932">
        <w:t>ed</w:t>
      </w:r>
      <w:r w:rsidR="00F26D48" w:rsidRPr="00736932">
        <w:t xml:space="preserve"> service </w:t>
      </w:r>
      <w:r w:rsidR="00B870AE" w:rsidRPr="00736932">
        <w:t xml:space="preserve">to </w:t>
      </w:r>
      <w:r w:rsidR="00F26D48" w:rsidRPr="00736932">
        <w:t xml:space="preserve">at least </w:t>
      </w:r>
      <w:r w:rsidRPr="00736932">
        <w:t>5</w:t>
      </w:r>
      <w:r w:rsidR="002E455C" w:rsidRPr="00736932">
        <w:t>0</w:t>
      </w:r>
      <w:r w:rsidR="00F26D48" w:rsidRPr="00736932">
        <w:t xml:space="preserve"> percent of </w:t>
      </w:r>
      <w:r w:rsidR="00B22C43" w:rsidRPr="00736932">
        <w:t xml:space="preserve">Alaska’s </w:t>
      </w:r>
      <w:r w:rsidR="00F26D48" w:rsidRPr="00736932">
        <w:t>population</w:t>
      </w:r>
      <w:r w:rsidR="0052475E" w:rsidRPr="00736932">
        <w:t xml:space="preserve"> by December 13, 2016</w:t>
      </w:r>
      <w:r w:rsidR="00F26D48" w:rsidRPr="00736932">
        <w:t>.</w:t>
      </w:r>
      <w:r w:rsidR="00F84D09" w:rsidRPr="00736932">
        <w:rPr>
          <w:rStyle w:val="FootnoteReference"/>
        </w:rPr>
        <w:footnoteReference w:id="79"/>
      </w:r>
      <w:r w:rsidR="00F26D48" w:rsidRPr="00736932">
        <w:t xml:space="preserve">  If </w:t>
      </w:r>
      <w:r w:rsidRPr="00736932">
        <w:t>AWN</w:t>
      </w:r>
      <w:r w:rsidR="00F26D48" w:rsidRPr="00736932">
        <w:t xml:space="preserve"> fail</w:t>
      </w:r>
      <w:r w:rsidR="0052475E" w:rsidRPr="00736932">
        <w:t>ed</w:t>
      </w:r>
      <w:r w:rsidR="00F26D48" w:rsidRPr="00736932">
        <w:t xml:space="preserve"> to </w:t>
      </w:r>
      <w:r w:rsidR="00503F06" w:rsidRPr="00736932">
        <w:t xml:space="preserve">meet this </w:t>
      </w:r>
      <w:r w:rsidR="0052475E" w:rsidRPr="00736932">
        <w:t xml:space="preserve">initial </w:t>
      </w:r>
      <w:r w:rsidR="00C51F9B" w:rsidRPr="00736932">
        <w:t>benchmark</w:t>
      </w:r>
      <w:r w:rsidR="00F26D48" w:rsidRPr="00736932">
        <w:t>,</w:t>
      </w:r>
      <w:r w:rsidR="00B51B7D" w:rsidRPr="00736932">
        <w:t xml:space="preserve"> its license term </w:t>
      </w:r>
      <w:r w:rsidR="0052475E" w:rsidRPr="00736932">
        <w:t>will</w:t>
      </w:r>
      <w:r w:rsidR="00B51B7D" w:rsidRPr="00736932">
        <w:t xml:space="preserve"> be reduced by two years, to June 13, 2017, and </w:t>
      </w:r>
      <w:r w:rsidR="00F26D48" w:rsidRPr="00736932">
        <w:t xml:space="preserve">its authorization will automatically terminate, without Commission action, for those geographic portions of the License </w:t>
      </w:r>
      <w:r w:rsidR="005B1FA3" w:rsidRPr="00736932">
        <w:t xml:space="preserve">area </w:t>
      </w:r>
      <w:r w:rsidR="00F26D48" w:rsidRPr="00736932">
        <w:t xml:space="preserve">in which </w:t>
      </w:r>
      <w:r w:rsidRPr="00736932">
        <w:t>AWN</w:t>
      </w:r>
      <w:r w:rsidR="00F26D48" w:rsidRPr="00736932">
        <w:t xml:space="preserve"> </w:t>
      </w:r>
      <w:r w:rsidR="009F5C43" w:rsidRPr="00736932">
        <w:t xml:space="preserve">is </w:t>
      </w:r>
      <w:r w:rsidR="00F26D48" w:rsidRPr="00736932">
        <w:t xml:space="preserve">not providing service </w:t>
      </w:r>
      <w:r w:rsidR="00F26D48" w:rsidRPr="00736932">
        <w:rPr>
          <w:u w:val="single"/>
        </w:rPr>
        <w:t>by June 13, 2017</w:t>
      </w:r>
      <w:r w:rsidR="00F26D48" w:rsidRPr="00736932">
        <w:t>, and those unserved areas will become available for reassignment by the Commission</w:t>
      </w:r>
      <w:r w:rsidR="002B4755" w:rsidRPr="00736932">
        <w:t xml:space="preserve">. </w:t>
      </w:r>
    </w:p>
    <w:p w14:paraId="52126488" w14:textId="77777777" w:rsidR="001E3D55" w:rsidRPr="00736932" w:rsidRDefault="001E3D55" w:rsidP="007E1879">
      <w:pPr>
        <w:pStyle w:val="ParaNum"/>
        <w:ind w:left="1080" w:hanging="360"/>
      </w:pPr>
    </w:p>
    <w:p w14:paraId="6EEAD809" w14:textId="6C9BC9B9" w:rsidR="007F6EA3" w:rsidRPr="00736932" w:rsidRDefault="006670F2" w:rsidP="007E1879">
      <w:pPr>
        <w:pStyle w:val="ParaNum"/>
        <w:numPr>
          <w:ilvl w:val="0"/>
          <w:numId w:val="33"/>
        </w:numPr>
        <w:ind w:left="1080"/>
      </w:pPr>
      <w:r w:rsidRPr="00736932">
        <w:rPr>
          <w:i/>
        </w:rPr>
        <w:t>80</w:t>
      </w:r>
      <w:r w:rsidR="007F6EA3" w:rsidRPr="00736932">
        <w:rPr>
          <w:i/>
        </w:rPr>
        <w:t xml:space="preserve"> Percent Population Coverage Benchmark</w:t>
      </w:r>
      <w:r w:rsidR="007F6EA3" w:rsidRPr="00736932">
        <w:t xml:space="preserve">.  By June 13, 2019, </w:t>
      </w:r>
      <w:r w:rsidRPr="00736932">
        <w:t>AWN</w:t>
      </w:r>
      <w:r w:rsidR="007F6EA3" w:rsidRPr="00736932">
        <w:t xml:space="preserve"> must provide signal coverage and offer service to at least </w:t>
      </w:r>
      <w:r w:rsidRPr="00736932">
        <w:t>80</w:t>
      </w:r>
      <w:r w:rsidR="007F6EA3" w:rsidRPr="00736932">
        <w:t xml:space="preserve"> percent of</w:t>
      </w:r>
      <w:r w:rsidRPr="00736932">
        <w:t xml:space="preserve"> BEA117</w:t>
      </w:r>
      <w:r w:rsidR="007F6EA3" w:rsidRPr="00736932">
        <w:t>’s population.</w:t>
      </w:r>
      <w:r w:rsidR="00EA1507" w:rsidRPr="00736932">
        <w:rPr>
          <w:rStyle w:val="FootnoteReference"/>
        </w:rPr>
        <w:footnoteReference w:id="80"/>
      </w:r>
      <w:r w:rsidR="00F51B6C" w:rsidRPr="00736932">
        <w:t xml:space="preserve">  </w:t>
      </w:r>
      <w:r w:rsidR="007F6EA3" w:rsidRPr="00736932">
        <w:t xml:space="preserve">If </w:t>
      </w:r>
      <w:r w:rsidRPr="00736932">
        <w:t>AWN</w:t>
      </w:r>
      <w:r w:rsidR="007F6EA3" w:rsidRPr="00736932">
        <w:t xml:space="preserve"> fails to meet this benchmark, its authorization will automatically terminate, without Commission action, for those geographic portions of the License area in which </w:t>
      </w:r>
      <w:r w:rsidRPr="00736932">
        <w:t>AWN</w:t>
      </w:r>
      <w:r w:rsidR="007F6EA3" w:rsidRPr="00736932">
        <w:t xml:space="preserve"> was not providing service </w:t>
      </w:r>
      <w:r w:rsidR="007F6EA3" w:rsidRPr="00736932">
        <w:rPr>
          <w:u w:val="single"/>
        </w:rPr>
        <w:t>by June 13, 2017</w:t>
      </w:r>
      <w:r w:rsidR="007F6EA3" w:rsidRPr="00736932">
        <w:t xml:space="preserve">, and those unserved areas will become available for </w:t>
      </w:r>
      <w:r w:rsidR="00E10BDA" w:rsidRPr="00736932">
        <w:t>reassignment by the Commission.</w:t>
      </w:r>
      <w:r w:rsidR="004B034E">
        <w:rPr>
          <w:rStyle w:val="FootnoteReference"/>
        </w:rPr>
        <w:footnoteReference w:id="81"/>
      </w:r>
      <w:r w:rsidR="007F6EA3" w:rsidRPr="00736932" w:rsidDel="00E312CE">
        <w:t xml:space="preserve"> </w:t>
      </w:r>
      <w:r w:rsidR="00805DDA" w:rsidRPr="00736932">
        <w:t xml:space="preserve"> In addition, </w:t>
      </w:r>
      <w:r w:rsidR="00260864" w:rsidRPr="00736932">
        <w:t xml:space="preserve">so that </w:t>
      </w:r>
      <w:r w:rsidR="00805DDA" w:rsidRPr="00736932">
        <w:t xml:space="preserve">the Bureau </w:t>
      </w:r>
      <w:r w:rsidR="00260864" w:rsidRPr="00736932">
        <w:t xml:space="preserve">may </w:t>
      </w:r>
      <w:r w:rsidR="00805DDA" w:rsidRPr="00736932">
        <w:t xml:space="preserve">determine </w:t>
      </w:r>
      <w:r w:rsidR="0084075B" w:rsidRPr="00736932">
        <w:t xml:space="preserve">AWN’s </w:t>
      </w:r>
      <w:r w:rsidR="00805DDA" w:rsidRPr="00736932">
        <w:t xml:space="preserve">served geographic portion as of June 13, 2017, AWN must file with the Bureau a showing demonstrating its geographic </w:t>
      </w:r>
      <w:r w:rsidR="00E10BDA" w:rsidRPr="00736932">
        <w:t xml:space="preserve">coverage area </w:t>
      </w:r>
      <w:r w:rsidR="00805DDA" w:rsidRPr="00736932">
        <w:t xml:space="preserve">within 15 days </w:t>
      </w:r>
      <w:r w:rsidR="00260864" w:rsidRPr="00736932">
        <w:t xml:space="preserve">of </w:t>
      </w:r>
      <w:r w:rsidR="00805DDA" w:rsidRPr="00736932">
        <w:t>June 13, 2017.</w:t>
      </w:r>
    </w:p>
    <w:p w14:paraId="208C3C05" w14:textId="3FA34733" w:rsidR="002E613B" w:rsidRPr="00736932" w:rsidRDefault="00805DDA" w:rsidP="00805DDA">
      <w:pPr>
        <w:tabs>
          <w:tab w:val="left" w:pos="1632"/>
        </w:tabs>
        <w:ind w:left="1080" w:hanging="360"/>
        <w:rPr>
          <w:i/>
          <w:sz w:val="22"/>
          <w:szCs w:val="22"/>
        </w:rPr>
      </w:pPr>
      <w:r w:rsidRPr="00736932">
        <w:rPr>
          <w:i/>
          <w:sz w:val="22"/>
          <w:szCs w:val="22"/>
        </w:rPr>
        <w:tab/>
      </w:r>
      <w:r w:rsidRPr="00736932">
        <w:rPr>
          <w:i/>
          <w:sz w:val="22"/>
          <w:szCs w:val="22"/>
        </w:rPr>
        <w:tab/>
      </w:r>
    </w:p>
    <w:p w14:paraId="49EA42C6" w14:textId="396E8E14" w:rsidR="00E62221" w:rsidRPr="00736932" w:rsidRDefault="00F26D48" w:rsidP="007E1879">
      <w:pPr>
        <w:pStyle w:val="ParaNum"/>
        <w:numPr>
          <w:ilvl w:val="0"/>
          <w:numId w:val="33"/>
        </w:numPr>
        <w:ind w:left="1080"/>
      </w:pPr>
      <w:r w:rsidRPr="00736932">
        <w:rPr>
          <w:i/>
        </w:rPr>
        <w:t>Continuity of Coverage</w:t>
      </w:r>
      <w:r w:rsidRPr="00736932">
        <w:t xml:space="preserve">.  </w:t>
      </w:r>
      <w:r w:rsidR="006670F2" w:rsidRPr="00736932">
        <w:t>AWN</w:t>
      </w:r>
      <w:r w:rsidRPr="00736932">
        <w:t xml:space="preserve"> must maintain </w:t>
      </w:r>
      <w:r w:rsidR="002E455C" w:rsidRPr="00736932">
        <w:t xml:space="preserve">coverage and service to </w:t>
      </w:r>
      <w:r w:rsidR="00B51B7D" w:rsidRPr="00736932">
        <w:t xml:space="preserve">at least </w:t>
      </w:r>
      <w:r w:rsidR="002E455C" w:rsidRPr="00736932">
        <w:t xml:space="preserve">80 percent of </w:t>
      </w:r>
      <w:r w:rsidR="006670F2" w:rsidRPr="00736932">
        <w:t>BEA117</w:t>
      </w:r>
      <w:r w:rsidR="00503F06" w:rsidRPr="00736932">
        <w:t xml:space="preserve">’s </w:t>
      </w:r>
      <w:r w:rsidR="002E455C" w:rsidRPr="00736932">
        <w:t>population</w:t>
      </w:r>
      <w:r w:rsidRPr="00736932">
        <w:t xml:space="preserve"> for a minimum of five years</w:t>
      </w:r>
      <w:r w:rsidR="007F6C08" w:rsidRPr="00736932">
        <w:t>, commencing</w:t>
      </w:r>
      <w:r w:rsidR="002E455C" w:rsidRPr="00736932">
        <w:t xml:space="preserve"> June 13, </w:t>
      </w:r>
      <w:r w:rsidR="007F6EA3" w:rsidRPr="00736932">
        <w:t>20</w:t>
      </w:r>
      <w:r w:rsidR="006670F2" w:rsidRPr="00736932">
        <w:t>19</w:t>
      </w:r>
      <w:r w:rsidR="007F6C08" w:rsidRPr="00736932">
        <w:t xml:space="preserve"> (that is, </w:t>
      </w:r>
      <w:r w:rsidR="003D5AB2" w:rsidRPr="00736932">
        <w:t xml:space="preserve">until </w:t>
      </w:r>
      <w:r w:rsidR="007F6C08" w:rsidRPr="00736932">
        <w:t xml:space="preserve">at least </w:t>
      </w:r>
      <w:r w:rsidR="003D5AB2" w:rsidRPr="00736932">
        <w:t xml:space="preserve">June 13, </w:t>
      </w:r>
      <w:r w:rsidR="007F6EA3" w:rsidRPr="00736932">
        <w:t>202</w:t>
      </w:r>
      <w:r w:rsidR="006670F2" w:rsidRPr="00736932">
        <w:t>4</w:t>
      </w:r>
      <w:r w:rsidR="007F6C08" w:rsidRPr="00736932">
        <w:t>)</w:t>
      </w:r>
      <w:r w:rsidR="003D5AB2" w:rsidRPr="00736932">
        <w:t xml:space="preserve">.  </w:t>
      </w:r>
      <w:r w:rsidRPr="00736932">
        <w:t xml:space="preserve">However, </w:t>
      </w:r>
      <w:r w:rsidR="006670F2" w:rsidRPr="00736932">
        <w:t>AWN</w:t>
      </w:r>
      <w:r w:rsidRPr="00736932">
        <w:t xml:space="preserve"> may reduce </w:t>
      </w:r>
      <w:r w:rsidR="00B51B7D" w:rsidRPr="00736932">
        <w:t xml:space="preserve">coverage and </w:t>
      </w:r>
      <w:r w:rsidRPr="00736932">
        <w:t xml:space="preserve">service </w:t>
      </w:r>
      <w:r w:rsidR="00B870AE" w:rsidRPr="00736932">
        <w:t>to less</w:t>
      </w:r>
      <w:r w:rsidRPr="00736932">
        <w:t xml:space="preserve"> than </w:t>
      </w:r>
      <w:r w:rsidR="00B870AE" w:rsidRPr="00736932">
        <w:t>8</w:t>
      </w:r>
      <w:r w:rsidRPr="00736932">
        <w:t xml:space="preserve">0 percent </w:t>
      </w:r>
      <w:r w:rsidR="00B870AE" w:rsidRPr="00736932">
        <w:t xml:space="preserve">of </w:t>
      </w:r>
      <w:r w:rsidR="006670F2" w:rsidRPr="00736932">
        <w:t>BEA117’s</w:t>
      </w:r>
      <w:r w:rsidR="00B870AE" w:rsidRPr="00736932">
        <w:t xml:space="preserve"> population </w:t>
      </w:r>
      <w:r w:rsidRPr="00736932">
        <w:t xml:space="preserve">for up to 180 days to accommodate circumstances such as a </w:t>
      </w:r>
      <w:r w:rsidR="00DD7DF5" w:rsidRPr="00736932">
        <w:t xml:space="preserve">substantial </w:t>
      </w:r>
      <w:r w:rsidR="005B1FA3" w:rsidRPr="00736932">
        <w:t xml:space="preserve">technology </w:t>
      </w:r>
      <w:r w:rsidRPr="00736932">
        <w:t>upgrade or recovery from a natural or manmade catastrophe.</w:t>
      </w:r>
      <w:r w:rsidR="003D5AB2" w:rsidRPr="00736932">
        <w:t xml:space="preserve">  </w:t>
      </w:r>
      <w:r w:rsidR="001F27D6" w:rsidRPr="00736932">
        <w:t xml:space="preserve">If </w:t>
      </w:r>
      <w:r w:rsidR="006670F2" w:rsidRPr="00736932">
        <w:t>AWN</w:t>
      </w:r>
      <w:r w:rsidR="001F27D6" w:rsidRPr="00736932">
        <w:t xml:space="preserve"> violates this condition, it must provide written notice to the Commission, and its authorization will automatically terminate, without Commission action, for thos</w:t>
      </w:r>
      <w:r w:rsidR="00707019" w:rsidRPr="00736932">
        <w:t xml:space="preserve">e geographic portions of the </w:t>
      </w:r>
      <w:r w:rsidR="001F27D6" w:rsidRPr="00736932">
        <w:t xml:space="preserve">License area in which </w:t>
      </w:r>
      <w:r w:rsidR="006670F2" w:rsidRPr="00736932">
        <w:t>AWN</w:t>
      </w:r>
      <w:r w:rsidR="001F27D6" w:rsidRPr="00736932">
        <w:t xml:space="preserve"> was not providing service </w:t>
      </w:r>
      <w:r w:rsidR="001F27D6" w:rsidRPr="00736932">
        <w:rPr>
          <w:u w:val="single"/>
        </w:rPr>
        <w:t>by June 13, 2017</w:t>
      </w:r>
      <w:r w:rsidR="001F27D6" w:rsidRPr="00736932">
        <w:t>, and those areas will become available for reassignment by the Commission.</w:t>
      </w:r>
    </w:p>
    <w:p w14:paraId="408EDB04" w14:textId="64B74015" w:rsidR="008E4DDC" w:rsidRPr="00736932" w:rsidRDefault="008E4DDC" w:rsidP="00FA44B9">
      <w:pPr>
        <w:pStyle w:val="ListParagraph"/>
        <w:rPr>
          <w:szCs w:val="22"/>
        </w:rPr>
      </w:pPr>
    </w:p>
    <w:p w14:paraId="2344886B" w14:textId="0960460B" w:rsidR="006931BE" w:rsidRPr="00736932" w:rsidRDefault="002E613B" w:rsidP="007E1879">
      <w:pPr>
        <w:pStyle w:val="ParaNum"/>
        <w:numPr>
          <w:ilvl w:val="0"/>
          <w:numId w:val="33"/>
        </w:numPr>
        <w:ind w:left="1080"/>
      </w:pPr>
      <w:r w:rsidRPr="00736932">
        <w:rPr>
          <w:i/>
        </w:rPr>
        <w:t>Good Faith Negotiation</w:t>
      </w:r>
      <w:r w:rsidR="00B870AE" w:rsidRPr="00736932">
        <w:rPr>
          <w:i/>
        </w:rPr>
        <w:t>s</w:t>
      </w:r>
      <w:r w:rsidR="00E62221" w:rsidRPr="00736932">
        <w:t>.  During</w:t>
      </w:r>
      <w:r w:rsidR="00B870AE" w:rsidRPr="00736932">
        <w:t xml:space="preserve"> the remainder of the current license term and any subsequent license </w:t>
      </w:r>
      <w:r w:rsidR="00E62221" w:rsidRPr="00736932">
        <w:t>term</w:t>
      </w:r>
      <w:r w:rsidR="00C51F9B" w:rsidRPr="00736932">
        <w:t>s</w:t>
      </w:r>
      <w:r w:rsidR="00E62221" w:rsidRPr="00736932">
        <w:t xml:space="preserve">, </w:t>
      </w:r>
      <w:r w:rsidR="007F78EC" w:rsidRPr="00736932">
        <w:t>AWN</w:t>
      </w:r>
      <w:r w:rsidR="00E62221" w:rsidRPr="00736932">
        <w:t xml:space="preserve"> </w:t>
      </w:r>
      <w:r w:rsidR="00A87603" w:rsidRPr="00736932">
        <w:t>must</w:t>
      </w:r>
      <w:r w:rsidR="00E62221" w:rsidRPr="00736932">
        <w:t xml:space="preserve"> negotiate in good faith with any third party seeking to </w:t>
      </w:r>
      <w:r w:rsidR="00B870AE" w:rsidRPr="00736932">
        <w:t xml:space="preserve">acquire or </w:t>
      </w:r>
      <w:r w:rsidR="00E62221" w:rsidRPr="00736932">
        <w:t xml:space="preserve">lease spectrum in </w:t>
      </w:r>
      <w:r w:rsidR="00B870AE" w:rsidRPr="00736932">
        <w:t>a</w:t>
      </w:r>
      <w:r w:rsidR="005B1FA3" w:rsidRPr="00736932">
        <w:t xml:space="preserve"> geographic </w:t>
      </w:r>
      <w:r w:rsidR="00E62221" w:rsidRPr="00736932">
        <w:t>area</w:t>
      </w:r>
      <w:r w:rsidR="00E24265" w:rsidRPr="00736932">
        <w:t xml:space="preserve"> of </w:t>
      </w:r>
      <w:r w:rsidR="007F78EC" w:rsidRPr="00736932">
        <w:t>BEA117</w:t>
      </w:r>
      <w:r w:rsidR="00E24265" w:rsidRPr="00736932">
        <w:t xml:space="preserve"> not served by </w:t>
      </w:r>
      <w:r w:rsidR="007F78EC" w:rsidRPr="00736932">
        <w:t>AWN</w:t>
      </w:r>
      <w:r w:rsidR="00E62221" w:rsidRPr="00736932">
        <w:t>.</w:t>
      </w:r>
      <w:r w:rsidR="00E24265" w:rsidRPr="00736932">
        <w:rPr>
          <w:rStyle w:val="FootnoteReference"/>
        </w:rPr>
        <w:footnoteReference w:id="82"/>
      </w:r>
      <w:r w:rsidR="00E62221" w:rsidRPr="00736932">
        <w:t xml:space="preserve">  </w:t>
      </w:r>
      <w:r w:rsidR="006931BE" w:rsidRPr="00736932">
        <w:t xml:space="preserve">If the Bureau finds that </w:t>
      </w:r>
      <w:r w:rsidR="000F51C7" w:rsidRPr="00736932">
        <w:t>AWN</w:t>
      </w:r>
      <w:r w:rsidR="006931BE" w:rsidRPr="00736932">
        <w:t xml:space="preserve"> failed to negotiate in good faith, its authorization will automatically terminate, without Commission action, for that </w:t>
      </w:r>
      <w:r w:rsidR="002E697A" w:rsidRPr="00736932">
        <w:t xml:space="preserve">relevant </w:t>
      </w:r>
      <w:r w:rsidR="006931BE" w:rsidRPr="00736932">
        <w:t xml:space="preserve">geographic </w:t>
      </w:r>
      <w:r w:rsidR="005B1FA3" w:rsidRPr="00736932">
        <w:t xml:space="preserve">area </w:t>
      </w:r>
      <w:r w:rsidR="006931BE" w:rsidRPr="00736932">
        <w:t>of the License</w:t>
      </w:r>
      <w:r w:rsidR="002E697A" w:rsidRPr="00736932">
        <w:t xml:space="preserve"> subject to the negotiation</w:t>
      </w:r>
      <w:r w:rsidR="006931BE" w:rsidRPr="00736932">
        <w:t>, and that unserved area will become available for reassignment by the Commission.</w:t>
      </w:r>
    </w:p>
    <w:p w14:paraId="70F06E5A" w14:textId="56ED0B9D" w:rsidR="00F8246B" w:rsidRPr="00736932" w:rsidRDefault="003D5AB2" w:rsidP="005E2C02">
      <w:pPr>
        <w:pStyle w:val="ParaNum"/>
      </w:pPr>
      <w:r w:rsidRPr="00736932">
        <w:t xml:space="preserve">  </w:t>
      </w:r>
    </w:p>
    <w:p w14:paraId="29FCC731" w14:textId="25420617" w:rsidR="001D1F6E" w:rsidRPr="00736932" w:rsidRDefault="005F39C8" w:rsidP="00FA44B9">
      <w:pPr>
        <w:pStyle w:val="ParaNum"/>
      </w:pPr>
      <w:r w:rsidRPr="00736932">
        <w:t>Accordingly, IT IS ORDERED that, pursuant to Section 4(i) of the Communications Act, as amended, 47 U.S.C. § 154(i), and Section 1.</w:t>
      </w:r>
      <w:r w:rsidR="009F7AE9" w:rsidRPr="00736932">
        <w:t xml:space="preserve">925(b)(3) </w:t>
      </w:r>
      <w:r w:rsidRPr="00736932">
        <w:t>of the Commission’s rules, 47 CFR § 1.925</w:t>
      </w:r>
      <w:r w:rsidR="00E24265" w:rsidRPr="00736932">
        <w:t>(b)(3)</w:t>
      </w:r>
      <w:r w:rsidRPr="00736932">
        <w:t>, the request f</w:t>
      </w:r>
      <w:r w:rsidR="00AF68BC" w:rsidRPr="00736932">
        <w:t>or wai</w:t>
      </w:r>
      <w:r w:rsidR="00E24265" w:rsidRPr="00736932">
        <w:t>v</w:t>
      </w:r>
      <w:r w:rsidR="00AF68BC" w:rsidRPr="00736932">
        <w:t>er of Section 27.14(g)</w:t>
      </w:r>
      <w:r w:rsidRPr="00736932">
        <w:t xml:space="preserve"> of the Commission’s rules, 47 CFR §</w:t>
      </w:r>
      <w:r w:rsidR="00AF68BC" w:rsidRPr="00736932">
        <w:t xml:space="preserve"> 27.14(g)</w:t>
      </w:r>
      <w:r w:rsidR="00103028" w:rsidRPr="00736932">
        <w:t xml:space="preserve">, filed </w:t>
      </w:r>
      <w:r w:rsidR="003821DF" w:rsidRPr="00736932">
        <w:t>December 7</w:t>
      </w:r>
      <w:r w:rsidR="00103028" w:rsidRPr="00736932">
        <w:t>, 2016</w:t>
      </w:r>
      <w:r w:rsidRPr="00736932">
        <w:t xml:space="preserve">, by </w:t>
      </w:r>
      <w:r w:rsidR="003821DF" w:rsidRPr="00736932">
        <w:t>General Communication, Inc.</w:t>
      </w:r>
      <w:r w:rsidR="00103028" w:rsidRPr="00736932">
        <w:t xml:space="preserve">, </w:t>
      </w:r>
      <w:r w:rsidR="008E4DDC" w:rsidRPr="00736932">
        <w:t xml:space="preserve">on behalf of </w:t>
      </w:r>
      <w:r w:rsidR="001D2E30" w:rsidRPr="00736932">
        <w:t xml:space="preserve">The </w:t>
      </w:r>
      <w:r w:rsidR="00C9539B" w:rsidRPr="00736932">
        <w:t>Alaska Wireless Network, LLC</w:t>
      </w:r>
      <w:r w:rsidR="008E4DDC" w:rsidRPr="00736932">
        <w:t xml:space="preserve">, </w:t>
      </w:r>
      <w:r w:rsidR="00103028" w:rsidRPr="00736932">
        <w:t>ULS File No</w:t>
      </w:r>
      <w:r w:rsidRPr="00736932">
        <w:t xml:space="preserve">. </w:t>
      </w:r>
      <w:r w:rsidR="003821DF" w:rsidRPr="00736932">
        <w:t>0007582863</w:t>
      </w:r>
      <w:r w:rsidRPr="00736932">
        <w:t xml:space="preserve">, is HEREBY </w:t>
      </w:r>
      <w:r w:rsidR="00B2689E" w:rsidRPr="00736932">
        <w:t xml:space="preserve">CONDITIONALLY </w:t>
      </w:r>
      <w:r w:rsidRPr="00736932">
        <w:t>GRANTED TO THE EXTENT PROVIDED ABOVE AND OTHERWISE DENIED.</w:t>
      </w:r>
    </w:p>
    <w:p w14:paraId="2030F777" w14:textId="77777777" w:rsidR="002E613B" w:rsidRPr="00736932" w:rsidRDefault="002E613B" w:rsidP="00FA44B9">
      <w:pPr>
        <w:pStyle w:val="ParaNum"/>
      </w:pPr>
    </w:p>
    <w:p w14:paraId="5FAC2532" w14:textId="77777777" w:rsidR="00E677C2" w:rsidRPr="00736932" w:rsidRDefault="00E677C2">
      <w:pPr>
        <w:rPr>
          <w:snapToGrid w:val="0"/>
          <w:color w:val="000000"/>
          <w:kern w:val="28"/>
          <w:sz w:val="22"/>
          <w:szCs w:val="22"/>
        </w:rPr>
      </w:pPr>
      <w:r w:rsidRPr="00736932">
        <w:rPr>
          <w:sz w:val="22"/>
          <w:szCs w:val="22"/>
        </w:rPr>
        <w:br w:type="page"/>
      </w:r>
    </w:p>
    <w:p w14:paraId="623806E7" w14:textId="0DED3237" w:rsidR="005F39C8" w:rsidRPr="00736932" w:rsidRDefault="005F39C8" w:rsidP="00FA44B9">
      <w:pPr>
        <w:pStyle w:val="ParaNum"/>
      </w:pPr>
      <w:r w:rsidRPr="00736932">
        <w:t>These actions are taken under delegated authority pursuant to Sections 0.131 and 0.331 of the Commission’s rules, 47 CFR §§ 0.131, 0.331.</w:t>
      </w:r>
    </w:p>
    <w:p w14:paraId="1A6DC215" w14:textId="77777777" w:rsidR="005F39C8" w:rsidRPr="00736932" w:rsidRDefault="005F39C8" w:rsidP="00FA44B9">
      <w:pPr>
        <w:pStyle w:val="ParaNum"/>
      </w:pPr>
    </w:p>
    <w:p w14:paraId="7FBB6442" w14:textId="77777777" w:rsidR="005F39C8" w:rsidRPr="00736932" w:rsidRDefault="005F39C8" w:rsidP="00FA44B9">
      <w:pPr>
        <w:pStyle w:val="ParaNum"/>
        <w:ind w:firstLine="4320"/>
      </w:pPr>
      <w:r w:rsidRPr="00736932">
        <w:t>Sincerely,</w:t>
      </w:r>
    </w:p>
    <w:p w14:paraId="530246DD" w14:textId="77777777" w:rsidR="005F39C8" w:rsidRPr="00736932" w:rsidRDefault="005F39C8" w:rsidP="00FA44B9">
      <w:pPr>
        <w:pStyle w:val="ParaNum"/>
        <w:ind w:firstLine="4320"/>
      </w:pPr>
    </w:p>
    <w:p w14:paraId="1965751D" w14:textId="77777777" w:rsidR="005F39C8" w:rsidRPr="00736932" w:rsidRDefault="005F39C8" w:rsidP="00FA44B9">
      <w:pPr>
        <w:pStyle w:val="ParaNum"/>
        <w:ind w:firstLine="4320"/>
      </w:pPr>
    </w:p>
    <w:p w14:paraId="644A916E" w14:textId="77777777" w:rsidR="005F39C8" w:rsidRPr="00736932" w:rsidRDefault="005F39C8" w:rsidP="00FA44B9">
      <w:pPr>
        <w:pStyle w:val="ParaNum"/>
        <w:ind w:firstLine="4320"/>
      </w:pPr>
      <w:r w:rsidRPr="00736932">
        <w:t>Roger S. Noel</w:t>
      </w:r>
    </w:p>
    <w:p w14:paraId="1BBA1622" w14:textId="77777777" w:rsidR="005F39C8" w:rsidRPr="00736932" w:rsidRDefault="005F39C8" w:rsidP="00FA44B9">
      <w:pPr>
        <w:pStyle w:val="ParaNum"/>
        <w:ind w:firstLine="4320"/>
      </w:pPr>
      <w:r w:rsidRPr="00736932">
        <w:t>Chief, Mobility Division</w:t>
      </w:r>
    </w:p>
    <w:p w14:paraId="260600AF" w14:textId="234EA0F3" w:rsidR="00823DEF" w:rsidRPr="00736932" w:rsidRDefault="005F39C8" w:rsidP="00FA44B9">
      <w:pPr>
        <w:pStyle w:val="ParaNum"/>
        <w:ind w:firstLine="4320"/>
      </w:pPr>
      <w:r w:rsidRPr="00736932">
        <w:t>Wireless Telecommunications Bureau</w:t>
      </w:r>
    </w:p>
    <w:sectPr w:rsidR="00823DEF" w:rsidRPr="00736932" w:rsidSect="00FE4B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9987A" w14:textId="77777777" w:rsidR="001372E7" w:rsidRDefault="001372E7">
      <w:r>
        <w:separator/>
      </w:r>
    </w:p>
  </w:endnote>
  <w:endnote w:type="continuationSeparator" w:id="0">
    <w:p w14:paraId="5CE21FC5" w14:textId="77777777" w:rsidR="001372E7" w:rsidRDefault="001372E7">
      <w:r>
        <w:continuationSeparator/>
      </w:r>
    </w:p>
  </w:endnote>
  <w:endnote w:type="continuationNotice" w:id="1">
    <w:p w14:paraId="46F65430" w14:textId="77777777" w:rsidR="001372E7" w:rsidRDefault="00137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D03A" w14:textId="77777777" w:rsidR="00C03BC6" w:rsidRDefault="00C03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6796"/>
      <w:docPartObj>
        <w:docPartGallery w:val="Page Numbers (Bottom of Page)"/>
        <w:docPartUnique/>
      </w:docPartObj>
    </w:sdtPr>
    <w:sdtEndPr>
      <w:rPr>
        <w:noProof/>
      </w:rPr>
    </w:sdtEndPr>
    <w:sdtContent>
      <w:p w14:paraId="776BF168" w14:textId="0E5A7DBB" w:rsidR="00AE235D" w:rsidRDefault="00AE235D">
        <w:pPr>
          <w:pStyle w:val="Footer"/>
          <w:jc w:val="center"/>
        </w:pPr>
        <w:r>
          <w:fldChar w:fldCharType="begin"/>
        </w:r>
        <w:r>
          <w:instrText xml:space="preserve"> PAGE   \* MERGEFORMAT </w:instrText>
        </w:r>
        <w:r>
          <w:fldChar w:fldCharType="separate"/>
        </w:r>
        <w:r w:rsidR="008E574B">
          <w:rPr>
            <w:noProof/>
          </w:rPr>
          <w:t>2</w:t>
        </w:r>
        <w:r>
          <w:rPr>
            <w:noProof/>
          </w:rPr>
          <w:fldChar w:fldCharType="end"/>
        </w:r>
      </w:p>
    </w:sdtContent>
  </w:sdt>
  <w:p w14:paraId="03190B4F" w14:textId="77777777" w:rsidR="00AE235D" w:rsidRDefault="00AE2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2B44" w14:textId="77777777" w:rsidR="00C03BC6" w:rsidRDefault="00C03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0E93" w14:textId="77777777" w:rsidR="001372E7" w:rsidRDefault="001372E7">
      <w:r>
        <w:separator/>
      </w:r>
    </w:p>
  </w:footnote>
  <w:footnote w:type="continuationSeparator" w:id="0">
    <w:p w14:paraId="05D039B6" w14:textId="77777777" w:rsidR="001372E7" w:rsidRDefault="001372E7">
      <w:r>
        <w:continuationSeparator/>
      </w:r>
    </w:p>
  </w:footnote>
  <w:footnote w:type="continuationNotice" w:id="1">
    <w:p w14:paraId="3C10ADC9" w14:textId="77777777" w:rsidR="001372E7" w:rsidRDefault="001372E7"/>
  </w:footnote>
  <w:footnote w:id="2">
    <w:p w14:paraId="6095E8A4" w14:textId="1D919B3F" w:rsidR="00AE235D" w:rsidRPr="00F70A7E" w:rsidRDefault="00AE235D" w:rsidP="00736932">
      <w:pPr>
        <w:pStyle w:val="FootnoteText"/>
        <w:tabs>
          <w:tab w:val="left" w:pos="0"/>
        </w:tabs>
        <w:jc w:val="left"/>
      </w:pPr>
      <w:r w:rsidRPr="00F70A7E">
        <w:rPr>
          <w:rStyle w:val="FootnoteReference"/>
        </w:rPr>
        <w:footnoteRef/>
      </w:r>
      <w:r w:rsidRPr="00F70A7E">
        <w:t xml:space="preserve"> </w:t>
      </w:r>
      <w:r w:rsidR="00DB0B3B" w:rsidRPr="00F70A7E">
        <w:t>Petition of General Communication, Inc. for Waiver of Lower 700 MHz</w:t>
      </w:r>
      <w:r w:rsidR="003B73FE" w:rsidRPr="00F70A7E">
        <w:t xml:space="preserve"> Build-Out Requirements</w:t>
      </w:r>
      <w:r w:rsidR="00DB0B3B" w:rsidRPr="00F70A7E">
        <w:t>, ULS File No. 0007582863 (filed Dec. 7, 2016)</w:t>
      </w:r>
      <w:r w:rsidR="00896365" w:rsidRPr="00F70A7E">
        <w:t>, citing 47 CFR § 27.14(g)</w:t>
      </w:r>
      <w:r w:rsidR="00F95FB9" w:rsidRPr="00F70A7E">
        <w:t xml:space="preserve"> (Waiver Request)</w:t>
      </w:r>
      <w:r w:rsidR="00DB0B3B" w:rsidRPr="00F70A7E">
        <w:t>.</w:t>
      </w:r>
      <w:r w:rsidR="00AD594F" w:rsidRPr="00F70A7E">
        <w:t xml:space="preserve">  </w:t>
      </w:r>
      <w:r w:rsidR="009938DC" w:rsidRPr="00F70A7E">
        <w:rPr>
          <w:i/>
        </w:rPr>
        <w:t>See also</w:t>
      </w:r>
      <w:r w:rsidR="009938DC" w:rsidRPr="00F70A7E">
        <w:t xml:space="preserve"> </w:t>
      </w:r>
      <w:r w:rsidR="001E6293" w:rsidRPr="00F70A7E">
        <w:t xml:space="preserve">Reply Comments of </w:t>
      </w:r>
      <w:r w:rsidR="00AD594F" w:rsidRPr="00F70A7E">
        <w:t>General Communication, Inc.</w:t>
      </w:r>
      <w:r w:rsidR="00E01324" w:rsidRPr="00F70A7E">
        <w:t>,</w:t>
      </w:r>
      <w:r w:rsidR="00720C28" w:rsidRPr="00F70A7E">
        <w:t xml:space="preserve"> </w:t>
      </w:r>
      <w:r w:rsidR="00C2419B" w:rsidRPr="00F70A7E">
        <w:t>filed Jan. 13, 2017</w:t>
      </w:r>
      <w:r w:rsidR="00AD594F" w:rsidRPr="00F70A7E">
        <w:t xml:space="preserve"> (</w:t>
      </w:r>
      <w:r w:rsidR="00BF1A3C" w:rsidRPr="00F70A7E">
        <w:t xml:space="preserve">AWN </w:t>
      </w:r>
      <w:r w:rsidR="00AD594F" w:rsidRPr="00F70A7E">
        <w:t>Reply)</w:t>
      </w:r>
      <w:r w:rsidR="009938DC" w:rsidRPr="00F70A7E">
        <w:t xml:space="preserve">.   </w:t>
      </w:r>
    </w:p>
  </w:footnote>
  <w:footnote w:id="3">
    <w:p w14:paraId="46346B28" w14:textId="2D51C59A" w:rsidR="002E3D47" w:rsidRPr="00F70A7E" w:rsidRDefault="002E3D47" w:rsidP="00736932">
      <w:pPr>
        <w:pStyle w:val="FootnoteText"/>
        <w:jc w:val="left"/>
      </w:pPr>
      <w:r w:rsidRPr="00F70A7E">
        <w:rPr>
          <w:rStyle w:val="FootnoteReference"/>
        </w:rPr>
        <w:footnoteRef/>
      </w:r>
      <w:r w:rsidRPr="00F70A7E">
        <w:t xml:space="preserve"> The license call sign is WQJU656 (Basic Economic Area (BEA) 171 – Anchorage, AK) (the License).</w:t>
      </w:r>
    </w:p>
  </w:footnote>
  <w:footnote w:id="4">
    <w:p w14:paraId="72EE3704" w14:textId="4B084D1C" w:rsidR="001D5F40" w:rsidRPr="00F70A7E" w:rsidRDefault="001D5F40" w:rsidP="00736932">
      <w:pPr>
        <w:pStyle w:val="FootnoteText"/>
        <w:jc w:val="left"/>
      </w:pPr>
      <w:r w:rsidRPr="00F70A7E">
        <w:rPr>
          <w:rStyle w:val="FootnoteReference"/>
        </w:rPr>
        <w:footnoteRef/>
      </w:r>
      <w:r w:rsidRPr="00F70A7E">
        <w:t xml:space="preserve"> </w:t>
      </w:r>
      <w:r w:rsidRPr="00F70A7E">
        <w:rPr>
          <w:i/>
        </w:rPr>
        <w:t xml:space="preserve">See </w:t>
      </w:r>
      <w:r w:rsidRPr="00F70A7E">
        <w:t xml:space="preserve">Waiver Request at </w:t>
      </w:r>
      <w:r w:rsidR="0075123B" w:rsidRPr="00F70A7E">
        <w:t>4</w:t>
      </w:r>
      <w:r w:rsidR="00BF1A3C" w:rsidRPr="00F70A7E">
        <w:t>; AWN Reply at 7.</w:t>
      </w:r>
    </w:p>
  </w:footnote>
  <w:footnote w:id="5">
    <w:p w14:paraId="42B92ED5" w14:textId="6B7A6337" w:rsidR="00AE235D" w:rsidRPr="00F70A7E" w:rsidRDefault="00AE235D" w:rsidP="00736932">
      <w:pPr>
        <w:pStyle w:val="FootnoteText"/>
        <w:jc w:val="left"/>
      </w:pPr>
      <w:r w:rsidRPr="00F70A7E">
        <w:rPr>
          <w:rStyle w:val="FootnoteReference"/>
        </w:rPr>
        <w:footnoteRef/>
      </w:r>
      <w:r w:rsidRPr="00F70A7E">
        <w:t xml:space="preserve"> </w:t>
      </w:r>
      <w:r w:rsidR="00FC4688" w:rsidRPr="00F70A7E">
        <w:rPr>
          <w:i/>
        </w:rPr>
        <w:t>See Service Rules for 698-746, 747-762, and 777-792 MHz Bands</w:t>
      </w:r>
      <w:r w:rsidR="00FC4688" w:rsidRPr="00F70A7E">
        <w:t>, Second Report and Order, 22 FCC Rcd 15289 (2007) (</w:t>
      </w:r>
      <w:r w:rsidR="00FC4688" w:rsidRPr="00F70A7E">
        <w:rPr>
          <w:i/>
        </w:rPr>
        <w:t>700 MHz Second Report and Order</w:t>
      </w:r>
      <w:r w:rsidR="00FC4688" w:rsidRPr="00F70A7E">
        <w:t xml:space="preserve">), </w:t>
      </w:r>
      <w:r w:rsidR="00FC4688" w:rsidRPr="00F70A7E">
        <w:rPr>
          <w:i/>
        </w:rPr>
        <w:t>on recons.</w:t>
      </w:r>
      <w:r w:rsidR="0070436A" w:rsidRPr="00F70A7E">
        <w:t>,</w:t>
      </w:r>
      <w:r w:rsidR="00FC4688" w:rsidRPr="00F70A7E">
        <w:t xml:space="preserve"> </w:t>
      </w:r>
      <w:r w:rsidR="00FC4688" w:rsidRPr="00F70A7E">
        <w:rPr>
          <w:i/>
        </w:rPr>
        <w:t>Service Rules for the 698-746, 747-762 and 777-792 MHz Bands</w:t>
      </w:r>
      <w:r w:rsidR="00FC4688" w:rsidRPr="00F70A7E">
        <w:t>, Memorandum Opinion and Order on Reconsideration, 28 FCC Rcd 2671 (2013) (</w:t>
      </w:r>
      <w:r w:rsidR="00FC4688" w:rsidRPr="00F70A7E">
        <w:rPr>
          <w:i/>
        </w:rPr>
        <w:t>700 MHz Reconsideration Order</w:t>
      </w:r>
      <w:r w:rsidR="00FC4688" w:rsidRPr="00F70A7E">
        <w:t>).</w:t>
      </w:r>
    </w:p>
  </w:footnote>
  <w:footnote w:id="6">
    <w:p w14:paraId="554666E9" w14:textId="77777777" w:rsidR="00AE235D" w:rsidRPr="00F70A7E" w:rsidRDefault="00AE235D" w:rsidP="00736932">
      <w:pPr>
        <w:pStyle w:val="FootnoteText"/>
        <w:jc w:val="left"/>
      </w:pPr>
      <w:r w:rsidRPr="00F70A7E">
        <w:rPr>
          <w:rStyle w:val="FootnoteReference"/>
        </w:rPr>
        <w:footnoteRef/>
      </w:r>
      <w:r w:rsidRPr="00F70A7E">
        <w:t xml:space="preserve"> </w:t>
      </w:r>
      <w:r w:rsidRPr="00F70A7E">
        <w:rPr>
          <w:i/>
        </w:rPr>
        <w:t xml:space="preserve">See </w:t>
      </w:r>
      <w:r w:rsidRPr="00F70A7E">
        <w:t>47 CFR § 27.14(g).</w:t>
      </w:r>
    </w:p>
  </w:footnote>
  <w:footnote w:id="7">
    <w:p w14:paraId="08E6E811" w14:textId="26AFC0BC" w:rsidR="00AE235D" w:rsidRPr="00F70A7E" w:rsidRDefault="00AE235D" w:rsidP="00736932">
      <w:pPr>
        <w:pStyle w:val="FootnoteText"/>
        <w:jc w:val="left"/>
      </w:pPr>
      <w:r w:rsidRPr="00F70A7E">
        <w:rPr>
          <w:rStyle w:val="FootnoteReference"/>
        </w:rPr>
        <w:footnoteRef/>
      </w:r>
      <w:r w:rsidRPr="00F70A7E">
        <w:t xml:space="preserve"> </w:t>
      </w:r>
      <w:r w:rsidRPr="00F70A7E">
        <w:rPr>
          <w:i/>
        </w:rPr>
        <w:t xml:space="preserve">See </w:t>
      </w:r>
      <w:r w:rsidRPr="00F70A7E">
        <w:rPr>
          <w:i/>
          <w:iCs/>
        </w:rPr>
        <w:t>Promoting Interoperability in the 700 MHz Commercial Spectrum</w:t>
      </w:r>
      <w:r w:rsidRPr="00F70A7E">
        <w:t>, Report and Order and Order of Proposed Modification</w:t>
      </w:r>
      <w:r w:rsidRPr="00F70A7E">
        <w:rPr>
          <w:i/>
          <w:iCs/>
        </w:rPr>
        <w:t xml:space="preserve">, </w:t>
      </w:r>
      <w:r w:rsidRPr="00F70A7E">
        <w:t>28 FCC Rcd 15122, 15151-52, para. 65 (2013)</w:t>
      </w:r>
      <w:r w:rsidR="004375E0" w:rsidRPr="00F70A7E">
        <w:t xml:space="preserve"> (</w:t>
      </w:r>
      <w:r w:rsidR="004375E0" w:rsidRPr="00F70A7E">
        <w:rPr>
          <w:i/>
        </w:rPr>
        <w:t>Interoperability Order</w:t>
      </w:r>
      <w:r w:rsidR="004375E0" w:rsidRPr="00F70A7E">
        <w:t>)</w:t>
      </w:r>
      <w:r w:rsidR="003B73FE" w:rsidRPr="00F70A7E">
        <w:t xml:space="preserve"> (subsequent history omitted)</w:t>
      </w:r>
      <w:r w:rsidRPr="00F70A7E">
        <w:t>.</w:t>
      </w:r>
    </w:p>
  </w:footnote>
  <w:footnote w:id="8">
    <w:p w14:paraId="3651CA42" w14:textId="3668863F" w:rsidR="00D71AB4" w:rsidRPr="00F70A7E" w:rsidRDefault="00D71AB4" w:rsidP="00736932">
      <w:pPr>
        <w:pStyle w:val="FootnoteText"/>
        <w:jc w:val="left"/>
      </w:pPr>
      <w:r w:rsidRPr="00F70A7E">
        <w:rPr>
          <w:rStyle w:val="FootnoteReference"/>
        </w:rPr>
        <w:footnoteRef/>
      </w:r>
      <w:r w:rsidRPr="00F70A7E">
        <w:t xml:space="preserve"> </w:t>
      </w:r>
      <w:r w:rsidRPr="00F70A7E">
        <w:rPr>
          <w:i/>
        </w:rPr>
        <w:t xml:space="preserve">See </w:t>
      </w:r>
      <w:r w:rsidRPr="00F70A7E">
        <w:t>47 CFR § 27.14(g);</w:t>
      </w:r>
      <w:r w:rsidRPr="00F70A7E">
        <w:rPr>
          <w:i/>
        </w:rPr>
        <w:t xml:space="preserve"> 700 MHz Second Report and Order</w:t>
      </w:r>
      <w:r w:rsidRPr="00F70A7E">
        <w:t>, 22 FCC Rcd</w:t>
      </w:r>
      <w:r w:rsidRPr="00F70A7E" w:rsidDel="00BF4C67">
        <w:rPr>
          <w:i/>
        </w:rPr>
        <w:t xml:space="preserve"> </w:t>
      </w:r>
      <w:r w:rsidRPr="00F70A7E">
        <w:t>at 15293-94, 15349, paras. 6, 157.</w:t>
      </w:r>
    </w:p>
  </w:footnote>
  <w:footnote w:id="9">
    <w:p w14:paraId="56086380" w14:textId="1A20B894" w:rsidR="00916CF6" w:rsidRPr="00F70A7E" w:rsidRDefault="00916CF6" w:rsidP="00736932">
      <w:pPr>
        <w:pStyle w:val="FootnoteText"/>
        <w:jc w:val="left"/>
      </w:pPr>
      <w:r w:rsidRPr="00F70A7E">
        <w:rPr>
          <w:rStyle w:val="FootnoteReference"/>
        </w:rPr>
        <w:footnoteRef/>
      </w:r>
      <w:r w:rsidRPr="00F70A7E">
        <w:t xml:space="preserve"> </w:t>
      </w:r>
      <w:r w:rsidR="00244B1A" w:rsidRPr="00F70A7E">
        <w:t xml:space="preserve">47 CFR § </w:t>
      </w:r>
      <w:r w:rsidRPr="00F70A7E">
        <w:t>27.14(g)(1).</w:t>
      </w:r>
    </w:p>
  </w:footnote>
  <w:footnote w:id="10">
    <w:p w14:paraId="1ADE19F1" w14:textId="1970BD06" w:rsidR="00916CF6" w:rsidRPr="00F70A7E" w:rsidRDefault="00916CF6" w:rsidP="00736932">
      <w:pPr>
        <w:pStyle w:val="FootnoteText"/>
        <w:jc w:val="left"/>
      </w:pPr>
      <w:r w:rsidRPr="00F70A7E">
        <w:rPr>
          <w:rStyle w:val="FootnoteReference"/>
        </w:rPr>
        <w:footnoteRef/>
      </w:r>
      <w:r w:rsidRPr="00F70A7E">
        <w:t xml:space="preserve"> </w:t>
      </w:r>
      <w:r w:rsidR="00244B1A" w:rsidRPr="00F70A7E">
        <w:t>47 CFR § 27.14(g)(2).</w:t>
      </w:r>
      <w:r w:rsidR="00244B1A" w:rsidRPr="00F70A7E">
        <w:rPr>
          <w:i/>
        </w:rPr>
        <w:t xml:space="preserve">  See also 700 MHz Second Report and Order, </w:t>
      </w:r>
      <w:r w:rsidR="00244B1A" w:rsidRPr="00F70A7E">
        <w:t>22 FCC Rcd at 15348, para. 153.</w:t>
      </w:r>
    </w:p>
  </w:footnote>
  <w:footnote w:id="11">
    <w:p w14:paraId="3999C233" w14:textId="3DA3F12A" w:rsidR="004F7FBB" w:rsidRPr="00F70A7E" w:rsidRDefault="004F7FBB" w:rsidP="00736932">
      <w:pPr>
        <w:pStyle w:val="FootnoteText"/>
        <w:jc w:val="left"/>
      </w:pPr>
      <w:r w:rsidRPr="00F70A7E">
        <w:rPr>
          <w:rStyle w:val="FootnoteReference"/>
        </w:rPr>
        <w:footnoteRef/>
      </w:r>
      <w:r w:rsidRPr="00F70A7E">
        <w:t xml:space="preserve"> Waiver Request at 8.   </w:t>
      </w:r>
    </w:p>
  </w:footnote>
  <w:footnote w:id="12">
    <w:p w14:paraId="17EE4C3B" w14:textId="269B2CE1" w:rsidR="00F82E41" w:rsidRPr="00F70A7E" w:rsidRDefault="00F82E41" w:rsidP="00736932">
      <w:pPr>
        <w:pStyle w:val="FootnoteText"/>
        <w:jc w:val="left"/>
        <w:rPr>
          <w:i/>
        </w:rPr>
      </w:pPr>
      <w:r w:rsidRPr="00F70A7E">
        <w:rPr>
          <w:rStyle w:val="FootnoteReference"/>
        </w:rPr>
        <w:footnoteRef/>
      </w:r>
      <w:r w:rsidRPr="00F70A7E">
        <w:t xml:space="preserve"> </w:t>
      </w:r>
      <w:r w:rsidRPr="00F70A7E">
        <w:rPr>
          <w:i/>
        </w:rPr>
        <w:t>Id.</w:t>
      </w:r>
      <w:r w:rsidRPr="00F70A7E">
        <w:t xml:space="preserve">  </w:t>
      </w:r>
    </w:p>
  </w:footnote>
  <w:footnote w:id="13">
    <w:p w14:paraId="436C1C74" w14:textId="62B5D5B6" w:rsidR="00BF1A3C" w:rsidRPr="00F70A7E" w:rsidRDefault="00BF1A3C" w:rsidP="00736932">
      <w:pPr>
        <w:pStyle w:val="FootnoteText"/>
        <w:jc w:val="left"/>
        <w:rPr>
          <w:i/>
        </w:rPr>
      </w:pPr>
      <w:r w:rsidRPr="00F70A7E">
        <w:rPr>
          <w:rStyle w:val="FootnoteReference"/>
        </w:rPr>
        <w:footnoteRef/>
      </w:r>
      <w:r w:rsidRPr="00F70A7E">
        <w:t xml:space="preserve"> </w:t>
      </w:r>
      <w:r w:rsidRPr="00F70A7E">
        <w:rPr>
          <w:i/>
        </w:rPr>
        <w:t>Id.</w:t>
      </w:r>
      <w:r w:rsidR="00932168" w:rsidRPr="00F70A7E">
        <w:t xml:space="preserve">  </w:t>
      </w:r>
    </w:p>
  </w:footnote>
  <w:footnote w:id="14">
    <w:p w14:paraId="5CD600E6" w14:textId="563535CD" w:rsidR="004F7FBB" w:rsidRPr="00F70A7E" w:rsidRDefault="004F7FBB" w:rsidP="00736932">
      <w:pPr>
        <w:pStyle w:val="FootnoteText"/>
        <w:jc w:val="left"/>
      </w:pPr>
      <w:r w:rsidRPr="00F70A7E">
        <w:rPr>
          <w:rStyle w:val="FootnoteReference"/>
        </w:rPr>
        <w:footnoteRef/>
      </w:r>
      <w:r w:rsidRPr="00F70A7E">
        <w:t xml:space="preserve"> </w:t>
      </w:r>
      <w:r w:rsidR="00D5545A" w:rsidRPr="00F70A7E">
        <w:rPr>
          <w:i/>
        </w:rPr>
        <w:t xml:space="preserve">Id. </w:t>
      </w:r>
      <w:r w:rsidR="000960FF" w:rsidRPr="00F70A7E">
        <w:t>at 2.</w:t>
      </w:r>
    </w:p>
  </w:footnote>
  <w:footnote w:id="15">
    <w:p w14:paraId="5D2430D8" w14:textId="7820EBF5" w:rsidR="00D5545A" w:rsidRPr="00F70A7E" w:rsidRDefault="00D5545A" w:rsidP="00736932">
      <w:pPr>
        <w:pStyle w:val="FootnoteText"/>
        <w:jc w:val="left"/>
      </w:pPr>
      <w:r w:rsidRPr="00F70A7E">
        <w:rPr>
          <w:rStyle w:val="FootnoteReference"/>
        </w:rPr>
        <w:footnoteRef/>
      </w:r>
      <w:r w:rsidRPr="00F70A7E">
        <w:t xml:space="preserve"> </w:t>
      </w:r>
      <w:r w:rsidRPr="00F70A7E">
        <w:rPr>
          <w:i/>
        </w:rPr>
        <w:t xml:space="preserve">Id. </w:t>
      </w:r>
      <w:r w:rsidR="000960FF" w:rsidRPr="00F70A7E">
        <w:t>at 8.</w:t>
      </w:r>
    </w:p>
  </w:footnote>
  <w:footnote w:id="16">
    <w:p w14:paraId="65E7C3E0" w14:textId="551E249E" w:rsidR="004F7FBB" w:rsidRPr="00F70A7E" w:rsidRDefault="004F7FBB" w:rsidP="00736932">
      <w:pPr>
        <w:pStyle w:val="FootnoteText"/>
        <w:jc w:val="left"/>
      </w:pPr>
      <w:r w:rsidRPr="00F70A7E">
        <w:rPr>
          <w:rStyle w:val="FootnoteReference"/>
        </w:rPr>
        <w:footnoteRef/>
      </w:r>
      <w:r w:rsidRPr="00F70A7E">
        <w:t xml:space="preserve"> </w:t>
      </w:r>
      <w:r w:rsidR="00D5545A" w:rsidRPr="00F70A7E">
        <w:rPr>
          <w:i/>
        </w:rPr>
        <w:t xml:space="preserve">Id. </w:t>
      </w:r>
      <w:r w:rsidR="00932168" w:rsidRPr="00F70A7E">
        <w:t xml:space="preserve"> </w:t>
      </w:r>
      <w:r w:rsidR="00D5545A" w:rsidRPr="00F70A7E">
        <w:t>AWN states that “</w:t>
      </w:r>
      <w:r w:rsidR="00467ECF" w:rsidRPr="00F70A7E">
        <w:t>[g]</w:t>
      </w:r>
      <w:r w:rsidR="00D5545A" w:rsidRPr="00F70A7E">
        <w:t xml:space="preserve">ood faith negotiations would include, among other things and by way of example only, terms providing for reasonable market-based lease rates, term periods, and build requirements similar to those proposed in this docket and in Commission Rule Section 27.14(g).”  </w:t>
      </w:r>
      <w:r w:rsidR="00D5545A" w:rsidRPr="00F70A7E">
        <w:rPr>
          <w:i/>
        </w:rPr>
        <w:t>Id</w:t>
      </w:r>
      <w:r w:rsidR="00D5545A" w:rsidRPr="00F70A7E">
        <w:t>.</w:t>
      </w:r>
      <w:r w:rsidR="00F11070" w:rsidRPr="00F70A7E">
        <w:t xml:space="preserve"> </w:t>
      </w:r>
      <w:r w:rsidR="00073F31" w:rsidRPr="00F70A7E">
        <w:t xml:space="preserve">at 8-9.  </w:t>
      </w:r>
      <w:r w:rsidR="00F11070" w:rsidRPr="00F70A7E">
        <w:rPr>
          <w:i/>
        </w:rPr>
        <w:t>See also</w:t>
      </w:r>
      <w:r w:rsidR="00F11070" w:rsidRPr="00F70A7E">
        <w:t xml:space="preserve"> AWN Reply at 6. </w:t>
      </w:r>
    </w:p>
  </w:footnote>
  <w:footnote w:id="17">
    <w:p w14:paraId="1D8B24B3" w14:textId="39BD35D4" w:rsidR="00544331" w:rsidRPr="00F70A7E" w:rsidRDefault="00544331" w:rsidP="00736932">
      <w:pPr>
        <w:pStyle w:val="FootnoteText"/>
        <w:jc w:val="left"/>
      </w:pPr>
      <w:r w:rsidRPr="00F70A7E">
        <w:rPr>
          <w:rStyle w:val="FootnoteReference"/>
        </w:rPr>
        <w:footnoteRef/>
      </w:r>
      <w:r w:rsidRPr="00F70A7E">
        <w:t xml:space="preserve"> </w:t>
      </w:r>
      <w:r w:rsidRPr="00F70A7E">
        <w:rPr>
          <w:i/>
          <w:iCs/>
        </w:rPr>
        <w:t>See</w:t>
      </w:r>
      <w:r w:rsidRPr="00F70A7E">
        <w:t xml:space="preserve"> </w:t>
      </w:r>
      <w:r w:rsidR="003821DF" w:rsidRPr="00F70A7E">
        <w:rPr>
          <w:i/>
        </w:rPr>
        <w:t>Wireless Telecommunications Bureau Seeks Comment on Alaska Wireless Network Request for Waiver of Geographic Coverage Requirement for 700 MHz License in Alaska</w:t>
      </w:r>
      <w:r w:rsidRPr="00F70A7E">
        <w:t>, Public Notice</w:t>
      </w:r>
      <w:r w:rsidRPr="00F70A7E">
        <w:rPr>
          <w:i/>
          <w:iCs/>
        </w:rPr>
        <w:t xml:space="preserve">, </w:t>
      </w:r>
      <w:r w:rsidR="003821DF" w:rsidRPr="00F70A7E">
        <w:rPr>
          <w:iCs/>
        </w:rPr>
        <w:t xml:space="preserve">31 FCC Rcd 13137 </w:t>
      </w:r>
      <w:r w:rsidRPr="00F70A7E">
        <w:t>(WTB 2016).</w:t>
      </w:r>
    </w:p>
  </w:footnote>
  <w:footnote w:id="18">
    <w:p w14:paraId="7E0BAE95" w14:textId="3133E359" w:rsidR="00544331" w:rsidRPr="00F70A7E" w:rsidRDefault="00544331" w:rsidP="00736932">
      <w:pPr>
        <w:pStyle w:val="FootnoteText"/>
        <w:jc w:val="left"/>
        <w:rPr>
          <w:i/>
        </w:rPr>
      </w:pPr>
      <w:r w:rsidRPr="00F70A7E">
        <w:rPr>
          <w:rStyle w:val="FootnoteReference"/>
        </w:rPr>
        <w:footnoteRef/>
      </w:r>
      <w:r w:rsidRPr="00F70A7E">
        <w:t xml:space="preserve"> </w:t>
      </w:r>
      <w:r w:rsidRPr="00F70A7E">
        <w:rPr>
          <w:i/>
          <w:iCs/>
        </w:rPr>
        <w:t xml:space="preserve">See </w:t>
      </w:r>
      <w:r w:rsidRPr="00F70A7E">
        <w:t>Comments</w:t>
      </w:r>
      <w:r w:rsidR="00F11070" w:rsidRPr="00F70A7E">
        <w:t xml:space="preserve"> of AT&amp;T</w:t>
      </w:r>
      <w:r w:rsidR="00DD03F4" w:rsidRPr="00F70A7E">
        <w:t xml:space="preserve">, filed </w:t>
      </w:r>
      <w:r w:rsidR="00C2419B" w:rsidRPr="00F70A7E">
        <w:t>Jan. 3</w:t>
      </w:r>
      <w:r w:rsidR="00DD03F4" w:rsidRPr="00F70A7E">
        <w:t>, 2017</w:t>
      </w:r>
      <w:r w:rsidRPr="00F70A7E">
        <w:t xml:space="preserve"> (AT&amp;T Comments); </w:t>
      </w:r>
      <w:r w:rsidR="00F11070" w:rsidRPr="00F70A7E">
        <w:t xml:space="preserve">Reply Comments of </w:t>
      </w:r>
      <w:r w:rsidRPr="00F70A7E">
        <w:t>King Street Wireless, L.P.</w:t>
      </w:r>
      <w:r w:rsidR="00F11070" w:rsidRPr="00F70A7E">
        <w:t>,</w:t>
      </w:r>
      <w:r w:rsidR="00DD03F4" w:rsidRPr="00F70A7E">
        <w:t xml:space="preserve"> filed </w:t>
      </w:r>
      <w:r w:rsidR="00C2419B" w:rsidRPr="00F70A7E">
        <w:t>Jan. 13</w:t>
      </w:r>
      <w:r w:rsidR="00DD03F4" w:rsidRPr="00F70A7E">
        <w:t>, 2017</w:t>
      </w:r>
      <w:r w:rsidRPr="00F70A7E">
        <w:t xml:space="preserve"> (King Street Reply).</w:t>
      </w:r>
    </w:p>
  </w:footnote>
  <w:footnote w:id="19">
    <w:p w14:paraId="4346B199" w14:textId="03FFFD44" w:rsidR="001F2CD0" w:rsidRPr="00F70A7E" w:rsidRDefault="001F2CD0" w:rsidP="00736932">
      <w:pPr>
        <w:pStyle w:val="FootnoteText"/>
        <w:jc w:val="left"/>
      </w:pPr>
      <w:r w:rsidRPr="00F70A7E">
        <w:rPr>
          <w:rStyle w:val="FootnoteReference"/>
        </w:rPr>
        <w:footnoteRef/>
      </w:r>
      <w:r w:rsidRPr="00F70A7E">
        <w:t xml:space="preserve"> </w:t>
      </w:r>
      <w:r w:rsidR="009165F0" w:rsidRPr="00F70A7E">
        <w:t>AT&amp;T Comments at 1-2.</w:t>
      </w:r>
    </w:p>
  </w:footnote>
  <w:footnote w:id="20">
    <w:p w14:paraId="10692C87" w14:textId="11FFC5AC" w:rsidR="008A6C37" w:rsidRPr="00F70A7E" w:rsidRDefault="008A6C37" w:rsidP="00736932">
      <w:pPr>
        <w:pStyle w:val="FootnoteText"/>
        <w:jc w:val="left"/>
      </w:pPr>
      <w:r w:rsidRPr="00F70A7E">
        <w:rPr>
          <w:rStyle w:val="FootnoteReference"/>
        </w:rPr>
        <w:footnoteRef/>
      </w:r>
      <w:r w:rsidRPr="00F70A7E">
        <w:t xml:space="preserve"> King Street Reply at 1.</w:t>
      </w:r>
    </w:p>
  </w:footnote>
  <w:footnote w:id="21">
    <w:p w14:paraId="213575E1" w14:textId="0796A09A" w:rsidR="00544331" w:rsidRPr="00F70A7E" w:rsidRDefault="00544331" w:rsidP="00736932">
      <w:pPr>
        <w:pStyle w:val="FootnoteText"/>
        <w:jc w:val="left"/>
      </w:pPr>
      <w:r w:rsidRPr="00F70A7E">
        <w:rPr>
          <w:rStyle w:val="FootnoteReference"/>
        </w:rPr>
        <w:footnoteRef/>
      </w:r>
      <w:r w:rsidRPr="00F70A7E">
        <w:t xml:space="preserve"> </w:t>
      </w:r>
      <w:r w:rsidR="00EA1CBE" w:rsidRPr="00F70A7E">
        <w:rPr>
          <w:i/>
        </w:rPr>
        <w:t>Id</w:t>
      </w:r>
      <w:r w:rsidR="00EA1CBE" w:rsidRPr="00F70A7E">
        <w:t>.</w:t>
      </w:r>
      <w:r w:rsidRPr="00F70A7E">
        <w:t xml:space="preserve"> at 2.</w:t>
      </w:r>
    </w:p>
  </w:footnote>
  <w:footnote w:id="22">
    <w:p w14:paraId="10E7709B" w14:textId="2F96B86B" w:rsidR="00400CD0" w:rsidRPr="00F70A7E" w:rsidRDefault="00400CD0" w:rsidP="00736932">
      <w:pPr>
        <w:pStyle w:val="FootnoteText"/>
        <w:jc w:val="left"/>
      </w:pPr>
      <w:r w:rsidRPr="00F70A7E">
        <w:rPr>
          <w:rStyle w:val="FootnoteReference"/>
        </w:rPr>
        <w:footnoteRef/>
      </w:r>
      <w:r w:rsidRPr="00F70A7E">
        <w:t xml:space="preserve"> Comments of the Rural Wireless Association, Inc., filed Jan. 3, 2017</w:t>
      </w:r>
      <w:r w:rsidR="000175C9" w:rsidRPr="00F70A7E">
        <w:t>,</w:t>
      </w:r>
      <w:r w:rsidRPr="00F70A7E">
        <w:t xml:space="preserve"> at 3 (RWA Comments).  </w:t>
      </w:r>
    </w:p>
  </w:footnote>
  <w:footnote w:id="23">
    <w:p w14:paraId="25EA35E4" w14:textId="44D21DD7" w:rsidR="00400CD0" w:rsidRPr="00F70A7E" w:rsidRDefault="00400CD0" w:rsidP="00736932">
      <w:pPr>
        <w:pStyle w:val="FootnoteText"/>
        <w:jc w:val="left"/>
      </w:pPr>
      <w:r w:rsidRPr="00F70A7E">
        <w:rPr>
          <w:rStyle w:val="FootnoteReference"/>
        </w:rPr>
        <w:footnoteRef/>
      </w:r>
      <w:r w:rsidRPr="00F70A7E">
        <w:t xml:space="preserve"> </w:t>
      </w:r>
      <w:r w:rsidR="00395A61" w:rsidRPr="00F70A7E">
        <w:rPr>
          <w:i/>
        </w:rPr>
        <w:t>See id</w:t>
      </w:r>
      <w:r w:rsidRPr="00F70A7E">
        <w:t>. at 6.</w:t>
      </w:r>
      <w:r w:rsidR="00395A61" w:rsidRPr="00F70A7E">
        <w:t xml:space="preserve"> </w:t>
      </w:r>
    </w:p>
  </w:footnote>
  <w:footnote w:id="24">
    <w:p w14:paraId="612E2EE8" w14:textId="77777777" w:rsidR="00395A61" w:rsidRPr="00F70A7E" w:rsidRDefault="00395A61" w:rsidP="00736932">
      <w:pPr>
        <w:pStyle w:val="FootnoteText"/>
        <w:jc w:val="left"/>
      </w:pPr>
      <w:r w:rsidRPr="00F70A7E">
        <w:rPr>
          <w:rStyle w:val="FootnoteReference"/>
        </w:rPr>
        <w:footnoteRef/>
      </w:r>
      <w:r w:rsidRPr="00F70A7E">
        <w:t xml:space="preserve"> AWN Reply at 6.</w:t>
      </w:r>
    </w:p>
  </w:footnote>
  <w:footnote w:id="25">
    <w:p w14:paraId="714A2AC1" w14:textId="4BCF9F97" w:rsidR="00F147C6" w:rsidRPr="00F70A7E" w:rsidRDefault="00F147C6" w:rsidP="00736932">
      <w:pPr>
        <w:pStyle w:val="FootnoteText"/>
        <w:jc w:val="left"/>
      </w:pPr>
      <w:r w:rsidRPr="00F70A7E">
        <w:rPr>
          <w:rStyle w:val="FootnoteReference"/>
        </w:rPr>
        <w:footnoteRef/>
      </w:r>
      <w:r w:rsidRPr="00F70A7E">
        <w:t xml:space="preserve"> </w:t>
      </w:r>
      <w:r w:rsidR="004F17F1" w:rsidRPr="00F70A7E">
        <w:rPr>
          <w:i/>
        </w:rPr>
        <w:t>Id</w:t>
      </w:r>
      <w:r w:rsidR="004F17F1" w:rsidRPr="00F70A7E">
        <w:t xml:space="preserve">. at 2. </w:t>
      </w:r>
    </w:p>
  </w:footnote>
  <w:footnote w:id="26">
    <w:p w14:paraId="770E9EF3" w14:textId="77777777" w:rsidR="00976D58" w:rsidRPr="00F70A7E" w:rsidRDefault="00976D58" w:rsidP="00736932">
      <w:pPr>
        <w:pStyle w:val="FootnoteText"/>
        <w:jc w:val="left"/>
      </w:pPr>
      <w:r w:rsidRPr="00F70A7E">
        <w:rPr>
          <w:rStyle w:val="FootnoteReference"/>
        </w:rPr>
        <w:footnoteRef/>
      </w:r>
      <w:r w:rsidRPr="00F70A7E">
        <w:t xml:space="preserve"> </w:t>
      </w:r>
      <w:r w:rsidRPr="00F70A7E">
        <w:rPr>
          <w:i/>
          <w:color w:val="000000" w:themeColor="text1"/>
        </w:rPr>
        <w:t>See</w:t>
      </w:r>
      <w:r w:rsidRPr="00F70A7E">
        <w:rPr>
          <w:color w:val="000000" w:themeColor="text1"/>
        </w:rPr>
        <w:t xml:space="preserve"> </w:t>
      </w:r>
      <w:r w:rsidRPr="00F70A7E">
        <w:rPr>
          <w:i/>
          <w:color w:val="000000" w:themeColor="text1"/>
        </w:rPr>
        <w:t xml:space="preserve">WAIT Radio v. FCC, </w:t>
      </w:r>
      <w:r w:rsidRPr="00F70A7E">
        <w:rPr>
          <w:color w:val="000000" w:themeColor="text1"/>
        </w:rPr>
        <w:t xml:space="preserve">459 F.2d 1203, 1207 (D.C. Cir. 1972).  </w:t>
      </w:r>
    </w:p>
  </w:footnote>
  <w:footnote w:id="27">
    <w:p w14:paraId="423EAECB" w14:textId="28D805E3" w:rsidR="00AE235D" w:rsidRPr="00F70A7E" w:rsidRDefault="00AE235D" w:rsidP="00736932">
      <w:pPr>
        <w:pStyle w:val="FootnoteText"/>
        <w:jc w:val="left"/>
      </w:pPr>
      <w:r w:rsidRPr="00F70A7E">
        <w:rPr>
          <w:rStyle w:val="FootnoteReference"/>
        </w:rPr>
        <w:footnoteRef/>
      </w:r>
      <w:r w:rsidRPr="00F70A7E">
        <w:t xml:space="preserve"> 47 CFR § 1.925(b)(3).</w:t>
      </w:r>
    </w:p>
  </w:footnote>
  <w:footnote w:id="28">
    <w:p w14:paraId="174EBC8E" w14:textId="1EAE1720" w:rsidR="00391A95" w:rsidRPr="00F70A7E" w:rsidRDefault="00391A95" w:rsidP="00736932">
      <w:pPr>
        <w:pStyle w:val="FootnoteText"/>
        <w:jc w:val="left"/>
      </w:pPr>
      <w:r w:rsidRPr="00F70A7E">
        <w:rPr>
          <w:rStyle w:val="FootnoteReference"/>
        </w:rPr>
        <w:footnoteRef/>
      </w:r>
      <w:r w:rsidRPr="00F70A7E">
        <w:t xml:space="preserve"> </w:t>
      </w:r>
      <w:r w:rsidRPr="00F70A7E">
        <w:rPr>
          <w:i/>
        </w:rPr>
        <w:t xml:space="preserve">See </w:t>
      </w:r>
      <w:r w:rsidR="003245A0" w:rsidRPr="00F70A7E">
        <w:t xml:space="preserve">47 U.S.C. </w:t>
      </w:r>
      <w:r w:rsidR="007E2786" w:rsidRPr="00F70A7E">
        <w:t xml:space="preserve">§ 309(j)(3)(D).  </w:t>
      </w:r>
      <w:r w:rsidR="007E2786" w:rsidRPr="00F70A7E">
        <w:rPr>
          <w:i/>
        </w:rPr>
        <w:t xml:space="preserve">Cf. id. </w:t>
      </w:r>
      <w:r w:rsidR="003245A0" w:rsidRPr="00F70A7E">
        <w:t>§ 309(j)(4)(B).</w:t>
      </w:r>
    </w:p>
  </w:footnote>
  <w:footnote w:id="29">
    <w:p w14:paraId="28793719" w14:textId="599A51D8" w:rsidR="00391A95" w:rsidRPr="00F70A7E" w:rsidRDefault="00391A95" w:rsidP="00736932">
      <w:pPr>
        <w:pStyle w:val="FootnoteText"/>
        <w:jc w:val="left"/>
      </w:pPr>
      <w:r w:rsidRPr="00F70A7E">
        <w:rPr>
          <w:rStyle w:val="FootnoteReference"/>
        </w:rPr>
        <w:footnoteRef/>
      </w:r>
      <w:r w:rsidRPr="00F70A7E">
        <w:t xml:space="preserve"> </w:t>
      </w:r>
      <w:r w:rsidRPr="00F70A7E">
        <w:rPr>
          <w:i/>
        </w:rPr>
        <w:t>See</w:t>
      </w:r>
      <w:r w:rsidR="00106079" w:rsidRPr="00F70A7E">
        <w:rPr>
          <w:i/>
        </w:rPr>
        <w:t xml:space="preserve"> WAIT Radio v. FCC, </w:t>
      </w:r>
      <w:r w:rsidR="00106079" w:rsidRPr="00F70A7E">
        <w:t xml:space="preserve">418 F.2d 1153, 1157 (D.C. Cir. 1969), </w:t>
      </w:r>
      <w:r w:rsidR="00106079" w:rsidRPr="00F70A7E">
        <w:rPr>
          <w:i/>
        </w:rPr>
        <w:t xml:space="preserve">aff'd, </w:t>
      </w:r>
      <w:r w:rsidR="00106079" w:rsidRPr="00F70A7E">
        <w:t xml:space="preserve">459 F.2d 1203 (1972), </w:t>
      </w:r>
      <w:r w:rsidR="00106079" w:rsidRPr="00F70A7E">
        <w:rPr>
          <w:i/>
        </w:rPr>
        <w:t>cert. denied</w:t>
      </w:r>
      <w:r w:rsidR="00106079" w:rsidRPr="00F70A7E">
        <w:t>, 93 S. Ct. 461 (1972).</w:t>
      </w:r>
    </w:p>
  </w:footnote>
  <w:footnote w:id="30">
    <w:p w14:paraId="6BAFBC61" w14:textId="2B51D163" w:rsidR="008650B7" w:rsidRPr="00F70A7E" w:rsidRDefault="008650B7" w:rsidP="00736932">
      <w:pPr>
        <w:pStyle w:val="FootnoteText"/>
        <w:jc w:val="left"/>
        <w:rPr>
          <w:highlight w:val="yellow"/>
        </w:rPr>
      </w:pPr>
      <w:r w:rsidRPr="00F70A7E">
        <w:rPr>
          <w:rStyle w:val="FootnoteReference"/>
        </w:rPr>
        <w:footnoteRef/>
      </w:r>
      <w:r w:rsidRPr="00F70A7E">
        <w:t xml:space="preserve"> </w:t>
      </w:r>
      <w:r w:rsidR="00ED465B" w:rsidRPr="00F70A7E">
        <w:rPr>
          <w:i/>
        </w:rPr>
        <w:t>700 MHz Second Report and Order</w:t>
      </w:r>
      <w:r w:rsidR="00ED465B" w:rsidRPr="00F70A7E">
        <w:t xml:space="preserve">, 22 FCC Rcd at 15348, para. 153.  The Commission also stated that Section 27.14(g)’s performance requirements “will provide all licensees with incentives to serve more rural communities” and “are the most effective way to promote rapid service to the public, especially in rural areas.”  </w:t>
      </w:r>
      <w:r w:rsidR="0081691B" w:rsidRPr="00F70A7E">
        <w:rPr>
          <w:i/>
        </w:rPr>
        <w:t>700 MHz Second Report and Order</w:t>
      </w:r>
      <w:r w:rsidR="00ED465B" w:rsidRPr="00F70A7E">
        <w:t>, 22 FCC Rcd at 15349, para. 155.</w:t>
      </w:r>
    </w:p>
  </w:footnote>
  <w:footnote w:id="31">
    <w:p w14:paraId="5FC8675D" w14:textId="7CDA8CEA" w:rsidR="009E313D" w:rsidRPr="00F70A7E" w:rsidRDefault="009E313D" w:rsidP="00736932">
      <w:pPr>
        <w:pStyle w:val="FootnoteText"/>
        <w:jc w:val="left"/>
      </w:pPr>
      <w:r w:rsidRPr="00F70A7E">
        <w:rPr>
          <w:rStyle w:val="FootnoteReference"/>
        </w:rPr>
        <w:footnoteRef/>
      </w:r>
      <w:r w:rsidRPr="00F70A7E">
        <w:t xml:space="preserve"> </w:t>
      </w:r>
      <w:r w:rsidRPr="00F70A7E">
        <w:rPr>
          <w:i/>
        </w:rPr>
        <w:t xml:space="preserve">See </w:t>
      </w:r>
      <w:r w:rsidR="0081691B" w:rsidRPr="00F70A7E">
        <w:t>RWA Comments</w:t>
      </w:r>
      <w:r w:rsidRPr="00F70A7E">
        <w:rPr>
          <w:i/>
        </w:rPr>
        <w:t xml:space="preserve"> </w:t>
      </w:r>
      <w:r w:rsidRPr="00F70A7E">
        <w:t xml:space="preserve">at 4. </w:t>
      </w:r>
    </w:p>
  </w:footnote>
  <w:footnote w:id="32">
    <w:p w14:paraId="26324B1B" w14:textId="2E603505" w:rsidR="009E313D" w:rsidRPr="00F70A7E" w:rsidRDefault="009E313D" w:rsidP="00736932">
      <w:pPr>
        <w:pStyle w:val="FootnoteText"/>
        <w:jc w:val="left"/>
      </w:pPr>
      <w:r w:rsidRPr="00F70A7E">
        <w:rPr>
          <w:rStyle w:val="FootnoteReference"/>
        </w:rPr>
        <w:footnoteRef/>
      </w:r>
      <w:r w:rsidRPr="00F70A7E">
        <w:t xml:space="preserve"> </w:t>
      </w:r>
      <w:r w:rsidRPr="00F70A7E">
        <w:rPr>
          <w:i/>
        </w:rPr>
        <w:t>See id</w:t>
      </w:r>
      <w:r w:rsidRPr="00F70A7E">
        <w:t>. at 6</w:t>
      </w:r>
      <w:r w:rsidR="00932168" w:rsidRPr="00F70A7E">
        <w:t>.</w:t>
      </w:r>
    </w:p>
  </w:footnote>
  <w:footnote w:id="33">
    <w:p w14:paraId="727808FF" w14:textId="5C39BEF9" w:rsidR="009E313D" w:rsidRPr="00F70A7E" w:rsidRDefault="009E313D" w:rsidP="00736932">
      <w:pPr>
        <w:pStyle w:val="FootnoteText"/>
        <w:jc w:val="left"/>
      </w:pPr>
      <w:r w:rsidRPr="00F70A7E">
        <w:rPr>
          <w:rStyle w:val="FootnoteReference"/>
        </w:rPr>
        <w:footnoteRef/>
      </w:r>
      <w:r w:rsidRPr="00F70A7E">
        <w:t xml:space="preserve"> </w:t>
      </w:r>
      <w:r w:rsidRPr="00F70A7E">
        <w:rPr>
          <w:i/>
        </w:rPr>
        <w:t>See id</w:t>
      </w:r>
      <w:r w:rsidRPr="00F70A7E">
        <w:t xml:space="preserve">. </w:t>
      </w:r>
    </w:p>
  </w:footnote>
  <w:footnote w:id="34">
    <w:p w14:paraId="6AC4BCA6" w14:textId="3BDEBD22" w:rsidR="00E4098F" w:rsidRPr="00F70A7E" w:rsidRDefault="00E4098F" w:rsidP="00736932">
      <w:pPr>
        <w:pStyle w:val="FootnoteText"/>
        <w:jc w:val="left"/>
      </w:pPr>
      <w:r w:rsidRPr="00F70A7E">
        <w:rPr>
          <w:rStyle w:val="FootnoteReference"/>
        </w:rPr>
        <w:footnoteRef/>
      </w:r>
      <w:r w:rsidRPr="00F70A7E">
        <w:t xml:space="preserve"> </w:t>
      </w:r>
      <w:r w:rsidRPr="00F70A7E">
        <w:rPr>
          <w:i/>
        </w:rPr>
        <w:t xml:space="preserve">See id. </w:t>
      </w:r>
      <w:r w:rsidRPr="00F70A7E">
        <w:t xml:space="preserve">at 3-4. </w:t>
      </w:r>
    </w:p>
  </w:footnote>
  <w:footnote w:id="35">
    <w:p w14:paraId="661D4506" w14:textId="6B0AA3A8" w:rsidR="00366340" w:rsidRPr="00F70A7E" w:rsidRDefault="00366340" w:rsidP="00736932">
      <w:pPr>
        <w:pStyle w:val="FootnoteText"/>
        <w:jc w:val="left"/>
      </w:pPr>
      <w:r w:rsidRPr="00F70A7E">
        <w:rPr>
          <w:rStyle w:val="FootnoteReference"/>
        </w:rPr>
        <w:footnoteRef/>
      </w:r>
      <w:r w:rsidR="008D682D" w:rsidRPr="00F70A7E">
        <w:t xml:space="preserve"> </w:t>
      </w:r>
      <w:r w:rsidR="008D682D" w:rsidRPr="00F70A7E">
        <w:rPr>
          <w:i/>
        </w:rPr>
        <w:t>See id.</w:t>
      </w:r>
      <w:r w:rsidR="008D682D" w:rsidRPr="00F70A7E">
        <w:t xml:space="preserve"> at 7, citing 47 CFR § 1.946(e).</w:t>
      </w:r>
      <w:r w:rsidRPr="00F70A7E">
        <w:t xml:space="preserve"> </w:t>
      </w:r>
    </w:p>
  </w:footnote>
  <w:footnote w:id="36">
    <w:p w14:paraId="47C41B78" w14:textId="43904EF4" w:rsidR="00ED283D" w:rsidRPr="00F70A7E" w:rsidRDefault="00ED283D" w:rsidP="00736932">
      <w:pPr>
        <w:pStyle w:val="FootnoteText"/>
        <w:jc w:val="left"/>
      </w:pPr>
      <w:r w:rsidRPr="00F70A7E">
        <w:rPr>
          <w:rStyle w:val="FootnoteReference"/>
        </w:rPr>
        <w:footnoteRef/>
      </w:r>
      <w:r w:rsidRPr="00F70A7E">
        <w:t xml:space="preserve"> </w:t>
      </w:r>
      <w:r w:rsidR="005F1C01" w:rsidRPr="00F70A7E">
        <w:rPr>
          <w:i/>
        </w:rPr>
        <w:t>See AT&amp;T Request for Waiver of Section 27.14(g)</w:t>
      </w:r>
      <w:r w:rsidR="005F1C01" w:rsidRPr="00F70A7E">
        <w:t>, Letter Order, 32 FCC Rcd 512</w:t>
      </w:r>
      <w:r w:rsidR="005F1C01" w:rsidRPr="00F70A7E">
        <w:rPr>
          <w:i/>
        </w:rPr>
        <w:t xml:space="preserve"> </w:t>
      </w:r>
      <w:r w:rsidR="005F1C01" w:rsidRPr="00F70A7E">
        <w:t>(WTB Mobility Div. Jan. 18, 2017) (</w:t>
      </w:r>
      <w:r w:rsidR="005F1C01" w:rsidRPr="00F70A7E">
        <w:rPr>
          <w:i/>
        </w:rPr>
        <w:t>AT&amp;T Waiver Order</w:t>
      </w:r>
      <w:r w:rsidR="005F1C01" w:rsidRPr="00F70A7E">
        <w:t xml:space="preserve">).  </w:t>
      </w:r>
      <w:r w:rsidR="00095A57" w:rsidRPr="00F70A7E">
        <w:t>Application for Review of the Rural Wireless Association, Inc., WT Docket No. 16-335 (filed Feb. 17, 2017)</w:t>
      </w:r>
      <w:r w:rsidR="00FA154B" w:rsidRPr="00F70A7E">
        <w:t xml:space="preserve"> (pending)</w:t>
      </w:r>
      <w:r w:rsidR="00095A57" w:rsidRPr="00F70A7E">
        <w:t>.</w:t>
      </w:r>
      <w:r w:rsidRPr="00F70A7E">
        <w:t xml:space="preserve">  The AT&amp;T Waiver applied to a Lower 700 MHz B Block license in Alaska Cellular Market Area 315.</w:t>
      </w:r>
    </w:p>
  </w:footnote>
  <w:footnote w:id="37">
    <w:p w14:paraId="75F46A14" w14:textId="1945A8DC" w:rsidR="002365BE" w:rsidRPr="00F70A7E" w:rsidRDefault="002365BE" w:rsidP="00736932">
      <w:pPr>
        <w:pStyle w:val="FootnoteText"/>
        <w:jc w:val="left"/>
      </w:pPr>
      <w:r w:rsidRPr="00F70A7E">
        <w:rPr>
          <w:rStyle w:val="FootnoteReference"/>
        </w:rPr>
        <w:footnoteRef/>
      </w:r>
      <w:r w:rsidRPr="00F70A7E">
        <w:t xml:space="preserve"> </w:t>
      </w:r>
      <w:r w:rsidR="00657B72" w:rsidRPr="00F70A7E">
        <w:rPr>
          <w:i/>
        </w:rPr>
        <w:t xml:space="preserve">See </w:t>
      </w:r>
      <w:r w:rsidR="00D771ED" w:rsidRPr="00F70A7E">
        <w:rPr>
          <w:i/>
        </w:rPr>
        <w:t>AT&amp;T Waiver Order</w:t>
      </w:r>
      <w:r w:rsidR="0081691B" w:rsidRPr="00F70A7E">
        <w:t>, 32 FCC Rcd</w:t>
      </w:r>
      <w:r w:rsidR="00657B72" w:rsidRPr="00F70A7E">
        <w:rPr>
          <w:i/>
        </w:rPr>
        <w:t xml:space="preserve"> </w:t>
      </w:r>
      <w:r w:rsidR="00657B72" w:rsidRPr="00F70A7E">
        <w:t xml:space="preserve">at </w:t>
      </w:r>
      <w:r w:rsidR="005D132E" w:rsidRPr="00F70A7E">
        <w:t>514-515</w:t>
      </w:r>
      <w:r w:rsidR="003245A0" w:rsidRPr="00F70A7E">
        <w:t xml:space="preserve"> (noting Alaska’s vast size, lack of backhaul and other infrastructure, its sparse population distribution, and difficult geographic and weather conditions (temperatures often fall below zero for long periods during the winter months in much of the license area)</w:t>
      </w:r>
      <w:r w:rsidR="00AE684A" w:rsidRPr="00F70A7E">
        <w:t>)</w:t>
      </w:r>
      <w:r w:rsidR="00657B72" w:rsidRPr="00F70A7E">
        <w:t>.</w:t>
      </w:r>
    </w:p>
  </w:footnote>
  <w:footnote w:id="38">
    <w:p w14:paraId="22E6B91C" w14:textId="7C582C40" w:rsidR="00ED283D" w:rsidRPr="00F70A7E" w:rsidRDefault="00ED283D" w:rsidP="00736932">
      <w:pPr>
        <w:pStyle w:val="FootnoteText"/>
        <w:jc w:val="left"/>
      </w:pPr>
      <w:r w:rsidRPr="00F70A7E">
        <w:rPr>
          <w:rStyle w:val="FootnoteReference"/>
        </w:rPr>
        <w:footnoteRef/>
      </w:r>
      <w:r w:rsidR="00657B72" w:rsidRPr="00F70A7E">
        <w:t xml:space="preserve"> </w:t>
      </w:r>
      <w:r w:rsidR="00D771ED" w:rsidRPr="00F70A7E">
        <w:rPr>
          <w:i/>
        </w:rPr>
        <w:t>AT&amp;T Waiver Order</w:t>
      </w:r>
      <w:r w:rsidR="0081691B" w:rsidRPr="00F70A7E">
        <w:t>, 32 FCC Rcd</w:t>
      </w:r>
      <w:r w:rsidR="00657B72" w:rsidRPr="00F70A7E">
        <w:rPr>
          <w:i/>
        </w:rPr>
        <w:t xml:space="preserve"> </w:t>
      </w:r>
      <w:r w:rsidR="00657B72" w:rsidRPr="00F70A7E">
        <w:t xml:space="preserve">at </w:t>
      </w:r>
      <w:r w:rsidR="005D132E" w:rsidRPr="00F70A7E">
        <w:t>512</w:t>
      </w:r>
      <w:r w:rsidR="00657B72" w:rsidRPr="00F70A7E">
        <w:t>.</w:t>
      </w:r>
      <w:r w:rsidRPr="00F70A7E">
        <w:t xml:space="preserve"> </w:t>
      </w:r>
    </w:p>
  </w:footnote>
  <w:footnote w:id="39">
    <w:p w14:paraId="233CFBAB" w14:textId="737984D4" w:rsidR="003D13D6" w:rsidRPr="00F70A7E" w:rsidRDefault="003D13D6" w:rsidP="00736932">
      <w:pPr>
        <w:pStyle w:val="FootnoteText"/>
        <w:jc w:val="left"/>
      </w:pPr>
      <w:r w:rsidRPr="00F70A7E">
        <w:rPr>
          <w:rStyle w:val="FootnoteReference"/>
        </w:rPr>
        <w:footnoteRef/>
      </w:r>
      <w:r w:rsidRPr="00F70A7E">
        <w:t xml:space="preserve"> </w:t>
      </w:r>
      <w:r w:rsidRPr="00F70A7E">
        <w:rPr>
          <w:i/>
        </w:rPr>
        <w:t>See Auction of 700 MHz Band Licenses Scheduled for January 24, 2008</w:t>
      </w:r>
      <w:r w:rsidRPr="00F70A7E">
        <w:t>, Public Notice, 22 FCC Rcd 18141, 18155-57, paras. 39-47 (WTB 2007).</w:t>
      </w:r>
    </w:p>
  </w:footnote>
  <w:footnote w:id="40">
    <w:p w14:paraId="4E3945BF" w14:textId="77777777" w:rsidR="00FC4688" w:rsidRPr="00F70A7E" w:rsidRDefault="00FC4688" w:rsidP="00736932">
      <w:pPr>
        <w:pStyle w:val="FootnoteText"/>
        <w:jc w:val="left"/>
      </w:pPr>
      <w:r w:rsidRPr="00F70A7E">
        <w:rPr>
          <w:rStyle w:val="FootnoteReference"/>
        </w:rPr>
        <w:footnoteRef/>
      </w:r>
      <w:r w:rsidRPr="00F70A7E">
        <w:t xml:space="preserve"> </w:t>
      </w:r>
      <w:r w:rsidRPr="00F70A7E">
        <w:rPr>
          <w:i/>
        </w:rPr>
        <w:t>700 MHz Reconsideration Order</w:t>
      </w:r>
      <w:r w:rsidRPr="00F70A7E">
        <w:t>, 28 FCC Rcd at 2674, para. 6.</w:t>
      </w:r>
    </w:p>
  </w:footnote>
  <w:footnote w:id="41">
    <w:p w14:paraId="06358FC6" w14:textId="77777777" w:rsidR="00FC4688" w:rsidRPr="00F70A7E" w:rsidRDefault="00FC4688" w:rsidP="00736932">
      <w:pPr>
        <w:pStyle w:val="FootnoteText"/>
        <w:jc w:val="left"/>
      </w:pPr>
      <w:r w:rsidRPr="00F70A7E">
        <w:rPr>
          <w:rStyle w:val="FootnoteReference"/>
        </w:rPr>
        <w:footnoteRef/>
      </w:r>
      <w:r w:rsidRPr="00F70A7E">
        <w:t xml:space="preserve"> </w:t>
      </w:r>
      <w:r w:rsidRPr="00F70A7E">
        <w:rPr>
          <w:i/>
        </w:rPr>
        <w:t>700 MHz Reconsideration Order</w:t>
      </w:r>
      <w:r w:rsidRPr="00F70A7E">
        <w:t>, 28 FCC Rcd at 2675, para. 9.</w:t>
      </w:r>
    </w:p>
  </w:footnote>
  <w:footnote w:id="42">
    <w:p w14:paraId="3E6E0B54" w14:textId="14B10BA1" w:rsidR="00AE235D" w:rsidRPr="00F70A7E" w:rsidRDefault="00AE235D" w:rsidP="00736932">
      <w:pPr>
        <w:pStyle w:val="FootnoteText"/>
        <w:jc w:val="left"/>
      </w:pPr>
      <w:r w:rsidRPr="00F70A7E">
        <w:rPr>
          <w:rStyle w:val="FootnoteReference"/>
        </w:rPr>
        <w:footnoteRef/>
      </w:r>
      <w:r w:rsidRPr="00F70A7E">
        <w:t xml:space="preserve"> </w:t>
      </w:r>
      <w:r w:rsidRPr="00F70A7E">
        <w:rPr>
          <w:i/>
        </w:rPr>
        <w:t xml:space="preserve">See </w:t>
      </w:r>
      <w:r w:rsidRPr="00F70A7E">
        <w:t xml:space="preserve">Waiver Request at </w:t>
      </w:r>
      <w:r w:rsidR="006B1148" w:rsidRPr="00F70A7E">
        <w:t>5</w:t>
      </w:r>
      <w:r w:rsidRPr="00F70A7E">
        <w:t>.</w:t>
      </w:r>
    </w:p>
  </w:footnote>
  <w:footnote w:id="43">
    <w:p w14:paraId="12E8B83E" w14:textId="5610C3CE" w:rsidR="00476B98" w:rsidRPr="00F70A7E" w:rsidRDefault="00476B98" w:rsidP="00736932">
      <w:pPr>
        <w:pStyle w:val="FootnoteText"/>
        <w:jc w:val="left"/>
      </w:pPr>
      <w:r w:rsidRPr="00F70A7E">
        <w:rPr>
          <w:rStyle w:val="FootnoteReference"/>
        </w:rPr>
        <w:footnoteRef/>
      </w:r>
      <w:r w:rsidRPr="00F70A7E">
        <w:t xml:space="preserve"> </w:t>
      </w:r>
      <w:r w:rsidRPr="00F70A7E">
        <w:rPr>
          <w:i/>
        </w:rPr>
        <w:t>Connect America Fund; Universal Service Reform – Mobility Fund; Connect America Fund - Alaska Plan</w:t>
      </w:r>
      <w:r w:rsidRPr="00F70A7E">
        <w:t>, Report and Order and Further Notice of Proposed Rulemaking, 31 FCC Rcd 10139, 10162, para. 72 (2016)</w:t>
      </w:r>
      <w:r w:rsidR="007F1F6D" w:rsidRPr="00F70A7E">
        <w:t xml:space="preserve"> (</w:t>
      </w:r>
      <w:r w:rsidR="007F1F6D" w:rsidRPr="00F70A7E">
        <w:rPr>
          <w:i/>
        </w:rPr>
        <w:t>Alaska Plan</w:t>
      </w:r>
      <w:r w:rsidR="007F1F6D" w:rsidRPr="00F70A7E">
        <w:t>)</w:t>
      </w:r>
      <w:r w:rsidRPr="00F70A7E">
        <w:t xml:space="preserve"> (citing </w:t>
      </w:r>
      <w:r w:rsidRPr="00F70A7E">
        <w:rPr>
          <w:i/>
          <w:iCs/>
        </w:rPr>
        <w:t>Connect America Fund et al.</w:t>
      </w:r>
      <w:r w:rsidRPr="00F70A7E">
        <w:t>, Report and Order and Further Notice of Proposed Rulemaking, 26 FCC Rcd 17663, 17829, para. 507 (2011)</w:t>
      </w:r>
      <w:r w:rsidR="007428FD" w:rsidRPr="00F70A7E">
        <w:t xml:space="preserve"> (</w:t>
      </w:r>
      <w:r w:rsidR="007428FD" w:rsidRPr="00F70A7E">
        <w:rPr>
          <w:i/>
          <w:iCs/>
        </w:rPr>
        <w:t>USF/ICC Transformation Order</w:t>
      </w:r>
      <w:r w:rsidR="007428FD" w:rsidRPr="00F70A7E">
        <w:t>)</w:t>
      </w:r>
      <w:r w:rsidRPr="00F70A7E">
        <w:t xml:space="preserve">, </w:t>
      </w:r>
      <w:r w:rsidRPr="00F70A7E">
        <w:rPr>
          <w:i/>
          <w:iCs/>
        </w:rPr>
        <w:t>aff’d</w:t>
      </w:r>
      <w:r w:rsidRPr="00F70A7E">
        <w:t xml:space="preserve"> </w:t>
      </w:r>
      <w:r w:rsidRPr="00F70A7E">
        <w:rPr>
          <w:i/>
          <w:iCs/>
        </w:rPr>
        <w:t>sub nom. FCC 11-161</w:t>
      </w:r>
      <w:r w:rsidRPr="00F70A7E">
        <w:t>, 753 F.3d 1015 (10th Cir. 2014)).</w:t>
      </w:r>
    </w:p>
  </w:footnote>
  <w:footnote w:id="44">
    <w:p w14:paraId="23FC2031" w14:textId="0DCC943A" w:rsidR="00D15B45" w:rsidRPr="00F70A7E" w:rsidRDefault="00D15B45" w:rsidP="00736932">
      <w:pPr>
        <w:pStyle w:val="FootnoteText"/>
        <w:jc w:val="left"/>
      </w:pPr>
      <w:r w:rsidRPr="00F70A7E">
        <w:rPr>
          <w:rStyle w:val="FootnoteReference"/>
        </w:rPr>
        <w:footnoteRef/>
      </w:r>
      <w:r w:rsidRPr="00F70A7E">
        <w:t xml:space="preserve"> </w:t>
      </w:r>
      <w:r w:rsidRPr="00F70A7E">
        <w:rPr>
          <w:i/>
        </w:rPr>
        <w:t xml:space="preserve">See </w:t>
      </w:r>
      <w:r w:rsidRPr="00F70A7E">
        <w:t>Western Regional Climate Center, Climate of Alaska, http://www.wrcc.dri.edu/narratives/ALASKA.htm; National Park Service, Denali, https://www.nps.gov/dena/index.htm.</w:t>
      </w:r>
    </w:p>
  </w:footnote>
  <w:footnote w:id="45">
    <w:p w14:paraId="0103F287" w14:textId="53C260DD" w:rsidR="008A0B96" w:rsidRPr="00F70A7E" w:rsidRDefault="008A0B96" w:rsidP="00736932">
      <w:pPr>
        <w:pStyle w:val="FootnoteText"/>
        <w:jc w:val="left"/>
        <w:rPr>
          <w:i/>
        </w:rPr>
      </w:pPr>
      <w:r w:rsidRPr="00F70A7E">
        <w:rPr>
          <w:rStyle w:val="FootnoteReference"/>
        </w:rPr>
        <w:footnoteRef/>
      </w:r>
      <w:r w:rsidRPr="00F70A7E">
        <w:t xml:space="preserve"> </w:t>
      </w:r>
      <w:r w:rsidR="00006328" w:rsidRPr="00F70A7E">
        <w:rPr>
          <w:i/>
        </w:rPr>
        <w:t xml:space="preserve">See </w:t>
      </w:r>
      <w:r w:rsidR="00006328" w:rsidRPr="00F70A7E">
        <w:t xml:space="preserve">National Oceanic and Atmospheric Administration, Climate at a Glance, https://www.ncdc.noaa.gov/cag/.  </w:t>
      </w:r>
      <w:r w:rsidR="00006328" w:rsidRPr="00F70A7E">
        <w:rPr>
          <w:i/>
        </w:rPr>
        <w:t xml:space="preserve">See also See </w:t>
      </w:r>
      <w:r w:rsidR="00006328" w:rsidRPr="00F70A7E">
        <w:t>Western Regional Climate Center, Climate of Alaska, http://www.wrcc.dri.edu/narratives/ALASKA.htm.</w:t>
      </w:r>
    </w:p>
  </w:footnote>
  <w:footnote w:id="46">
    <w:p w14:paraId="46AB523B" w14:textId="4309DFA8" w:rsidR="005F68BC" w:rsidRPr="00F70A7E" w:rsidRDefault="005F68BC" w:rsidP="00736932">
      <w:pPr>
        <w:pStyle w:val="FootnoteText"/>
        <w:jc w:val="left"/>
        <w:rPr>
          <w:i/>
        </w:rPr>
      </w:pPr>
      <w:r w:rsidRPr="00F70A7E">
        <w:rPr>
          <w:rStyle w:val="FootnoteReference"/>
        </w:rPr>
        <w:footnoteRef/>
      </w:r>
      <w:r w:rsidRPr="00F70A7E">
        <w:t xml:space="preserve"> </w:t>
      </w:r>
      <w:r w:rsidR="00006328" w:rsidRPr="00F70A7E">
        <w:rPr>
          <w:i/>
        </w:rPr>
        <w:t xml:space="preserve">See </w:t>
      </w:r>
      <w:r w:rsidR="00006328" w:rsidRPr="00F70A7E">
        <w:t xml:space="preserve">National Oceanic and Atmospheric Administration, Climate at a Glance, https://www.ncdc.noaa.gov/cag/.  </w:t>
      </w:r>
      <w:r w:rsidR="00006328" w:rsidRPr="00F70A7E">
        <w:rPr>
          <w:i/>
        </w:rPr>
        <w:t xml:space="preserve">See also See </w:t>
      </w:r>
      <w:r w:rsidR="00006328" w:rsidRPr="00F70A7E">
        <w:t xml:space="preserve">Western Regional Climate Center, Climate of Alaska, </w:t>
      </w:r>
      <w:r w:rsidR="00E816C6" w:rsidRPr="00F70A7E">
        <w:t>http://www.wrcc.dri.edu/narratives/ALASKA.htm</w:t>
      </w:r>
      <w:r w:rsidR="00006328" w:rsidRPr="00F70A7E">
        <w:t>; University of California Museum of Paleontology,</w:t>
      </w:r>
      <w:r w:rsidR="00006328" w:rsidRPr="00F70A7E">
        <w:rPr>
          <w:i/>
        </w:rPr>
        <w:t xml:space="preserve"> </w:t>
      </w:r>
      <w:r w:rsidR="00006328" w:rsidRPr="00F70A7E">
        <w:t>The Tundra Biome, http://www.ucmp.berkeley.edu/exhibits/biomes/tundra.php#arctic.</w:t>
      </w:r>
    </w:p>
  </w:footnote>
  <w:footnote w:id="47">
    <w:p w14:paraId="31C4FEAF" w14:textId="674EA3D3" w:rsidR="0093375D" w:rsidRPr="00F70A7E" w:rsidRDefault="0093375D" w:rsidP="00736932">
      <w:pPr>
        <w:pStyle w:val="FootnoteText"/>
        <w:jc w:val="left"/>
      </w:pPr>
      <w:r w:rsidRPr="00F70A7E">
        <w:rPr>
          <w:rStyle w:val="FootnoteReference"/>
        </w:rPr>
        <w:footnoteRef/>
      </w:r>
      <w:r w:rsidRPr="00F70A7E">
        <w:t xml:space="preserve"> </w:t>
      </w:r>
      <w:r w:rsidR="002E0DC9" w:rsidRPr="00F70A7E">
        <w:rPr>
          <w:i/>
        </w:rPr>
        <w:t xml:space="preserve">See </w:t>
      </w:r>
      <w:r w:rsidR="002E0DC9" w:rsidRPr="00F70A7E">
        <w:t>Alaska Public Lands Information Center,</w:t>
      </w:r>
      <w:r w:rsidR="00C07584" w:rsidRPr="00F70A7E">
        <w:t xml:space="preserve"> Statewide FAQs, https://www.alaskacenters.gov/faqs.cfm#CP_JUMP_15483; </w:t>
      </w:r>
      <w:r w:rsidR="00130E12" w:rsidRPr="00F70A7E">
        <w:t>State of Alaska, Transportation, http://alaska.gov/kids/learn/transportation.htm.</w:t>
      </w:r>
    </w:p>
  </w:footnote>
  <w:footnote w:id="48">
    <w:p w14:paraId="61308195" w14:textId="551DDD28" w:rsidR="0093375D" w:rsidRPr="00F70A7E" w:rsidRDefault="0093375D" w:rsidP="00736932">
      <w:pPr>
        <w:pStyle w:val="FootnoteText"/>
        <w:jc w:val="left"/>
      </w:pPr>
      <w:r w:rsidRPr="00F70A7E">
        <w:rPr>
          <w:rStyle w:val="FootnoteReference"/>
        </w:rPr>
        <w:footnoteRef/>
      </w:r>
      <w:r w:rsidRPr="00F70A7E">
        <w:t xml:space="preserve"> </w:t>
      </w:r>
      <w:r w:rsidR="002E0DC9" w:rsidRPr="00F70A7E">
        <w:rPr>
          <w:i/>
        </w:rPr>
        <w:t xml:space="preserve">See </w:t>
      </w:r>
      <w:r w:rsidR="002E0DC9" w:rsidRPr="00F70A7E">
        <w:t>National Oceanic and Atmospheric Administration, Pacific Marine Environmental Laboratory, Land – Roads, http://www.pmel.noaa.gov/arctic-zone/detect/land-road.shtml?page=land</w:t>
      </w:r>
      <w:r w:rsidR="00130E12" w:rsidRPr="00F70A7E">
        <w:t>.</w:t>
      </w:r>
    </w:p>
  </w:footnote>
  <w:footnote w:id="49">
    <w:p w14:paraId="3810D0DA" w14:textId="77777777" w:rsidR="00476B98" w:rsidRPr="00F70A7E" w:rsidRDefault="00476B98" w:rsidP="00736932">
      <w:pPr>
        <w:pStyle w:val="FootnoteText"/>
        <w:jc w:val="left"/>
      </w:pPr>
      <w:r w:rsidRPr="00F70A7E">
        <w:rPr>
          <w:rStyle w:val="FootnoteReference"/>
        </w:rPr>
        <w:footnoteRef/>
      </w:r>
      <w:r w:rsidRPr="00F70A7E">
        <w:t xml:space="preserve"> Texas comprises more than 268,585 square miles.  </w:t>
      </w:r>
      <w:r w:rsidRPr="00F70A7E">
        <w:rPr>
          <w:i/>
        </w:rPr>
        <w:t>See</w:t>
      </w:r>
      <w:r w:rsidRPr="00F70A7E">
        <w:t xml:space="preserve"> FCC’s Geographic Information Systems Database, https://www.fcc.gov/general/geographic-information-systems (FCC GIS Database).  </w:t>
      </w:r>
      <w:r w:rsidRPr="00F70A7E">
        <w:rPr>
          <w:i/>
        </w:rPr>
        <w:t xml:space="preserve">See also </w:t>
      </w:r>
      <w:r w:rsidRPr="00F70A7E">
        <w:t>U.S. Census Bureau, Guide to State and Local Census Geography - Selected Data from the 2010 Census, https://www.census.gov/geo/reference/guidestloc/select_data.html (2010 State and Local Census Guide).</w:t>
      </w:r>
    </w:p>
  </w:footnote>
  <w:footnote w:id="50">
    <w:p w14:paraId="7829042C" w14:textId="77777777" w:rsidR="00476B98" w:rsidRPr="00F70A7E" w:rsidRDefault="00476B98" w:rsidP="00736932">
      <w:pPr>
        <w:pStyle w:val="FootnoteText"/>
        <w:jc w:val="left"/>
      </w:pPr>
      <w:r w:rsidRPr="00F70A7E">
        <w:rPr>
          <w:rStyle w:val="FootnoteReference"/>
        </w:rPr>
        <w:footnoteRef/>
      </w:r>
      <w:r w:rsidRPr="00F70A7E">
        <w:t xml:space="preserve"> </w:t>
      </w:r>
      <w:r w:rsidRPr="00F70A7E">
        <w:rPr>
          <w:i/>
        </w:rPr>
        <w:t xml:space="preserve">See </w:t>
      </w:r>
      <w:r w:rsidRPr="00F70A7E">
        <w:t xml:space="preserve">Waiver Request at 5; 2010 State and Local Census Guide; U.S. Census Bureau, 2010 Census of Population and Housing, Population and Housing Unit Counts, Alaska: 2010 (June 2012), at 7, https://www.census.gov/prod/cen2010/cph-2-3.pdf (Alaska Population Counts). </w:t>
      </w:r>
    </w:p>
  </w:footnote>
  <w:footnote w:id="51">
    <w:p w14:paraId="21591BCE" w14:textId="77777777" w:rsidR="00476B98" w:rsidRPr="00F70A7E" w:rsidRDefault="00476B98" w:rsidP="00736932">
      <w:pPr>
        <w:pStyle w:val="FootnoteText"/>
        <w:jc w:val="left"/>
      </w:pPr>
      <w:r w:rsidRPr="00F70A7E">
        <w:rPr>
          <w:rStyle w:val="FootnoteReference"/>
        </w:rPr>
        <w:footnoteRef/>
      </w:r>
      <w:r w:rsidRPr="00F70A7E">
        <w:t xml:space="preserve"> </w:t>
      </w:r>
      <w:r w:rsidRPr="00F70A7E">
        <w:rPr>
          <w:i/>
        </w:rPr>
        <w:t>Facilitating the Provision of Spectrum-Based Services to Rural Areas and Promoting Opportunities for Rural Telephone Companies To Provide Spectrum-Based Services</w:t>
      </w:r>
      <w:r w:rsidRPr="00F70A7E">
        <w:t>, Report and Order and Further Notice of Proposed Rule Making, 19 FCC Rcd 19078, 19087, para. 11 (WTB 2004).</w:t>
      </w:r>
    </w:p>
  </w:footnote>
  <w:footnote w:id="52">
    <w:p w14:paraId="728C6A3A" w14:textId="28D6C9FB" w:rsidR="00476B98" w:rsidRPr="00F70A7E" w:rsidRDefault="00476B98" w:rsidP="00736932">
      <w:pPr>
        <w:pStyle w:val="FootnoteText"/>
        <w:jc w:val="left"/>
      </w:pPr>
      <w:r w:rsidRPr="00F70A7E">
        <w:rPr>
          <w:rStyle w:val="FootnoteReference"/>
        </w:rPr>
        <w:footnoteRef/>
      </w:r>
      <w:r w:rsidRPr="00F70A7E">
        <w:t xml:space="preserve"> </w:t>
      </w:r>
      <w:r w:rsidRPr="00F70A7E">
        <w:rPr>
          <w:i/>
        </w:rPr>
        <w:t xml:space="preserve">See </w:t>
      </w:r>
      <w:r w:rsidRPr="00F70A7E">
        <w:t>U.S. Census Bureau, Alaska Boroughs and Ce</w:t>
      </w:r>
      <w:r w:rsidR="00915412" w:rsidRPr="00F70A7E">
        <w:t xml:space="preserve">nsus Areas, </w:t>
      </w:r>
      <w:r w:rsidRPr="00F70A7E">
        <w:t>http://live.laborstats.alaska.gov/pop/estimates/pub/chap2.pdf.</w:t>
      </w:r>
    </w:p>
  </w:footnote>
  <w:footnote w:id="53">
    <w:p w14:paraId="0FD41C59" w14:textId="77777777" w:rsidR="00476B98" w:rsidRPr="00F70A7E" w:rsidRDefault="00476B98" w:rsidP="00736932">
      <w:pPr>
        <w:pStyle w:val="FootnoteText"/>
        <w:jc w:val="left"/>
      </w:pPr>
      <w:r w:rsidRPr="00F70A7E">
        <w:rPr>
          <w:rStyle w:val="FootnoteReference"/>
        </w:rPr>
        <w:footnoteRef/>
      </w:r>
      <w:r w:rsidRPr="00F70A7E">
        <w:t xml:space="preserve"> </w:t>
      </w:r>
      <w:r w:rsidRPr="00F70A7E">
        <w:rPr>
          <w:i/>
        </w:rPr>
        <w:t xml:space="preserve">See </w:t>
      </w:r>
      <w:r w:rsidRPr="00F70A7E">
        <w:t>Alaska Population Counts at 7.</w:t>
      </w:r>
    </w:p>
  </w:footnote>
  <w:footnote w:id="54">
    <w:p w14:paraId="1EB564DE" w14:textId="776992D4" w:rsidR="00AE235D" w:rsidRPr="00F70A7E" w:rsidRDefault="00AE235D" w:rsidP="00736932">
      <w:pPr>
        <w:pStyle w:val="FootnoteText"/>
        <w:jc w:val="left"/>
      </w:pPr>
      <w:r w:rsidRPr="00F70A7E">
        <w:rPr>
          <w:rStyle w:val="FootnoteReference"/>
        </w:rPr>
        <w:footnoteRef/>
      </w:r>
      <w:r w:rsidRPr="00F70A7E">
        <w:t xml:space="preserve"> </w:t>
      </w:r>
      <w:r w:rsidRPr="00F70A7E">
        <w:rPr>
          <w:i/>
        </w:rPr>
        <w:t xml:space="preserve">See </w:t>
      </w:r>
      <w:r w:rsidRPr="00F70A7E">
        <w:t xml:space="preserve">Waiver Request at </w:t>
      </w:r>
      <w:r w:rsidR="00C43E61" w:rsidRPr="00F70A7E">
        <w:t>4</w:t>
      </w:r>
      <w:r w:rsidR="00211EC3" w:rsidRPr="00F70A7E">
        <w:t>, 7</w:t>
      </w:r>
      <w:r w:rsidR="005F04C7" w:rsidRPr="00F70A7E">
        <w:t>.</w:t>
      </w:r>
    </w:p>
  </w:footnote>
  <w:footnote w:id="55">
    <w:p w14:paraId="30B45C22" w14:textId="4A813C8B" w:rsidR="005D2DED" w:rsidRPr="00F70A7E" w:rsidRDefault="005D2DED" w:rsidP="00736932">
      <w:pPr>
        <w:pStyle w:val="FootnoteText"/>
        <w:jc w:val="left"/>
      </w:pPr>
      <w:r w:rsidRPr="00F70A7E">
        <w:rPr>
          <w:rStyle w:val="FootnoteReference"/>
        </w:rPr>
        <w:footnoteRef/>
      </w:r>
      <w:r w:rsidRPr="00F70A7E">
        <w:t xml:space="preserve"> AWN Reply at 1 (emphasis in original).</w:t>
      </w:r>
    </w:p>
  </w:footnote>
  <w:footnote w:id="56">
    <w:p w14:paraId="1EC17B27" w14:textId="7935E83F" w:rsidR="00BA78A2" w:rsidRPr="00F70A7E" w:rsidRDefault="00BA78A2" w:rsidP="00736932">
      <w:pPr>
        <w:pStyle w:val="FootnoteText"/>
        <w:jc w:val="left"/>
      </w:pPr>
      <w:r w:rsidRPr="00F70A7E">
        <w:rPr>
          <w:rStyle w:val="FootnoteReference"/>
        </w:rPr>
        <w:footnoteRef/>
      </w:r>
      <w:r w:rsidRPr="00F70A7E">
        <w:t xml:space="preserve"> </w:t>
      </w:r>
      <w:r w:rsidRPr="00F70A7E">
        <w:rPr>
          <w:i/>
        </w:rPr>
        <w:t>700 MHz Reconsideration Order</w:t>
      </w:r>
      <w:r w:rsidRPr="00F70A7E">
        <w:t>, 28 FCC Rcd at 2674, para. 6.</w:t>
      </w:r>
    </w:p>
  </w:footnote>
  <w:footnote w:id="57">
    <w:p w14:paraId="2FEB59D6" w14:textId="75541DA2" w:rsidR="00AE235D" w:rsidRPr="00F70A7E" w:rsidRDefault="00AE235D" w:rsidP="00736932">
      <w:pPr>
        <w:pStyle w:val="FootnoteText"/>
        <w:jc w:val="left"/>
      </w:pPr>
      <w:r w:rsidRPr="00F70A7E">
        <w:rPr>
          <w:rStyle w:val="FootnoteReference"/>
        </w:rPr>
        <w:footnoteRef/>
      </w:r>
      <w:r w:rsidRPr="00F70A7E">
        <w:t xml:space="preserve"> </w:t>
      </w:r>
      <w:r w:rsidR="00540DE1" w:rsidRPr="00F70A7E">
        <w:t>Waiver Request at 3.</w:t>
      </w:r>
    </w:p>
  </w:footnote>
  <w:footnote w:id="58">
    <w:p w14:paraId="02FCDC6A" w14:textId="4775E5C7" w:rsidR="00113EB4" w:rsidRPr="00F70A7E" w:rsidRDefault="00113EB4" w:rsidP="00736932">
      <w:pPr>
        <w:pStyle w:val="FootnoteText"/>
        <w:jc w:val="left"/>
      </w:pPr>
      <w:r w:rsidRPr="00F70A7E">
        <w:rPr>
          <w:rStyle w:val="FootnoteReference"/>
        </w:rPr>
        <w:footnoteRef/>
      </w:r>
      <w:r w:rsidRPr="00F70A7E">
        <w:t xml:space="preserve"> </w:t>
      </w:r>
      <w:r w:rsidR="00206A04" w:rsidRPr="00F70A7E">
        <w:rPr>
          <w:i/>
        </w:rPr>
        <w:t>700 MHz</w:t>
      </w:r>
      <w:r w:rsidR="00206A04" w:rsidRPr="00F70A7E">
        <w:t xml:space="preserve"> </w:t>
      </w:r>
      <w:r w:rsidRPr="00F70A7E">
        <w:rPr>
          <w:i/>
        </w:rPr>
        <w:t>Second Report and Order</w:t>
      </w:r>
      <w:r w:rsidR="00E034E5" w:rsidRPr="00F70A7E">
        <w:t>, 22 FCC Rcd 15289, 15</w:t>
      </w:r>
      <w:r w:rsidRPr="00F70A7E">
        <w:t>351, para.</w:t>
      </w:r>
      <w:r w:rsidRPr="00F70A7E">
        <w:rPr>
          <w:i/>
        </w:rPr>
        <w:t xml:space="preserve"> </w:t>
      </w:r>
      <w:r w:rsidRPr="00F70A7E">
        <w:t xml:space="preserve">164 (“With regard to the use of population-based benchmarks for REAG licensees, . . . this type of build-out requirement is appropriate for licensees with large geographic areas to allow for roll out of advanced services on a nationwide or regional basis”).  </w:t>
      </w:r>
      <w:r w:rsidRPr="00F70A7E">
        <w:rPr>
          <w:i/>
        </w:rPr>
        <w:t xml:space="preserve">See also </w:t>
      </w:r>
      <w:r w:rsidR="008C240B" w:rsidRPr="00F70A7E">
        <w:t>47 CFR § 27.14(h) (Upper 700 MHz C Block licensees are required to provide reliable service sufficient to cover 40 percent of the population of their license areas within four years and 75 percent of the population within ten years).</w:t>
      </w:r>
      <w:r w:rsidR="00AC37CD" w:rsidRPr="00F70A7E">
        <w:t xml:space="preserve">  The Commission made clear that its geographic-based rules were intended for “smaller geographic service areas.”  </w:t>
      </w:r>
      <w:r w:rsidR="00AC37CD" w:rsidRPr="00F70A7E">
        <w:rPr>
          <w:i/>
        </w:rPr>
        <w:t>700 MHz</w:t>
      </w:r>
      <w:r w:rsidR="00AC37CD" w:rsidRPr="00F70A7E">
        <w:t xml:space="preserve"> </w:t>
      </w:r>
      <w:r w:rsidR="00AC37CD" w:rsidRPr="00F70A7E">
        <w:rPr>
          <w:i/>
        </w:rPr>
        <w:t>Second Report and Order</w:t>
      </w:r>
      <w:r w:rsidR="00E034E5" w:rsidRPr="00F70A7E">
        <w:t>, 22 FCC Rcd 15</w:t>
      </w:r>
      <w:r w:rsidR="00AC37CD" w:rsidRPr="00F70A7E">
        <w:t xml:space="preserve">289, </w:t>
      </w:r>
      <w:r w:rsidR="00E034E5" w:rsidRPr="00F70A7E">
        <w:t>15</w:t>
      </w:r>
      <w:r w:rsidR="00AC37CD" w:rsidRPr="00F70A7E">
        <w:t>348-49, para.</w:t>
      </w:r>
      <w:r w:rsidR="00AC37CD" w:rsidRPr="00F70A7E">
        <w:rPr>
          <w:i/>
        </w:rPr>
        <w:t xml:space="preserve"> </w:t>
      </w:r>
      <w:r w:rsidR="00AC37CD" w:rsidRPr="00F70A7E">
        <w:t>155.</w:t>
      </w:r>
    </w:p>
  </w:footnote>
  <w:footnote w:id="59">
    <w:p w14:paraId="34478F4A" w14:textId="6A8EB450" w:rsidR="006211FB" w:rsidRPr="00F70A7E" w:rsidRDefault="006211FB" w:rsidP="00736932">
      <w:pPr>
        <w:pStyle w:val="FootnoteText"/>
        <w:jc w:val="left"/>
      </w:pPr>
      <w:r w:rsidRPr="00F70A7E">
        <w:rPr>
          <w:rStyle w:val="FootnoteReference"/>
        </w:rPr>
        <w:footnoteRef/>
      </w:r>
      <w:r w:rsidRPr="00F70A7E">
        <w:t xml:space="preserve"> </w:t>
      </w:r>
      <w:r w:rsidR="00790085" w:rsidRPr="00F70A7E">
        <w:rPr>
          <w:i/>
        </w:rPr>
        <w:t xml:space="preserve">See </w:t>
      </w:r>
      <w:r w:rsidR="00113EB4" w:rsidRPr="00F70A7E">
        <w:t xml:space="preserve">Waiver Request at 9-10.  </w:t>
      </w:r>
      <w:r w:rsidR="00E3754C" w:rsidRPr="00F70A7E">
        <w:t>The</w:t>
      </w:r>
      <w:r w:rsidR="00113EB4" w:rsidRPr="00F70A7E">
        <w:t xml:space="preserve"> Upper 700 MHz C Block license for REAG7 covers the state of Alaska.  </w:t>
      </w:r>
      <w:r w:rsidR="00113EB4" w:rsidRPr="00F70A7E">
        <w:rPr>
          <w:i/>
        </w:rPr>
        <w:t xml:space="preserve">See </w:t>
      </w:r>
      <w:r w:rsidR="00113EB4" w:rsidRPr="00F70A7E">
        <w:t xml:space="preserve">FCC, Auctions, Maps, </w:t>
      </w:r>
      <w:r w:rsidR="00F8051B" w:rsidRPr="00F70A7E">
        <w:t>http://wireless.fcc.gov/auctions/data/maps/REAG.pdf</w:t>
      </w:r>
      <w:r w:rsidR="00883605" w:rsidRPr="00F70A7E">
        <w:t xml:space="preserve"> (REAG Map)</w:t>
      </w:r>
      <w:r w:rsidR="00113EB4" w:rsidRPr="00F70A7E">
        <w:t>; ULS, Call Sign WQJU651.</w:t>
      </w:r>
    </w:p>
  </w:footnote>
  <w:footnote w:id="60">
    <w:p w14:paraId="36031B81" w14:textId="6A20800E" w:rsidR="00161095" w:rsidRPr="00F70A7E" w:rsidRDefault="00161095" w:rsidP="00736932">
      <w:pPr>
        <w:pStyle w:val="FootnoteText"/>
        <w:jc w:val="left"/>
      </w:pPr>
      <w:r w:rsidRPr="00F70A7E">
        <w:rPr>
          <w:rStyle w:val="FootnoteReference"/>
        </w:rPr>
        <w:footnoteRef/>
      </w:r>
      <w:r w:rsidRPr="00F70A7E">
        <w:t xml:space="preserve"> </w:t>
      </w:r>
      <w:r w:rsidRPr="00F70A7E">
        <w:rPr>
          <w:i/>
        </w:rPr>
        <w:t xml:space="preserve">See </w:t>
      </w:r>
      <w:r w:rsidR="00883605" w:rsidRPr="00F70A7E">
        <w:t>REAG Map</w:t>
      </w:r>
      <w:r w:rsidRPr="00F70A7E">
        <w:t>.</w:t>
      </w:r>
    </w:p>
  </w:footnote>
  <w:footnote w:id="61">
    <w:p w14:paraId="3342CCC4" w14:textId="05C26EE0" w:rsidR="002B16B8" w:rsidRPr="00F70A7E" w:rsidRDefault="002B16B8" w:rsidP="00736932">
      <w:pPr>
        <w:pStyle w:val="FootnoteText"/>
        <w:jc w:val="left"/>
      </w:pPr>
      <w:r w:rsidRPr="00F70A7E">
        <w:rPr>
          <w:rStyle w:val="FootnoteReference"/>
        </w:rPr>
        <w:footnoteRef/>
      </w:r>
      <w:r w:rsidRPr="00F70A7E">
        <w:t xml:space="preserve"> RWA Comments at 4 (emphasis in original). </w:t>
      </w:r>
    </w:p>
  </w:footnote>
  <w:footnote w:id="62">
    <w:p w14:paraId="6122424C" w14:textId="6E4F89EE" w:rsidR="00185CA6" w:rsidRPr="00F70A7E" w:rsidRDefault="00185CA6" w:rsidP="00736932">
      <w:pPr>
        <w:pStyle w:val="FootnoteText"/>
        <w:jc w:val="left"/>
      </w:pPr>
      <w:r w:rsidRPr="00F70A7E">
        <w:rPr>
          <w:rStyle w:val="FootnoteReference"/>
        </w:rPr>
        <w:footnoteRef/>
      </w:r>
      <w:r w:rsidRPr="00F70A7E">
        <w:t xml:space="preserve"> AWN Reply at 1-2.</w:t>
      </w:r>
    </w:p>
  </w:footnote>
  <w:footnote w:id="63">
    <w:p w14:paraId="7419A0DB" w14:textId="2FB79BEC" w:rsidR="00AA6FD6" w:rsidRPr="00F70A7E" w:rsidRDefault="00AA6FD6" w:rsidP="00736932">
      <w:pPr>
        <w:pStyle w:val="FootnoteText"/>
        <w:jc w:val="left"/>
      </w:pPr>
      <w:r w:rsidRPr="00F70A7E">
        <w:rPr>
          <w:rStyle w:val="FootnoteReference"/>
        </w:rPr>
        <w:footnoteRef/>
      </w:r>
      <w:r w:rsidRPr="00F70A7E">
        <w:t xml:space="preserve"> </w:t>
      </w:r>
      <w:r w:rsidR="004522EE" w:rsidRPr="00F70A7E">
        <w:rPr>
          <w:i/>
        </w:rPr>
        <w:t>See</w:t>
      </w:r>
      <w:r w:rsidR="004522EE" w:rsidRPr="00F70A7E">
        <w:t xml:space="preserve"> </w:t>
      </w:r>
      <w:r w:rsidR="00A03AED" w:rsidRPr="00F70A7E">
        <w:t xml:space="preserve">U.S. Census Bureau, Population Division, </w:t>
      </w:r>
      <w:r w:rsidR="004522EE" w:rsidRPr="00F70A7E">
        <w:t>Annual Estimates of the Resident Population: April 1, 2010 to July 1, 2015</w:t>
      </w:r>
      <w:r w:rsidR="00A03AED" w:rsidRPr="00F70A7E">
        <w:t xml:space="preserve">, </w:t>
      </w:r>
      <w:r w:rsidR="004522EE" w:rsidRPr="00F70A7E">
        <w:t>(release date May 2016</w:t>
      </w:r>
      <w:r w:rsidR="00A03AED" w:rsidRPr="00F70A7E">
        <w:t>), https://factfinder.census.gov/faces/tableservices/jsf/pages/productview.xhtml?src=bkmk</w:t>
      </w:r>
      <w:r w:rsidR="004522EE" w:rsidRPr="00F70A7E">
        <w:t>.</w:t>
      </w:r>
    </w:p>
  </w:footnote>
  <w:footnote w:id="64">
    <w:p w14:paraId="69EFDB2B" w14:textId="4BB62CA0" w:rsidR="00394EFF" w:rsidRPr="00F70A7E" w:rsidRDefault="00394EFF" w:rsidP="00736932">
      <w:pPr>
        <w:autoSpaceDE w:val="0"/>
        <w:autoSpaceDN w:val="0"/>
        <w:adjustRightInd w:val="0"/>
        <w:spacing w:after="120"/>
      </w:pPr>
      <w:r w:rsidRPr="00F70A7E">
        <w:rPr>
          <w:rStyle w:val="FootnoteReference"/>
        </w:rPr>
        <w:footnoteRef/>
      </w:r>
      <w:r w:rsidRPr="00F70A7E">
        <w:t xml:space="preserve"> “Remote areas” in Alaska are all areas of Alaska “other than the study areas, or portions thereof, that include the three major cities in Alaska with over 30,000 in population, Anchorage, Juneau, and Fairbanks.”  </w:t>
      </w:r>
      <w:r w:rsidRPr="00F70A7E">
        <w:rPr>
          <w:i/>
        </w:rPr>
        <w:t>Alaska Plan</w:t>
      </w:r>
      <w:r w:rsidRPr="00F70A7E">
        <w:t xml:space="preserve">, 31 FCC Rcd at 10160, para. 68 (citing </w:t>
      </w:r>
      <w:r w:rsidR="00E034E5" w:rsidRPr="00F70A7E">
        <w:rPr>
          <w:i/>
          <w:iCs/>
        </w:rPr>
        <w:t>USF/ICC Transformation Order</w:t>
      </w:r>
      <w:r w:rsidR="007428FD" w:rsidRPr="00F70A7E">
        <w:t>, 26</w:t>
      </w:r>
      <w:r w:rsidR="00E034E5" w:rsidRPr="00F70A7E">
        <w:t xml:space="preserve"> </w:t>
      </w:r>
      <w:r w:rsidR="007428FD" w:rsidRPr="00F70A7E">
        <w:t xml:space="preserve">FCC Rcd </w:t>
      </w:r>
      <w:r w:rsidRPr="00F70A7E">
        <w:t>at 17835, para. 529 n.876, 17834, para. 526 n.872; 47 C.F.R. § 54.307(e)(3)(i)).</w:t>
      </w:r>
    </w:p>
  </w:footnote>
  <w:footnote w:id="65">
    <w:p w14:paraId="1860C372" w14:textId="13BE601B" w:rsidR="00441ADD" w:rsidRPr="00F70A7E" w:rsidRDefault="00441ADD" w:rsidP="00736932">
      <w:pPr>
        <w:pStyle w:val="FootnoteText"/>
        <w:jc w:val="left"/>
      </w:pPr>
      <w:r w:rsidRPr="00F70A7E">
        <w:rPr>
          <w:rStyle w:val="FootnoteReference"/>
        </w:rPr>
        <w:footnoteRef/>
      </w:r>
      <w:r w:rsidRPr="00F70A7E">
        <w:t xml:space="preserve"> </w:t>
      </w:r>
      <w:r w:rsidR="0085202E" w:rsidRPr="00F70A7E">
        <w:rPr>
          <w:i/>
        </w:rPr>
        <w:t xml:space="preserve">See </w:t>
      </w:r>
      <w:r w:rsidR="0085202E" w:rsidRPr="00F70A7E">
        <w:t xml:space="preserve">47 CFR § 54.317(e) (providing that support may be used only to provide mobile service in remote areas that did not, as of Dec. 31, 2014, receive 4G LTE service covering at least 85 percent of the population of the block from providers that are either unsubsidized or subject to phase out of support); </w:t>
      </w:r>
      <w:r w:rsidR="00CF5739" w:rsidRPr="00F70A7E">
        <w:rPr>
          <w:i/>
        </w:rPr>
        <w:t>WTB Approves Performance Plans of the Eight Wireless Providers That Elected To Participate in the Alaska Plan</w:t>
      </w:r>
      <w:r w:rsidR="00CF5739" w:rsidRPr="00F70A7E">
        <w:t>, Public Notice, 31 FCC Rcd 13317, 13322 (WTB 2016)</w:t>
      </w:r>
      <w:r w:rsidR="0015234F" w:rsidRPr="00F70A7E">
        <w:t xml:space="preserve"> (</w:t>
      </w:r>
      <w:r w:rsidR="0015234F" w:rsidRPr="00F70A7E">
        <w:rPr>
          <w:i/>
        </w:rPr>
        <w:t>Alaska Plan Commitments Public Notice</w:t>
      </w:r>
      <w:r w:rsidR="0015234F" w:rsidRPr="00F70A7E">
        <w:t>)</w:t>
      </w:r>
      <w:r w:rsidR="00CF5739" w:rsidRPr="00F70A7E">
        <w:t>.</w:t>
      </w:r>
    </w:p>
  </w:footnote>
  <w:footnote w:id="66">
    <w:p w14:paraId="01D6CAD2" w14:textId="217A5FAD" w:rsidR="00441ADD" w:rsidRPr="00F70A7E" w:rsidRDefault="00441ADD" w:rsidP="00736932">
      <w:pPr>
        <w:pStyle w:val="FootnoteText"/>
        <w:jc w:val="left"/>
      </w:pPr>
      <w:r w:rsidRPr="00F70A7E">
        <w:rPr>
          <w:rStyle w:val="FootnoteReference"/>
        </w:rPr>
        <w:footnoteRef/>
      </w:r>
      <w:r w:rsidRPr="00F70A7E">
        <w:t xml:space="preserve"> </w:t>
      </w:r>
      <w:r w:rsidR="0015234F" w:rsidRPr="00F70A7E">
        <w:rPr>
          <w:i/>
        </w:rPr>
        <w:t>Alaska Plan Commitments Public Notice</w:t>
      </w:r>
      <w:r w:rsidR="0015234F" w:rsidRPr="00F70A7E">
        <w:t>, 31 FCC Rcd at 13322.</w:t>
      </w:r>
    </w:p>
  </w:footnote>
  <w:footnote w:id="67">
    <w:p w14:paraId="45502F01" w14:textId="67569C24" w:rsidR="00441ADD" w:rsidRPr="00F70A7E" w:rsidRDefault="00441ADD" w:rsidP="00736932">
      <w:pPr>
        <w:pStyle w:val="FootnoteText"/>
        <w:jc w:val="left"/>
      </w:pPr>
      <w:r w:rsidRPr="00F70A7E">
        <w:rPr>
          <w:rStyle w:val="FootnoteReference"/>
        </w:rPr>
        <w:footnoteRef/>
      </w:r>
      <w:r w:rsidRPr="00F70A7E">
        <w:t xml:space="preserve"> Waiver Request at 4.</w:t>
      </w:r>
    </w:p>
  </w:footnote>
  <w:footnote w:id="68">
    <w:p w14:paraId="3C439970" w14:textId="135020D2" w:rsidR="00636695" w:rsidRPr="00F70A7E" w:rsidRDefault="00636695" w:rsidP="00736932">
      <w:pPr>
        <w:pStyle w:val="FootnoteText"/>
        <w:jc w:val="left"/>
      </w:pPr>
      <w:r w:rsidRPr="00F70A7E">
        <w:rPr>
          <w:rStyle w:val="FootnoteReference"/>
        </w:rPr>
        <w:footnoteRef/>
      </w:r>
      <w:r w:rsidRPr="00F70A7E">
        <w:t xml:space="preserve"> </w:t>
      </w:r>
      <w:r w:rsidR="00DE6F1E" w:rsidRPr="00F70A7E">
        <w:t>General Communication, Inc</w:t>
      </w:r>
      <w:r w:rsidRPr="00F70A7E">
        <w:t xml:space="preserve">, Coverage Map, </w:t>
      </w:r>
      <w:hyperlink r:id="rId1" w:history="1">
        <w:r w:rsidR="00DE6F1E" w:rsidRPr="00F70A7E">
          <w:rPr>
            <w:rStyle w:val="Hyperlink"/>
          </w:rPr>
          <w:t>http://gci.cellmaps.com/</w:t>
        </w:r>
      </w:hyperlink>
      <w:r w:rsidR="00CF5739" w:rsidRPr="00F70A7E">
        <w:t>.</w:t>
      </w:r>
    </w:p>
  </w:footnote>
  <w:footnote w:id="69">
    <w:p w14:paraId="08D8826D" w14:textId="5586B1F8" w:rsidR="00227B07" w:rsidRPr="00F70A7E" w:rsidRDefault="00227B07" w:rsidP="00736932">
      <w:pPr>
        <w:pStyle w:val="FootnoteText"/>
        <w:jc w:val="left"/>
      </w:pPr>
      <w:r w:rsidRPr="00F70A7E">
        <w:rPr>
          <w:rStyle w:val="FootnoteReference"/>
        </w:rPr>
        <w:footnoteRef/>
      </w:r>
      <w:r w:rsidRPr="00F70A7E">
        <w:t xml:space="preserve"> </w:t>
      </w:r>
      <w:r w:rsidR="002B4782" w:rsidRPr="00F70A7E">
        <w:rPr>
          <w:i/>
        </w:rPr>
        <w:t xml:space="preserve">See </w:t>
      </w:r>
      <w:r w:rsidR="002B4782" w:rsidRPr="00F70A7E">
        <w:t>Alaska Population Counts at 7.</w:t>
      </w:r>
    </w:p>
  </w:footnote>
  <w:footnote w:id="70">
    <w:p w14:paraId="727B3907" w14:textId="095269FC" w:rsidR="00227B07" w:rsidRPr="00F70A7E" w:rsidRDefault="00227B07" w:rsidP="00736932">
      <w:pPr>
        <w:pStyle w:val="FootnoteText"/>
        <w:jc w:val="left"/>
      </w:pPr>
      <w:r w:rsidRPr="00F70A7E">
        <w:rPr>
          <w:rStyle w:val="FootnoteReference"/>
        </w:rPr>
        <w:footnoteRef/>
      </w:r>
      <w:r w:rsidRPr="00F70A7E">
        <w:t xml:space="preserve"> </w:t>
      </w:r>
      <w:r w:rsidR="0079766B" w:rsidRPr="00F70A7E">
        <w:rPr>
          <w:i/>
        </w:rPr>
        <w:t>See</w:t>
      </w:r>
      <w:r w:rsidR="0079766B" w:rsidRPr="00F70A7E">
        <w:t xml:space="preserve"> U.S. Census Bureau, American Factfinder, Community Facts</w:t>
      </w:r>
      <w:r w:rsidRPr="00F70A7E">
        <w:t>, https://factfinder.census.gov/faces/nav/jsf/pages/community_facts.xhtml?src=bkmk#</w:t>
      </w:r>
    </w:p>
  </w:footnote>
  <w:footnote w:id="71">
    <w:p w14:paraId="58FD4843" w14:textId="787538B3" w:rsidR="00AE235D" w:rsidRPr="00F70A7E" w:rsidRDefault="00AE235D" w:rsidP="00736932">
      <w:pPr>
        <w:pStyle w:val="FootnoteText"/>
        <w:jc w:val="left"/>
        <w:rPr>
          <w:u w:val="single"/>
        </w:rPr>
      </w:pPr>
      <w:r w:rsidRPr="00F70A7E">
        <w:rPr>
          <w:rStyle w:val="FootnoteReference"/>
        </w:rPr>
        <w:footnoteRef/>
      </w:r>
      <w:r w:rsidRPr="00F70A7E">
        <w:t xml:space="preserve"> </w:t>
      </w:r>
      <w:r w:rsidR="000261FD" w:rsidRPr="00F70A7E">
        <w:rPr>
          <w:i/>
        </w:rPr>
        <w:t xml:space="preserve">See </w:t>
      </w:r>
      <w:r w:rsidRPr="00F70A7E">
        <w:t>47 CFR § 27.14(h).</w:t>
      </w:r>
    </w:p>
  </w:footnote>
  <w:footnote w:id="72">
    <w:p w14:paraId="6678753A" w14:textId="014D640E" w:rsidR="000261FD" w:rsidRPr="00F70A7E" w:rsidRDefault="000261FD" w:rsidP="00736932">
      <w:pPr>
        <w:pStyle w:val="FootnoteText"/>
        <w:jc w:val="left"/>
        <w:rPr>
          <w:u w:val="single"/>
        </w:rPr>
      </w:pPr>
      <w:r w:rsidRPr="00F70A7E">
        <w:rPr>
          <w:rStyle w:val="FootnoteReference"/>
        </w:rPr>
        <w:footnoteRef/>
      </w:r>
      <w:r w:rsidRPr="00F70A7E">
        <w:t xml:space="preserve"> </w:t>
      </w:r>
      <w:r w:rsidRPr="00F70A7E">
        <w:rPr>
          <w:i/>
        </w:rPr>
        <w:t>See Interoperability Order,</w:t>
      </w:r>
      <w:r w:rsidRPr="00F70A7E">
        <w:t xml:space="preserve"> 28 FCC Rcd at 15148, para. 57 (all active Lower 700 MHz band E Block licensees may meet their interim construction benchmark by providing signal coverage and offering service to at least 40 percent of its total E Block population and may meet their end-of-term construction benchmark by providing signal coverage to at least 70 percent of the population in each of its license areas).</w:t>
      </w:r>
    </w:p>
  </w:footnote>
  <w:footnote w:id="73">
    <w:p w14:paraId="2E160CD0" w14:textId="4F08AEB7" w:rsidR="00AE235D" w:rsidRPr="00F70A7E" w:rsidRDefault="00AE235D" w:rsidP="00736932">
      <w:pPr>
        <w:pStyle w:val="FootnoteText"/>
        <w:jc w:val="left"/>
      </w:pPr>
      <w:r w:rsidRPr="00F70A7E">
        <w:rPr>
          <w:rStyle w:val="FootnoteReference"/>
        </w:rPr>
        <w:footnoteRef/>
      </w:r>
      <w:r w:rsidRPr="00F70A7E">
        <w:t xml:space="preserve"> </w:t>
      </w:r>
      <w:r w:rsidR="009D1F70" w:rsidRPr="00F70A7E">
        <w:rPr>
          <w:i/>
        </w:rPr>
        <w:t>See</w:t>
      </w:r>
      <w:r w:rsidRPr="00F70A7E">
        <w:rPr>
          <w:i/>
        </w:rPr>
        <w:t>, e.g.</w:t>
      </w:r>
      <w:r w:rsidRPr="00F70A7E">
        <w:t>, 47 CFR §</w:t>
      </w:r>
      <w:r w:rsidR="00FC5CFC" w:rsidRPr="00F70A7E">
        <w:t>§</w:t>
      </w:r>
      <w:r w:rsidRPr="00F70A7E">
        <w:t xml:space="preserve"> 24.203 (PCS</w:t>
      </w:r>
      <w:r w:rsidR="00D96779" w:rsidRPr="00F70A7E">
        <w:t xml:space="preserve">), </w:t>
      </w:r>
      <w:r w:rsidRPr="00F70A7E">
        <w:t>27.14(s) (AWS-1).</w:t>
      </w:r>
    </w:p>
  </w:footnote>
  <w:footnote w:id="74">
    <w:p w14:paraId="5D61235A" w14:textId="03E39CB0" w:rsidR="00E965DF" w:rsidRPr="00F70A7E" w:rsidRDefault="00E965DF" w:rsidP="00736932">
      <w:pPr>
        <w:pStyle w:val="FootnoteText"/>
        <w:jc w:val="left"/>
      </w:pPr>
      <w:r w:rsidRPr="00F70A7E">
        <w:rPr>
          <w:rStyle w:val="FootnoteReference"/>
        </w:rPr>
        <w:footnoteRef/>
      </w:r>
      <w:r w:rsidRPr="00F70A7E">
        <w:t xml:space="preserve"> </w:t>
      </w:r>
      <w:r w:rsidR="007F687F" w:rsidRPr="00F70A7E">
        <w:t>RWA Comments at 3-4.</w:t>
      </w:r>
    </w:p>
  </w:footnote>
  <w:footnote w:id="75">
    <w:p w14:paraId="17351F60" w14:textId="7972F9FD" w:rsidR="00185CA6" w:rsidRPr="00F70A7E" w:rsidRDefault="00185CA6" w:rsidP="00736932">
      <w:pPr>
        <w:pStyle w:val="FootnoteText"/>
        <w:jc w:val="left"/>
      </w:pPr>
      <w:r w:rsidRPr="00F70A7E">
        <w:rPr>
          <w:rStyle w:val="FootnoteReference"/>
        </w:rPr>
        <w:footnoteRef/>
      </w:r>
      <w:r w:rsidRPr="00F70A7E">
        <w:t xml:space="preserve"> </w:t>
      </w:r>
      <w:r w:rsidR="00026125" w:rsidRPr="00F70A7E">
        <w:rPr>
          <w:i/>
        </w:rPr>
        <w:t xml:space="preserve">See </w:t>
      </w:r>
      <w:r w:rsidR="009755F2" w:rsidRPr="00F70A7E">
        <w:t>The Alaska Wireless Network, LLC, Required Notification for Call Sign WQJU656, ULS File No. 0007601845 (filed Dec. 24, 2016)</w:t>
      </w:r>
      <w:r w:rsidR="00DE6F1E" w:rsidRPr="00F70A7E">
        <w:t xml:space="preserve"> (AWN NT)</w:t>
      </w:r>
      <w:r w:rsidR="009755F2" w:rsidRPr="00F70A7E">
        <w:t xml:space="preserve">. </w:t>
      </w:r>
      <w:r w:rsidR="00026125" w:rsidRPr="00F70A7E">
        <w:t xml:space="preserve"> </w:t>
      </w:r>
      <w:r w:rsidR="00026125" w:rsidRPr="00F70A7E">
        <w:rPr>
          <w:i/>
        </w:rPr>
        <w:t xml:space="preserve">See also </w:t>
      </w:r>
      <w:r w:rsidR="00DD5650" w:rsidRPr="00F70A7E">
        <w:t xml:space="preserve">Waiver Request at 5-6; </w:t>
      </w:r>
      <w:r w:rsidR="00DE6F1E" w:rsidRPr="00F70A7E">
        <w:t>AWN Coverage Map.</w:t>
      </w:r>
    </w:p>
  </w:footnote>
  <w:footnote w:id="76">
    <w:p w14:paraId="31B8370F" w14:textId="4C0E53B3" w:rsidR="008203FD" w:rsidRPr="00F70A7E" w:rsidRDefault="008203FD" w:rsidP="00736932">
      <w:pPr>
        <w:pStyle w:val="FootnoteText"/>
        <w:jc w:val="left"/>
      </w:pPr>
      <w:r w:rsidRPr="00F70A7E">
        <w:rPr>
          <w:rStyle w:val="FootnoteReference"/>
        </w:rPr>
        <w:footnoteRef/>
      </w:r>
      <w:r w:rsidRPr="00F70A7E">
        <w:t xml:space="preserve"> </w:t>
      </w:r>
      <w:r w:rsidR="00026125" w:rsidRPr="00F70A7E">
        <w:t xml:space="preserve">Waiver Request at </w:t>
      </w:r>
      <w:r w:rsidRPr="00F70A7E">
        <w:t>6</w:t>
      </w:r>
      <w:r w:rsidR="00026125" w:rsidRPr="00F70A7E">
        <w:t>.</w:t>
      </w:r>
    </w:p>
  </w:footnote>
  <w:footnote w:id="77">
    <w:p w14:paraId="04A226DE" w14:textId="2D68A477" w:rsidR="00E7577E" w:rsidRPr="00F70A7E" w:rsidRDefault="00E7577E" w:rsidP="00736932">
      <w:pPr>
        <w:pStyle w:val="FootnoteText"/>
        <w:jc w:val="left"/>
      </w:pPr>
      <w:r w:rsidRPr="00F70A7E">
        <w:rPr>
          <w:rStyle w:val="FootnoteReference"/>
        </w:rPr>
        <w:footnoteRef/>
      </w:r>
      <w:r w:rsidRPr="00F70A7E">
        <w:t xml:space="preserve"> 47 U.S.C. § 309(j).</w:t>
      </w:r>
    </w:p>
  </w:footnote>
  <w:footnote w:id="78">
    <w:p w14:paraId="444D5385" w14:textId="77777777" w:rsidR="00AE235D" w:rsidRPr="00F70A7E" w:rsidRDefault="00AE235D" w:rsidP="00736932">
      <w:pPr>
        <w:pStyle w:val="FootnoteText"/>
        <w:jc w:val="left"/>
      </w:pPr>
      <w:r w:rsidRPr="00F70A7E">
        <w:rPr>
          <w:rStyle w:val="FootnoteReference"/>
        </w:rPr>
        <w:footnoteRef/>
      </w:r>
      <w:r w:rsidRPr="00F70A7E">
        <w:t xml:space="preserve"> </w:t>
      </w:r>
      <w:r w:rsidRPr="00F70A7E">
        <w:rPr>
          <w:i/>
        </w:rPr>
        <w:t xml:space="preserve">See 700 MHz Second Report and Order, </w:t>
      </w:r>
      <w:r w:rsidRPr="00F70A7E">
        <w:t>22 FCC Rcd at 15348, 15349, para. 153; 47 CFR § 27.14(g)(2).</w:t>
      </w:r>
    </w:p>
  </w:footnote>
  <w:footnote w:id="79">
    <w:p w14:paraId="78F9E551" w14:textId="4BD19A5A" w:rsidR="00F84D09" w:rsidRPr="00F70A7E" w:rsidRDefault="00F84D09" w:rsidP="00736932">
      <w:pPr>
        <w:pStyle w:val="FootnoteText"/>
        <w:jc w:val="left"/>
      </w:pPr>
      <w:r w:rsidRPr="00F70A7E">
        <w:rPr>
          <w:rStyle w:val="FootnoteReference"/>
        </w:rPr>
        <w:footnoteRef/>
      </w:r>
      <w:r w:rsidRPr="00F70A7E">
        <w:t xml:space="preserve"> </w:t>
      </w:r>
      <w:r w:rsidR="007F78EC" w:rsidRPr="00F70A7E">
        <w:t>AWN</w:t>
      </w:r>
      <w:r w:rsidR="00D14BDB" w:rsidRPr="00F70A7E">
        <w:t xml:space="preserve"> </w:t>
      </w:r>
      <w:r w:rsidR="00A96696" w:rsidRPr="00F70A7E">
        <w:t xml:space="preserve">has filed </w:t>
      </w:r>
      <w:r w:rsidR="00D14BDB" w:rsidRPr="00F70A7E">
        <w:t xml:space="preserve">a notification of construction </w:t>
      </w:r>
      <w:r w:rsidR="002E47E4" w:rsidRPr="00F70A7E">
        <w:t xml:space="preserve">stating </w:t>
      </w:r>
      <w:r w:rsidR="00D14BDB" w:rsidRPr="00F70A7E">
        <w:t xml:space="preserve">that it has </w:t>
      </w:r>
      <w:r w:rsidR="000E1BEF" w:rsidRPr="00F70A7E">
        <w:t xml:space="preserve">exceeded </w:t>
      </w:r>
      <w:r w:rsidR="00D14BDB" w:rsidRPr="00F70A7E">
        <w:t>this benchmark</w:t>
      </w:r>
      <w:r w:rsidR="002E47E4" w:rsidRPr="00F70A7E">
        <w:t xml:space="preserve"> by covering </w:t>
      </w:r>
      <w:r w:rsidR="004D7D71" w:rsidRPr="00F70A7E">
        <w:t xml:space="preserve">more than </w:t>
      </w:r>
      <w:r w:rsidR="002E47E4" w:rsidRPr="00F70A7E">
        <w:t>54 percent of the State’s population</w:t>
      </w:r>
      <w:r w:rsidR="00D14BDB" w:rsidRPr="00F70A7E">
        <w:t xml:space="preserve">.  </w:t>
      </w:r>
      <w:r w:rsidR="00D14BDB" w:rsidRPr="00F70A7E">
        <w:rPr>
          <w:i/>
        </w:rPr>
        <w:t>See</w:t>
      </w:r>
      <w:r w:rsidR="00886181" w:rsidRPr="00F70A7E">
        <w:t xml:space="preserve"> File No. 0007601845, Public Notice, </w:t>
      </w:r>
      <w:r w:rsidR="00886181" w:rsidRPr="00F70A7E">
        <w:rPr>
          <w:i/>
        </w:rPr>
        <w:t xml:space="preserve">Wireless Telecommunications Bureau Market-Based Applications </w:t>
      </w:r>
      <w:r w:rsidR="00AA3BFD" w:rsidRPr="00F70A7E">
        <w:rPr>
          <w:i/>
        </w:rPr>
        <w:t>Accepted</w:t>
      </w:r>
      <w:r w:rsidR="00886181" w:rsidRPr="00F70A7E">
        <w:rPr>
          <w:i/>
        </w:rPr>
        <w:t xml:space="preserve"> for Filing</w:t>
      </w:r>
      <w:r w:rsidR="00AA3BFD" w:rsidRPr="00F70A7E">
        <w:t>, Report Number: 11963 (Jan. 4, 2017).</w:t>
      </w:r>
      <w:r w:rsidR="00886181" w:rsidRPr="00F70A7E">
        <w:t xml:space="preserve">  </w:t>
      </w:r>
      <w:r w:rsidR="00A96696" w:rsidRPr="00F70A7E">
        <w:t>AWN’s showing</w:t>
      </w:r>
      <w:r w:rsidR="00B22C43" w:rsidRPr="00F70A7E">
        <w:t xml:space="preserve"> is under review</w:t>
      </w:r>
      <w:r w:rsidR="00A96696" w:rsidRPr="00F70A7E">
        <w:t>.</w:t>
      </w:r>
      <w:r w:rsidR="00E75BFF" w:rsidRPr="00F70A7E">
        <w:t xml:space="preserve"> </w:t>
      </w:r>
    </w:p>
  </w:footnote>
  <w:footnote w:id="80">
    <w:p w14:paraId="2B5D00DA" w14:textId="0F25F0BA" w:rsidR="00EA1507" w:rsidRPr="00F70A7E" w:rsidRDefault="00EA1507" w:rsidP="00736932">
      <w:pPr>
        <w:pStyle w:val="FootnoteText"/>
        <w:jc w:val="left"/>
        <w:rPr>
          <w:i/>
        </w:rPr>
      </w:pPr>
      <w:r w:rsidRPr="00F70A7E">
        <w:rPr>
          <w:rStyle w:val="FootnoteReference"/>
        </w:rPr>
        <w:footnoteRef/>
      </w:r>
      <w:r w:rsidRPr="00F70A7E">
        <w:t xml:space="preserve"> </w:t>
      </w:r>
      <w:r w:rsidR="008C4AB6" w:rsidRPr="00F70A7E">
        <w:t xml:space="preserve">AWN must file a notification of construction demonstrating that it has met this benchmark.  </w:t>
      </w:r>
      <w:r w:rsidR="00B272AB" w:rsidRPr="00F70A7E">
        <w:rPr>
          <w:i/>
        </w:rPr>
        <w:t>See</w:t>
      </w:r>
      <w:r w:rsidR="00B272AB" w:rsidRPr="00F70A7E">
        <w:t xml:space="preserve"> 47 CFR 1.</w:t>
      </w:r>
      <w:r w:rsidR="00481EDA" w:rsidRPr="00F70A7E">
        <w:t>946</w:t>
      </w:r>
      <w:r w:rsidR="00B272AB" w:rsidRPr="00F70A7E">
        <w:t>(d).</w:t>
      </w:r>
    </w:p>
  </w:footnote>
  <w:footnote w:id="81">
    <w:p w14:paraId="7B89170C" w14:textId="775A921F" w:rsidR="004B034E" w:rsidRDefault="004B034E">
      <w:pPr>
        <w:pStyle w:val="FootnoteText"/>
      </w:pPr>
      <w:r>
        <w:rPr>
          <w:rStyle w:val="FootnoteReference"/>
        </w:rPr>
        <w:footnoteRef/>
      </w:r>
      <w:r>
        <w:t xml:space="preserve"> </w:t>
      </w:r>
      <w:r w:rsidRPr="00F70A7E">
        <w:rPr>
          <w:i/>
        </w:rPr>
        <w:t xml:space="preserve">See </w:t>
      </w:r>
      <w:r w:rsidRPr="00F70A7E">
        <w:t xml:space="preserve">47 CFR § 27.14(g)(2).  </w:t>
      </w:r>
    </w:p>
  </w:footnote>
  <w:footnote w:id="82">
    <w:p w14:paraId="4716C536" w14:textId="6847D6A4" w:rsidR="00E24265" w:rsidRPr="00F70A7E" w:rsidRDefault="00E24265" w:rsidP="00736932">
      <w:pPr>
        <w:pStyle w:val="FootnoteText"/>
        <w:jc w:val="left"/>
      </w:pPr>
      <w:r w:rsidRPr="00F70A7E">
        <w:rPr>
          <w:rStyle w:val="FootnoteReference"/>
        </w:rPr>
        <w:footnoteRef/>
      </w:r>
      <w:r w:rsidRPr="00F70A7E">
        <w:t xml:space="preserve"> </w:t>
      </w:r>
      <w:r w:rsidR="00FB034B" w:rsidRPr="00F70A7E">
        <w:t>This</w:t>
      </w:r>
      <w:r w:rsidR="001F62F7" w:rsidRPr="00F70A7E">
        <w:t xml:space="preserve"> waiver relief will not automatically transfer if AWN seeks to assign, partition, or disaggregate spectrum under the License to a third party.  Rather, the third party must demonstrate that the waiver relief should transfer, and the Bureau may, in its discretion, grant, modify, or reject such relief. </w:t>
      </w:r>
      <w:r w:rsidR="001F62F7" w:rsidRPr="00F70A7E">
        <w:rPr>
          <w:b/>
        </w:rPr>
        <w:t xml:space="preserve"> </w:t>
      </w:r>
      <w:r w:rsidR="00F36ED8" w:rsidRPr="00F70A7E">
        <w:t>We note that while AWN committed to negotiate in good faith only during a license renewal term</w:t>
      </w:r>
      <w:r w:rsidR="00161095" w:rsidRPr="00F70A7E">
        <w:t xml:space="preserve"> (Waiver Request at 2, AWN Reply at 6),</w:t>
      </w:r>
      <w:r w:rsidR="00F36ED8" w:rsidRPr="00F70A7E">
        <w:t xml:space="preserve"> we </w:t>
      </w:r>
      <w:r w:rsidR="008C4AB6" w:rsidRPr="00F70A7E">
        <w:t xml:space="preserve">are </w:t>
      </w:r>
      <w:r w:rsidR="00F36ED8" w:rsidRPr="00F70A7E">
        <w:t>requir</w:t>
      </w:r>
      <w:r w:rsidR="008C4AB6" w:rsidRPr="00F70A7E">
        <w:t xml:space="preserve">ing </w:t>
      </w:r>
      <w:r w:rsidR="00F36ED8" w:rsidRPr="00F70A7E">
        <w:t>it to do so during</w:t>
      </w:r>
      <w:r w:rsidR="004C1AF8" w:rsidRPr="00F70A7E">
        <w:t xml:space="preserve"> the</w:t>
      </w:r>
      <w:r w:rsidR="00F36ED8" w:rsidRPr="00F70A7E">
        <w:t xml:space="preserve"> current license term as well</w:t>
      </w:r>
      <w:r w:rsidR="008E4DDC" w:rsidRPr="00F70A7E">
        <w:t xml:space="preserve">.  </w:t>
      </w:r>
      <w:r w:rsidRPr="00F70A7E">
        <w:t>By way of example, good faith negotiations require</w:t>
      </w:r>
      <w:r w:rsidR="00636FDC" w:rsidRPr="00F70A7E">
        <w:t>, among other things,</w:t>
      </w:r>
      <w:r w:rsidRPr="00F70A7E">
        <w:t xml:space="preserve"> reasonable</w:t>
      </w:r>
      <w:r w:rsidR="00636FDC" w:rsidRPr="00F70A7E">
        <w:t>,</w:t>
      </w:r>
      <w:r w:rsidRPr="00F70A7E">
        <w:t xml:space="preserve"> market-based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7626" w14:textId="77777777" w:rsidR="00C03BC6" w:rsidRDefault="00C03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344A" w14:textId="77777777" w:rsidR="00C03BC6" w:rsidRDefault="00C03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3B28" w14:textId="48235B85" w:rsidR="00AE235D" w:rsidRDefault="008E574B">
    <w:pPr>
      <w:pStyle w:val="Header"/>
      <w:tabs>
        <w:tab w:val="clear" w:pos="4320"/>
        <w:tab w:val="clear" w:pos="8640"/>
      </w:tabs>
      <w:spacing w:before="360" w:line="228" w:lineRule="auto"/>
      <w:jc w:val="center"/>
    </w:pPr>
    <w:r>
      <w:rPr>
        <w:rFonts w:ascii="CG Times (W1)" w:hAnsi="CG Times (W1)"/>
        <w:sz w:val="28"/>
      </w:rPr>
      <w:pict w14:anchorId="1766E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58248421" r:id="rId2"/>
      </w:pict>
    </w:r>
    <w:r w:rsidR="00AE235D">
      <w:rPr>
        <w:rFonts w:ascii="CG Times (W1)" w:hAnsi="CG Times (W1)"/>
        <w:sz w:val="28"/>
      </w:rPr>
      <w:t>Federal Communications Commission</w:t>
    </w:r>
  </w:p>
  <w:p w14:paraId="0AC74B6C" w14:textId="77777777" w:rsidR="00AE235D" w:rsidRDefault="00AE235D">
    <w:pPr>
      <w:jc w:val="center"/>
    </w:pPr>
    <w:r>
      <w:rPr>
        <w:rFonts w:ascii="CG Times (W1)" w:hAnsi="CG Times (W1)"/>
        <w:sz w:val="28"/>
      </w:rPr>
      <w:t>Washington, D.C. 20554</w:t>
    </w:r>
  </w:p>
  <w:p w14:paraId="1AA51234" w14:textId="77777777" w:rsidR="00AE235D" w:rsidRDefault="00AE235D">
    <w:pPr>
      <w:pStyle w:val="Header"/>
      <w:tabs>
        <w:tab w:val="clear" w:pos="4320"/>
      </w:tabs>
      <w:jc w:val="center"/>
      <w:rPr>
        <w:sz w:val="22"/>
      </w:rPr>
    </w:pPr>
  </w:p>
  <w:p w14:paraId="49B80F8F" w14:textId="5CF40274" w:rsidR="00AE235D" w:rsidRPr="00E30660" w:rsidRDefault="00F22DB6" w:rsidP="008209C9">
    <w:pPr>
      <w:pStyle w:val="Header"/>
      <w:tabs>
        <w:tab w:val="clear" w:pos="4320"/>
      </w:tabs>
      <w:jc w:val="center"/>
      <w:rPr>
        <w:sz w:val="22"/>
        <w:szCs w:val="22"/>
      </w:rPr>
    </w:pPr>
    <w:r>
      <w:rPr>
        <w:sz w:val="22"/>
        <w:szCs w:val="22"/>
      </w:rPr>
      <w:t xml:space="preserve">June </w:t>
    </w:r>
    <w:r w:rsidR="00C77CE5">
      <w:rPr>
        <w:sz w:val="22"/>
        <w:szCs w:val="22"/>
      </w:rPr>
      <w:t>06</w:t>
    </w:r>
    <w:r w:rsidR="00AE235D">
      <w:rPr>
        <w:sz w:val="22"/>
        <w:szCs w:val="22"/>
      </w:rPr>
      <w:t xml:space="preserve">, </w:t>
    </w:r>
    <w:r w:rsidR="00B8235D">
      <w:rPr>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832D9"/>
    <w:multiLevelType w:val="hybridMultilevel"/>
    <w:tmpl w:val="CD34C8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17119"/>
    <w:multiLevelType w:val="hybridMultilevel"/>
    <w:tmpl w:val="1D6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7405"/>
    <w:multiLevelType w:val="hybridMultilevel"/>
    <w:tmpl w:val="6136D1E8"/>
    <w:lvl w:ilvl="0" w:tplc="14D4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B1142"/>
    <w:multiLevelType w:val="hybridMultilevel"/>
    <w:tmpl w:val="7792A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97756"/>
    <w:multiLevelType w:val="hybridMultilevel"/>
    <w:tmpl w:val="2DB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3340C"/>
    <w:multiLevelType w:val="hybridMultilevel"/>
    <w:tmpl w:val="DC90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74260AE">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16">
    <w:nsid w:val="519504DA"/>
    <w:multiLevelType w:val="hybridMultilevel"/>
    <w:tmpl w:val="D406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906B5E"/>
    <w:multiLevelType w:val="hybridMultilevel"/>
    <w:tmpl w:val="6114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21744"/>
    <w:multiLevelType w:val="hybridMultilevel"/>
    <w:tmpl w:val="83E2067C"/>
    <w:lvl w:ilvl="0" w:tplc="2D28D3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8503F"/>
    <w:multiLevelType w:val="hybridMultilevel"/>
    <w:tmpl w:val="9F5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F62D7"/>
    <w:multiLevelType w:val="hybridMultilevel"/>
    <w:tmpl w:val="2554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81E48"/>
    <w:multiLevelType w:val="hybridMultilevel"/>
    <w:tmpl w:val="FDA2C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4">
    <w:nsid w:val="6E6A18E2"/>
    <w:multiLevelType w:val="hybridMultilevel"/>
    <w:tmpl w:val="519411CA"/>
    <w:lvl w:ilvl="0" w:tplc="04090011">
      <w:start w:val="1"/>
      <w:numFmt w:val="decimal"/>
      <w:lvlText w:val="%1)"/>
      <w:lvlJc w:val="left"/>
      <w:pPr>
        <w:ind w:left="720" w:hanging="360"/>
      </w:pPr>
      <w:rPr>
        <w:rFonts w:hint="default"/>
      </w:rPr>
    </w:lvl>
    <w:lvl w:ilvl="1" w:tplc="C7C8B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44365"/>
    <w:multiLevelType w:val="hybridMultilevel"/>
    <w:tmpl w:val="682CD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9"/>
  </w:num>
  <w:num w:numId="4">
    <w:abstractNumId w:val="1"/>
  </w:num>
  <w:num w:numId="5">
    <w:abstractNumId w:val="26"/>
  </w:num>
  <w:num w:numId="6">
    <w:abstractNumId w:val="19"/>
  </w:num>
  <w:num w:numId="7">
    <w:abstractNumId w:val="11"/>
  </w:num>
  <w:num w:numId="8">
    <w:abstractNumId w:val="10"/>
  </w:num>
  <w:num w:numId="9">
    <w:abstractNumId w:val="17"/>
  </w:num>
  <w:num w:numId="10">
    <w:abstractNumId w:val="25"/>
  </w:num>
  <w:num w:numId="11">
    <w:abstractNumId w:val="0"/>
  </w:num>
  <w:num w:numId="12">
    <w:abstractNumId w:val="12"/>
  </w:num>
  <w:num w:numId="13">
    <w:abstractNumId w:val="23"/>
    <w:lvlOverride w:ilvl="0">
      <w:startOverride w:val="1"/>
    </w:lvlOverride>
  </w:num>
  <w:num w:numId="14">
    <w:abstractNumId w:val="23"/>
    <w:lvlOverride w:ilvl="0">
      <w:startOverride w:val="1"/>
    </w:lvlOverride>
  </w:num>
  <w:num w:numId="15">
    <w:abstractNumId w:val="15"/>
  </w:num>
  <w:num w:numId="16">
    <w:abstractNumId w:val="3"/>
  </w:num>
  <w:num w:numId="17">
    <w:abstractNumId w:val="23"/>
    <w:lvlOverride w:ilvl="0">
      <w:startOverride w:val="1"/>
    </w:lvlOverride>
  </w:num>
  <w:num w:numId="18">
    <w:abstractNumId w:val="27"/>
  </w:num>
  <w:num w:numId="19">
    <w:abstractNumId w:val="4"/>
  </w:num>
  <w:num w:numId="20">
    <w:abstractNumId w:val="16"/>
  </w:num>
  <w:num w:numId="21">
    <w:abstractNumId w:val="24"/>
  </w:num>
  <w:num w:numId="22">
    <w:abstractNumId w:val="19"/>
    <w:lvlOverride w:ilvl="0">
      <w:startOverride w:val="1"/>
    </w:lvlOverride>
  </w:num>
  <w:num w:numId="23">
    <w:abstractNumId w:val="6"/>
  </w:num>
  <w:num w:numId="24">
    <w:abstractNumId w:val="8"/>
  </w:num>
  <w:num w:numId="25">
    <w:abstractNumId w:val="19"/>
  </w:num>
  <w:num w:numId="26">
    <w:abstractNumId w:val="18"/>
  </w:num>
  <w:num w:numId="27">
    <w:abstractNumId w:val="21"/>
  </w:num>
  <w:num w:numId="28">
    <w:abstractNumId w:val="20"/>
  </w:num>
  <w:num w:numId="29">
    <w:abstractNumId w:val="5"/>
  </w:num>
  <w:num w:numId="30">
    <w:abstractNumId w:val="22"/>
  </w:num>
  <w:num w:numId="31">
    <w:abstractNumId w:val="2"/>
  </w:num>
  <w:num w:numId="32">
    <w:abstractNumId w:val="13"/>
  </w:num>
  <w:num w:numId="33">
    <w:abstractNumId w:val="7"/>
  </w:num>
  <w:num w:numId="34">
    <w:abstractNumId w:val="13"/>
  </w:num>
  <w:num w:numId="35">
    <w:abstractNumId w:val="1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0048C"/>
    <w:rsid w:val="00002344"/>
    <w:rsid w:val="00002580"/>
    <w:rsid w:val="00003D43"/>
    <w:rsid w:val="00003E3E"/>
    <w:rsid w:val="00003F29"/>
    <w:rsid w:val="00006328"/>
    <w:rsid w:val="00006772"/>
    <w:rsid w:val="00007970"/>
    <w:rsid w:val="0001053F"/>
    <w:rsid w:val="0001094C"/>
    <w:rsid w:val="00010E60"/>
    <w:rsid w:val="000111A7"/>
    <w:rsid w:val="000115FD"/>
    <w:rsid w:val="000125C3"/>
    <w:rsid w:val="00012D9D"/>
    <w:rsid w:val="000138F4"/>
    <w:rsid w:val="00013918"/>
    <w:rsid w:val="00013A04"/>
    <w:rsid w:val="00013F9F"/>
    <w:rsid w:val="0001486C"/>
    <w:rsid w:val="000175C9"/>
    <w:rsid w:val="00017625"/>
    <w:rsid w:val="00017650"/>
    <w:rsid w:val="00017E13"/>
    <w:rsid w:val="0002069A"/>
    <w:rsid w:val="00023AD2"/>
    <w:rsid w:val="00023B40"/>
    <w:rsid w:val="00023E47"/>
    <w:rsid w:val="00024F64"/>
    <w:rsid w:val="0002591F"/>
    <w:rsid w:val="00025934"/>
    <w:rsid w:val="0002600A"/>
    <w:rsid w:val="000260BC"/>
    <w:rsid w:val="00026125"/>
    <w:rsid w:val="000261FD"/>
    <w:rsid w:val="00026578"/>
    <w:rsid w:val="00026E05"/>
    <w:rsid w:val="00026E1E"/>
    <w:rsid w:val="00030E2C"/>
    <w:rsid w:val="00031E36"/>
    <w:rsid w:val="0003315F"/>
    <w:rsid w:val="000368B1"/>
    <w:rsid w:val="00041330"/>
    <w:rsid w:val="00042459"/>
    <w:rsid w:val="00051384"/>
    <w:rsid w:val="00054EEE"/>
    <w:rsid w:val="000552C3"/>
    <w:rsid w:val="00056F09"/>
    <w:rsid w:val="00057788"/>
    <w:rsid w:val="000608D7"/>
    <w:rsid w:val="00060EC8"/>
    <w:rsid w:val="000618E5"/>
    <w:rsid w:val="00062102"/>
    <w:rsid w:val="00062F82"/>
    <w:rsid w:val="000636BA"/>
    <w:rsid w:val="000636E6"/>
    <w:rsid w:val="00064926"/>
    <w:rsid w:val="00064A8C"/>
    <w:rsid w:val="00066572"/>
    <w:rsid w:val="00067B3D"/>
    <w:rsid w:val="00070935"/>
    <w:rsid w:val="00071A1C"/>
    <w:rsid w:val="00072A5E"/>
    <w:rsid w:val="00072C7E"/>
    <w:rsid w:val="00073298"/>
    <w:rsid w:val="000739B0"/>
    <w:rsid w:val="00073F31"/>
    <w:rsid w:val="00074B13"/>
    <w:rsid w:val="00076DD8"/>
    <w:rsid w:val="000775B1"/>
    <w:rsid w:val="00080FF1"/>
    <w:rsid w:val="00081ED4"/>
    <w:rsid w:val="0008207E"/>
    <w:rsid w:val="00083A68"/>
    <w:rsid w:val="00087415"/>
    <w:rsid w:val="00087579"/>
    <w:rsid w:val="00087ED6"/>
    <w:rsid w:val="000903CB"/>
    <w:rsid w:val="00092305"/>
    <w:rsid w:val="0009264D"/>
    <w:rsid w:val="0009275E"/>
    <w:rsid w:val="00092AEF"/>
    <w:rsid w:val="00092CEE"/>
    <w:rsid w:val="00094460"/>
    <w:rsid w:val="0009552D"/>
    <w:rsid w:val="00095A57"/>
    <w:rsid w:val="0009609B"/>
    <w:rsid w:val="000960FF"/>
    <w:rsid w:val="000968AD"/>
    <w:rsid w:val="000A0549"/>
    <w:rsid w:val="000A226C"/>
    <w:rsid w:val="000A2FDC"/>
    <w:rsid w:val="000A3B74"/>
    <w:rsid w:val="000A3BA1"/>
    <w:rsid w:val="000A3DEB"/>
    <w:rsid w:val="000A57D7"/>
    <w:rsid w:val="000A5958"/>
    <w:rsid w:val="000A59DF"/>
    <w:rsid w:val="000A626D"/>
    <w:rsid w:val="000A71A7"/>
    <w:rsid w:val="000A740D"/>
    <w:rsid w:val="000A7780"/>
    <w:rsid w:val="000B1338"/>
    <w:rsid w:val="000B15D2"/>
    <w:rsid w:val="000B22CE"/>
    <w:rsid w:val="000B3138"/>
    <w:rsid w:val="000B3DDD"/>
    <w:rsid w:val="000C1A57"/>
    <w:rsid w:val="000C34D2"/>
    <w:rsid w:val="000C45B5"/>
    <w:rsid w:val="000C6D41"/>
    <w:rsid w:val="000C72CB"/>
    <w:rsid w:val="000C784D"/>
    <w:rsid w:val="000D0114"/>
    <w:rsid w:val="000D19CD"/>
    <w:rsid w:val="000D2130"/>
    <w:rsid w:val="000D3878"/>
    <w:rsid w:val="000D3B12"/>
    <w:rsid w:val="000D48A6"/>
    <w:rsid w:val="000D5040"/>
    <w:rsid w:val="000D5054"/>
    <w:rsid w:val="000D6823"/>
    <w:rsid w:val="000D77BB"/>
    <w:rsid w:val="000E0187"/>
    <w:rsid w:val="000E19B2"/>
    <w:rsid w:val="000E1BEF"/>
    <w:rsid w:val="000E260F"/>
    <w:rsid w:val="000E2ECC"/>
    <w:rsid w:val="000E476C"/>
    <w:rsid w:val="000E51AC"/>
    <w:rsid w:val="000E5DF4"/>
    <w:rsid w:val="000E64F5"/>
    <w:rsid w:val="000E6913"/>
    <w:rsid w:val="000E6DFB"/>
    <w:rsid w:val="000E7DF6"/>
    <w:rsid w:val="000F1B7F"/>
    <w:rsid w:val="000F25FE"/>
    <w:rsid w:val="000F51C7"/>
    <w:rsid w:val="000F5B39"/>
    <w:rsid w:val="000F5F63"/>
    <w:rsid w:val="000F6B0F"/>
    <w:rsid w:val="00101CDE"/>
    <w:rsid w:val="00103028"/>
    <w:rsid w:val="001053D7"/>
    <w:rsid w:val="00105FD3"/>
    <w:rsid w:val="00106079"/>
    <w:rsid w:val="00106EC4"/>
    <w:rsid w:val="0010741B"/>
    <w:rsid w:val="00107F66"/>
    <w:rsid w:val="00111D23"/>
    <w:rsid w:val="001131F8"/>
    <w:rsid w:val="00113EB4"/>
    <w:rsid w:val="00114D52"/>
    <w:rsid w:val="001173B4"/>
    <w:rsid w:val="00117936"/>
    <w:rsid w:val="00117C58"/>
    <w:rsid w:val="00117F7B"/>
    <w:rsid w:val="00121139"/>
    <w:rsid w:val="00121D2E"/>
    <w:rsid w:val="00122A7F"/>
    <w:rsid w:val="00122E81"/>
    <w:rsid w:val="00124BB3"/>
    <w:rsid w:val="00130C1D"/>
    <w:rsid w:val="00130E12"/>
    <w:rsid w:val="00131CF4"/>
    <w:rsid w:val="001329CF"/>
    <w:rsid w:val="00135C7E"/>
    <w:rsid w:val="001368F0"/>
    <w:rsid w:val="00136E96"/>
    <w:rsid w:val="001372E7"/>
    <w:rsid w:val="00137666"/>
    <w:rsid w:val="001401F1"/>
    <w:rsid w:val="00140D76"/>
    <w:rsid w:val="0014309E"/>
    <w:rsid w:val="00145F6D"/>
    <w:rsid w:val="00147883"/>
    <w:rsid w:val="001500E5"/>
    <w:rsid w:val="001515CC"/>
    <w:rsid w:val="0015198A"/>
    <w:rsid w:val="0015234F"/>
    <w:rsid w:val="0015293E"/>
    <w:rsid w:val="00153847"/>
    <w:rsid w:val="00153D8F"/>
    <w:rsid w:val="00155B5E"/>
    <w:rsid w:val="00156200"/>
    <w:rsid w:val="001609F9"/>
    <w:rsid w:val="00161095"/>
    <w:rsid w:val="001630B3"/>
    <w:rsid w:val="00163B86"/>
    <w:rsid w:val="00163CF2"/>
    <w:rsid w:val="00166670"/>
    <w:rsid w:val="001667AF"/>
    <w:rsid w:val="001679CD"/>
    <w:rsid w:val="00170695"/>
    <w:rsid w:val="00171B22"/>
    <w:rsid w:val="00174FF7"/>
    <w:rsid w:val="0017572B"/>
    <w:rsid w:val="001759F2"/>
    <w:rsid w:val="001761E3"/>
    <w:rsid w:val="001775F4"/>
    <w:rsid w:val="00177755"/>
    <w:rsid w:val="00177D42"/>
    <w:rsid w:val="001809C1"/>
    <w:rsid w:val="00180AD5"/>
    <w:rsid w:val="001826B8"/>
    <w:rsid w:val="00183C24"/>
    <w:rsid w:val="00183E35"/>
    <w:rsid w:val="00184748"/>
    <w:rsid w:val="00184BA9"/>
    <w:rsid w:val="00185CA6"/>
    <w:rsid w:val="00186348"/>
    <w:rsid w:val="00186458"/>
    <w:rsid w:val="00186D02"/>
    <w:rsid w:val="001912CA"/>
    <w:rsid w:val="00192340"/>
    <w:rsid w:val="0019284B"/>
    <w:rsid w:val="001939D8"/>
    <w:rsid w:val="00194D51"/>
    <w:rsid w:val="0019699F"/>
    <w:rsid w:val="001969A9"/>
    <w:rsid w:val="001973BE"/>
    <w:rsid w:val="00197532"/>
    <w:rsid w:val="001A0595"/>
    <w:rsid w:val="001A0EAE"/>
    <w:rsid w:val="001A224D"/>
    <w:rsid w:val="001A339C"/>
    <w:rsid w:val="001A4040"/>
    <w:rsid w:val="001A4807"/>
    <w:rsid w:val="001A51BC"/>
    <w:rsid w:val="001A54A0"/>
    <w:rsid w:val="001A79DC"/>
    <w:rsid w:val="001B0338"/>
    <w:rsid w:val="001B06EC"/>
    <w:rsid w:val="001B0F95"/>
    <w:rsid w:val="001B1025"/>
    <w:rsid w:val="001B16C5"/>
    <w:rsid w:val="001B5909"/>
    <w:rsid w:val="001B59F2"/>
    <w:rsid w:val="001B670F"/>
    <w:rsid w:val="001B6C20"/>
    <w:rsid w:val="001C1874"/>
    <w:rsid w:val="001C2707"/>
    <w:rsid w:val="001C2778"/>
    <w:rsid w:val="001C4564"/>
    <w:rsid w:val="001C7C16"/>
    <w:rsid w:val="001D1B0C"/>
    <w:rsid w:val="001D1F6E"/>
    <w:rsid w:val="001D2E30"/>
    <w:rsid w:val="001D43C6"/>
    <w:rsid w:val="001D48EE"/>
    <w:rsid w:val="001D4ADD"/>
    <w:rsid w:val="001D4B1E"/>
    <w:rsid w:val="001D4BB5"/>
    <w:rsid w:val="001D4BE4"/>
    <w:rsid w:val="001D51AC"/>
    <w:rsid w:val="001D57F5"/>
    <w:rsid w:val="001D5ED5"/>
    <w:rsid w:val="001D5F40"/>
    <w:rsid w:val="001D6B85"/>
    <w:rsid w:val="001D70E1"/>
    <w:rsid w:val="001E01B0"/>
    <w:rsid w:val="001E181A"/>
    <w:rsid w:val="001E34A9"/>
    <w:rsid w:val="001E3843"/>
    <w:rsid w:val="001E3D55"/>
    <w:rsid w:val="001E47E5"/>
    <w:rsid w:val="001E4F93"/>
    <w:rsid w:val="001E6293"/>
    <w:rsid w:val="001E68D7"/>
    <w:rsid w:val="001E6943"/>
    <w:rsid w:val="001F27D6"/>
    <w:rsid w:val="001F27E4"/>
    <w:rsid w:val="001F2CD0"/>
    <w:rsid w:val="001F2FFD"/>
    <w:rsid w:val="001F481E"/>
    <w:rsid w:val="001F4B62"/>
    <w:rsid w:val="001F60A6"/>
    <w:rsid w:val="001F6138"/>
    <w:rsid w:val="001F62F7"/>
    <w:rsid w:val="001F6E66"/>
    <w:rsid w:val="00200384"/>
    <w:rsid w:val="002009BE"/>
    <w:rsid w:val="0020115A"/>
    <w:rsid w:val="00201358"/>
    <w:rsid w:val="00201DD5"/>
    <w:rsid w:val="002031EF"/>
    <w:rsid w:val="0020425F"/>
    <w:rsid w:val="00204C1A"/>
    <w:rsid w:val="002054DD"/>
    <w:rsid w:val="00206A04"/>
    <w:rsid w:val="002106CC"/>
    <w:rsid w:val="00211EC3"/>
    <w:rsid w:val="002129AA"/>
    <w:rsid w:val="002137B7"/>
    <w:rsid w:val="00214B06"/>
    <w:rsid w:val="00214EA2"/>
    <w:rsid w:val="00216E6D"/>
    <w:rsid w:val="002210B5"/>
    <w:rsid w:val="00221A66"/>
    <w:rsid w:val="00221AED"/>
    <w:rsid w:val="00222C6D"/>
    <w:rsid w:val="0022354A"/>
    <w:rsid w:val="002235EF"/>
    <w:rsid w:val="0022513C"/>
    <w:rsid w:val="00225C22"/>
    <w:rsid w:val="00227B07"/>
    <w:rsid w:val="00227BE2"/>
    <w:rsid w:val="0023295C"/>
    <w:rsid w:val="00232F09"/>
    <w:rsid w:val="0023396B"/>
    <w:rsid w:val="00234823"/>
    <w:rsid w:val="00234FFA"/>
    <w:rsid w:val="002365BE"/>
    <w:rsid w:val="00244B1A"/>
    <w:rsid w:val="00244CCE"/>
    <w:rsid w:val="00244DD3"/>
    <w:rsid w:val="00246899"/>
    <w:rsid w:val="00246A64"/>
    <w:rsid w:val="00250164"/>
    <w:rsid w:val="00250AA2"/>
    <w:rsid w:val="00250D5E"/>
    <w:rsid w:val="002522D8"/>
    <w:rsid w:val="00253E7D"/>
    <w:rsid w:val="00254584"/>
    <w:rsid w:val="00254B49"/>
    <w:rsid w:val="002557CE"/>
    <w:rsid w:val="00257788"/>
    <w:rsid w:val="00260864"/>
    <w:rsid w:val="00261362"/>
    <w:rsid w:val="002614E0"/>
    <w:rsid w:val="00261AC1"/>
    <w:rsid w:val="00262192"/>
    <w:rsid w:val="00263D67"/>
    <w:rsid w:val="00263DE2"/>
    <w:rsid w:val="00266986"/>
    <w:rsid w:val="002713C6"/>
    <w:rsid w:val="00276B56"/>
    <w:rsid w:val="002772CA"/>
    <w:rsid w:val="002807F9"/>
    <w:rsid w:val="00281192"/>
    <w:rsid w:val="0028174B"/>
    <w:rsid w:val="00282400"/>
    <w:rsid w:val="00283583"/>
    <w:rsid w:val="002853E3"/>
    <w:rsid w:val="00291C6C"/>
    <w:rsid w:val="00293318"/>
    <w:rsid w:val="002938D3"/>
    <w:rsid w:val="0029423B"/>
    <w:rsid w:val="0029509A"/>
    <w:rsid w:val="00297DF2"/>
    <w:rsid w:val="00297F71"/>
    <w:rsid w:val="002A4037"/>
    <w:rsid w:val="002A4811"/>
    <w:rsid w:val="002A5348"/>
    <w:rsid w:val="002A63B7"/>
    <w:rsid w:val="002A66C4"/>
    <w:rsid w:val="002A7A9F"/>
    <w:rsid w:val="002A7DFD"/>
    <w:rsid w:val="002B082E"/>
    <w:rsid w:val="002B0946"/>
    <w:rsid w:val="002B09F8"/>
    <w:rsid w:val="002B0FE9"/>
    <w:rsid w:val="002B16B8"/>
    <w:rsid w:val="002B2660"/>
    <w:rsid w:val="002B27E4"/>
    <w:rsid w:val="002B2CD5"/>
    <w:rsid w:val="002B3D84"/>
    <w:rsid w:val="002B4755"/>
    <w:rsid w:val="002B4782"/>
    <w:rsid w:val="002B47F9"/>
    <w:rsid w:val="002B52CA"/>
    <w:rsid w:val="002B5667"/>
    <w:rsid w:val="002B69E0"/>
    <w:rsid w:val="002C1FFD"/>
    <w:rsid w:val="002C2751"/>
    <w:rsid w:val="002C4A40"/>
    <w:rsid w:val="002C4AF0"/>
    <w:rsid w:val="002C4C11"/>
    <w:rsid w:val="002C6B21"/>
    <w:rsid w:val="002C6C0A"/>
    <w:rsid w:val="002C770F"/>
    <w:rsid w:val="002C7AEB"/>
    <w:rsid w:val="002D025F"/>
    <w:rsid w:val="002D06A3"/>
    <w:rsid w:val="002D0829"/>
    <w:rsid w:val="002D0D24"/>
    <w:rsid w:val="002D2312"/>
    <w:rsid w:val="002D23EB"/>
    <w:rsid w:val="002D2910"/>
    <w:rsid w:val="002D4BE0"/>
    <w:rsid w:val="002D6935"/>
    <w:rsid w:val="002D693C"/>
    <w:rsid w:val="002D6995"/>
    <w:rsid w:val="002D70DC"/>
    <w:rsid w:val="002E0DC9"/>
    <w:rsid w:val="002E1FA1"/>
    <w:rsid w:val="002E217E"/>
    <w:rsid w:val="002E3D47"/>
    <w:rsid w:val="002E455C"/>
    <w:rsid w:val="002E47E4"/>
    <w:rsid w:val="002E5528"/>
    <w:rsid w:val="002E613B"/>
    <w:rsid w:val="002E697A"/>
    <w:rsid w:val="002E7905"/>
    <w:rsid w:val="002E7A90"/>
    <w:rsid w:val="002E7BB8"/>
    <w:rsid w:val="002F1154"/>
    <w:rsid w:val="002F1942"/>
    <w:rsid w:val="002F1C57"/>
    <w:rsid w:val="002F2AA8"/>
    <w:rsid w:val="002F3013"/>
    <w:rsid w:val="002F4DA9"/>
    <w:rsid w:val="002F5945"/>
    <w:rsid w:val="002F5EE5"/>
    <w:rsid w:val="00300652"/>
    <w:rsid w:val="00300D78"/>
    <w:rsid w:val="00302A57"/>
    <w:rsid w:val="00303BEA"/>
    <w:rsid w:val="00304071"/>
    <w:rsid w:val="003047DC"/>
    <w:rsid w:val="00304BC9"/>
    <w:rsid w:val="00304DEF"/>
    <w:rsid w:val="00306BFD"/>
    <w:rsid w:val="00307983"/>
    <w:rsid w:val="00310530"/>
    <w:rsid w:val="00311A8A"/>
    <w:rsid w:val="003126C2"/>
    <w:rsid w:val="003126D7"/>
    <w:rsid w:val="003126EC"/>
    <w:rsid w:val="003127C7"/>
    <w:rsid w:val="00312C27"/>
    <w:rsid w:val="003131A9"/>
    <w:rsid w:val="0031487D"/>
    <w:rsid w:val="0031611E"/>
    <w:rsid w:val="00317D3E"/>
    <w:rsid w:val="0032058C"/>
    <w:rsid w:val="00321082"/>
    <w:rsid w:val="003210B3"/>
    <w:rsid w:val="00321E84"/>
    <w:rsid w:val="00323ADD"/>
    <w:rsid w:val="00323F63"/>
    <w:rsid w:val="003245A0"/>
    <w:rsid w:val="003253A7"/>
    <w:rsid w:val="003258A7"/>
    <w:rsid w:val="00325BD8"/>
    <w:rsid w:val="00326210"/>
    <w:rsid w:val="00327114"/>
    <w:rsid w:val="00330117"/>
    <w:rsid w:val="00330D8E"/>
    <w:rsid w:val="003348FF"/>
    <w:rsid w:val="00334F94"/>
    <w:rsid w:val="00335BE8"/>
    <w:rsid w:val="00335DC1"/>
    <w:rsid w:val="00335F96"/>
    <w:rsid w:val="0033709E"/>
    <w:rsid w:val="00337B37"/>
    <w:rsid w:val="00337FF0"/>
    <w:rsid w:val="00340C15"/>
    <w:rsid w:val="00342422"/>
    <w:rsid w:val="00342BF0"/>
    <w:rsid w:val="003440AE"/>
    <w:rsid w:val="003457C2"/>
    <w:rsid w:val="00345B13"/>
    <w:rsid w:val="00346AE2"/>
    <w:rsid w:val="00351099"/>
    <w:rsid w:val="00351805"/>
    <w:rsid w:val="003524B9"/>
    <w:rsid w:val="003543C9"/>
    <w:rsid w:val="00355284"/>
    <w:rsid w:val="00355B1A"/>
    <w:rsid w:val="0035612B"/>
    <w:rsid w:val="00357847"/>
    <w:rsid w:val="003611C5"/>
    <w:rsid w:val="00361351"/>
    <w:rsid w:val="00361B4E"/>
    <w:rsid w:val="00361D8A"/>
    <w:rsid w:val="0036211F"/>
    <w:rsid w:val="00366340"/>
    <w:rsid w:val="0036636B"/>
    <w:rsid w:val="003719DA"/>
    <w:rsid w:val="00371F40"/>
    <w:rsid w:val="0037240E"/>
    <w:rsid w:val="00372A9F"/>
    <w:rsid w:val="0037328F"/>
    <w:rsid w:val="003740A3"/>
    <w:rsid w:val="003741AA"/>
    <w:rsid w:val="003758E4"/>
    <w:rsid w:val="00375A7C"/>
    <w:rsid w:val="00376A25"/>
    <w:rsid w:val="00376D5A"/>
    <w:rsid w:val="00377AA8"/>
    <w:rsid w:val="00380ABC"/>
    <w:rsid w:val="00381024"/>
    <w:rsid w:val="003816B3"/>
    <w:rsid w:val="00381960"/>
    <w:rsid w:val="003821DF"/>
    <w:rsid w:val="00382208"/>
    <w:rsid w:val="00382558"/>
    <w:rsid w:val="003826E5"/>
    <w:rsid w:val="00382BBF"/>
    <w:rsid w:val="00383ADE"/>
    <w:rsid w:val="00385EE7"/>
    <w:rsid w:val="003873D0"/>
    <w:rsid w:val="00387746"/>
    <w:rsid w:val="00387F0D"/>
    <w:rsid w:val="00390427"/>
    <w:rsid w:val="00390D39"/>
    <w:rsid w:val="00391377"/>
    <w:rsid w:val="00391383"/>
    <w:rsid w:val="00391A95"/>
    <w:rsid w:val="00391F4B"/>
    <w:rsid w:val="00393587"/>
    <w:rsid w:val="00394C7D"/>
    <w:rsid w:val="00394EFF"/>
    <w:rsid w:val="00395A61"/>
    <w:rsid w:val="003967A9"/>
    <w:rsid w:val="00396B2F"/>
    <w:rsid w:val="003A0183"/>
    <w:rsid w:val="003A0202"/>
    <w:rsid w:val="003A0E06"/>
    <w:rsid w:val="003A39B3"/>
    <w:rsid w:val="003A4408"/>
    <w:rsid w:val="003A4482"/>
    <w:rsid w:val="003A64C2"/>
    <w:rsid w:val="003A6589"/>
    <w:rsid w:val="003A7960"/>
    <w:rsid w:val="003B0B7C"/>
    <w:rsid w:val="003B1E11"/>
    <w:rsid w:val="003B27E0"/>
    <w:rsid w:val="003B291A"/>
    <w:rsid w:val="003B4176"/>
    <w:rsid w:val="003B4EF2"/>
    <w:rsid w:val="003B4F2C"/>
    <w:rsid w:val="003B52D1"/>
    <w:rsid w:val="003B613D"/>
    <w:rsid w:val="003B73FE"/>
    <w:rsid w:val="003C0EB6"/>
    <w:rsid w:val="003C26AF"/>
    <w:rsid w:val="003C36A8"/>
    <w:rsid w:val="003C49CE"/>
    <w:rsid w:val="003C5244"/>
    <w:rsid w:val="003C5C1B"/>
    <w:rsid w:val="003D13D6"/>
    <w:rsid w:val="003D15C2"/>
    <w:rsid w:val="003D1881"/>
    <w:rsid w:val="003D3BA2"/>
    <w:rsid w:val="003D4821"/>
    <w:rsid w:val="003D5AB2"/>
    <w:rsid w:val="003D7014"/>
    <w:rsid w:val="003E1A36"/>
    <w:rsid w:val="003E3227"/>
    <w:rsid w:val="003E336D"/>
    <w:rsid w:val="003E34CF"/>
    <w:rsid w:val="003E3856"/>
    <w:rsid w:val="003E6A98"/>
    <w:rsid w:val="003F043A"/>
    <w:rsid w:val="003F0554"/>
    <w:rsid w:val="003F06AF"/>
    <w:rsid w:val="003F1506"/>
    <w:rsid w:val="003F1631"/>
    <w:rsid w:val="003F1C17"/>
    <w:rsid w:val="003F541F"/>
    <w:rsid w:val="003F5485"/>
    <w:rsid w:val="003F5FDF"/>
    <w:rsid w:val="003F692B"/>
    <w:rsid w:val="003F706D"/>
    <w:rsid w:val="003F7454"/>
    <w:rsid w:val="00400CD0"/>
    <w:rsid w:val="00401164"/>
    <w:rsid w:val="004021AA"/>
    <w:rsid w:val="004069AC"/>
    <w:rsid w:val="0040794F"/>
    <w:rsid w:val="00410E68"/>
    <w:rsid w:val="0041111E"/>
    <w:rsid w:val="004120C7"/>
    <w:rsid w:val="00412419"/>
    <w:rsid w:val="004129AF"/>
    <w:rsid w:val="00412C5F"/>
    <w:rsid w:val="00413448"/>
    <w:rsid w:val="00414247"/>
    <w:rsid w:val="0041617B"/>
    <w:rsid w:val="00417D15"/>
    <w:rsid w:val="00420983"/>
    <w:rsid w:val="00422493"/>
    <w:rsid w:val="00422672"/>
    <w:rsid w:val="00423A64"/>
    <w:rsid w:val="00423D19"/>
    <w:rsid w:val="00424237"/>
    <w:rsid w:val="00424AB2"/>
    <w:rsid w:val="00424FA9"/>
    <w:rsid w:val="00425514"/>
    <w:rsid w:val="00427DA4"/>
    <w:rsid w:val="004304F9"/>
    <w:rsid w:val="00430567"/>
    <w:rsid w:val="00431778"/>
    <w:rsid w:val="004317F4"/>
    <w:rsid w:val="004323F2"/>
    <w:rsid w:val="0043588F"/>
    <w:rsid w:val="004375E0"/>
    <w:rsid w:val="004401CF"/>
    <w:rsid w:val="00440250"/>
    <w:rsid w:val="00441271"/>
    <w:rsid w:val="00441ADD"/>
    <w:rsid w:val="00442857"/>
    <w:rsid w:val="00442FB4"/>
    <w:rsid w:val="004432DB"/>
    <w:rsid w:val="004437BE"/>
    <w:rsid w:val="00443AAF"/>
    <w:rsid w:val="004442B2"/>
    <w:rsid w:val="0044644A"/>
    <w:rsid w:val="004522EE"/>
    <w:rsid w:val="0045253C"/>
    <w:rsid w:val="00454770"/>
    <w:rsid w:val="00456B6D"/>
    <w:rsid w:val="00456D17"/>
    <w:rsid w:val="00457124"/>
    <w:rsid w:val="00457ED7"/>
    <w:rsid w:val="00460221"/>
    <w:rsid w:val="004623E3"/>
    <w:rsid w:val="00463039"/>
    <w:rsid w:val="00464F9E"/>
    <w:rsid w:val="0046542F"/>
    <w:rsid w:val="00465C8A"/>
    <w:rsid w:val="00466939"/>
    <w:rsid w:val="00467834"/>
    <w:rsid w:val="00467CED"/>
    <w:rsid w:val="00467ECF"/>
    <w:rsid w:val="00472F1E"/>
    <w:rsid w:val="004739AD"/>
    <w:rsid w:val="004742F2"/>
    <w:rsid w:val="004745D7"/>
    <w:rsid w:val="00474F6B"/>
    <w:rsid w:val="00475CFF"/>
    <w:rsid w:val="00476046"/>
    <w:rsid w:val="0047681A"/>
    <w:rsid w:val="00476B98"/>
    <w:rsid w:val="00476BD9"/>
    <w:rsid w:val="004773A8"/>
    <w:rsid w:val="00477B35"/>
    <w:rsid w:val="00477F14"/>
    <w:rsid w:val="00477F23"/>
    <w:rsid w:val="00481EDA"/>
    <w:rsid w:val="004833E7"/>
    <w:rsid w:val="00484E51"/>
    <w:rsid w:val="0048510E"/>
    <w:rsid w:val="0048605C"/>
    <w:rsid w:val="00490E97"/>
    <w:rsid w:val="004930D1"/>
    <w:rsid w:val="00493DBE"/>
    <w:rsid w:val="004971FF"/>
    <w:rsid w:val="004A0A9D"/>
    <w:rsid w:val="004A10D6"/>
    <w:rsid w:val="004A1710"/>
    <w:rsid w:val="004A20E9"/>
    <w:rsid w:val="004A2648"/>
    <w:rsid w:val="004A2A1D"/>
    <w:rsid w:val="004A5371"/>
    <w:rsid w:val="004A5A66"/>
    <w:rsid w:val="004A5A72"/>
    <w:rsid w:val="004A6EBA"/>
    <w:rsid w:val="004A714A"/>
    <w:rsid w:val="004A77EA"/>
    <w:rsid w:val="004B034E"/>
    <w:rsid w:val="004B0A6E"/>
    <w:rsid w:val="004B5648"/>
    <w:rsid w:val="004B59ED"/>
    <w:rsid w:val="004B5C21"/>
    <w:rsid w:val="004B677F"/>
    <w:rsid w:val="004B67E3"/>
    <w:rsid w:val="004C0236"/>
    <w:rsid w:val="004C0A8A"/>
    <w:rsid w:val="004C0D17"/>
    <w:rsid w:val="004C1AF8"/>
    <w:rsid w:val="004C3376"/>
    <w:rsid w:val="004C3E83"/>
    <w:rsid w:val="004C4D8F"/>
    <w:rsid w:val="004C6BA3"/>
    <w:rsid w:val="004C6C3E"/>
    <w:rsid w:val="004C7412"/>
    <w:rsid w:val="004D0ECD"/>
    <w:rsid w:val="004D170F"/>
    <w:rsid w:val="004D37B6"/>
    <w:rsid w:val="004D5504"/>
    <w:rsid w:val="004D6033"/>
    <w:rsid w:val="004D6235"/>
    <w:rsid w:val="004D6248"/>
    <w:rsid w:val="004D7D71"/>
    <w:rsid w:val="004E34E4"/>
    <w:rsid w:val="004E35C0"/>
    <w:rsid w:val="004E44D8"/>
    <w:rsid w:val="004E4F0F"/>
    <w:rsid w:val="004E6B60"/>
    <w:rsid w:val="004E7D0D"/>
    <w:rsid w:val="004F0004"/>
    <w:rsid w:val="004F0C4F"/>
    <w:rsid w:val="004F17BE"/>
    <w:rsid w:val="004F17F1"/>
    <w:rsid w:val="004F1BCD"/>
    <w:rsid w:val="004F1DF5"/>
    <w:rsid w:val="004F3381"/>
    <w:rsid w:val="004F33DC"/>
    <w:rsid w:val="004F48FE"/>
    <w:rsid w:val="004F7155"/>
    <w:rsid w:val="004F7FBB"/>
    <w:rsid w:val="0050052D"/>
    <w:rsid w:val="005006D2"/>
    <w:rsid w:val="00501272"/>
    <w:rsid w:val="00501B85"/>
    <w:rsid w:val="00503F06"/>
    <w:rsid w:val="00504BF9"/>
    <w:rsid w:val="00506354"/>
    <w:rsid w:val="00506C46"/>
    <w:rsid w:val="00506EE8"/>
    <w:rsid w:val="005076E0"/>
    <w:rsid w:val="00507BD7"/>
    <w:rsid w:val="00512F15"/>
    <w:rsid w:val="00513738"/>
    <w:rsid w:val="00515C07"/>
    <w:rsid w:val="00515E74"/>
    <w:rsid w:val="005169D7"/>
    <w:rsid w:val="00517F44"/>
    <w:rsid w:val="0052084B"/>
    <w:rsid w:val="00520B51"/>
    <w:rsid w:val="0052103D"/>
    <w:rsid w:val="005224E3"/>
    <w:rsid w:val="0052475E"/>
    <w:rsid w:val="005254E4"/>
    <w:rsid w:val="005258B2"/>
    <w:rsid w:val="005263D3"/>
    <w:rsid w:val="00526B2A"/>
    <w:rsid w:val="00531AEB"/>
    <w:rsid w:val="00531FB3"/>
    <w:rsid w:val="00532516"/>
    <w:rsid w:val="00532D1A"/>
    <w:rsid w:val="00534957"/>
    <w:rsid w:val="00534B3C"/>
    <w:rsid w:val="00537734"/>
    <w:rsid w:val="00537E35"/>
    <w:rsid w:val="005407FA"/>
    <w:rsid w:val="00540DE1"/>
    <w:rsid w:val="00541648"/>
    <w:rsid w:val="00542013"/>
    <w:rsid w:val="00542D12"/>
    <w:rsid w:val="00544331"/>
    <w:rsid w:val="00544398"/>
    <w:rsid w:val="005461C1"/>
    <w:rsid w:val="00546CF5"/>
    <w:rsid w:val="0054777A"/>
    <w:rsid w:val="00547EFA"/>
    <w:rsid w:val="00550709"/>
    <w:rsid w:val="00550CDC"/>
    <w:rsid w:val="00550DE5"/>
    <w:rsid w:val="00551805"/>
    <w:rsid w:val="00552088"/>
    <w:rsid w:val="0055214E"/>
    <w:rsid w:val="0055246F"/>
    <w:rsid w:val="005525C7"/>
    <w:rsid w:val="00552815"/>
    <w:rsid w:val="00553965"/>
    <w:rsid w:val="005576B2"/>
    <w:rsid w:val="005602ED"/>
    <w:rsid w:val="00560ECA"/>
    <w:rsid w:val="005611E7"/>
    <w:rsid w:val="00562264"/>
    <w:rsid w:val="005630E7"/>
    <w:rsid w:val="00563C7B"/>
    <w:rsid w:val="005640FE"/>
    <w:rsid w:val="005648C4"/>
    <w:rsid w:val="00564DCF"/>
    <w:rsid w:val="00565DFF"/>
    <w:rsid w:val="00565E89"/>
    <w:rsid w:val="00567B29"/>
    <w:rsid w:val="005702F1"/>
    <w:rsid w:val="005714A8"/>
    <w:rsid w:val="005723DF"/>
    <w:rsid w:val="005728EF"/>
    <w:rsid w:val="00573D76"/>
    <w:rsid w:val="0057426D"/>
    <w:rsid w:val="00576E68"/>
    <w:rsid w:val="00580004"/>
    <w:rsid w:val="0058195C"/>
    <w:rsid w:val="005823F8"/>
    <w:rsid w:val="005825D3"/>
    <w:rsid w:val="005836AE"/>
    <w:rsid w:val="00584EDD"/>
    <w:rsid w:val="00585CDC"/>
    <w:rsid w:val="005907E1"/>
    <w:rsid w:val="005907F7"/>
    <w:rsid w:val="005914C1"/>
    <w:rsid w:val="00591C52"/>
    <w:rsid w:val="00592171"/>
    <w:rsid w:val="0059363D"/>
    <w:rsid w:val="00593E4C"/>
    <w:rsid w:val="005965FF"/>
    <w:rsid w:val="005967E3"/>
    <w:rsid w:val="00596FF6"/>
    <w:rsid w:val="005973C1"/>
    <w:rsid w:val="005A0A5B"/>
    <w:rsid w:val="005A11F4"/>
    <w:rsid w:val="005A26DB"/>
    <w:rsid w:val="005A2F8F"/>
    <w:rsid w:val="005A4239"/>
    <w:rsid w:val="005A6E8E"/>
    <w:rsid w:val="005A78CC"/>
    <w:rsid w:val="005B025E"/>
    <w:rsid w:val="005B05A6"/>
    <w:rsid w:val="005B145A"/>
    <w:rsid w:val="005B1FA3"/>
    <w:rsid w:val="005B3533"/>
    <w:rsid w:val="005B788F"/>
    <w:rsid w:val="005C2BBA"/>
    <w:rsid w:val="005C3AF2"/>
    <w:rsid w:val="005C4869"/>
    <w:rsid w:val="005C52C4"/>
    <w:rsid w:val="005C57E7"/>
    <w:rsid w:val="005C6128"/>
    <w:rsid w:val="005C653D"/>
    <w:rsid w:val="005C7362"/>
    <w:rsid w:val="005D075E"/>
    <w:rsid w:val="005D132E"/>
    <w:rsid w:val="005D2DED"/>
    <w:rsid w:val="005D3989"/>
    <w:rsid w:val="005D44EB"/>
    <w:rsid w:val="005D471A"/>
    <w:rsid w:val="005D4DC8"/>
    <w:rsid w:val="005D504E"/>
    <w:rsid w:val="005D5E4E"/>
    <w:rsid w:val="005D614D"/>
    <w:rsid w:val="005D6C7E"/>
    <w:rsid w:val="005D70C0"/>
    <w:rsid w:val="005E023A"/>
    <w:rsid w:val="005E08F0"/>
    <w:rsid w:val="005E1077"/>
    <w:rsid w:val="005E23A7"/>
    <w:rsid w:val="005E2C02"/>
    <w:rsid w:val="005E3D14"/>
    <w:rsid w:val="005E5E41"/>
    <w:rsid w:val="005E6B25"/>
    <w:rsid w:val="005E73D3"/>
    <w:rsid w:val="005E784A"/>
    <w:rsid w:val="005E7D78"/>
    <w:rsid w:val="005F0407"/>
    <w:rsid w:val="005F04C7"/>
    <w:rsid w:val="005F07F7"/>
    <w:rsid w:val="005F1C01"/>
    <w:rsid w:val="005F39C8"/>
    <w:rsid w:val="005F3C4D"/>
    <w:rsid w:val="005F40FE"/>
    <w:rsid w:val="005F445C"/>
    <w:rsid w:val="005F4C06"/>
    <w:rsid w:val="005F68BC"/>
    <w:rsid w:val="005F7E22"/>
    <w:rsid w:val="00602871"/>
    <w:rsid w:val="006034E8"/>
    <w:rsid w:val="006036DC"/>
    <w:rsid w:val="0060377A"/>
    <w:rsid w:val="006065F8"/>
    <w:rsid w:val="0060755E"/>
    <w:rsid w:val="006076C6"/>
    <w:rsid w:val="00616A63"/>
    <w:rsid w:val="00617462"/>
    <w:rsid w:val="0061778A"/>
    <w:rsid w:val="00620AAE"/>
    <w:rsid w:val="00620EB7"/>
    <w:rsid w:val="006211FB"/>
    <w:rsid w:val="00622D49"/>
    <w:rsid w:val="00623087"/>
    <w:rsid w:val="00623246"/>
    <w:rsid w:val="00623566"/>
    <w:rsid w:val="0062432D"/>
    <w:rsid w:val="00624952"/>
    <w:rsid w:val="00624D2A"/>
    <w:rsid w:val="00624EA1"/>
    <w:rsid w:val="0062656B"/>
    <w:rsid w:val="0063018A"/>
    <w:rsid w:val="006323EE"/>
    <w:rsid w:val="0063317B"/>
    <w:rsid w:val="0063322A"/>
    <w:rsid w:val="00633588"/>
    <w:rsid w:val="0063469D"/>
    <w:rsid w:val="00634F2E"/>
    <w:rsid w:val="006358BD"/>
    <w:rsid w:val="00636695"/>
    <w:rsid w:val="00636FDC"/>
    <w:rsid w:val="00637DE9"/>
    <w:rsid w:val="00641E6C"/>
    <w:rsid w:val="00642F0E"/>
    <w:rsid w:val="00644E53"/>
    <w:rsid w:val="006460CD"/>
    <w:rsid w:val="0064661A"/>
    <w:rsid w:val="00646AEA"/>
    <w:rsid w:val="0064745F"/>
    <w:rsid w:val="00650475"/>
    <w:rsid w:val="00650F9C"/>
    <w:rsid w:val="006518A7"/>
    <w:rsid w:val="0065500E"/>
    <w:rsid w:val="0065615C"/>
    <w:rsid w:val="00657B72"/>
    <w:rsid w:val="00660BB0"/>
    <w:rsid w:val="00660FBF"/>
    <w:rsid w:val="00661ACA"/>
    <w:rsid w:val="00662620"/>
    <w:rsid w:val="006634B3"/>
    <w:rsid w:val="00663EB5"/>
    <w:rsid w:val="006646FC"/>
    <w:rsid w:val="00665FAE"/>
    <w:rsid w:val="006670F2"/>
    <w:rsid w:val="00667535"/>
    <w:rsid w:val="00667877"/>
    <w:rsid w:val="0067112C"/>
    <w:rsid w:val="00671681"/>
    <w:rsid w:val="00671F81"/>
    <w:rsid w:val="006726A5"/>
    <w:rsid w:val="0067482D"/>
    <w:rsid w:val="00674ACE"/>
    <w:rsid w:val="00675111"/>
    <w:rsid w:val="00675321"/>
    <w:rsid w:val="00676390"/>
    <w:rsid w:val="0067680D"/>
    <w:rsid w:val="00677618"/>
    <w:rsid w:val="00682B6F"/>
    <w:rsid w:val="006839E5"/>
    <w:rsid w:val="00683BFE"/>
    <w:rsid w:val="00685090"/>
    <w:rsid w:val="0068668A"/>
    <w:rsid w:val="00686AEB"/>
    <w:rsid w:val="00686B66"/>
    <w:rsid w:val="00690DA4"/>
    <w:rsid w:val="00692DA7"/>
    <w:rsid w:val="006931BE"/>
    <w:rsid w:val="00693FEA"/>
    <w:rsid w:val="00695A7E"/>
    <w:rsid w:val="00695DEE"/>
    <w:rsid w:val="006973EA"/>
    <w:rsid w:val="006A00A3"/>
    <w:rsid w:val="006A0191"/>
    <w:rsid w:val="006A17D1"/>
    <w:rsid w:val="006A2609"/>
    <w:rsid w:val="006A4484"/>
    <w:rsid w:val="006A5042"/>
    <w:rsid w:val="006A7E12"/>
    <w:rsid w:val="006B0B75"/>
    <w:rsid w:val="006B1148"/>
    <w:rsid w:val="006B3E18"/>
    <w:rsid w:val="006B4C55"/>
    <w:rsid w:val="006B521D"/>
    <w:rsid w:val="006B559D"/>
    <w:rsid w:val="006B5BDA"/>
    <w:rsid w:val="006B700D"/>
    <w:rsid w:val="006B7F6B"/>
    <w:rsid w:val="006C364F"/>
    <w:rsid w:val="006C4891"/>
    <w:rsid w:val="006C5349"/>
    <w:rsid w:val="006C536E"/>
    <w:rsid w:val="006C5CF3"/>
    <w:rsid w:val="006C5F17"/>
    <w:rsid w:val="006C6FCD"/>
    <w:rsid w:val="006C7B74"/>
    <w:rsid w:val="006D0482"/>
    <w:rsid w:val="006D208A"/>
    <w:rsid w:val="006D2566"/>
    <w:rsid w:val="006D310E"/>
    <w:rsid w:val="006D6100"/>
    <w:rsid w:val="006D662B"/>
    <w:rsid w:val="006D6BB2"/>
    <w:rsid w:val="006D72E9"/>
    <w:rsid w:val="006D791D"/>
    <w:rsid w:val="006D7C2C"/>
    <w:rsid w:val="006E099B"/>
    <w:rsid w:val="006E104D"/>
    <w:rsid w:val="006E12A1"/>
    <w:rsid w:val="006E2067"/>
    <w:rsid w:val="006E2944"/>
    <w:rsid w:val="006E31E4"/>
    <w:rsid w:val="006E434F"/>
    <w:rsid w:val="006E534F"/>
    <w:rsid w:val="006E54D0"/>
    <w:rsid w:val="006E5B36"/>
    <w:rsid w:val="006E6505"/>
    <w:rsid w:val="006F0EB5"/>
    <w:rsid w:val="006F157B"/>
    <w:rsid w:val="006F1695"/>
    <w:rsid w:val="006F2B4F"/>
    <w:rsid w:val="006F42E3"/>
    <w:rsid w:val="006F46D5"/>
    <w:rsid w:val="006F560A"/>
    <w:rsid w:val="006F6C31"/>
    <w:rsid w:val="006F6C59"/>
    <w:rsid w:val="006F7545"/>
    <w:rsid w:val="00701E73"/>
    <w:rsid w:val="007021BD"/>
    <w:rsid w:val="00702A2E"/>
    <w:rsid w:val="007038EE"/>
    <w:rsid w:val="0070436A"/>
    <w:rsid w:val="00706965"/>
    <w:rsid w:val="00707019"/>
    <w:rsid w:val="00712CB5"/>
    <w:rsid w:val="007136BC"/>
    <w:rsid w:val="007156F0"/>
    <w:rsid w:val="00716AAC"/>
    <w:rsid w:val="007172D8"/>
    <w:rsid w:val="00720C28"/>
    <w:rsid w:val="00720DCD"/>
    <w:rsid w:val="00721308"/>
    <w:rsid w:val="007226D1"/>
    <w:rsid w:val="00723952"/>
    <w:rsid w:val="00723E87"/>
    <w:rsid w:val="00724036"/>
    <w:rsid w:val="00725136"/>
    <w:rsid w:val="007256EF"/>
    <w:rsid w:val="007278D0"/>
    <w:rsid w:val="00727DDD"/>
    <w:rsid w:val="00727DF3"/>
    <w:rsid w:val="00730902"/>
    <w:rsid w:val="007310EE"/>
    <w:rsid w:val="00732006"/>
    <w:rsid w:val="00732396"/>
    <w:rsid w:val="007330F6"/>
    <w:rsid w:val="007337AA"/>
    <w:rsid w:val="007339FF"/>
    <w:rsid w:val="007356C5"/>
    <w:rsid w:val="00736199"/>
    <w:rsid w:val="00736932"/>
    <w:rsid w:val="00737EC0"/>
    <w:rsid w:val="00737F96"/>
    <w:rsid w:val="00740A69"/>
    <w:rsid w:val="00740D22"/>
    <w:rsid w:val="0074274F"/>
    <w:rsid w:val="007428FD"/>
    <w:rsid w:val="007430C5"/>
    <w:rsid w:val="00743F15"/>
    <w:rsid w:val="00744493"/>
    <w:rsid w:val="00744A07"/>
    <w:rsid w:val="00746B51"/>
    <w:rsid w:val="007473C2"/>
    <w:rsid w:val="00750A05"/>
    <w:rsid w:val="0075123B"/>
    <w:rsid w:val="00752138"/>
    <w:rsid w:val="00752206"/>
    <w:rsid w:val="00753250"/>
    <w:rsid w:val="00754225"/>
    <w:rsid w:val="00755DE9"/>
    <w:rsid w:val="00761C74"/>
    <w:rsid w:val="00762397"/>
    <w:rsid w:val="00762C75"/>
    <w:rsid w:val="00765417"/>
    <w:rsid w:val="00771263"/>
    <w:rsid w:val="007744F7"/>
    <w:rsid w:val="0077494B"/>
    <w:rsid w:val="00775B01"/>
    <w:rsid w:val="00782975"/>
    <w:rsid w:val="007845FA"/>
    <w:rsid w:val="00784E16"/>
    <w:rsid w:val="00785861"/>
    <w:rsid w:val="00786EEF"/>
    <w:rsid w:val="00790085"/>
    <w:rsid w:val="00791EA6"/>
    <w:rsid w:val="007962C3"/>
    <w:rsid w:val="007967C6"/>
    <w:rsid w:val="0079766B"/>
    <w:rsid w:val="007A153B"/>
    <w:rsid w:val="007A2214"/>
    <w:rsid w:val="007A2342"/>
    <w:rsid w:val="007A2BC5"/>
    <w:rsid w:val="007A54BE"/>
    <w:rsid w:val="007A6807"/>
    <w:rsid w:val="007A74B1"/>
    <w:rsid w:val="007B04A2"/>
    <w:rsid w:val="007B09B5"/>
    <w:rsid w:val="007B0C69"/>
    <w:rsid w:val="007C0267"/>
    <w:rsid w:val="007C0D20"/>
    <w:rsid w:val="007C1876"/>
    <w:rsid w:val="007C1921"/>
    <w:rsid w:val="007C2A4C"/>
    <w:rsid w:val="007C44F1"/>
    <w:rsid w:val="007C51F8"/>
    <w:rsid w:val="007C55E5"/>
    <w:rsid w:val="007C5954"/>
    <w:rsid w:val="007C7293"/>
    <w:rsid w:val="007D0128"/>
    <w:rsid w:val="007D0A4C"/>
    <w:rsid w:val="007D1DAE"/>
    <w:rsid w:val="007D4353"/>
    <w:rsid w:val="007D4689"/>
    <w:rsid w:val="007D629B"/>
    <w:rsid w:val="007D6C9D"/>
    <w:rsid w:val="007E009B"/>
    <w:rsid w:val="007E1610"/>
    <w:rsid w:val="007E167B"/>
    <w:rsid w:val="007E1879"/>
    <w:rsid w:val="007E2786"/>
    <w:rsid w:val="007E4AC2"/>
    <w:rsid w:val="007E60D8"/>
    <w:rsid w:val="007E6655"/>
    <w:rsid w:val="007E7E42"/>
    <w:rsid w:val="007F1153"/>
    <w:rsid w:val="007F1F6D"/>
    <w:rsid w:val="007F202F"/>
    <w:rsid w:val="007F487A"/>
    <w:rsid w:val="007F687F"/>
    <w:rsid w:val="007F6C08"/>
    <w:rsid w:val="007F6D1B"/>
    <w:rsid w:val="007F6EA3"/>
    <w:rsid w:val="007F78EC"/>
    <w:rsid w:val="007F7D7B"/>
    <w:rsid w:val="0080097A"/>
    <w:rsid w:val="00801410"/>
    <w:rsid w:val="0080325A"/>
    <w:rsid w:val="00803B20"/>
    <w:rsid w:val="00804A9C"/>
    <w:rsid w:val="00804FE5"/>
    <w:rsid w:val="00805530"/>
    <w:rsid w:val="00805DDA"/>
    <w:rsid w:val="008067DC"/>
    <w:rsid w:val="0081000C"/>
    <w:rsid w:val="00811084"/>
    <w:rsid w:val="00811FF8"/>
    <w:rsid w:val="00814503"/>
    <w:rsid w:val="00814A0C"/>
    <w:rsid w:val="00816137"/>
    <w:rsid w:val="0081691B"/>
    <w:rsid w:val="008203FD"/>
    <w:rsid w:val="008209AA"/>
    <w:rsid w:val="008209C9"/>
    <w:rsid w:val="008219A9"/>
    <w:rsid w:val="008219CC"/>
    <w:rsid w:val="00822288"/>
    <w:rsid w:val="00822E1A"/>
    <w:rsid w:val="00822F8C"/>
    <w:rsid w:val="00823DEF"/>
    <w:rsid w:val="00824806"/>
    <w:rsid w:val="008254B3"/>
    <w:rsid w:val="00826169"/>
    <w:rsid w:val="00826BB1"/>
    <w:rsid w:val="00826C2F"/>
    <w:rsid w:val="00826E9A"/>
    <w:rsid w:val="00827389"/>
    <w:rsid w:val="0083035C"/>
    <w:rsid w:val="00833653"/>
    <w:rsid w:val="00833D9D"/>
    <w:rsid w:val="00833EBD"/>
    <w:rsid w:val="0083775E"/>
    <w:rsid w:val="00837E8E"/>
    <w:rsid w:val="0084075B"/>
    <w:rsid w:val="00841567"/>
    <w:rsid w:val="00841592"/>
    <w:rsid w:val="008423FD"/>
    <w:rsid w:val="00842D16"/>
    <w:rsid w:val="00842EE3"/>
    <w:rsid w:val="0084346C"/>
    <w:rsid w:val="00845193"/>
    <w:rsid w:val="00850EF9"/>
    <w:rsid w:val="00851BE9"/>
    <w:rsid w:val="00851D06"/>
    <w:rsid w:val="00851F10"/>
    <w:rsid w:val="0085202E"/>
    <w:rsid w:val="008520C0"/>
    <w:rsid w:val="00853532"/>
    <w:rsid w:val="00855F8E"/>
    <w:rsid w:val="00856996"/>
    <w:rsid w:val="008579A1"/>
    <w:rsid w:val="00857F5E"/>
    <w:rsid w:val="0086150F"/>
    <w:rsid w:val="0086206C"/>
    <w:rsid w:val="00862478"/>
    <w:rsid w:val="00862B1B"/>
    <w:rsid w:val="00863105"/>
    <w:rsid w:val="00864E97"/>
    <w:rsid w:val="00864EB2"/>
    <w:rsid w:val="00864F24"/>
    <w:rsid w:val="008650B7"/>
    <w:rsid w:val="00865477"/>
    <w:rsid w:val="0086767B"/>
    <w:rsid w:val="00867E3E"/>
    <w:rsid w:val="00870907"/>
    <w:rsid w:val="00871C67"/>
    <w:rsid w:val="00873AF1"/>
    <w:rsid w:val="00874F35"/>
    <w:rsid w:val="00875EB9"/>
    <w:rsid w:val="00876D26"/>
    <w:rsid w:val="0088152B"/>
    <w:rsid w:val="00881EA3"/>
    <w:rsid w:val="00882321"/>
    <w:rsid w:val="00883307"/>
    <w:rsid w:val="00883605"/>
    <w:rsid w:val="00883E59"/>
    <w:rsid w:val="00884A11"/>
    <w:rsid w:val="00884D8C"/>
    <w:rsid w:val="00884F05"/>
    <w:rsid w:val="00885AE8"/>
    <w:rsid w:val="00885C0C"/>
    <w:rsid w:val="00886181"/>
    <w:rsid w:val="0088690C"/>
    <w:rsid w:val="0088729F"/>
    <w:rsid w:val="00887A79"/>
    <w:rsid w:val="008901DC"/>
    <w:rsid w:val="008906FE"/>
    <w:rsid w:val="0089101C"/>
    <w:rsid w:val="0089121D"/>
    <w:rsid w:val="00892F26"/>
    <w:rsid w:val="00896120"/>
    <w:rsid w:val="00896365"/>
    <w:rsid w:val="00896441"/>
    <w:rsid w:val="00896A18"/>
    <w:rsid w:val="008A0AF6"/>
    <w:rsid w:val="008A0B96"/>
    <w:rsid w:val="008A215B"/>
    <w:rsid w:val="008A2598"/>
    <w:rsid w:val="008A2765"/>
    <w:rsid w:val="008A492C"/>
    <w:rsid w:val="008A5882"/>
    <w:rsid w:val="008A6C37"/>
    <w:rsid w:val="008A73DA"/>
    <w:rsid w:val="008B0752"/>
    <w:rsid w:val="008B2984"/>
    <w:rsid w:val="008B29B1"/>
    <w:rsid w:val="008B3C37"/>
    <w:rsid w:val="008B57E6"/>
    <w:rsid w:val="008B6544"/>
    <w:rsid w:val="008B7F9F"/>
    <w:rsid w:val="008C0601"/>
    <w:rsid w:val="008C0690"/>
    <w:rsid w:val="008C1EAF"/>
    <w:rsid w:val="008C1ED0"/>
    <w:rsid w:val="008C240B"/>
    <w:rsid w:val="008C36DE"/>
    <w:rsid w:val="008C37C7"/>
    <w:rsid w:val="008C3FEA"/>
    <w:rsid w:val="008C4AB6"/>
    <w:rsid w:val="008C59FE"/>
    <w:rsid w:val="008C76BE"/>
    <w:rsid w:val="008C7D69"/>
    <w:rsid w:val="008D0564"/>
    <w:rsid w:val="008D05C3"/>
    <w:rsid w:val="008D110B"/>
    <w:rsid w:val="008D1CF4"/>
    <w:rsid w:val="008D42C6"/>
    <w:rsid w:val="008D505F"/>
    <w:rsid w:val="008D50FF"/>
    <w:rsid w:val="008D67DB"/>
    <w:rsid w:val="008D682D"/>
    <w:rsid w:val="008D6F48"/>
    <w:rsid w:val="008E212A"/>
    <w:rsid w:val="008E27DF"/>
    <w:rsid w:val="008E4367"/>
    <w:rsid w:val="008E4961"/>
    <w:rsid w:val="008E4DDC"/>
    <w:rsid w:val="008E574B"/>
    <w:rsid w:val="008E742A"/>
    <w:rsid w:val="008E7CD9"/>
    <w:rsid w:val="008E7D12"/>
    <w:rsid w:val="008F0181"/>
    <w:rsid w:val="008F07EE"/>
    <w:rsid w:val="008F2009"/>
    <w:rsid w:val="008F2C26"/>
    <w:rsid w:val="008F3663"/>
    <w:rsid w:val="008F4883"/>
    <w:rsid w:val="008F4A48"/>
    <w:rsid w:val="008F61F1"/>
    <w:rsid w:val="008F6460"/>
    <w:rsid w:val="008F66F1"/>
    <w:rsid w:val="008F6B7A"/>
    <w:rsid w:val="008F6FB8"/>
    <w:rsid w:val="008F7886"/>
    <w:rsid w:val="00900C38"/>
    <w:rsid w:val="009012A1"/>
    <w:rsid w:val="009015FA"/>
    <w:rsid w:val="00902A56"/>
    <w:rsid w:val="009031FF"/>
    <w:rsid w:val="00903362"/>
    <w:rsid w:val="00903F0E"/>
    <w:rsid w:val="00904440"/>
    <w:rsid w:val="00904955"/>
    <w:rsid w:val="00905CB4"/>
    <w:rsid w:val="0090731F"/>
    <w:rsid w:val="009107FE"/>
    <w:rsid w:val="00911857"/>
    <w:rsid w:val="00912238"/>
    <w:rsid w:val="00912827"/>
    <w:rsid w:val="00912C58"/>
    <w:rsid w:val="009132B2"/>
    <w:rsid w:val="00914A1D"/>
    <w:rsid w:val="00915412"/>
    <w:rsid w:val="00915501"/>
    <w:rsid w:val="00915CBA"/>
    <w:rsid w:val="009165F0"/>
    <w:rsid w:val="00916CF6"/>
    <w:rsid w:val="009175D6"/>
    <w:rsid w:val="0092045F"/>
    <w:rsid w:val="009235CA"/>
    <w:rsid w:val="009261AF"/>
    <w:rsid w:val="00926E8C"/>
    <w:rsid w:val="0093005A"/>
    <w:rsid w:val="0093028A"/>
    <w:rsid w:val="00930E2F"/>
    <w:rsid w:val="00931FC7"/>
    <w:rsid w:val="00932168"/>
    <w:rsid w:val="00932F2D"/>
    <w:rsid w:val="0093375D"/>
    <w:rsid w:val="00934BC8"/>
    <w:rsid w:val="00936E98"/>
    <w:rsid w:val="00936F2B"/>
    <w:rsid w:val="00940AD9"/>
    <w:rsid w:val="00940E90"/>
    <w:rsid w:val="00941673"/>
    <w:rsid w:val="00942884"/>
    <w:rsid w:val="00943407"/>
    <w:rsid w:val="00943E45"/>
    <w:rsid w:val="009441BE"/>
    <w:rsid w:val="00946180"/>
    <w:rsid w:val="00946F2C"/>
    <w:rsid w:val="00953062"/>
    <w:rsid w:val="00953787"/>
    <w:rsid w:val="00954ACA"/>
    <w:rsid w:val="00956476"/>
    <w:rsid w:val="009657A8"/>
    <w:rsid w:val="009657D2"/>
    <w:rsid w:val="00965EFF"/>
    <w:rsid w:val="00970202"/>
    <w:rsid w:val="00971579"/>
    <w:rsid w:val="009715A2"/>
    <w:rsid w:val="0097267C"/>
    <w:rsid w:val="00972957"/>
    <w:rsid w:val="009747DF"/>
    <w:rsid w:val="00975298"/>
    <w:rsid w:val="00975318"/>
    <w:rsid w:val="009753FC"/>
    <w:rsid w:val="009755F2"/>
    <w:rsid w:val="0097573B"/>
    <w:rsid w:val="00975E47"/>
    <w:rsid w:val="00976CDB"/>
    <w:rsid w:val="00976D58"/>
    <w:rsid w:val="009779B3"/>
    <w:rsid w:val="00977EEB"/>
    <w:rsid w:val="00977FCB"/>
    <w:rsid w:val="0098008A"/>
    <w:rsid w:val="009806CA"/>
    <w:rsid w:val="00981377"/>
    <w:rsid w:val="00983D60"/>
    <w:rsid w:val="009862C7"/>
    <w:rsid w:val="009870B9"/>
    <w:rsid w:val="00990D00"/>
    <w:rsid w:val="009932E5"/>
    <w:rsid w:val="009938DC"/>
    <w:rsid w:val="00995772"/>
    <w:rsid w:val="009959ED"/>
    <w:rsid w:val="00996E53"/>
    <w:rsid w:val="00996FD1"/>
    <w:rsid w:val="00997A1F"/>
    <w:rsid w:val="009A01B1"/>
    <w:rsid w:val="009A07B6"/>
    <w:rsid w:val="009A0933"/>
    <w:rsid w:val="009A0C4A"/>
    <w:rsid w:val="009A2B31"/>
    <w:rsid w:val="009A3563"/>
    <w:rsid w:val="009A4684"/>
    <w:rsid w:val="009A4FB4"/>
    <w:rsid w:val="009A50A0"/>
    <w:rsid w:val="009B06BC"/>
    <w:rsid w:val="009B2183"/>
    <w:rsid w:val="009B22A5"/>
    <w:rsid w:val="009B3720"/>
    <w:rsid w:val="009B3C31"/>
    <w:rsid w:val="009B3FC5"/>
    <w:rsid w:val="009B6A30"/>
    <w:rsid w:val="009B6FB4"/>
    <w:rsid w:val="009B7317"/>
    <w:rsid w:val="009B7A0E"/>
    <w:rsid w:val="009B7E6F"/>
    <w:rsid w:val="009C274C"/>
    <w:rsid w:val="009C35D9"/>
    <w:rsid w:val="009C3B8E"/>
    <w:rsid w:val="009C42A0"/>
    <w:rsid w:val="009C43A9"/>
    <w:rsid w:val="009C5574"/>
    <w:rsid w:val="009C5EA2"/>
    <w:rsid w:val="009C6155"/>
    <w:rsid w:val="009C64B1"/>
    <w:rsid w:val="009C64E5"/>
    <w:rsid w:val="009C6DDA"/>
    <w:rsid w:val="009C7974"/>
    <w:rsid w:val="009C7AF2"/>
    <w:rsid w:val="009D0211"/>
    <w:rsid w:val="009D0410"/>
    <w:rsid w:val="009D1F70"/>
    <w:rsid w:val="009D2F26"/>
    <w:rsid w:val="009D334F"/>
    <w:rsid w:val="009D5182"/>
    <w:rsid w:val="009D672C"/>
    <w:rsid w:val="009D72E0"/>
    <w:rsid w:val="009D76F5"/>
    <w:rsid w:val="009E040D"/>
    <w:rsid w:val="009E08CA"/>
    <w:rsid w:val="009E0910"/>
    <w:rsid w:val="009E1D89"/>
    <w:rsid w:val="009E26BA"/>
    <w:rsid w:val="009E2DF8"/>
    <w:rsid w:val="009E2E50"/>
    <w:rsid w:val="009E313D"/>
    <w:rsid w:val="009E397A"/>
    <w:rsid w:val="009E3993"/>
    <w:rsid w:val="009E4687"/>
    <w:rsid w:val="009E5277"/>
    <w:rsid w:val="009E644B"/>
    <w:rsid w:val="009E67BB"/>
    <w:rsid w:val="009F0433"/>
    <w:rsid w:val="009F068F"/>
    <w:rsid w:val="009F2A46"/>
    <w:rsid w:val="009F33BB"/>
    <w:rsid w:val="009F5C43"/>
    <w:rsid w:val="009F7AE9"/>
    <w:rsid w:val="00A005DA"/>
    <w:rsid w:val="00A016BC"/>
    <w:rsid w:val="00A01F63"/>
    <w:rsid w:val="00A03AED"/>
    <w:rsid w:val="00A03F09"/>
    <w:rsid w:val="00A04006"/>
    <w:rsid w:val="00A05925"/>
    <w:rsid w:val="00A068DE"/>
    <w:rsid w:val="00A06E06"/>
    <w:rsid w:val="00A10646"/>
    <w:rsid w:val="00A10BA8"/>
    <w:rsid w:val="00A141BA"/>
    <w:rsid w:val="00A17991"/>
    <w:rsid w:val="00A17EE8"/>
    <w:rsid w:val="00A204BB"/>
    <w:rsid w:val="00A204D7"/>
    <w:rsid w:val="00A21EC2"/>
    <w:rsid w:val="00A22496"/>
    <w:rsid w:val="00A228F3"/>
    <w:rsid w:val="00A232C9"/>
    <w:rsid w:val="00A24D1F"/>
    <w:rsid w:val="00A262C3"/>
    <w:rsid w:val="00A30AA1"/>
    <w:rsid w:val="00A316C7"/>
    <w:rsid w:val="00A331F9"/>
    <w:rsid w:val="00A339D9"/>
    <w:rsid w:val="00A35FA8"/>
    <w:rsid w:val="00A3673C"/>
    <w:rsid w:val="00A40E9C"/>
    <w:rsid w:val="00A41510"/>
    <w:rsid w:val="00A415E4"/>
    <w:rsid w:val="00A42D77"/>
    <w:rsid w:val="00A448FE"/>
    <w:rsid w:val="00A44D91"/>
    <w:rsid w:val="00A454C2"/>
    <w:rsid w:val="00A544CE"/>
    <w:rsid w:val="00A55147"/>
    <w:rsid w:val="00A55BD8"/>
    <w:rsid w:val="00A618CE"/>
    <w:rsid w:val="00A63742"/>
    <w:rsid w:val="00A63DFA"/>
    <w:rsid w:val="00A64D0C"/>
    <w:rsid w:val="00A65F5D"/>
    <w:rsid w:val="00A66025"/>
    <w:rsid w:val="00A678A3"/>
    <w:rsid w:val="00A7055A"/>
    <w:rsid w:val="00A715BF"/>
    <w:rsid w:val="00A726B5"/>
    <w:rsid w:val="00A729C2"/>
    <w:rsid w:val="00A7514D"/>
    <w:rsid w:val="00A77496"/>
    <w:rsid w:val="00A77695"/>
    <w:rsid w:val="00A777E1"/>
    <w:rsid w:val="00A827AE"/>
    <w:rsid w:val="00A85324"/>
    <w:rsid w:val="00A85F6A"/>
    <w:rsid w:val="00A86B85"/>
    <w:rsid w:val="00A87603"/>
    <w:rsid w:val="00A87628"/>
    <w:rsid w:val="00A91048"/>
    <w:rsid w:val="00A9128C"/>
    <w:rsid w:val="00A95C67"/>
    <w:rsid w:val="00A96696"/>
    <w:rsid w:val="00A9678B"/>
    <w:rsid w:val="00A96873"/>
    <w:rsid w:val="00AA3BFD"/>
    <w:rsid w:val="00AA3C59"/>
    <w:rsid w:val="00AA3F5D"/>
    <w:rsid w:val="00AA4585"/>
    <w:rsid w:val="00AA60F0"/>
    <w:rsid w:val="00AA631E"/>
    <w:rsid w:val="00AA6FD6"/>
    <w:rsid w:val="00AA7965"/>
    <w:rsid w:val="00AB05BF"/>
    <w:rsid w:val="00AB12FD"/>
    <w:rsid w:val="00AB1B2A"/>
    <w:rsid w:val="00AB3336"/>
    <w:rsid w:val="00AB37BE"/>
    <w:rsid w:val="00AB6036"/>
    <w:rsid w:val="00AB66FA"/>
    <w:rsid w:val="00AB68AE"/>
    <w:rsid w:val="00AB6E87"/>
    <w:rsid w:val="00AB70DF"/>
    <w:rsid w:val="00AC0A14"/>
    <w:rsid w:val="00AC2F5A"/>
    <w:rsid w:val="00AC37CD"/>
    <w:rsid w:val="00AC37D9"/>
    <w:rsid w:val="00AC5140"/>
    <w:rsid w:val="00AC7B7A"/>
    <w:rsid w:val="00AD017C"/>
    <w:rsid w:val="00AD087D"/>
    <w:rsid w:val="00AD18AA"/>
    <w:rsid w:val="00AD216F"/>
    <w:rsid w:val="00AD40C9"/>
    <w:rsid w:val="00AD594F"/>
    <w:rsid w:val="00AE02E4"/>
    <w:rsid w:val="00AE049B"/>
    <w:rsid w:val="00AE14FD"/>
    <w:rsid w:val="00AE2060"/>
    <w:rsid w:val="00AE235D"/>
    <w:rsid w:val="00AE293C"/>
    <w:rsid w:val="00AE3B56"/>
    <w:rsid w:val="00AE5740"/>
    <w:rsid w:val="00AE684A"/>
    <w:rsid w:val="00AF0BFC"/>
    <w:rsid w:val="00AF2DB7"/>
    <w:rsid w:val="00AF5493"/>
    <w:rsid w:val="00AF57E2"/>
    <w:rsid w:val="00AF5CFE"/>
    <w:rsid w:val="00AF6534"/>
    <w:rsid w:val="00AF68BC"/>
    <w:rsid w:val="00AF7554"/>
    <w:rsid w:val="00AF7BE4"/>
    <w:rsid w:val="00B0002D"/>
    <w:rsid w:val="00B011EE"/>
    <w:rsid w:val="00B01AB3"/>
    <w:rsid w:val="00B0403F"/>
    <w:rsid w:val="00B04BF4"/>
    <w:rsid w:val="00B053FF"/>
    <w:rsid w:val="00B054AB"/>
    <w:rsid w:val="00B06EC5"/>
    <w:rsid w:val="00B06FFB"/>
    <w:rsid w:val="00B07106"/>
    <w:rsid w:val="00B106E8"/>
    <w:rsid w:val="00B12D3D"/>
    <w:rsid w:val="00B12E70"/>
    <w:rsid w:val="00B13C5C"/>
    <w:rsid w:val="00B16519"/>
    <w:rsid w:val="00B166E9"/>
    <w:rsid w:val="00B1732D"/>
    <w:rsid w:val="00B174B1"/>
    <w:rsid w:val="00B21536"/>
    <w:rsid w:val="00B215DF"/>
    <w:rsid w:val="00B21EAD"/>
    <w:rsid w:val="00B22C43"/>
    <w:rsid w:val="00B23CD0"/>
    <w:rsid w:val="00B26585"/>
    <w:rsid w:val="00B2689E"/>
    <w:rsid w:val="00B272AB"/>
    <w:rsid w:val="00B3027D"/>
    <w:rsid w:val="00B302B7"/>
    <w:rsid w:val="00B30FBA"/>
    <w:rsid w:val="00B31688"/>
    <w:rsid w:val="00B31A91"/>
    <w:rsid w:val="00B31D43"/>
    <w:rsid w:val="00B3207A"/>
    <w:rsid w:val="00B3549E"/>
    <w:rsid w:val="00B37A25"/>
    <w:rsid w:val="00B41F72"/>
    <w:rsid w:val="00B44C02"/>
    <w:rsid w:val="00B474BB"/>
    <w:rsid w:val="00B5176F"/>
    <w:rsid w:val="00B51B7D"/>
    <w:rsid w:val="00B52C98"/>
    <w:rsid w:val="00B53215"/>
    <w:rsid w:val="00B54FC7"/>
    <w:rsid w:val="00B55DCA"/>
    <w:rsid w:val="00B578BC"/>
    <w:rsid w:val="00B6037F"/>
    <w:rsid w:val="00B60655"/>
    <w:rsid w:val="00B60E48"/>
    <w:rsid w:val="00B610A0"/>
    <w:rsid w:val="00B645D2"/>
    <w:rsid w:val="00B64C36"/>
    <w:rsid w:val="00B651ED"/>
    <w:rsid w:val="00B65684"/>
    <w:rsid w:val="00B657A1"/>
    <w:rsid w:val="00B661B9"/>
    <w:rsid w:val="00B67582"/>
    <w:rsid w:val="00B70500"/>
    <w:rsid w:val="00B71256"/>
    <w:rsid w:val="00B719D6"/>
    <w:rsid w:val="00B731A2"/>
    <w:rsid w:val="00B73673"/>
    <w:rsid w:val="00B747C3"/>
    <w:rsid w:val="00B751E6"/>
    <w:rsid w:val="00B7561E"/>
    <w:rsid w:val="00B7614E"/>
    <w:rsid w:val="00B7662D"/>
    <w:rsid w:val="00B76B39"/>
    <w:rsid w:val="00B76BC9"/>
    <w:rsid w:val="00B8044F"/>
    <w:rsid w:val="00B80989"/>
    <w:rsid w:val="00B80B12"/>
    <w:rsid w:val="00B80C7A"/>
    <w:rsid w:val="00B8218F"/>
    <w:rsid w:val="00B8226F"/>
    <w:rsid w:val="00B8235D"/>
    <w:rsid w:val="00B831D9"/>
    <w:rsid w:val="00B8557E"/>
    <w:rsid w:val="00B867B3"/>
    <w:rsid w:val="00B86E06"/>
    <w:rsid w:val="00B870AE"/>
    <w:rsid w:val="00B90827"/>
    <w:rsid w:val="00B9107D"/>
    <w:rsid w:val="00B96C48"/>
    <w:rsid w:val="00B97ADE"/>
    <w:rsid w:val="00BA2646"/>
    <w:rsid w:val="00BA3171"/>
    <w:rsid w:val="00BA4198"/>
    <w:rsid w:val="00BA5B8E"/>
    <w:rsid w:val="00BA5BF7"/>
    <w:rsid w:val="00BA6A96"/>
    <w:rsid w:val="00BA6AB9"/>
    <w:rsid w:val="00BA78A2"/>
    <w:rsid w:val="00BA7B0C"/>
    <w:rsid w:val="00BB033C"/>
    <w:rsid w:val="00BB07EB"/>
    <w:rsid w:val="00BB0A04"/>
    <w:rsid w:val="00BB0AB0"/>
    <w:rsid w:val="00BB1C7A"/>
    <w:rsid w:val="00BB2A9E"/>
    <w:rsid w:val="00BB4DA4"/>
    <w:rsid w:val="00BB4E53"/>
    <w:rsid w:val="00BB6CE2"/>
    <w:rsid w:val="00BB73C9"/>
    <w:rsid w:val="00BB7408"/>
    <w:rsid w:val="00BB7C5E"/>
    <w:rsid w:val="00BC08D5"/>
    <w:rsid w:val="00BC1AEF"/>
    <w:rsid w:val="00BC2A38"/>
    <w:rsid w:val="00BC2B7B"/>
    <w:rsid w:val="00BC326C"/>
    <w:rsid w:val="00BC32BD"/>
    <w:rsid w:val="00BC63DE"/>
    <w:rsid w:val="00BD1816"/>
    <w:rsid w:val="00BD2087"/>
    <w:rsid w:val="00BD2618"/>
    <w:rsid w:val="00BD273D"/>
    <w:rsid w:val="00BD3DAE"/>
    <w:rsid w:val="00BD434A"/>
    <w:rsid w:val="00BD4A1D"/>
    <w:rsid w:val="00BD76DF"/>
    <w:rsid w:val="00BD7FDE"/>
    <w:rsid w:val="00BE3185"/>
    <w:rsid w:val="00BE4991"/>
    <w:rsid w:val="00BE606D"/>
    <w:rsid w:val="00BE66D0"/>
    <w:rsid w:val="00BE68F4"/>
    <w:rsid w:val="00BE69F2"/>
    <w:rsid w:val="00BE7238"/>
    <w:rsid w:val="00BE7D32"/>
    <w:rsid w:val="00BE7D5C"/>
    <w:rsid w:val="00BF19AB"/>
    <w:rsid w:val="00BF1A3C"/>
    <w:rsid w:val="00BF2BF4"/>
    <w:rsid w:val="00BF474B"/>
    <w:rsid w:val="00C014E2"/>
    <w:rsid w:val="00C01B71"/>
    <w:rsid w:val="00C02A24"/>
    <w:rsid w:val="00C03BC6"/>
    <w:rsid w:val="00C03FC9"/>
    <w:rsid w:val="00C070E6"/>
    <w:rsid w:val="00C07584"/>
    <w:rsid w:val="00C100C7"/>
    <w:rsid w:val="00C10599"/>
    <w:rsid w:val="00C10922"/>
    <w:rsid w:val="00C110DC"/>
    <w:rsid w:val="00C1118A"/>
    <w:rsid w:val="00C12BD0"/>
    <w:rsid w:val="00C13185"/>
    <w:rsid w:val="00C143BA"/>
    <w:rsid w:val="00C17B82"/>
    <w:rsid w:val="00C17E9A"/>
    <w:rsid w:val="00C22544"/>
    <w:rsid w:val="00C225A6"/>
    <w:rsid w:val="00C22884"/>
    <w:rsid w:val="00C2419B"/>
    <w:rsid w:val="00C24BC6"/>
    <w:rsid w:val="00C2515A"/>
    <w:rsid w:val="00C302BA"/>
    <w:rsid w:val="00C3090B"/>
    <w:rsid w:val="00C322BB"/>
    <w:rsid w:val="00C32624"/>
    <w:rsid w:val="00C3744E"/>
    <w:rsid w:val="00C410F2"/>
    <w:rsid w:val="00C4265D"/>
    <w:rsid w:val="00C42C79"/>
    <w:rsid w:val="00C43E61"/>
    <w:rsid w:val="00C452F1"/>
    <w:rsid w:val="00C45E44"/>
    <w:rsid w:val="00C46A71"/>
    <w:rsid w:val="00C46DC5"/>
    <w:rsid w:val="00C47E4A"/>
    <w:rsid w:val="00C51F9B"/>
    <w:rsid w:val="00C53919"/>
    <w:rsid w:val="00C53A5F"/>
    <w:rsid w:val="00C5427C"/>
    <w:rsid w:val="00C548B9"/>
    <w:rsid w:val="00C56882"/>
    <w:rsid w:val="00C60957"/>
    <w:rsid w:val="00C620B9"/>
    <w:rsid w:val="00C63A9D"/>
    <w:rsid w:val="00C6628E"/>
    <w:rsid w:val="00C665E5"/>
    <w:rsid w:val="00C700EB"/>
    <w:rsid w:val="00C70B3C"/>
    <w:rsid w:val="00C70C79"/>
    <w:rsid w:val="00C72154"/>
    <w:rsid w:val="00C725D5"/>
    <w:rsid w:val="00C735E7"/>
    <w:rsid w:val="00C7516B"/>
    <w:rsid w:val="00C75E6F"/>
    <w:rsid w:val="00C764B1"/>
    <w:rsid w:val="00C766D4"/>
    <w:rsid w:val="00C76B14"/>
    <w:rsid w:val="00C77CE5"/>
    <w:rsid w:val="00C8033E"/>
    <w:rsid w:val="00C821E0"/>
    <w:rsid w:val="00C831BD"/>
    <w:rsid w:val="00C86DCE"/>
    <w:rsid w:val="00C86E76"/>
    <w:rsid w:val="00C87E29"/>
    <w:rsid w:val="00C90BA0"/>
    <w:rsid w:val="00C91DEF"/>
    <w:rsid w:val="00C922EA"/>
    <w:rsid w:val="00C92C1F"/>
    <w:rsid w:val="00C92ECC"/>
    <w:rsid w:val="00C93634"/>
    <w:rsid w:val="00C9539B"/>
    <w:rsid w:val="00C9711A"/>
    <w:rsid w:val="00CA0150"/>
    <w:rsid w:val="00CA377A"/>
    <w:rsid w:val="00CA3905"/>
    <w:rsid w:val="00CA39F9"/>
    <w:rsid w:val="00CA559C"/>
    <w:rsid w:val="00CA5CD0"/>
    <w:rsid w:val="00CA6C16"/>
    <w:rsid w:val="00CB153B"/>
    <w:rsid w:val="00CB2092"/>
    <w:rsid w:val="00CB2F25"/>
    <w:rsid w:val="00CB4231"/>
    <w:rsid w:val="00CB451F"/>
    <w:rsid w:val="00CB64AD"/>
    <w:rsid w:val="00CB6AD6"/>
    <w:rsid w:val="00CB77AD"/>
    <w:rsid w:val="00CC5143"/>
    <w:rsid w:val="00CC5957"/>
    <w:rsid w:val="00CC6CCA"/>
    <w:rsid w:val="00CD0FE9"/>
    <w:rsid w:val="00CD1E54"/>
    <w:rsid w:val="00CD3D2F"/>
    <w:rsid w:val="00CD53A1"/>
    <w:rsid w:val="00CD5AC4"/>
    <w:rsid w:val="00CD5B39"/>
    <w:rsid w:val="00CD7214"/>
    <w:rsid w:val="00CD7529"/>
    <w:rsid w:val="00CD7548"/>
    <w:rsid w:val="00CE0FA4"/>
    <w:rsid w:val="00CE415A"/>
    <w:rsid w:val="00CE5163"/>
    <w:rsid w:val="00CF0B3B"/>
    <w:rsid w:val="00CF1345"/>
    <w:rsid w:val="00CF1AA7"/>
    <w:rsid w:val="00CF2949"/>
    <w:rsid w:val="00CF2B5E"/>
    <w:rsid w:val="00CF5739"/>
    <w:rsid w:val="00CF59C3"/>
    <w:rsid w:val="00CF5F60"/>
    <w:rsid w:val="00CF6963"/>
    <w:rsid w:val="00D00C19"/>
    <w:rsid w:val="00D00CC3"/>
    <w:rsid w:val="00D0255C"/>
    <w:rsid w:val="00D03961"/>
    <w:rsid w:val="00D047CF"/>
    <w:rsid w:val="00D04F5D"/>
    <w:rsid w:val="00D06272"/>
    <w:rsid w:val="00D064CE"/>
    <w:rsid w:val="00D06707"/>
    <w:rsid w:val="00D10332"/>
    <w:rsid w:val="00D11873"/>
    <w:rsid w:val="00D12AB7"/>
    <w:rsid w:val="00D12BD9"/>
    <w:rsid w:val="00D140E7"/>
    <w:rsid w:val="00D14846"/>
    <w:rsid w:val="00D14BDB"/>
    <w:rsid w:val="00D15B45"/>
    <w:rsid w:val="00D16A18"/>
    <w:rsid w:val="00D17CC0"/>
    <w:rsid w:val="00D20372"/>
    <w:rsid w:val="00D21344"/>
    <w:rsid w:val="00D2347F"/>
    <w:rsid w:val="00D252C8"/>
    <w:rsid w:val="00D260C1"/>
    <w:rsid w:val="00D2629B"/>
    <w:rsid w:val="00D26881"/>
    <w:rsid w:val="00D27872"/>
    <w:rsid w:val="00D32392"/>
    <w:rsid w:val="00D327EF"/>
    <w:rsid w:val="00D3432A"/>
    <w:rsid w:val="00D34EEF"/>
    <w:rsid w:val="00D35D7E"/>
    <w:rsid w:val="00D35DF9"/>
    <w:rsid w:val="00D41B8A"/>
    <w:rsid w:val="00D4248F"/>
    <w:rsid w:val="00D42C08"/>
    <w:rsid w:val="00D43CA2"/>
    <w:rsid w:val="00D43DE9"/>
    <w:rsid w:val="00D43E32"/>
    <w:rsid w:val="00D4411D"/>
    <w:rsid w:val="00D44F19"/>
    <w:rsid w:val="00D45054"/>
    <w:rsid w:val="00D4568E"/>
    <w:rsid w:val="00D46618"/>
    <w:rsid w:val="00D47361"/>
    <w:rsid w:val="00D477D3"/>
    <w:rsid w:val="00D5186D"/>
    <w:rsid w:val="00D51C19"/>
    <w:rsid w:val="00D52D0A"/>
    <w:rsid w:val="00D52FAE"/>
    <w:rsid w:val="00D5371C"/>
    <w:rsid w:val="00D5545A"/>
    <w:rsid w:val="00D55E62"/>
    <w:rsid w:val="00D5692F"/>
    <w:rsid w:val="00D60613"/>
    <w:rsid w:val="00D60F75"/>
    <w:rsid w:val="00D62F1D"/>
    <w:rsid w:val="00D63F69"/>
    <w:rsid w:val="00D65A92"/>
    <w:rsid w:val="00D71AB4"/>
    <w:rsid w:val="00D727BA"/>
    <w:rsid w:val="00D7506C"/>
    <w:rsid w:val="00D770CD"/>
    <w:rsid w:val="00D771ED"/>
    <w:rsid w:val="00D806DE"/>
    <w:rsid w:val="00D8073A"/>
    <w:rsid w:val="00D80F4F"/>
    <w:rsid w:val="00D8218A"/>
    <w:rsid w:val="00D82B64"/>
    <w:rsid w:val="00D82CFA"/>
    <w:rsid w:val="00D82F63"/>
    <w:rsid w:val="00D83A47"/>
    <w:rsid w:val="00D83D84"/>
    <w:rsid w:val="00D85BC2"/>
    <w:rsid w:val="00D8719E"/>
    <w:rsid w:val="00D87D29"/>
    <w:rsid w:val="00D92CFD"/>
    <w:rsid w:val="00D93505"/>
    <w:rsid w:val="00D95612"/>
    <w:rsid w:val="00D96779"/>
    <w:rsid w:val="00D9697F"/>
    <w:rsid w:val="00DA1ED4"/>
    <w:rsid w:val="00DA3A21"/>
    <w:rsid w:val="00DA49A8"/>
    <w:rsid w:val="00DA565D"/>
    <w:rsid w:val="00DA5E4D"/>
    <w:rsid w:val="00DA6573"/>
    <w:rsid w:val="00DA65E0"/>
    <w:rsid w:val="00DA67C0"/>
    <w:rsid w:val="00DA6FE7"/>
    <w:rsid w:val="00DB0B3B"/>
    <w:rsid w:val="00DB1F8C"/>
    <w:rsid w:val="00DB3A58"/>
    <w:rsid w:val="00DB4966"/>
    <w:rsid w:val="00DB507D"/>
    <w:rsid w:val="00DB6C93"/>
    <w:rsid w:val="00DB7412"/>
    <w:rsid w:val="00DC0140"/>
    <w:rsid w:val="00DC1E6E"/>
    <w:rsid w:val="00DC2A55"/>
    <w:rsid w:val="00DC337A"/>
    <w:rsid w:val="00DC3BA7"/>
    <w:rsid w:val="00DC3CFA"/>
    <w:rsid w:val="00DC4129"/>
    <w:rsid w:val="00DC4587"/>
    <w:rsid w:val="00DC531E"/>
    <w:rsid w:val="00DC5EF1"/>
    <w:rsid w:val="00DC608A"/>
    <w:rsid w:val="00DC6096"/>
    <w:rsid w:val="00DC62F1"/>
    <w:rsid w:val="00DC69CA"/>
    <w:rsid w:val="00DC6E4C"/>
    <w:rsid w:val="00DC758E"/>
    <w:rsid w:val="00DC78C1"/>
    <w:rsid w:val="00DD01D3"/>
    <w:rsid w:val="00DD02FC"/>
    <w:rsid w:val="00DD03F4"/>
    <w:rsid w:val="00DD176A"/>
    <w:rsid w:val="00DD1F26"/>
    <w:rsid w:val="00DD3356"/>
    <w:rsid w:val="00DD3544"/>
    <w:rsid w:val="00DD3A13"/>
    <w:rsid w:val="00DD4389"/>
    <w:rsid w:val="00DD5650"/>
    <w:rsid w:val="00DD6964"/>
    <w:rsid w:val="00DD7DF5"/>
    <w:rsid w:val="00DE03BD"/>
    <w:rsid w:val="00DE09C7"/>
    <w:rsid w:val="00DE131B"/>
    <w:rsid w:val="00DE1EF8"/>
    <w:rsid w:val="00DE213B"/>
    <w:rsid w:val="00DE240A"/>
    <w:rsid w:val="00DE358C"/>
    <w:rsid w:val="00DE4A9A"/>
    <w:rsid w:val="00DE4B04"/>
    <w:rsid w:val="00DE6667"/>
    <w:rsid w:val="00DE66C3"/>
    <w:rsid w:val="00DE6A6D"/>
    <w:rsid w:val="00DE6D8D"/>
    <w:rsid w:val="00DE6F1E"/>
    <w:rsid w:val="00DE75A7"/>
    <w:rsid w:val="00DF2140"/>
    <w:rsid w:val="00DF2E8C"/>
    <w:rsid w:val="00DF47A0"/>
    <w:rsid w:val="00DF47B6"/>
    <w:rsid w:val="00DF5635"/>
    <w:rsid w:val="00DF5D61"/>
    <w:rsid w:val="00E01047"/>
    <w:rsid w:val="00E01324"/>
    <w:rsid w:val="00E014C5"/>
    <w:rsid w:val="00E01616"/>
    <w:rsid w:val="00E02481"/>
    <w:rsid w:val="00E034E5"/>
    <w:rsid w:val="00E03C31"/>
    <w:rsid w:val="00E05A88"/>
    <w:rsid w:val="00E05AD7"/>
    <w:rsid w:val="00E05BE8"/>
    <w:rsid w:val="00E05E40"/>
    <w:rsid w:val="00E05F46"/>
    <w:rsid w:val="00E06407"/>
    <w:rsid w:val="00E06938"/>
    <w:rsid w:val="00E06C88"/>
    <w:rsid w:val="00E07E5C"/>
    <w:rsid w:val="00E10BDA"/>
    <w:rsid w:val="00E11D09"/>
    <w:rsid w:val="00E12743"/>
    <w:rsid w:val="00E12A80"/>
    <w:rsid w:val="00E12B4F"/>
    <w:rsid w:val="00E1354A"/>
    <w:rsid w:val="00E14E70"/>
    <w:rsid w:val="00E1535E"/>
    <w:rsid w:val="00E15948"/>
    <w:rsid w:val="00E159C7"/>
    <w:rsid w:val="00E22900"/>
    <w:rsid w:val="00E235BC"/>
    <w:rsid w:val="00E23755"/>
    <w:rsid w:val="00E24265"/>
    <w:rsid w:val="00E25140"/>
    <w:rsid w:val="00E30660"/>
    <w:rsid w:val="00E312CE"/>
    <w:rsid w:val="00E3195A"/>
    <w:rsid w:val="00E33364"/>
    <w:rsid w:val="00E33FC3"/>
    <w:rsid w:val="00E3512A"/>
    <w:rsid w:val="00E355BC"/>
    <w:rsid w:val="00E36633"/>
    <w:rsid w:val="00E3754C"/>
    <w:rsid w:val="00E37E6F"/>
    <w:rsid w:val="00E4098F"/>
    <w:rsid w:val="00E43044"/>
    <w:rsid w:val="00E441C0"/>
    <w:rsid w:val="00E4543C"/>
    <w:rsid w:val="00E4786C"/>
    <w:rsid w:val="00E50586"/>
    <w:rsid w:val="00E508AD"/>
    <w:rsid w:val="00E522EB"/>
    <w:rsid w:val="00E52E11"/>
    <w:rsid w:val="00E53795"/>
    <w:rsid w:val="00E540B2"/>
    <w:rsid w:val="00E54A81"/>
    <w:rsid w:val="00E57512"/>
    <w:rsid w:val="00E577ED"/>
    <w:rsid w:val="00E60BB4"/>
    <w:rsid w:val="00E61BA3"/>
    <w:rsid w:val="00E62221"/>
    <w:rsid w:val="00E63472"/>
    <w:rsid w:val="00E637CB"/>
    <w:rsid w:val="00E6504D"/>
    <w:rsid w:val="00E657BD"/>
    <w:rsid w:val="00E65A46"/>
    <w:rsid w:val="00E66369"/>
    <w:rsid w:val="00E677C2"/>
    <w:rsid w:val="00E67E18"/>
    <w:rsid w:val="00E702C3"/>
    <w:rsid w:val="00E706A6"/>
    <w:rsid w:val="00E70869"/>
    <w:rsid w:val="00E70B1B"/>
    <w:rsid w:val="00E730CA"/>
    <w:rsid w:val="00E74BB7"/>
    <w:rsid w:val="00E752FF"/>
    <w:rsid w:val="00E7577E"/>
    <w:rsid w:val="00E75BC3"/>
    <w:rsid w:val="00E75BFF"/>
    <w:rsid w:val="00E77201"/>
    <w:rsid w:val="00E773D7"/>
    <w:rsid w:val="00E816C6"/>
    <w:rsid w:val="00E82B07"/>
    <w:rsid w:val="00E85D41"/>
    <w:rsid w:val="00E87C84"/>
    <w:rsid w:val="00E87D2E"/>
    <w:rsid w:val="00E90EC4"/>
    <w:rsid w:val="00E92ADE"/>
    <w:rsid w:val="00E92F95"/>
    <w:rsid w:val="00E93D7A"/>
    <w:rsid w:val="00E946EB"/>
    <w:rsid w:val="00E9472D"/>
    <w:rsid w:val="00E958FF"/>
    <w:rsid w:val="00E962A8"/>
    <w:rsid w:val="00E965DF"/>
    <w:rsid w:val="00E96619"/>
    <w:rsid w:val="00E96CEE"/>
    <w:rsid w:val="00EA002F"/>
    <w:rsid w:val="00EA02AC"/>
    <w:rsid w:val="00EA0561"/>
    <w:rsid w:val="00EA0E27"/>
    <w:rsid w:val="00EA1507"/>
    <w:rsid w:val="00EA1CBE"/>
    <w:rsid w:val="00EA2A69"/>
    <w:rsid w:val="00EA439A"/>
    <w:rsid w:val="00EA4963"/>
    <w:rsid w:val="00EA4C2F"/>
    <w:rsid w:val="00EA500A"/>
    <w:rsid w:val="00EA587D"/>
    <w:rsid w:val="00EA5DA0"/>
    <w:rsid w:val="00EA6317"/>
    <w:rsid w:val="00EA66E2"/>
    <w:rsid w:val="00EA7350"/>
    <w:rsid w:val="00EA7DE2"/>
    <w:rsid w:val="00EB304C"/>
    <w:rsid w:val="00EB43BF"/>
    <w:rsid w:val="00EB5771"/>
    <w:rsid w:val="00EB5A62"/>
    <w:rsid w:val="00EB5E1E"/>
    <w:rsid w:val="00EB734D"/>
    <w:rsid w:val="00EC1189"/>
    <w:rsid w:val="00EC12D7"/>
    <w:rsid w:val="00EC2007"/>
    <w:rsid w:val="00EC2C5F"/>
    <w:rsid w:val="00EC2FBD"/>
    <w:rsid w:val="00EC35D5"/>
    <w:rsid w:val="00EC3CCE"/>
    <w:rsid w:val="00EC40B1"/>
    <w:rsid w:val="00EC415B"/>
    <w:rsid w:val="00EC612D"/>
    <w:rsid w:val="00EC747E"/>
    <w:rsid w:val="00EC752D"/>
    <w:rsid w:val="00EC75A0"/>
    <w:rsid w:val="00ED1D13"/>
    <w:rsid w:val="00ED283D"/>
    <w:rsid w:val="00ED3D59"/>
    <w:rsid w:val="00ED465B"/>
    <w:rsid w:val="00ED7F8F"/>
    <w:rsid w:val="00EE1431"/>
    <w:rsid w:val="00EE29D1"/>
    <w:rsid w:val="00EE3E1E"/>
    <w:rsid w:val="00EE43E7"/>
    <w:rsid w:val="00EE6E0F"/>
    <w:rsid w:val="00EF1515"/>
    <w:rsid w:val="00EF172A"/>
    <w:rsid w:val="00EF1CAA"/>
    <w:rsid w:val="00EF3447"/>
    <w:rsid w:val="00EF412E"/>
    <w:rsid w:val="00EF5965"/>
    <w:rsid w:val="00EF71EF"/>
    <w:rsid w:val="00EF7279"/>
    <w:rsid w:val="00EF7F4D"/>
    <w:rsid w:val="00F001FA"/>
    <w:rsid w:val="00F008D7"/>
    <w:rsid w:val="00F014BB"/>
    <w:rsid w:val="00F01AAC"/>
    <w:rsid w:val="00F01C5C"/>
    <w:rsid w:val="00F02B47"/>
    <w:rsid w:val="00F03597"/>
    <w:rsid w:val="00F03D94"/>
    <w:rsid w:val="00F03E24"/>
    <w:rsid w:val="00F04EE4"/>
    <w:rsid w:val="00F06769"/>
    <w:rsid w:val="00F10BC0"/>
    <w:rsid w:val="00F10C90"/>
    <w:rsid w:val="00F11070"/>
    <w:rsid w:val="00F11ACC"/>
    <w:rsid w:val="00F11AF7"/>
    <w:rsid w:val="00F13E44"/>
    <w:rsid w:val="00F13F3C"/>
    <w:rsid w:val="00F147C6"/>
    <w:rsid w:val="00F15FF7"/>
    <w:rsid w:val="00F177C6"/>
    <w:rsid w:val="00F20499"/>
    <w:rsid w:val="00F2097B"/>
    <w:rsid w:val="00F228C6"/>
    <w:rsid w:val="00F22DB6"/>
    <w:rsid w:val="00F2687B"/>
    <w:rsid w:val="00F26D48"/>
    <w:rsid w:val="00F2704D"/>
    <w:rsid w:val="00F30BB1"/>
    <w:rsid w:val="00F32C3D"/>
    <w:rsid w:val="00F3341A"/>
    <w:rsid w:val="00F33E48"/>
    <w:rsid w:val="00F3444F"/>
    <w:rsid w:val="00F34965"/>
    <w:rsid w:val="00F352C2"/>
    <w:rsid w:val="00F35FEF"/>
    <w:rsid w:val="00F36863"/>
    <w:rsid w:val="00F36ED8"/>
    <w:rsid w:val="00F40198"/>
    <w:rsid w:val="00F418AC"/>
    <w:rsid w:val="00F42333"/>
    <w:rsid w:val="00F448AD"/>
    <w:rsid w:val="00F452BB"/>
    <w:rsid w:val="00F45DBD"/>
    <w:rsid w:val="00F4645C"/>
    <w:rsid w:val="00F50154"/>
    <w:rsid w:val="00F51B6C"/>
    <w:rsid w:val="00F53591"/>
    <w:rsid w:val="00F5407B"/>
    <w:rsid w:val="00F57632"/>
    <w:rsid w:val="00F6122A"/>
    <w:rsid w:val="00F617BA"/>
    <w:rsid w:val="00F63E33"/>
    <w:rsid w:val="00F702FB"/>
    <w:rsid w:val="00F70A7E"/>
    <w:rsid w:val="00F70FDC"/>
    <w:rsid w:val="00F71C66"/>
    <w:rsid w:val="00F71DEF"/>
    <w:rsid w:val="00F72424"/>
    <w:rsid w:val="00F72957"/>
    <w:rsid w:val="00F732AC"/>
    <w:rsid w:val="00F74BE1"/>
    <w:rsid w:val="00F76839"/>
    <w:rsid w:val="00F76983"/>
    <w:rsid w:val="00F77750"/>
    <w:rsid w:val="00F8051B"/>
    <w:rsid w:val="00F81504"/>
    <w:rsid w:val="00F8190A"/>
    <w:rsid w:val="00F81BC1"/>
    <w:rsid w:val="00F8246B"/>
    <w:rsid w:val="00F82677"/>
    <w:rsid w:val="00F82E41"/>
    <w:rsid w:val="00F831EB"/>
    <w:rsid w:val="00F83B29"/>
    <w:rsid w:val="00F84D09"/>
    <w:rsid w:val="00F85279"/>
    <w:rsid w:val="00F85452"/>
    <w:rsid w:val="00F85C28"/>
    <w:rsid w:val="00F862A1"/>
    <w:rsid w:val="00F86CE4"/>
    <w:rsid w:val="00F87B59"/>
    <w:rsid w:val="00F911F4"/>
    <w:rsid w:val="00F91619"/>
    <w:rsid w:val="00F91705"/>
    <w:rsid w:val="00F92007"/>
    <w:rsid w:val="00F9202B"/>
    <w:rsid w:val="00F926E4"/>
    <w:rsid w:val="00F92DE0"/>
    <w:rsid w:val="00F9310E"/>
    <w:rsid w:val="00F95332"/>
    <w:rsid w:val="00F95EFB"/>
    <w:rsid w:val="00F95FB9"/>
    <w:rsid w:val="00F9799C"/>
    <w:rsid w:val="00FA154B"/>
    <w:rsid w:val="00FA31A4"/>
    <w:rsid w:val="00FA40E7"/>
    <w:rsid w:val="00FA44B9"/>
    <w:rsid w:val="00FA545D"/>
    <w:rsid w:val="00FA57FF"/>
    <w:rsid w:val="00FA6DD8"/>
    <w:rsid w:val="00FA72C9"/>
    <w:rsid w:val="00FA7763"/>
    <w:rsid w:val="00FA7D81"/>
    <w:rsid w:val="00FB034B"/>
    <w:rsid w:val="00FB1ACF"/>
    <w:rsid w:val="00FB2FEA"/>
    <w:rsid w:val="00FB3194"/>
    <w:rsid w:val="00FB3804"/>
    <w:rsid w:val="00FB3C8F"/>
    <w:rsid w:val="00FB3F0D"/>
    <w:rsid w:val="00FB4268"/>
    <w:rsid w:val="00FB4619"/>
    <w:rsid w:val="00FB5876"/>
    <w:rsid w:val="00FB5C3F"/>
    <w:rsid w:val="00FB744B"/>
    <w:rsid w:val="00FB7698"/>
    <w:rsid w:val="00FC0D75"/>
    <w:rsid w:val="00FC1CCB"/>
    <w:rsid w:val="00FC4688"/>
    <w:rsid w:val="00FC4826"/>
    <w:rsid w:val="00FC4B60"/>
    <w:rsid w:val="00FC5CFC"/>
    <w:rsid w:val="00FC6E39"/>
    <w:rsid w:val="00FD1E9B"/>
    <w:rsid w:val="00FD524F"/>
    <w:rsid w:val="00FD5B26"/>
    <w:rsid w:val="00FD5D26"/>
    <w:rsid w:val="00FD6A65"/>
    <w:rsid w:val="00FD7C20"/>
    <w:rsid w:val="00FE04F0"/>
    <w:rsid w:val="00FE14D1"/>
    <w:rsid w:val="00FE2C41"/>
    <w:rsid w:val="00FE3257"/>
    <w:rsid w:val="00FE3357"/>
    <w:rsid w:val="00FE4AA4"/>
    <w:rsid w:val="00FE4BDC"/>
    <w:rsid w:val="00FE5650"/>
    <w:rsid w:val="00FE63D8"/>
    <w:rsid w:val="00FF01FD"/>
    <w:rsid w:val="00FF23DD"/>
    <w:rsid w:val="00FF2F48"/>
    <w:rsid w:val="00FF62A0"/>
    <w:rsid w:val="00FF6F8F"/>
    <w:rsid w:val="00FF78E3"/>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9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544331"/>
    <w:pPr>
      <w:widowControl w:val="0"/>
      <w:ind w:firstLine="72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544331"/>
    <w:pPr>
      <w:widowControl w:val="0"/>
      <w:ind w:firstLine="72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59">
      <w:bodyDiv w:val="1"/>
      <w:marLeft w:val="0"/>
      <w:marRight w:val="0"/>
      <w:marTop w:val="0"/>
      <w:marBottom w:val="0"/>
      <w:divBdr>
        <w:top w:val="none" w:sz="0" w:space="0" w:color="auto"/>
        <w:left w:val="none" w:sz="0" w:space="0" w:color="auto"/>
        <w:bottom w:val="none" w:sz="0" w:space="0" w:color="auto"/>
        <w:right w:val="none" w:sz="0" w:space="0" w:color="auto"/>
      </w:divBdr>
    </w:div>
    <w:div w:id="216166470">
      <w:bodyDiv w:val="1"/>
      <w:marLeft w:val="0"/>
      <w:marRight w:val="0"/>
      <w:marTop w:val="0"/>
      <w:marBottom w:val="0"/>
      <w:divBdr>
        <w:top w:val="none" w:sz="0" w:space="0" w:color="auto"/>
        <w:left w:val="none" w:sz="0" w:space="0" w:color="auto"/>
        <w:bottom w:val="none" w:sz="0" w:space="0" w:color="auto"/>
        <w:right w:val="none" w:sz="0" w:space="0" w:color="auto"/>
      </w:divBdr>
    </w:div>
    <w:div w:id="239759071">
      <w:bodyDiv w:val="1"/>
      <w:marLeft w:val="0"/>
      <w:marRight w:val="0"/>
      <w:marTop w:val="0"/>
      <w:marBottom w:val="0"/>
      <w:divBdr>
        <w:top w:val="none" w:sz="0" w:space="0" w:color="auto"/>
        <w:left w:val="none" w:sz="0" w:space="0" w:color="auto"/>
        <w:bottom w:val="none" w:sz="0" w:space="0" w:color="auto"/>
        <w:right w:val="none" w:sz="0" w:space="0" w:color="auto"/>
      </w:divBdr>
    </w:div>
    <w:div w:id="356076876">
      <w:bodyDiv w:val="1"/>
      <w:marLeft w:val="0"/>
      <w:marRight w:val="0"/>
      <w:marTop w:val="0"/>
      <w:marBottom w:val="0"/>
      <w:divBdr>
        <w:top w:val="none" w:sz="0" w:space="0" w:color="auto"/>
        <w:left w:val="none" w:sz="0" w:space="0" w:color="auto"/>
        <w:bottom w:val="none" w:sz="0" w:space="0" w:color="auto"/>
        <w:right w:val="none" w:sz="0" w:space="0" w:color="auto"/>
      </w:divBdr>
    </w:div>
    <w:div w:id="474687588">
      <w:bodyDiv w:val="1"/>
      <w:marLeft w:val="0"/>
      <w:marRight w:val="0"/>
      <w:marTop w:val="0"/>
      <w:marBottom w:val="0"/>
      <w:divBdr>
        <w:top w:val="none" w:sz="0" w:space="0" w:color="auto"/>
        <w:left w:val="none" w:sz="0" w:space="0" w:color="auto"/>
        <w:bottom w:val="none" w:sz="0" w:space="0" w:color="auto"/>
        <w:right w:val="none" w:sz="0" w:space="0" w:color="auto"/>
      </w:divBdr>
    </w:div>
    <w:div w:id="695541014">
      <w:bodyDiv w:val="1"/>
      <w:marLeft w:val="0"/>
      <w:marRight w:val="0"/>
      <w:marTop w:val="0"/>
      <w:marBottom w:val="0"/>
      <w:divBdr>
        <w:top w:val="none" w:sz="0" w:space="0" w:color="auto"/>
        <w:left w:val="none" w:sz="0" w:space="0" w:color="auto"/>
        <w:bottom w:val="none" w:sz="0" w:space="0" w:color="auto"/>
        <w:right w:val="none" w:sz="0" w:space="0" w:color="auto"/>
      </w:divBdr>
    </w:div>
    <w:div w:id="852648475">
      <w:bodyDiv w:val="1"/>
      <w:marLeft w:val="0"/>
      <w:marRight w:val="0"/>
      <w:marTop w:val="0"/>
      <w:marBottom w:val="0"/>
      <w:divBdr>
        <w:top w:val="none" w:sz="0" w:space="0" w:color="auto"/>
        <w:left w:val="none" w:sz="0" w:space="0" w:color="auto"/>
        <w:bottom w:val="none" w:sz="0" w:space="0" w:color="auto"/>
        <w:right w:val="none" w:sz="0" w:space="0" w:color="auto"/>
      </w:divBdr>
    </w:div>
    <w:div w:id="1015308050">
      <w:bodyDiv w:val="1"/>
      <w:marLeft w:val="0"/>
      <w:marRight w:val="0"/>
      <w:marTop w:val="0"/>
      <w:marBottom w:val="0"/>
      <w:divBdr>
        <w:top w:val="none" w:sz="0" w:space="0" w:color="auto"/>
        <w:left w:val="none" w:sz="0" w:space="0" w:color="auto"/>
        <w:bottom w:val="none" w:sz="0" w:space="0" w:color="auto"/>
        <w:right w:val="none" w:sz="0" w:space="0" w:color="auto"/>
      </w:divBdr>
    </w:div>
    <w:div w:id="1151091894">
      <w:bodyDiv w:val="1"/>
      <w:marLeft w:val="0"/>
      <w:marRight w:val="0"/>
      <w:marTop w:val="0"/>
      <w:marBottom w:val="0"/>
      <w:divBdr>
        <w:top w:val="none" w:sz="0" w:space="0" w:color="auto"/>
        <w:left w:val="none" w:sz="0" w:space="0" w:color="auto"/>
        <w:bottom w:val="none" w:sz="0" w:space="0" w:color="auto"/>
        <w:right w:val="none" w:sz="0" w:space="0" w:color="auto"/>
      </w:divBdr>
    </w:div>
    <w:div w:id="1302346853">
      <w:bodyDiv w:val="1"/>
      <w:marLeft w:val="0"/>
      <w:marRight w:val="0"/>
      <w:marTop w:val="0"/>
      <w:marBottom w:val="0"/>
      <w:divBdr>
        <w:top w:val="none" w:sz="0" w:space="0" w:color="auto"/>
        <w:left w:val="none" w:sz="0" w:space="0" w:color="auto"/>
        <w:bottom w:val="none" w:sz="0" w:space="0" w:color="auto"/>
        <w:right w:val="none" w:sz="0" w:space="0" w:color="auto"/>
      </w:divBdr>
    </w:div>
    <w:div w:id="1353263505">
      <w:bodyDiv w:val="1"/>
      <w:marLeft w:val="0"/>
      <w:marRight w:val="0"/>
      <w:marTop w:val="0"/>
      <w:marBottom w:val="0"/>
      <w:divBdr>
        <w:top w:val="none" w:sz="0" w:space="0" w:color="auto"/>
        <w:left w:val="none" w:sz="0" w:space="0" w:color="auto"/>
        <w:bottom w:val="none" w:sz="0" w:space="0" w:color="auto"/>
        <w:right w:val="none" w:sz="0" w:space="0" w:color="auto"/>
      </w:divBdr>
    </w:div>
    <w:div w:id="1355691061">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 w:id="1688408909">
      <w:bodyDiv w:val="1"/>
      <w:marLeft w:val="0"/>
      <w:marRight w:val="0"/>
      <w:marTop w:val="0"/>
      <w:marBottom w:val="0"/>
      <w:divBdr>
        <w:top w:val="none" w:sz="0" w:space="0" w:color="auto"/>
        <w:left w:val="none" w:sz="0" w:space="0" w:color="auto"/>
        <w:bottom w:val="none" w:sz="0" w:space="0" w:color="auto"/>
        <w:right w:val="none" w:sz="0" w:space="0" w:color="auto"/>
      </w:divBdr>
    </w:div>
    <w:div w:id="1695037064">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868518836">
      <w:bodyDiv w:val="1"/>
      <w:marLeft w:val="0"/>
      <w:marRight w:val="0"/>
      <w:marTop w:val="0"/>
      <w:marBottom w:val="0"/>
      <w:divBdr>
        <w:top w:val="none" w:sz="0" w:space="0" w:color="auto"/>
        <w:left w:val="none" w:sz="0" w:space="0" w:color="auto"/>
        <w:bottom w:val="none" w:sz="0" w:space="0" w:color="auto"/>
        <w:right w:val="none" w:sz="0" w:space="0" w:color="auto"/>
      </w:divBdr>
    </w:div>
    <w:div w:id="1931087654">
      <w:bodyDiv w:val="1"/>
      <w:marLeft w:val="0"/>
      <w:marRight w:val="0"/>
      <w:marTop w:val="0"/>
      <w:marBottom w:val="0"/>
      <w:divBdr>
        <w:top w:val="none" w:sz="0" w:space="0" w:color="auto"/>
        <w:left w:val="none" w:sz="0" w:space="0" w:color="auto"/>
        <w:bottom w:val="none" w:sz="0" w:space="0" w:color="auto"/>
        <w:right w:val="none" w:sz="0" w:space="0" w:color="auto"/>
      </w:divBdr>
    </w:div>
    <w:div w:id="1951430568">
      <w:bodyDiv w:val="1"/>
      <w:marLeft w:val="0"/>
      <w:marRight w:val="0"/>
      <w:marTop w:val="0"/>
      <w:marBottom w:val="0"/>
      <w:divBdr>
        <w:top w:val="none" w:sz="0" w:space="0" w:color="auto"/>
        <w:left w:val="none" w:sz="0" w:space="0" w:color="auto"/>
        <w:bottom w:val="none" w:sz="0" w:space="0" w:color="auto"/>
        <w:right w:val="none" w:sz="0" w:space="0" w:color="auto"/>
      </w:divBdr>
    </w:div>
    <w:div w:id="2001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ci.cellmaps.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3297</Words>
  <Characters>17871</Characters>
  <Application>Microsoft Office Word</Application>
  <DocSecurity>0</DocSecurity>
  <Lines>278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2017-06-06T14:01:00Z</dcterms:created>
  <dcterms:modified xsi:type="dcterms:W3CDTF">2017-06-06T14:01:00Z</dcterms:modified>
  <cp:category> </cp:category>
  <cp:contentStatus> </cp:contentStatus>
</cp:coreProperties>
</file>