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F3D86" w:rsidRPr="00843776" w:rsidRDefault="00DF3D86" w:rsidP="00DF3D86">
      <w:pPr>
        <w:ind w:left="6480" w:firstLine="720"/>
        <w:jc w:val="right"/>
        <w:outlineLvl w:val="0"/>
        <w:rPr>
          <w:b/>
          <w:bCs/>
          <w:sz w:val="22"/>
          <w:szCs w:val="22"/>
        </w:rPr>
      </w:pPr>
      <w:r>
        <w:rPr>
          <w:b/>
          <w:bCs/>
          <w:sz w:val="22"/>
          <w:szCs w:val="22"/>
        </w:rPr>
        <w:lastRenderedPageBreak/>
        <w:t>D</w:t>
      </w:r>
      <w:r w:rsidRPr="00843776">
        <w:rPr>
          <w:b/>
          <w:bCs/>
          <w:sz w:val="22"/>
          <w:szCs w:val="22"/>
        </w:rPr>
        <w:t>A 1</w:t>
      </w:r>
      <w:r>
        <w:rPr>
          <w:b/>
          <w:bCs/>
          <w:sz w:val="22"/>
          <w:szCs w:val="22"/>
        </w:rPr>
        <w:t>7</w:t>
      </w:r>
      <w:r w:rsidRPr="00843776">
        <w:rPr>
          <w:b/>
          <w:bCs/>
          <w:sz w:val="22"/>
          <w:szCs w:val="22"/>
        </w:rPr>
        <w:t>-</w:t>
      </w:r>
      <w:r w:rsidR="00572361">
        <w:rPr>
          <w:b/>
          <w:bCs/>
          <w:sz w:val="22"/>
          <w:szCs w:val="22"/>
        </w:rPr>
        <w:t>550</w:t>
      </w:r>
    </w:p>
    <w:p w:rsidR="00DF3D86" w:rsidRPr="00843776" w:rsidRDefault="00DF3D86" w:rsidP="00DF3D86">
      <w:pPr>
        <w:spacing w:after="120"/>
        <w:outlineLvl w:val="0"/>
        <w:rPr>
          <w:b/>
          <w:bCs/>
          <w:sz w:val="22"/>
          <w:szCs w:val="22"/>
        </w:rPr>
      </w:pP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t xml:space="preserve"> </w:t>
      </w:r>
      <w:r w:rsidRPr="00843776">
        <w:rPr>
          <w:b/>
          <w:bCs/>
          <w:sz w:val="22"/>
          <w:szCs w:val="22"/>
        </w:rPr>
        <w:tab/>
      </w:r>
      <w:r w:rsidRPr="00843776">
        <w:rPr>
          <w:b/>
          <w:bCs/>
          <w:sz w:val="22"/>
          <w:szCs w:val="22"/>
        </w:rPr>
        <w:tab/>
      </w:r>
      <w:r w:rsidRPr="00843776">
        <w:rPr>
          <w:b/>
          <w:bCs/>
          <w:sz w:val="22"/>
          <w:szCs w:val="22"/>
        </w:rPr>
        <w:tab/>
      </w:r>
      <w:r>
        <w:rPr>
          <w:b/>
          <w:bCs/>
          <w:sz w:val="22"/>
          <w:szCs w:val="22"/>
        </w:rPr>
        <w:t xml:space="preserve">            Released: June 6, 2</w:t>
      </w:r>
      <w:r w:rsidRPr="00843776">
        <w:rPr>
          <w:b/>
          <w:bCs/>
          <w:sz w:val="22"/>
          <w:szCs w:val="22"/>
        </w:rPr>
        <w:t>01</w:t>
      </w:r>
      <w:r>
        <w:rPr>
          <w:b/>
          <w:bCs/>
          <w:sz w:val="22"/>
          <w:szCs w:val="22"/>
        </w:rPr>
        <w:t>7</w:t>
      </w:r>
    </w:p>
    <w:p w:rsidR="00DF3D86" w:rsidRPr="00495F22" w:rsidRDefault="00DF3D86" w:rsidP="00DF3D86">
      <w:pPr>
        <w:spacing w:after="120"/>
        <w:ind w:firstLine="720"/>
        <w:jc w:val="center"/>
        <w:outlineLvl w:val="0"/>
        <w:rPr>
          <w:b/>
          <w:bCs/>
          <w:sz w:val="22"/>
          <w:szCs w:val="22"/>
        </w:rPr>
      </w:pPr>
      <w:r w:rsidRPr="00495F22">
        <w:rPr>
          <w:b/>
          <w:bCs/>
          <w:sz w:val="22"/>
          <w:szCs w:val="22"/>
        </w:rPr>
        <w:t>ANNOUNCING PROCEDURES FOR OBTAINING C</w:t>
      </w:r>
      <w:r>
        <w:rPr>
          <w:b/>
          <w:bCs/>
          <w:sz w:val="22"/>
          <w:szCs w:val="22"/>
        </w:rPr>
        <w:t>ONFIDENTIAL INFORMATION FOR 2017</w:t>
      </w:r>
      <w:r w:rsidRPr="00495F22">
        <w:rPr>
          <w:b/>
          <w:bCs/>
          <w:sz w:val="22"/>
          <w:szCs w:val="22"/>
        </w:rPr>
        <w:t xml:space="preserve"> ANNUAL ACCESS CHARGE TARIFF FILINGS AND CORRECTIONS TO TRP SPREADSHEETS </w:t>
      </w:r>
    </w:p>
    <w:p w:rsidR="00DF3D86" w:rsidRPr="00495F22" w:rsidRDefault="00DF3D86" w:rsidP="00DF3D86">
      <w:pPr>
        <w:spacing w:after="120"/>
        <w:jc w:val="center"/>
        <w:rPr>
          <w:b/>
          <w:sz w:val="22"/>
          <w:szCs w:val="22"/>
        </w:rPr>
      </w:pPr>
      <w:r w:rsidRPr="00495F22">
        <w:rPr>
          <w:b/>
          <w:sz w:val="22"/>
          <w:szCs w:val="22"/>
        </w:rPr>
        <w:t>WC Docket No. 17-65</w:t>
      </w:r>
    </w:p>
    <w:p w:rsidR="00DF3D86" w:rsidRPr="008D4752" w:rsidRDefault="00DF3D86" w:rsidP="00DF3D86">
      <w:pPr>
        <w:spacing w:after="120"/>
        <w:ind w:firstLine="720"/>
        <w:rPr>
          <w:sz w:val="22"/>
          <w:szCs w:val="22"/>
          <w:u w:val="single"/>
        </w:rPr>
      </w:pPr>
      <w:r w:rsidRPr="00350C7D">
        <w:rPr>
          <w:sz w:val="22"/>
          <w:szCs w:val="22"/>
        </w:rPr>
        <w:t xml:space="preserve">This Public Notice describes the process necessary for carriers to obtain access to confidential information provided with the 2017 annual access charge tariff filing in support of a carrier’s </w:t>
      </w:r>
      <w:r w:rsidRPr="00350C7D">
        <w:rPr>
          <w:sz w:val="22"/>
        </w:rPr>
        <w:t>tariff review plan (TRP)</w:t>
      </w:r>
      <w:r w:rsidRPr="00350C7D">
        <w:rPr>
          <w:sz w:val="22"/>
          <w:szCs w:val="22"/>
        </w:rPr>
        <w:t>; and notifies carriers that the Pricing Policy Division</w:t>
      </w:r>
      <w:r>
        <w:rPr>
          <w:sz w:val="22"/>
          <w:szCs w:val="22"/>
        </w:rPr>
        <w:t xml:space="preserve"> of the Wireline Competition Bureau</w:t>
      </w:r>
      <w:r w:rsidRPr="00350C7D">
        <w:rPr>
          <w:sz w:val="22"/>
          <w:szCs w:val="22"/>
        </w:rPr>
        <w:t xml:space="preserve"> has corrected several errors in the TRP spreadsheets </w:t>
      </w:r>
      <w:r>
        <w:rPr>
          <w:sz w:val="22"/>
          <w:szCs w:val="22"/>
        </w:rPr>
        <w:t xml:space="preserve">previously </w:t>
      </w:r>
      <w:r w:rsidRPr="00350C7D">
        <w:rPr>
          <w:sz w:val="22"/>
          <w:szCs w:val="22"/>
        </w:rPr>
        <w:t>released on April 24, 2017.</w:t>
      </w:r>
      <w:r w:rsidRPr="00350C7D">
        <w:rPr>
          <w:sz w:val="22"/>
          <w:szCs w:val="22"/>
          <w:vertAlign w:val="superscript"/>
        </w:rPr>
        <w:footnoteReference w:id="1"/>
      </w:r>
      <w:r w:rsidRPr="00350C7D">
        <w:rPr>
          <w:sz w:val="22"/>
          <w:szCs w:val="22"/>
        </w:rPr>
        <w:t xml:space="preserve">  </w:t>
      </w:r>
    </w:p>
    <w:p w:rsidR="00DF3D86" w:rsidRPr="008D4752" w:rsidRDefault="00DF3D86" w:rsidP="00DF3D86">
      <w:pPr>
        <w:spacing w:after="120"/>
        <w:ind w:firstLine="720"/>
        <w:rPr>
          <w:sz w:val="22"/>
          <w:szCs w:val="22"/>
          <w:u w:val="single"/>
        </w:rPr>
      </w:pPr>
      <w:r w:rsidRPr="008D4752">
        <w:rPr>
          <w:b/>
          <w:sz w:val="22"/>
          <w:szCs w:val="22"/>
        </w:rPr>
        <w:t>A.</w:t>
      </w:r>
      <w:r w:rsidRPr="008D4752">
        <w:rPr>
          <w:b/>
          <w:sz w:val="22"/>
          <w:szCs w:val="22"/>
        </w:rPr>
        <w:tab/>
      </w:r>
      <w:r w:rsidRPr="008D4752">
        <w:rPr>
          <w:b/>
          <w:sz w:val="22"/>
          <w:szCs w:val="22"/>
          <w:u w:val="single"/>
        </w:rPr>
        <w:t>C</w:t>
      </w:r>
      <w:r>
        <w:rPr>
          <w:b/>
          <w:sz w:val="22"/>
          <w:szCs w:val="22"/>
          <w:u w:val="single"/>
        </w:rPr>
        <w:t>onfidential Information</w:t>
      </w:r>
    </w:p>
    <w:p w:rsidR="00DF3D86" w:rsidRPr="00350C7D" w:rsidRDefault="00DF3D86" w:rsidP="00DF3D86">
      <w:pPr>
        <w:spacing w:after="120"/>
        <w:ind w:firstLine="806"/>
        <w:rPr>
          <w:sz w:val="22"/>
          <w:szCs w:val="22"/>
        </w:rPr>
      </w:pPr>
      <w:r>
        <w:rPr>
          <w:sz w:val="22"/>
          <w:szCs w:val="22"/>
        </w:rPr>
        <w:t>Based on our previous experience, w</w:t>
      </w:r>
      <w:r w:rsidRPr="00350C7D">
        <w:rPr>
          <w:sz w:val="22"/>
          <w:szCs w:val="22"/>
        </w:rPr>
        <w:t>e expect that carriers will be requesting confidential treatment for certain data filed with the 2017 annual access charge tariff filing.</w:t>
      </w:r>
      <w:r w:rsidRPr="00350C7D">
        <w:rPr>
          <w:sz w:val="22"/>
          <w:vertAlign w:val="superscript"/>
        </w:rPr>
        <w:footnoteReference w:id="2"/>
      </w:r>
      <w:r w:rsidRPr="00350C7D">
        <w:rPr>
          <w:sz w:val="22"/>
          <w:szCs w:val="22"/>
        </w:rPr>
        <w:t xml:space="preserve">  </w:t>
      </w:r>
      <w:r>
        <w:rPr>
          <w:sz w:val="22"/>
          <w:szCs w:val="22"/>
        </w:rPr>
        <w:t xml:space="preserve">We therefore provide guidance to carriers regarding </w:t>
      </w:r>
      <w:r w:rsidRPr="00350C7D">
        <w:rPr>
          <w:sz w:val="22"/>
          <w:szCs w:val="22"/>
        </w:rPr>
        <w:t xml:space="preserve">the procedure </w:t>
      </w:r>
      <w:r>
        <w:rPr>
          <w:sz w:val="22"/>
          <w:szCs w:val="22"/>
        </w:rPr>
        <w:t xml:space="preserve">they must follow </w:t>
      </w:r>
      <w:r w:rsidRPr="00350C7D">
        <w:rPr>
          <w:sz w:val="22"/>
          <w:szCs w:val="22"/>
        </w:rPr>
        <w:t>in requesting access to confidential information filed with a streamlined tariff.</w:t>
      </w:r>
    </w:p>
    <w:p w:rsidR="00DF3D86" w:rsidRDefault="00DF3D86" w:rsidP="00DF3D86">
      <w:pPr>
        <w:spacing w:after="120"/>
        <w:ind w:left="-86" w:firstLine="806"/>
        <w:rPr>
          <w:sz w:val="22"/>
          <w:szCs w:val="22"/>
        </w:rPr>
      </w:pPr>
      <w:r w:rsidRPr="00350C7D">
        <w:rPr>
          <w:sz w:val="22"/>
          <w:szCs w:val="22"/>
        </w:rPr>
        <w:t xml:space="preserve">In the </w:t>
      </w:r>
      <w:r w:rsidRPr="00350C7D">
        <w:rPr>
          <w:i/>
          <w:sz w:val="22"/>
          <w:szCs w:val="22"/>
        </w:rPr>
        <w:t>Tariff Streamlining Order</w:t>
      </w:r>
      <w:r w:rsidRPr="00350C7D">
        <w:rPr>
          <w:sz w:val="22"/>
          <w:szCs w:val="22"/>
        </w:rPr>
        <w:t>,</w:t>
      </w:r>
      <w:r w:rsidRPr="00350C7D">
        <w:rPr>
          <w:sz w:val="22"/>
          <w:vertAlign w:val="superscript"/>
        </w:rPr>
        <w:footnoteReference w:id="3"/>
      </w:r>
      <w:r w:rsidRPr="00350C7D">
        <w:rPr>
          <w:sz w:val="22"/>
          <w:szCs w:val="22"/>
        </w:rPr>
        <w:t xml:space="preserve"> the Commission adopted a standard protective order for purposes of tariff review for tariffs filed pursuant to section 204(a)(3) of the Communications Act of 1934, as amended.</w:t>
      </w:r>
      <w:r w:rsidRPr="00350C7D">
        <w:rPr>
          <w:sz w:val="22"/>
          <w:vertAlign w:val="superscript"/>
        </w:rPr>
        <w:footnoteReference w:id="4"/>
      </w:r>
      <w:r w:rsidRPr="00350C7D">
        <w:rPr>
          <w:sz w:val="22"/>
          <w:szCs w:val="22"/>
        </w:rPr>
        <w:t xml:space="preserve">  Carriers </w:t>
      </w:r>
      <w:r>
        <w:rPr>
          <w:sz w:val="22"/>
          <w:szCs w:val="22"/>
        </w:rPr>
        <w:t>seeking access to</w:t>
      </w:r>
      <w:r w:rsidRPr="00075952">
        <w:rPr>
          <w:sz w:val="22"/>
          <w:szCs w:val="22"/>
        </w:rPr>
        <w:t xml:space="preserve"> </w:t>
      </w:r>
      <w:r w:rsidRPr="00350C7D">
        <w:rPr>
          <w:sz w:val="22"/>
          <w:szCs w:val="22"/>
        </w:rPr>
        <w:t>confidential information filed in this year’s annual access charge tariff filing</w:t>
      </w:r>
      <w:r>
        <w:rPr>
          <w:sz w:val="22"/>
          <w:szCs w:val="22"/>
        </w:rPr>
        <w:t xml:space="preserve"> must comply with </w:t>
      </w:r>
      <w:r w:rsidRPr="00350C7D">
        <w:rPr>
          <w:sz w:val="22"/>
          <w:szCs w:val="22"/>
        </w:rPr>
        <w:t xml:space="preserve">the protective order contained in the </w:t>
      </w:r>
      <w:r w:rsidRPr="00350C7D">
        <w:rPr>
          <w:i/>
          <w:sz w:val="22"/>
          <w:szCs w:val="22"/>
        </w:rPr>
        <w:t>Tariff Streamlining Order</w:t>
      </w:r>
      <w:r w:rsidRPr="00350C7D">
        <w:rPr>
          <w:sz w:val="22"/>
          <w:szCs w:val="22"/>
        </w:rPr>
        <w:t>, as updated and modified herein.</w:t>
      </w:r>
      <w:r w:rsidRPr="00350C7D">
        <w:rPr>
          <w:sz w:val="22"/>
          <w:vertAlign w:val="superscript"/>
        </w:rPr>
        <w:footnoteReference w:id="5"/>
      </w:r>
      <w:r w:rsidRPr="00350C7D">
        <w:rPr>
          <w:sz w:val="22"/>
          <w:szCs w:val="22"/>
        </w:rPr>
        <w:t xml:space="preserve">  Because there will be limited time for review </w:t>
      </w:r>
      <w:r>
        <w:rPr>
          <w:sz w:val="22"/>
          <w:szCs w:val="22"/>
        </w:rPr>
        <w:t xml:space="preserve">before annual access tariffs become effective, </w:t>
      </w:r>
      <w:r w:rsidRPr="00350C7D">
        <w:rPr>
          <w:sz w:val="22"/>
          <w:szCs w:val="22"/>
        </w:rPr>
        <w:t>we suggest that carriers complete the necessary declaration ahead of time to expedite obtaining and reviewing confidential information.  We provide the protective order and declaration as Attachment A to this Public Notice.</w:t>
      </w:r>
    </w:p>
    <w:p w:rsidR="00DF3D86" w:rsidRPr="00C11BF6" w:rsidRDefault="00DF3D86" w:rsidP="00DF3D86">
      <w:pPr>
        <w:spacing w:after="120"/>
        <w:ind w:left="-86" w:firstLine="806"/>
        <w:rPr>
          <w:b/>
          <w:sz w:val="22"/>
          <w:szCs w:val="22"/>
          <w:u w:val="single"/>
        </w:rPr>
      </w:pPr>
      <w:r>
        <w:rPr>
          <w:b/>
          <w:sz w:val="22"/>
          <w:szCs w:val="22"/>
        </w:rPr>
        <w:t>B.</w:t>
      </w:r>
      <w:r>
        <w:rPr>
          <w:b/>
          <w:sz w:val="22"/>
          <w:szCs w:val="22"/>
        </w:rPr>
        <w:tab/>
      </w:r>
      <w:r w:rsidRPr="008D4752">
        <w:rPr>
          <w:b/>
          <w:sz w:val="22"/>
          <w:szCs w:val="22"/>
          <w:u w:val="single"/>
        </w:rPr>
        <w:t>Corrections to TRP Spreadsheets</w:t>
      </w:r>
    </w:p>
    <w:p w:rsidR="00DF3D86" w:rsidRDefault="00DF3D86" w:rsidP="00DF3D86">
      <w:pPr>
        <w:ind w:left="-86" w:firstLine="806"/>
        <w:rPr>
          <w:rFonts w:eastAsia="Calibri"/>
          <w:b/>
          <w:sz w:val="22"/>
          <w:szCs w:val="22"/>
        </w:rPr>
      </w:pPr>
      <w:r w:rsidRPr="00C11BF6">
        <w:rPr>
          <w:sz w:val="22"/>
          <w:szCs w:val="22"/>
        </w:rPr>
        <w:t xml:space="preserve">We also notify carriers that we have corrected </w:t>
      </w:r>
      <w:r>
        <w:rPr>
          <w:sz w:val="22"/>
          <w:szCs w:val="22"/>
        </w:rPr>
        <w:t xml:space="preserve">several </w:t>
      </w:r>
      <w:r w:rsidRPr="00C11BF6">
        <w:rPr>
          <w:sz w:val="22"/>
          <w:szCs w:val="22"/>
        </w:rPr>
        <w:t>error</w:t>
      </w:r>
      <w:r>
        <w:rPr>
          <w:sz w:val="22"/>
          <w:szCs w:val="22"/>
        </w:rPr>
        <w:t>s</w:t>
      </w:r>
      <w:r w:rsidRPr="00C11BF6">
        <w:rPr>
          <w:sz w:val="22"/>
          <w:szCs w:val="22"/>
        </w:rPr>
        <w:t xml:space="preserve"> in </w:t>
      </w:r>
      <w:r>
        <w:rPr>
          <w:sz w:val="22"/>
          <w:szCs w:val="22"/>
        </w:rPr>
        <w:t xml:space="preserve">the </w:t>
      </w:r>
      <w:r w:rsidRPr="00C11BF6">
        <w:rPr>
          <w:sz w:val="22"/>
          <w:szCs w:val="22"/>
        </w:rPr>
        <w:t>work</w:t>
      </w:r>
      <w:r>
        <w:rPr>
          <w:sz w:val="22"/>
          <w:szCs w:val="22"/>
        </w:rPr>
        <w:t>sheets contained in the TRP for</w:t>
      </w:r>
      <w:r w:rsidRPr="00C11BF6">
        <w:rPr>
          <w:sz w:val="22"/>
          <w:szCs w:val="22"/>
        </w:rPr>
        <w:t xml:space="preserve"> rate-of-return carriers.</w:t>
      </w:r>
      <w:r>
        <w:rPr>
          <w:sz w:val="22"/>
          <w:szCs w:val="22"/>
        </w:rPr>
        <w:t xml:space="preserve"> </w:t>
      </w:r>
      <w:r w:rsidRPr="00C11BF6">
        <w:rPr>
          <w:sz w:val="22"/>
          <w:szCs w:val="22"/>
        </w:rPr>
        <w:t>The c</w:t>
      </w:r>
      <w:r>
        <w:rPr>
          <w:sz w:val="22"/>
          <w:szCs w:val="22"/>
        </w:rPr>
        <w:t>orrections are described in A</w:t>
      </w:r>
      <w:r w:rsidRPr="00C11BF6">
        <w:rPr>
          <w:sz w:val="22"/>
          <w:szCs w:val="22"/>
        </w:rPr>
        <w:t>ttachment</w:t>
      </w:r>
      <w:r>
        <w:rPr>
          <w:sz w:val="22"/>
          <w:szCs w:val="22"/>
        </w:rPr>
        <w:t xml:space="preserve"> B</w:t>
      </w:r>
      <w:r w:rsidRPr="00C11BF6">
        <w:rPr>
          <w:sz w:val="22"/>
          <w:szCs w:val="22"/>
        </w:rPr>
        <w:t xml:space="preserve"> to this Public Notice. </w:t>
      </w:r>
      <w:r>
        <w:rPr>
          <w:sz w:val="22"/>
          <w:szCs w:val="22"/>
        </w:rPr>
        <w:t xml:space="preserve"> The relevant</w:t>
      </w:r>
      <w:r w:rsidRPr="00C11BF6">
        <w:rPr>
          <w:sz w:val="22"/>
          <w:szCs w:val="22"/>
        </w:rPr>
        <w:t xml:space="preserve"> worksheets have been corrected and are available at </w:t>
      </w:r>
      <w:hyperlink r:id="rId14" w:history="1">
        <w:r w:rsidRPr="00C11BF6">
          <w:rPr>
            <w:rStyle w:val="Hyperlink"/>
            <w:sz w:val="22"/>
            <w:szCs w:val="22"/>
          </w:rPr>
          <w:t>https://www.fcc.gov/2017-tariff-review-plans-2</w:t>
        </w:r>
      </w:hyperlink>
      <w:r w:rsidRPr="00562A6C">
        <w:rPr>
          <w:sz w:val="22"/>
          <w:szCs w:val="22"/>
        </w:rPr>
        <w:t>.</w:t>
      </w:r>
      <w:r w:rsidRPr="00C11BF6">
        <w:rPr>
          <w:sz w:val="22"/>
          <w:szCs w:val="22"/>
        </w:rPr>
        <w:t xml:space="preserve"> </w:t>
      </w:r>
    </w:p>
    <w:p w:rsidR="00DF3D86" w:rsidRDefault="00DF3D86" w:rsidP="00DF3D86">
      <w:pPr>
        <w:jc w:val="center"/>
        <w:rPr>
          <w:b/>
          <w:sz w:val="22"/>
          <w:szCs w:val="22"/>
        </w:rPr>
        <w:sectPr w:rsidR="00DF3D86" w:rsidSect="00F32D2E">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1440" w:gutter="0"/>
          <w:cols w:space="720"/>
          <w:titlePg/>
          <w:docGrid w:linePitch="272"/>
        </w:sectPr>
      </w:pPr>
      <w:r>
        <w:rPr>
          <w:rFonts w:eastAsia="Calibri"/>
          <w:b/>
          <w:sz w:val="22"/>
          <w:szCs w:val="22"/>
        </w:rPr>
        <w:lastRenderedPageBreak/>
        <w:t>-FCC-</w:t>
      </w:r>
    </w:p>
    <w:p w:rsidR="00DF3D86" w:rsidRDefault="00DF3D86" w:rsidP="00DF3D86">
      <w:pPr>
        <w:spacing w:after="200" w:line="276" w:lineRule="auto"/>
        <w:jc w:val="center"/>
        <w:rPr>
          <w:rFonts w:eastAsia="Calibri"/>
          <w:b/>
          <w:sz w:val="22"/>
          <w:szCs w:val="22"/>
        </w:rPr>
      </w:pPr>
      <w:r>
        <w:rPr>
          <w:rFonts w:eastAsia="Calibri"/>
          <w:b/>
          <w:sz w:val="22"/>
          <w:szCs w:val="22"/>
        </w:rPr>
        <w:lastRenderedPageBreak/>
        <w:t>ATTACHMENT A</w:t>
      </w:r>
    </w:p>
    <w:p w:rsidR="00DF3D86" w:rsidRDefault="00DF3D86" w:rsidP="00DF3D86">
      <w:pPr>
        <w:tabs>
          <w:tab w:val="left" w:pos="720"/>
        </w:tabs>
        <w:jc w:val="center"/>
        <w:outlineLvl w:val="0"/>
        <w:rPr>
          <w:b/>
          <w:sz w:val="22"/>
        </w:rPr>
      </w:pPr>
      <w:r>
        <w:rPr>
          <w:b/>
          <w:sz w:val="22"/>
        </w:rPr>
        <w:t>Before the</w:t>
      </w:r>
    </w:p>
    <w:p w:rsidR="00DF3D86" w:rsidRDefault="00DF3D86" w:rsidP="00DF3D86">
      <w:pPr>
        <w:jc w:val="center"/>
        <w:outlineLvl w:val="0"/>
        <w:rPr>
          <w:b/>
          <w:sz w:val="22"/>
        </w:rPr>
      </w:pPr>
      <w:r>
        <w:rPr>
          <w:b/>
          <w:sz w:val="22"/>
        </w:rPr>
        <w:t>Federal Communications Commission</w:t>
      </w:r>
    </w:p>
    <w:p w:rsidR="00DF3D86" w:rsidRDefault="00DF3D86" w:rsidP="00DF3D86">
      <w:pPr>
        <w:jc w:val="center"/>
        <w:outlineLvl w:val="0"/>
        <w:rPr>
          <w:b/>
          <w:sz w:val="22"/>
        </w:rPr>
      </w:pPr>
      <w:r>
        <w:rPr>
          <w:b/>
          <w:sz w:val="22"/>
        </w:rPr>
        <w:t>Washington, D.C. 20554</w:t>
      </w:r>
    </w:p>
    <w:p w:rsidR="00DF3D86" w:rsidRDefault="00DF3D86" w:rsidP="00DF3D86">
      <w:pPr>
        <w:rPr>
          <w:sz w:val="22"/>
        </w:rPr>
      </w:pPr>
    </w:p>
    <w:p w:rsidR="00DF3D86" w:rsidRDefault="00DF3D86" w:rsidP="00DF3D86">
      <w:pPr>
        <w:rPr>
          <w:sz w:val="22"/>
        </w:rPr>
      </w:pPr>
    </w:p>
    <w:tbl>
      <w:tblPr>
        <w:tblW w:w="0" w:type="auto"/>
        <w:tblLayout w:type="fixed"/>
        <w:tblLook w:val="0000" w:firstRow="0" w:lastRow="0" w:firstColumn="0" w:lastColumn="0" w:noHBand="0" w:noVBand="0"/>
      </w:tblPr>
      <w:tblGrid>
        <w:gridCol w:w="4698"/>
        <w:gridCol w:w="720"/>
        <w:gridCol w:w="4230"/>
      </w:tblGrid>
      <w:tr w:rsidR="00DF3D86" w:rsidTr="00281C06">
        <w:tc>
          <w:tcPr>
            <w:tcW w:w="4698" w:type="dxa"/>
          </w:tcPr>
          <w:p w:rsidR="00DF3D86" w:rsidRDefault="00DF3D86" w:rsidP="00281C06">
            <w:pPr>
              <w:ind w:right="-18"/>
              <w:rPr>
                <w:sz w:val="22"/>
              </w:rPr>
            </w:pPr>
            <w:r>
              <w:rPr>
                <w:sz w:val="22"/>
              </w:rPr>
              <w:t xml:space="preserve">In the Matter of </w:t>
            </w:r>
          </w:p>
          <w:p w:rsidR="00DF3D86" w:rsidRDefault="00DF3D86" w:rsidP="00281C06">
            <w:pPr>
              <w:ind w:right="-18"/>
              <w:rPr>
                <w:sz w:val="22"/>
              </w:rPr>
            </w:pPr>
          </w:p>
          <w:p w:rsidR="00DF3D86" w:rsidRDefault="00DF3D86" w:rsidP="00281C06">
            <w:pPr>
              <w:ind w:right="-18"/>
              <w:rPr>
                <w:sz w:val="22"/>
              </w:rPr>
            </w:pPr>
            <w:r>
              <w:rPr>
                <w:sz w:val="22"/>
              </w:rPr>
              <w:t>Material to be Filed in Support of</w:t>
            </w:r>
          </w:p>
          <w:p w:rsidR="00DF3D86" w:rsidRDefault="00DF3D86" w:rsidP="00281C06">
            <w:pPr>
              <w:ind w:right="-18"/>
              <w:rPr>
                <w:sz w:val="22"/>
              </w:rPr>
            </w:pPr>
            <w:r>
              <w:rPr>
                <w:sz w:val="22"/>
              </w:rPr>
              <w:t>2017 Annual Access Tariff Filings</w:t>
            </w:r>
          </w:p>
          <w:p w:rsidR="00DF3D86" w:rsidRDefault="00DF3D86" w:rsidP="00281C06">
            <w:pPr>
              <w:ind w:right="-18"/>
              <w:rPr>
                <w:sz w:val="22"/>
              </w:rPr>
            </w:pPr>
          </w:p>
          <w:p w:rsidR="00DF3D86" w:rsidRDefault="00DF3D86" w:rsidP="00281C06">
            <w:pPr>
              <w:ind w:right="-18"/>
              <w:rPr>
                <w:sz w:val="22"/>
              </w:rPr>
            </w:pPr>
          </w:p>
        </w:tc>
        <w:tc>
          <w:tcPr>
            <w:tcW w:w="720" w:type="dxa"/>
          </w:tcPr>
          <w:p w:rsidR="00DF3D86" w:rsidRDefault="00DF3D86" w:rsidP="00281C06">
            <w:pPr>
              <w:rPr>
                <w:sz w:val="22"/>
              </w:rPr>
            </w:pPr>
            <w:r>
              <w:rPr>
                <w:sz w:val="22"/>
              </w:rPr>
              <w:t>)</w:t>
            </w:r>
          </w:p>
          <w:p w:rsidR="00DF3D86" w:rsidRDefault="00DF3D86" w:rsidP="00281C06">
            <w:pPr>
              <w:rPr>
                <w:sz w:val="22"/>
              </w:rPr>
            </w:pPr>
            <w:r>
              <w:rPr>
                <w:sz w:val="22"/>
              </w:rPr>
              <w:t>)</w:t>
            </w:r>
          </w:p>
          <w:p w:rsidR="00DF3D86" w:rsidRDefault="00DF3D86" w:rsidP="00281C06">
            <w:pPr>
              <w:rPr>
                <w:sz w:val="22"/>
              </w:rPr>
            </w:pPr>
            <w:r>
              <w:rPr>
                <w:sz w:val="22"/>
              </w:rPr>
              <w:t>)</w:t>
            </w:r>
          </w:p>
          <w:p w:rsidR="00DF3D86" w:rsidRDefault="00DF3D86" w:rsidP="00281C06">
            <w:pPr>
              <w:rPr>
                <w:sz w:val="22"/>
              </w:rPr>
            </w:pPr>
            <w:r>
              <w:rPr>
                <w:sz w:val="22"/>
              </w:rPr>
              <w:t>)</w:t>
            </w:r>
          </w:p>
        </w:tc>
        <w:tc>
          <w:tcPr>
            <w:tcW w:w="4230" w:type="dxa"/>
          </w:tcPr>
          <w:p w:rsidR="00DF3D86" w:rsidRDefault="00DF3D86" w:rsidP="00281C06">
            <w:pPr>
              <w:rPr>
                <w:sz w:val="22"/>
              </w:rPr>
            </w:pPr>
          </w:p>
          <w:p w:rsidR="00DF3D86" w:rsidRDefault="00DF3D86" w:rsidP="00281C06">
            <w:pPr>
              <w:rPr>
                <w:spacing w:val="-2"/>
                <w:sz w:val="22"/>
              </w:rPr>
            </w:pPr>
          </w:p>
          <w:p w:rsidR="00DF3D86" w:rsidRDefault="00DF3D86" w:rsidP="00281C06">
            <w:pPr>
              <w:rPr>
                <w:sz w:val="22"/>
              </w:rPr>
            </w:pPr>
            <w:r>
              <w:rPr>
                <w:spacing w:val="-2"/>
                <w:sz w:val="22"/>
              </w:rPr>
              <w:t>WC Docket No. 17-65</w:t>
            </w:r>
          </w:p>
        </w:tc>
      </w:tr>
    </w:tbl>
    <w:p w:rsidR="00DF3D86" w:rsidRDefault="00DF3D86" w:rsidP="00DF3D86">
      <w:pPr>
        <w:spacing w:before="120"/>
        <w:jc w:val="center"/>
        <w:outlineLvl w:val="0"/>
        <w:rPr>
          <w:b/>
          <w:sz w:val="22"/>
          <w:szCs w:val="22"/>
        </w:rPr>
      </w:pPr>
      <w:r>
        <w:rPr>
          <w:b/>
          <w:spacing w:val="-2"/>
          <w:sz w:val="22"/>
          <w:szCs w:val="22"/>
        </w:rPr>
        <w:t>PROTECTIVE ORDER</w:t>
      </w:r>
    </w:p>
    <w:p w:rsidR="00DF3D86" w:rsidRDefault="00DF3D86" w:rsidP="00DF3D86">
      <w:pPr>
        <w:autoSpaceDE w:val="0"/>
        <w:autoSpaceDN w:val="0"/>
        <w:adjustRightInd w:val="0"/>
        <w:rPr>
          <w:b/>
          <w:color w:val="000000"/>
          <w:sz w:val="22"/>
        </w:rPr>
      </w:pPr>
    </w:p>
    <w:p w:rsidR="00DF3D86" w:rsidRDefault="00DF3D86" w:rsidP="00DF3D86">
      <w:pPr>
        <w:autoSpaceDE w:val="0"/>
        <w:autoSpaceDN w:val="0"/>
        <w:adjustRightInd w:val="0"/>
        <w:ind w:firstLine="720"/>
        <w:rPr>
          <w:color w:val="000000"/>
          <w:sz w:val="22"/>
        </w:rPr>
      </w:pPr>
      <w:r>
        <w:rPr>
          <w:color w:val="000000"/>
          <w:sz w:val="22"/>
        </w:rPr>
        <w:t>This Protective Order is intended to facilitate and expedite the review of documents containing trade secrets and commercial or financial information obtained from a person and privileged or confidential.  It reflects the manner in which “Confidential Information,” as that term is defined herein, is to be treated.  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DF3D86" w:rsidRDefault="00DF3D86" w:rsidP="00DF3D86">
      <w:pPr>
        <w:rPr>
          <w:sz w:val="22"/>
          <w:szCs w:val="22"/>
        </w:rPr>
      </w:pPr>
    </w:p>
    <w:p w:rsidR="00DF3D86" w:rsidRPr="000E5094"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Definitions.</w:t>
      </w:r>
    </w:p>
    <w:p w:rsidR="00DF3D86" w:rsidRDefault="00DF3D86" w:rsidP="00DF3D86">
      <w:pPr>
        <w:autoSpaceDE w:val="0"/>
        <w:autoSpaceDN w:val="0"/>
        <w:adjustRightInd w:val="0"/>
        <w:ind w:left="360"/>
        <w:rPr>
          <w:color w:val="000000"/>
          <w:sz w:val="22"/>
        </w:rPr>
      </w:pPr>
    </w:p>
    <w:p w:rsidR="00DF3D86" w:rsidRPr="000E5094" w:rsidRDefault="00DF3D86" w:rsidP="00DF3D86">
      <w:pPr>
        <w:pStyle w:val="ListParagraph"/>
        <w:numPr>
          <w:ilvl w:val="0"/>
          <w:numId w:val="14"/>
        </w:numPr>
        <w:autoSpaceDE w:val="0"/>
        <w:autoSpaceDN w:val="0"/>
        <w:adjustRightInd w:val="0"/>
        <w:rPr>
          <w:color w:val="000000"/>
          <w:sz w:val="22"/>
        </w:rPr>
      </w:pPr>
      <w:r w:rsidRPr="000E5094">
        <w:rPr>
          <w:color w:val="000000"/>
          <w:sz w:val="22"/>
          <w:u w:val="single"/>
        </w:rPr>
        <w:t>Authorized Representative</w:t>
      </w:r>
      <w:r w:rsidRPr="000E5094">
        <w:rPr>
          <w:color w:val="000000"/>
          <w:sz w:val="22"/>
        </w:rPr>
        <w:t>.</w:t>
      </w:r>
      <w:r>
        <w:rPr>
          <w:color w:val="000000"/>
          <w:sz w:val="22"/>
        </w:rPr>
        <w:t xml:space="preserve"> </w:t>
      </w:r>
      <w:r w:rsidRPr="000E5094">
        <w:rPr>
          <w:color w:val="000000"/>
          <w:sz w:val="22"/>
        </w:rPr>
        <w:t xml:space="preserve"> “Authorized Representative” shall have the mean</w:t>
      </w:r>
      <w:r>
        <w:rPr>
          <w:color w:val="000000"/>
          <w:sz w:val="22"/>
        </w:rPr>
        <w:t>ing set forth in Paragraph seven</w:t>
      </w:r>
      <w:r w:rsidRPr="000E5094">
        <w:rPr>
          <w:color w:val="000000"/>
          <w:sz w:val="22"/>
        </w:rPr>
        <w:t>.</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Commission</w:t>
      </w:r>
      <w:r>
        <w:rPr>
          <w:color w:val="000000"/>
          <w:sz w:val="22"/>
        </w:rPr>
        <w:t>.  “Commission” means the Federal Communications Commission or any arm of the Commission acting pursuant to delegated authority.</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Confidential Information</w:t>
      </w:r>
      <w:r>
        <w:rPr>
          <w:color w:val="000000"/>
          <w:sz w:val="22"/>
        </w:rPr>
        <w:t>.  “Confidential Information” means: (i)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notes, and information derived from Confidential Information.</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Declaration</w:t>
      </w:r>
      <w:r>
        <w:rPr>
          <w:color w:val="000000"/>
          <w:sz w:val="22"/>
        </w:rPr>
        <w:t>.  “Declaration” means the Appendix to this Protective Order.</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Reviewing Party</w:t>
      </w:r>
      <w:r>
        <w:rPr>
          <w:color w:val="000000"/>
          <w:sz w:val="22"/>
        </w:rPr>
        <w:t>.  “Reviewing Party” means a person or entity participating in this proceeding or considering in good faith filing a document in this proceeding.</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Submitting Party</w:t>
      </w:r>
      <w:r>
        <w:rPr>
          <w:color w:val="000000"/>
          <w:sz w:val="22"/>
        </w:rPr>
        <w:t>.  “Submitting Party” means a person or entity that seeks confidential treatment of Confidential Information pursuant to this Protective Order.</w:t>
      </w:r>
    </w:p>
    <w:p w:rsidR="00DF3D86" w:rsidRPr="00AD2E30" w:rsidRDefault="00DF3D86" w:rsidP="00DF3D86">
      <w:pPr>
        <w:pStyle w:val="ListParagraph"/>
        <w:rPr>
          <w:color w:val="000000"/>
          <w:sz w:val="22"/>
        </w:rPr>
      </w:pPr>
    </w:p>
    <w:p w:rsidR="00DF3D86" w:rsidRDefault="00DF3D86" w:rsidP="00DF3D86">
      <w:pPr>
        <w:pStyle w:val="ListParagraph"/>
        <w:numPr>
          <w:ilvl w:val="0"/>
          <w:numId w:val="14"/>
        </w:numPr>
        <w:autoSpaceDE w:val="0"/>
        <w:autoSpaceDN w:val="0"/>
        <w:adjustRightInd w:val="0"/>
        <w:rPr>
          <w:color w:val="000000"/>
          <w:sz w:val="22"/>
        </w:rPr>
      </w:pPr>
      <w:r>
        <w:rPr>
          <w:color w:val="000000"/>
          <w:sz w:val="22"/>
          <w:u w:val="single"/>
        </w:rPr>
        <w:t>Third-Party Interest Holder</w:t>
      </w:r>
      <w:r w:rsidRPr="00945C58">
        <w:rPr>
          <w:color w:val="000000"/>
          <w:sz w:val="22"/>
        </w:rPr>
        <w:t>.</w:t>
      </w:r>
      <w:r>
        <w:rPr>
          <w:color w:val="000000"/>
          <w:sz w:val="22"/>
        </w:rPr>
        <w:t xml:space="preserve">  </w:t>
      </w:r>
      <w:r w:rsidRPr="00805153">
        <w:rPr>
          <w:color w:val="000000"/>
          <w:sz w:val="22"/>
        </w:rPr>
        <w:t xml:space="preserve">“Third-Party Interest Holder” means a person who is not a Submitting Party who has a confidentiality interest in Confidential Information submitted </w:t>
      </w:r>
      <w:r>
        <w:rPr>
          <w:color w:val="000000"/>
          <w:sz w:val="22"/>
        </w:rPr>
        <w:t xml:space="preserve">pursuant to </w:t>
      </w:r>
      <w:r w:rsidRPr="00805153">
        <w:rPr>
          <w:color w:val="000000"/>
          <w:sz w:val="22"/>
        </w:rPr>
        <w:t>this Protective Order.</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Claim of Confidentiality</w:t>
      </w:r>
      <w:r>
        <w:rPr>
          <w:color w:val="000000"/>
          <w:sz w:val="22"/>
        </w:rPr>
        <w:t xml:space="preserve">.  The Submitting Party may designate information as “Confidential Information” consistent with the definition of that term in Paragraph 1 of this Protective Order. </w:t>
      </w:r>
      <w:r w:rsidRPr="00805153">
        <w:rPr>
          <w:color w:val="000000"/>
          <w:sz w:val="22"/>
        </w:rPr>
        <w:t>By designating documents and information as Confidential under this Protective Order, a Submitting Party also will be deemed to have submitted a request that the material not be made routinely available for public inspection under the Commission’s rules.</w:t>
      </w:r>
      <w:r w:rsidRPr="00805153">
        <w:rPr>
          <w:color w:val="000000"/>
          <w:sz w:val="22"/>
          <w:vertAlign w:val="superscript"/>
        </w:rPr>
        <w:footnoteReference w:id="6"/>
      </w:r>
      <w:r>
        <w:rPr>
          <w:color w:val="000000"/>
          <w:sz w:val="22"/>
        </w:rPr>
        <w:t xml:space="preserve">  The Commission may, </w:t>
      </w:r>
      <w:r w:rsidRPr="00255CB8">
        <w:rPr>
          <w:i/>
          <w:iCs/>
          <w:color w:val="000000"/>
          <w:sz w:val="22"/>
        </w:rPr>
        <w:t>sua sponte</w:t>
      </w:r>
      <w:r>
        <w:rPr>
          <w:color w:val="000000"/>
          <w:sz w:val="22"/>
        </w:rPr>
        <w:t xml:space="preserve"> or upon petition, pursuant to 47 CFR §§ 0.459 &amp; 0.461, determine that all or part of the information claimed as “Confidential Information” is not entitled to such treatment.</w:t>
      </w:r>
    </w:p>
    <w:p w:rsidR="00DF3D86" w:rsidRDefault="00DF3D86" w:rsidP="00DF3D86">
      <w:pPr>
        <w:pStyle w:val="ListParagraph"/>
        <w:autoSpaceDE w:val="0"/>
        <w:autoSpaceDN w:val="0"/>
        <w:adjustRightInd w:val="0"/>
        <w:rPr>
          <w:color w:val="000000"/>
          <w:sz w:val="22"/>
        </w:rPr>
      </w:pPr>
    </w:p>
    <w:p w:rsidR="00DF3D86" w:rsidRPr="00604F6B" w:rsidRDefault="00DF3D86" w:rsidP="00DF3D86">
      <w:pPr>
        <w:pStyle w:val="ParaNum0"/>
        <w:numPr>
          <w:ilvl w:val="0"/>
          <w:numId w:val="15"/>
        </w:numPr>
        <w:spacing w:after="0"/>
      </w:pPr>
      <w:bookmarkStart w:id="2" w:name="_Ref383422758"/>
      <w:r w:rsidRPr="00715D43">
        <w:rPr>
          <w:u w:val="single"/>
        </w:rPr>
        <w:t>Challenge to Designation</w:t>
      </w:r>
      <w:r w:rsidRPr="001106B2">
        <w:t xml:space="preserve">.  Any person wishing to challenge the designation of a document, portion of a document or information as Confidential must file such a challenge at the Commission and serve it on the </w:t>
      </w:r>
      <w:r w:rsidRPr="00492BD3">
        <w:t>Submitting</w:t>
      </w:r>
      <w:r w:rsidRPr="001106B2">
        <w:t xml:space="preserve">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sidRPr="001106B2">
        <w:rPr>
          <w:vertAlign w:val="superscript"/>
        </w:rPr>
        <w:footnoteReference w:id="7"/>
      </w:r>
      <w:r w:rsidRPr="001106B2">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sidRPr="001106B2">
        <w:rPr>
          <w:vertAlign w:val="superscript"/>
        </w:rPr>
        <w:footnoteReference w:id="8"/>
      </w:r>
      <w:bookmarkEnd w:id="2"/>
      <w:r w:rsidRPr="001106B2">
        <w:t xml:space="preserve">  </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Procedures for Claiming Information is Confidential</w:t>
      </w:r>
      <w:r>
        <w:rPr>
          <w:color w:val="000000"/>
          <w:sz w:val="22"/>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DF3D86" w:rsidRPr="00604F6B"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Access to Confidential Information</w:t>
      </w:r>
      <w:r>
        <w:rPr>
          <w:color w:val="000000"/>
          <w:sz w:val="22"/>
        </w:rPr>
        <w:t xml:space="preserve">.  Confidential Information shall only be made available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Pr>
          <w:color w:val="000000"/>
          <w:sz w:val="22"/>
        </w:rP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not restrict a</w:t>
      </w:r>
      <w:r w:rsidRPr="002679D3">
        <w:rPr>
          <w:color w:val="000000"/>
          <w:sz w:val="22"/>
        </w:rPr>
        <w:t xml:space="preserve"> Submitting Party</w:t>
      </w:r>
      <w:r>
        <w:rPr>
          <w:color w:val="000000"/>
          <w:sz w:val="22"/>
        </w:rPr>
        <w:t xml:space="preserve"> or its Counsel from disclosing or reviewing the Submitting Party’s own </w:t>
      </w:r>
      <w:r w:rsidRPr="002679D3">
        <w:rPr>
          <w:color w:val="000000"/>
          <w:sz w:val="22"/>
        </w:rPr>
        <w:t>Confidential Information</w:t>
      </w:r>
      <w:r>
        <w:rPr>
          <w:color w:val="000000"/>
          <w:sz w:val="22"/>
        </w:rPr>
        <w:t>.</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Pr>
          <w:color w:val="000000"/>
          <w:sz w:val="22"/>
        </w:rPr>
        <w:t>Authorized Representatives shall be limited to:</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6"/>
        </w:numPr>
        <w:autoSpaceDE w:val="0"/>
        <w:autoSpaceDN w:val="0"/>
        <w:adjustRightInd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6"/>
        </w:numPr>
        <w:autoSpaceDE w:val="0"/>
        <w:autoSpaceDN w:val="0"/>
        <w:adjustRightInd w:val="0"/>
        <w:rPr>
          <w:color w:val="000000"/>
          <w:sz w:val="22"/>
        </w:rPr>
      </w:pPr>
      <w:r>
        <w:rPr>
          <w:color w:val="000000"/>
          <w:sz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 and</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6"/>
        </w:numPr>
        <w:autoSpaceDE w:val="0"/>
        <w:autoSpaceDN w:val="0"/>
        <w:adjustRightInd w:val="0"/>
        <w:rPr>
          <w:color w:val="000000"/>
          <w:sz w:val="22"/>
        </w:rPr>
      </w:pPr>
      <w:r>
        <w:rPr>
          <w:color w:val="000000"/>
          <w:sz w:val="22"/>
        </w:rPr>
        <w:t>Any person designated by the Commission in the public interest, upon such terms as the Commission may deem proper.</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Filing of Declaration</w:t>
      </w:r>
      <w:r>
        <w:rPr>
          <w:color w:val="000000"/>
          <w:sz w:val="22"/>
        </w:rPr>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DF3D86" w:rsidRPr="00AD2E30" w:rsidRDefault="00DF3D86" w:rsidP="00DF3D86">
      <w:pPr>
        <w:pStyle w:val="ListParagraph"/>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AD2E30">
        <w:rPr>
          <w:color w:val="000000"/>
          <w:sz w:val="22"/>
          <w:u w:val="single"/>
        </w:rPr>
        <w:t>Procedure for Objecting to the Disclosure of Confidential Information to a Potential Reviewing Party</w:t>
      </w:r>
      <w:r w:rsidRPr="00AD2E30">
        <w:rPr>
          <w:color w:val="000000"/>
          <w:sz w:val="22"/>
        </w:rPr>
        <w:t>.</w:t>
      </w:r>
      <w:r w:rsidRPr="00AD2E30">
        <w:rPr>
          <w:color w:val="000000"/>
          <w:sz w:val="22"/>
          <w:vertAlign w:val="superscript"/>
        </w:rPr>
        <w:footnoteReference w:id="9"/>
      </w:r>
      <w:r w:rsidRPr="002679D3">
        <w:rPr>
          <w:i/>
          <w:color w:val="000000"/>
          <w:sz w:val="22"/>
        </w:rPr>
        <w:t xml:space="preserve">  </w:t>
      </w:r>
      <w:r w:rsidRPr="002679D3">
        <w:rPr>
          <w:color w:val="000000"/>
          <w:sz w:val="22"/>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sidRPr="002679D3">
        <w:rPr>
          <w:color w:val="000000"/>
          <w:sz w:val="22"/>
          <w:vertAlign w:val="superscript"/>
        </w:rPr>
        <w:footnoteReference w:id="10"/>
      </w:r>
      <w:r w:rsidRPr="002679D3">
        <w:rPr>
          <w:color w:val="000000"/>
          <w:sz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w:t>
      </w:r>
    </w:p>
    <w:p w:rsidR="00DF3D86" w:rsidRPr="00AD2E30" w:rsidRDefault="00DF3D86" w:rsidP="00DF3D86">
      <w:pPr>
        <w:pStyle w:val="ListParagraph"/>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Inspection of Confidential Information</w:t>
      </w:r>
      <w:r>
        <w:rPr>
          <w:color w:val="000000"/>
          <w:sz w:val="22"/>
        </w:rPr>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DF3D86" w:rsidRDefault="00DF3D86" w:rsidP="00DF3D86">
      <w:pPr>
        <w:autoSpaceDE w:val="0"/>
        <w:autoSpaceDN w:val="0"/>
        <w:adjustRightInd w:val="0"/>
        <w:rPr>
          <w:color w:val="000000"/>
          <w:sz w:val="22"/>
        </w:rPr>
      </w:pPr>
    </w:p>
    <w:p w:rsidR="00DF3D86" w:rsidRPr="00A849F3"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Copies of Confidential Information</w:t>
      </w:r>
      <w:r>
        <w:rPr>
          <w:color w:val="000000"/>
          <w:sz w:val="22"/>
        </w:rPr>
        <w:t>.  The Submitting Party shall provide a copy of the Confidential Material to Authorized Representatives upon request and may charge a reasonable copying fee not to exceed twenty-five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Use of Confidential Information</w:t>
      </w:r>
      <w:r>
        <w:rPr>
          <w:color w:val="000000"/>
          <w:sz w:val="22"/>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Pleadings Using Confidential Information</w:t>
      </w:r>
      <w:r>
        <w:rPr>
          <w:color w:val="000000"/>
          <w:sz w:val="22"/>
        </w:rPr>
        <w:t>.  Submitting Parties and Reviewing Parties may, in any pleadings that they file in this proceeding, reference the Confidential Information, but only if they comply with the following procedures:</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7"/>
        </w:numPr>
        <w:autoSpaceDE w:val="0"/>
        <w:autoSpaceDN w:val="0"/>
        <w:adjustRightInd w:val="0"/>
        <w:rPr>
          <w:color w:val="000000"/>
          <w:sz w:val="22"/>
        </w:rPr>
      </w:pPr>
      <w:r>
        <w:rPr>
          <w:color w:val="000000"/>
          <w:sz w:val="22"/>
        </w:rPr>
        <w:t>Any portions of the pleadings that contain or disclose Confidential Information must be filed under seal;</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7"/>
        </w:numPr>
        <w:autoSpaceDE w:val="0"/>
        <w:autoSpaceDN w:val="0"/>
        <w:adjustRightInd w:val="0"/>
        <w:rPr>
          <w:color w:val="000000"/>
          <w:sz w:val="22"/>
        </w:rPr>
      </w:pPr>
      <w:r>
        <w:rPr>
          <w:color w:val="000000"/>
          <w:sz w:val="22"/>
        </w:rPr>
        <w:t>The portions containing or disclosing Confidential Information must be covered by a separate letter referencing this Protective Order;</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7"/>
        </w:numPr>
        <w:autoSpaceDE w:val="0"/>
        <w:autoSpaceDN w:val="0"/>
        <w:adjustRightInd w:val="0"/>
        <w:rPr>
          <w:color w:val="000000"/>
          <w:sz w:val="22"/>
        </w:rPr>
      </w:pPr>
      <w:r>
        <w:rPr>
          <w:color w:val="000000"/>
          <w:sz w:val="22"/>
        </w:rPr>
        <w:t>Each page of any Party's filing that contains or discloses Confidential Information subject to this Protective Order must be clearly marked: “Confidential Information included pursuant to Protective Order, WC Docket No. 17-65;” and</w:t>
      </w:r>
    </w:p>
    <w:p w:rsidR="00DF3D86" w:rsidRDefault="00DF3D86" w:rsidP="00DF3D86">
      <w:pPr>
        <w:autoSpaceDE w:val="0"/>
        <w:autoSpaceDN w:val="0"/>
        <w:adjustRightInd w:val="0"/>
        <w:ind w:left="360"/>
        <w:rPr>
          <w:color w:val="000000"/>
          <w:sz w:val="22"/>
        </w:rPr>
      </w:pPr>
    </w:p>
    <w:p w:rsidR="00DF3D86" w:rsidRDefault="00DF3D86" w:rsidP="00DF3D86">
      <w:pPr>
        <w:pStyle w:val="ListParagraph"/>
        <w:numPr>
          <w:ilvl w:val="0"/>
          <w:numId w:val="17"/>
        </w:numPr>
        <w:autoSpaceDE w:val="0"/>
        <w:autoSpaceDN w:val="0"/>
        <w:adjustRightInd w:val="0"/>
        <w:rPr>
          <w:color w:val="000000"/>
          <w:sz w:val="22"/>
        </w:rPr>
      </w:pPr>
      <w:r>
        <w:rPr>
          <w:color w:val="000000"/>
          <w:sz w:val="22"/>
        </w:rPr>
        <w:t>The confidential portion(s) of the pleading, to the extent they are required to be served, shall be served upon the Secretary of the Commission, the Submitting Party, and those Reviewing Parties that have signed the appended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DF3D86" w:rsidRDefault="00DF3D86" w:rsidP="00DF3D86">
      <w:pPr>
        <w:autoSpaceDE w:val="0"/>
        <w:autoSpaceDN w:val="0"/>
        <w:adjustRightInd w:val="0"/>
        <w:rPr>
          <w:color w:val="000000"/>
          <w:sz w:val="22"/>
        </w:rPr>
      </w:pPr>
    </w:p>
    <w:p w:rsidR="00DF3D86" w:rsidRPr="001106B2" w:rsidRDefault="00DF3D86" w:rsidP="00DF3D86">
      <w:pPr>
        <w:pStyle w:val="ParaNum0"/>
        <w:numPr>
          <w:ilvl w:val="0"/>
          <w:numId w:val="15"/>
        </w:numPr>
        <w:spacing w:after="120"/>
      </w:pPr>
      <w:r w:rsidRPr="00AD2E30">
        <w:rPr>
          <w:iCs/>
          <w:u w:val="single"/>
        </w:rPr>
        <w:t>Subpoena by Courts, Departments, or Agencies</w:t>
      </w:r>
      <w:r w:rsidRPr="001106B2">
        <w:t>.  If a court, or a federal or state department or agency</w:t>
      </w:r>
      <w:r>
        <w:t>,</w:t>
      </w:r>
      <w:r w:rsidRPr="001106B2">
        <w:t xml:space="preserve"> issues a subpoena for or orders the production of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Violations of Protective Order</w:t>
      </w:r>
      <w:r>
        <w:rPr>
          <w:color w:val="000000"/>
          <w:sz w:val="22"/>
        </w:rPr>
        <w:t>.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Termination of Proceeding</w:t>
      </w:r>
      <w:r>
        <w:rPr>
          <w:color w:val="000000"/>
          <w:sz w:val="22"/>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No Waiver of Confidentiality</w:t>
      </w:r>
      <w:r>
        <w:rPr>
          <w:color w:val="000000"/>
          <w:sz w:val="22"/>
        </w:rPr>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Additional Rights Preserved</w:t>
      </w:r>
      <w:r>
        <w:rPr>
          <w:color w:val="000000"/>
          <w:sz w:val="22"/>
        </w:rP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Effect of Protective Order</w:t>
      </w:r>
      <w:r>
        <w:rPr>
          <w:color w:val="000000"/>
          <w:sz w:val="22"/>
        </w:rPr>
        <w:t xml:space="preserve">.  This Protective Order constitutes an order of the Commission and an agreement between the Reviewing Party, executing the appended Declaration, and the Submitting </w:t>
      </w:r>
      <w:r w:rsidRPr="00945C58">
        <w:rPr>
          <w:color w:val="000000"/>
          <w:sz w:val="22"/>
        </w:rPr>
        <w:t>P</w:t>
      </w:r>
      <w:r>
        <w:rPr>
          <w:color w:val="000000"/>
          <w:sz w:val="22"/>
        </w:rPr>
        <w:t>arty.</w:t>
      </w:r>
    </w:p>
    <w:p w:rsidR="00DF3D86" w:rsidRDefault="00DF3D86" w:rsidP="00DF3D86">
      <w:pPr>
        <w:autoSpaceDE w:val="0"/>
        <w:autoSpaceDN w:val="0"/>
        <w:adjustRightInd w:val="0"/>
        <w:rPr>
          <w:color w:val="000000"/>
          <w:sz w:val="22"/>
        </w:rPr>
      </w:pPr>
    </w:p>
    <w:p w:rsidR="00DF3D86" w:rsidRDefault="00DF3D86" w:rsidP="00DF3D86">
      <w:pPr>
        <w:pStyle w:val="ListParagraph"/>
        <w:numPr>
          <w:ilvl w:val="0"/>
          <w:numId w:val="15"/>
        </w:numPr>
        <w:autoSpaceDE w:val="0"/>
        <w:autoSpaceDN w:val="0"/>
        <w:adjustRightInd w:val="0"/>
        <w:rPr>
          <w:color w:val="000000"/>
          <w:sz w:val="22"/>
        </w:rPr>
      </w:pPr>
      <w:r w:rsidRPr="000E5094">
        <w:rPr>
          <w:color w:val="000000"/>
          <w:sz w:val="22"/>
          <w:u w:val="single"/>
        </w:rPr>
        <w:t>Authority</w:t>
      </w:r>
      <w:r>
        <w:rPr>
          <w:color w:val="000000"/>
          <w:sz w:val="22"/>
        </w:rPr>
        <w:t>.  This Protective Order is issued pursuant to sections 4(i) and 4(j) of the Communications Act of 1934, as amended, 47 U.S.C. §§ 154(i), (j), and 47 CFR § 0.457(d).</w:t>
      </w:r>
    </w:p>
    <w:p w:rsidR="00DF3D86" w:rsidRPr="00AD2E30" w:rsidRDefault="00DF3D86" w:rsidP="00DF3D86">
      <w:pPr>
        <w:pStyle w:val="ListParagraph"/>
        <w:rPr>
          <w:color w:val="000000"/>
          <w:sz w:val="22"/>
        </w:rPr>
      </w:pPr>
    </w:p>
    <w:p w:rsidR="00DF3D86" w:rsidRDefault="00DF3D86" w:rsidP="00DF3D86">
      <w:pPr>
        <w:autoSpaceDE w:val="0"/>
        <w:autoSpaceDN w:val="0"/>
        <w:adjustRightInd w:val="0"/>
        <w:ind w:left="360"/>
        <w:rPr>
          <w:color w:val="000000"/>
          <w:sz w:val="22"/>
        </w:rPr>
      </w:pPr>
    </w:p>
    <w:p w:rsidR="00DF3D86" w:rsidRPr="00AD2E30" w:rsidRDefault="00DF3D86" w:rsidP="00DF3D86">
      <w:pPr>
        <w:autoSpaceDE w:val="0"/>
        <w:autoSpaceDN w:val="0"/>
        <w:adjustRightInd w:val="0"/>
        <w:ind w:left="3960" w:firstLine="360"/>
        <w:rPr>
          <w:color w:val="000000"/>
          <w:sz w:val="22"/>
        </w:rPr>
      </w:pPr>
      <w:r w:rsidRPr="00AD2E30">
        <w:rPr>
          <w:color w:val="000000"/>
          <w:sz w:val="22"/>
        </w:rPr>
        <w:t>FEDERAL COMMUNICATIONS COMMISSION</w:t>
      </w:r>
    </w:p>
    <w:p w:rsidR="00DF3D86" w:rsidRPr="00AD2E30" w:rsidRDefault="00DF3D86" w:rsidP="00DF3D86">
      <w:pPr>
        <w:autoSpaceDE w:val="0"/>
        <w:autoSpaceDN w:val="0"/>
        <w:adjustRightInd w:val="0"/>
        <w:ind w:left="360"/>
        <w:rPr>
          <w:color w:val="000000"/>
          <w:sz w:val="22"/>
        </w:rPr>
      </w:pPr>
    </w:p>
    <w:p w:rsidR="00DF3D86" w:rsidRPr="00AD2E30" w:rsidRDefault="00DF3D86" w:rsidP="00DF3D86">
      <w:pPr>
        <w:autoSpaceDE w:val="0"/>
        <w:autoSpaceDN w:val="0"/>
        <w:adjustRightInd w:val="0"/>
        <w:ind w:left="360"/>
        <w:rPr>
          <w:color w:val="000000"/>
          <w:sz w:val="22"/>
        </w:rPr>
      </w:pPr>
    </w:p>
    <w:p w:rsidR="00DF3D86" w:rsidRPr="00AD2E30" w:rsidRDefault="00DF3D86" w:rsidP="00DF3D86">
      <w:pPr>
        <w:autoSpaceDE w:val="0"/>
        <w:autoSpaceDN w:val="0"/>
        <w:adjustRightInd w:val="0"/>
        <w:ind w:left="360"/>
        <w:rPr>
          <w:color w:val="000000"/>
          <w:sz w:val="22"/>
        </w:rPr>
      </w:pPr>
    </w:p>
    <w:p w:rsidR="00DF3D86" w:rsidRPr="00AD2E30" w:rsidRDefault="00DF3D86" w:rsidP="00DF3D86">
      <w:pPr>
        <w:autoSpaceDE w:val="0"/>
        <w:autoSpaceDN w:val="0"/>
        <w:adjustRightInd w:val="0"/>
        <w:ind w:left="360"/>
        <w:rPr>
          <w:color w:val="000000"/>
          <w:sz w:val="22"/>
        </w:rPr>
      </w:pPr>
    </w:p>
    <w:p w:rsidR="00DF3D86" w:rsidRPr="00AD2E30" w:rsidRDefault="00DF3D86" w:rsidP="00DF3D86">
      <w:pPr>
        <w:autoSpaceDE w:val="0"/>
        <w:autoSpaceDN w:val="0"/>
        <w:adjustRightInd w:val="0"/>
        <w:ind w:left="360"/>
        <w:rPr>
          <w:color w:val="000000"/>
          <w:sz w:val="22"/>
        </w:rPr>
      </w:pPr>
      <w:r w:rsidRPr="00AD2E30">
        <w:rPr>
          <w:color w:val="000000"/>
          <w:sz w:val="22"/>
        </w:rPr>
        <w:tab/>
      </w:r>
      <w:r w:rsidRPr="00AD2E30">
        <w:rPr>
          <w:color w:val="000000"/>
          <w:sz w:val="22"/>
        </w:rPr>
        <w:tab/>
      </w:r>
      <w:r w:rsidRPr="00AD2E30">
        <w:rPr>
          <w:color w:val="000000"/>
          <w:sz w:val="22"/>
        </w:rPr>
        <w:tab/>
      </w:r>
      <w:r w:rsidRPr="00AD2E30">
        <w:rPr>
          <w:color w:val="000000"/>
          <w:sz w:val="22"/>
        </w:rPr>
        <w:tab/>
      </w:r>
      <w:r w:rsidRPr="00AD2E30">
        <w:rPr>
          <w:color w:val="000000"/>
          <w:sz w:val="22"/>
        </w:rPr>
        <w:tab/>
      </w:r>
      <w:r>
        <w:rPr>
          <w:color w:val="000000"/>
          <w:sz w:val="22"/>
        </w:rPr>
        <w:tab/>
        <w:t>Kris Anne Monteith</w:t>
      </w:r>
      <w:r w:rsidRPr="00AD2E30">
        <w:rPr>
          <w:color w:val="000000"/>
          <w:sz w:val="22"/>
        </w:rPr>
        <w:t xml:space="preserve"> </w:t>
      </w:r>
    </w:p>
    <w:p w:rsidR="00DF3D86" w:rsidRDefault="00DF3D86" w:rsidP="00DF3D86">
      <w:pPr>
        <w:autoSpaceDE w:val="0"/>
        <w:autoSpaceDN w:val="0"/>
        <w:adjustRightInd w:val="0"/>
        <w:ind w:left="360"/>
        <w:rPr>
          <w:color w:val="000000"/>
          <w:sz w:val="22"/>
        </w:rPr>
      </w:pPr>
      <w:r w:rsidRPr="00AD2E30">
        <w:rPr>
          <w:color w:val="000000"/>
          <w:sz w:val="22"/>
        </w:rPr>
        <w:tab/>
      </w:r>
      <w:r w:rsidRPr="00AD2E30">
        <w:rPr>
          <w:color w:val="000000"/>
          <w:sz w:val="22"/>
        </w:rPr>
        <w:tab/>
      </w:r>
      <w:r w:rsidRPr="00AD2E30">
        <w:rPr>
          <w:color w:val="000000"/>
          <w:sz w:val="22"/>
        </w:rPr>
        <w:tab/>
      </w:r>
      <w:r w:rsidRPr="00AD2E30">
        <w:rPr>
          <w:color w:val="000000"/>
          <w:sz w:val="22"/>
        </w:rPr>
        <w:tab/>
      </w:r>
      <w:r w:rsidRPr="00AD2E30">
        <w:rPr>
          <w:color w:val="000000"/>
          <w:sz w:val="22"/>
        </w:rPr>
        <w:tab/>
      </w:r>
      <w:r>
        <w:rPr>
          <w:color w:val="000000"/>
          <w:sz w:val="22"/>
        </w:rPr>
        <w:tab/>
      </w:r>
      <w:r w:rsidRPr="00AD2E30">
        <w:rPr>
          <w:color w:val="000000"/>
          <w:sz w:val="22"/>
        </w:rPr>
        <w:t>Chief</w:t>
      </w:r>
    </w:p>
    <w:p w:rsidR="00DF3D86" w:rsidRPr="00AD2E30" w:rsidRDefault="00DF3D86" w:rsidP="00DF3D86">
      <w:pPr>
        <w:autoSpaceDE w:val="0"/>
        <w:autoSpaceDN w:val="0"/>
        <w:adjustRightInd w:val="0"/>
        <w:ind w:left="36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AD2E30">
        <w:rPr>
          <w:color w:val="000000"/>
          <w:sz w:val="22"/>
        </w:rPr>
        <w:t>Wireline Competition Bureau</w:t>
      </w:r>
    </w:p>
    <w:p w:rsidR="00DF3D86" w:rsidRDefault="00DF3D86" w:rsidP="00DF3D86">
      <w:pPr>
        <w:autoSpaceDE w:val="0"/>
        <w:autoSpaceDN w:val="0"/>
        <w:adjustRightInd w:val="0"/>
        <w:rPr>
          <w:color w:val="000000"/>
          <w:sz w:val="22"/>
        </w:rPr>
      </w:pPr>
    </w:p>
    <w:p w:rsidR="00DF3D86" w:rsidRDefault="00DF3D86" w:rsidP="00DF3D86">
      <w:pPr>
        <w:rPr>
          <w:sz w:val="22"/>
          <w:szCs w:val="22"/>
        </w:rPr>
      </w:pPr>
      <w:r>
        <w:rPr>
          <w:sz w:val="22"/>
          <w:szCs w:val="22"/>
        </w:rPr>
        <w:br w:type="page"/>
      </w:r>
    </w:p>
    <w:p w:rsidR="00DF3D86" w:rsidRDefault="00DF3D86" w:rsidP="00DF3D86">
      <w:pPr>
        <w:rPr>
          <w:sz w:val="22"/>
          <w:szCs w:val="22"/>
        </w:rPr>
      </w:pPr>
    </w:p>
    <w:p w:rsidR="00DF3D86" w:rsidRPr="00026CD6" w:rsidRDefault="00DF3D86" w:rsidP="00DF3D86">
      <w:pPr>
        <w:autoSpaceDE w:val="0"/>
        <w:autoSpaceDN w:val="0"/>
        <w:adjustRightInd w:val="0"/>
        <w:jc w:val="center"/>
        <w:rPr>
          <w:rFonts w:ascii="Times New Roman Bold" w:hAnsi="Times New Roman Bold"/>
          <w:b/>
          <w:caps/>
          <w:color w:val="000000"/>
          <w:sz w:val="22"/>
        </w:rPr>
      </w:pPr>
      <w:r w:rsidRPr="00026CD6">
        <w:rPr>
          <w:rFonts w:ascii="Times New Roman Bold" w:hAnsi="Times New Roman Bold"/>
          <w:b/>
          <w:caps/>
          <w:color w:val="000000"/>
          <w:sz w:val="22"/>
        </w:rPr>
        <w:t>A</w:t>
      </w:r>
      <w:r>
        <w:rPr>
          <w:rFonts w:ascii="Times New Roman Bold" w:hAnsi="Times New Roman Bold"/>
          <w:b/>
          <w:caps/>
          <w:color w:val="000000"/>
          <w:sz w:val="22"/>
        </w:rPr>
        <w:t xml:space="preserve">PPENDIX </w:t>
      </w:r>
      <w:r w:rsidRPr="00026CD6">
        <w:rPr>
          <w:rFonts w:ascii="Times New Roman Bold" w:hAnsi="Times New Roman Bold"/>
          <w:b/>
          <w:caps/>
          <w:color w:val="000000"/>
          <w:sz w:val="22"/>
        </w:rPr>
        <w:t>to Protective Order</w:t>
      </w:r>
    </w:p>
    <w:p w:rsidR="00DF3D86" w:rsidRDefault="00DF3D86" w:rsidP="00DF3D86">
      <w:pPr>
        <w:autoSpaceDE w:val="0"/>
        <w:autoSpaceDN w:val="0"/>
        <w:adjustRightInd w:val="0"/>
        <w:rPr>
          <w:b/>
          <w:bCs/>
          <w:color w:val="000000"/>
          <w:sz w:val="22"/>
        </w:rPr>
      </w:pPr>
    </w:p>
    <w:p w:rsidR="00DF3D86" w:rsidRDefault="00DF3D86" w:rsidP="00DF3D86">
      <w:pPr>
        <w:autoSpaceDE w:val="0"/>
        <w:autoSpaceDN w:val="0"/>
        <w:adjustRightInd w:val="0"/>
        <w:jc w:val="center"/>
        <w:rPr>
          <w:b/>
          <w:bCs/>
          <w:color w:val="000000"/>
          <w:sz w:val="22"/>
        </w:rPr>
      </w:pPr>
    </w:p>
    <w:p w:rsidR="00DF3D86" w:rsidRDefault="00DF3D86" w:rsidP="00DF3D86">
      <w:pPr>
        <w:autoSpaceDE w:val="0"/>
        <w:autoSpaceDN w:val="0"/>
        <w:adjustRightInd w:val="0"/>
        <w:jc w:val="center"/>
        <w:rPr>
          <w:b/>
          <w:color w:val="000000"/>
          <w:sz w:val="22"/>
        </w:rPr>
      </w:pPr>
      <w:r>
        <w:rPr>
          <w:b/>
          <w:bCs/>
          <w:color w:val="000000"/>
          <w:sz w:val="22"/>
        </w:rPr>
        <w:t>DECLARATION</w:t>
      </w:r>
    </w:p>
    <w:p w:rsidR="00DF3D86" w:rsidRDefault="00DF3D86" w:rsidP="00DF3D86">
      <w:pPr>
        <w:autoSpaceDE w:val="0"/>
        <w:autoSpaceDN w:val="0"/>
        <w:adjustRightInd w:val="0"/>
        <w:rPr>
          <w:color w:val="000000"/>
          <w:sz w:val="22"/>
        </w:rPr>
      </w:pPr>
    </w:p>
    <w:p w:rsidR="00DF3D86" w:rsidRDefault="00DF3D86" w:rsidP="00DF3D86">
      <w:pPr>
        <w:rPr>
          <w:sz w:val="22"/>
        </w:rPr>
      </w:pPr>
    </w:p>
    <w:tbl>
      <w:tblPr>
        <w:tblW w:w="0" w:type="auto"/>
        <w:tblLayout w:type="fixed"/>
        <w:tblLook w:val="0000" w:firstRow="0" w:lastRow="0" w:firstColumn="0" w:lastColumn="0" w:noHBand="0" w:noVBand="0"/>
      </w:tblPr>
      <w:tblGrid>
        <w:gridCol w:w="4698"/>
        <w:gridCol w:w="720"/>
        <w:gridCol w:w="4230"/>
      </w:tblGrid>
      <w:tr w:rsidR="00DF3D86" w:rsidTr="00281C06">
        <w:tc>
          <w:tcPr>
            <w:tcW w:w="4698" w:type="dxa"/>
          </w:tcPr>
          <w:p w:rsidR="00DF3D86" w:rsidRDefault="00DF3D86" w:rsidP="00281C06">
            <w:pPr>
              <w:ind w:right="-18"/>
              <w:rPr>
                <w:sz w:val="22"/>
              </w:rPr>
            </w:pPr>
            <w:r>
              <w:rPr>
                <w:sz w:val="22"/>
              </w:rPr>
              <w:t xml:space="preserve">In the Matter of </w:t>
            </w:r>
          </w:p>
          <w:p w:rsidR="00DF3D86" w:rsidRDefault="00DF3D86" w:rsidP="00281C06">
            <w:pPr>
              <w:ind w:right="-18"/>
              <w:rPr>
                <w:sz w:val="22"/>
              </w:rPr>
            </w:pPr>
          </w:p>
          <w:p w:rsidR="00DF3D86" w:rsidRDefault="00DF3D86" w:rsidP="00281C06">
            <w:pPr>
              <w:ind w:right="-18"/>
              <w:rPr>
                <w:sz w:val="22"/>
              </w:rPr>
            </w:pPr>
            <w:r>
              <w:rPr>
                <w:sz w:val="22"/>
              </w:rPr>
              <w:t>Material to be Filed in Support of</w:t>
            </w:r>
          </w:p>
          <w:p w:rsidR="00DF3D86" w:rsidRDefault="00DF3D86" w:rsidP="00281C06">
            <w:pPr>
              <w:ind w:right="-18"/>
              <w:rPr>
                <w:sz w:val="22"/>
              </w:rPr>
            </w:pPr>
            <w:r>
              <w:rPr>
                <w:sz w:val="22"/>
              </w:rPr>
              <w:t>2017 Annual Access Tariff Filings</w:t>
            </w:r>
          </w:p>
          <w:p w:rsidR="00DF3D86" w:rsidRDefault="00DF3D86" w:rsidP="00281C06">
            <w:pPr>
              <w:ind w:right="-18"/>
              <w:rPr>
                <w:sz w:val="22"/>
              </w:rPr>
            </w:pPr>
          </w:p>
          <w:p w:rsidR="00DF3D86" w:rsidRDefault="00DF3D86" w:rsidP="00281C06">
            <w:pPr>
              <w:ind w:right="-18"/>
              <w:rPr>
                <w:sz w:val="22"/>
              </w:rPr>
            </w:pPr>
          </w:p>
        </w:tc>
        <w:tc>
          <w:tcPr>
            <w:tcW w:w="720" w:type="dxa"/>
          </w:tcPr>
          <w:p w:rsidR="00DF3D86" w:rsidRDefault="00DF3D86" w:rsidP="00281C06">
            <w:pPr>
              <w:rPr>
                <w:sz w:val="22"/>
              </w:rPr>
            </w:pPr>
            <w:r>
              <w:rPr>
                <w:sz w:val="22"/>
              </w:rPr>
              <w:t>)</w:t>
            </w:r>
          </w:p>
          <w:p w:rsidR="00DF3D86" w:rsidRDefault="00DF3D86" w:rsidP="00281C06">
            <w:pPr>
              <w:rPr>
                <w:sz w:val="22"/>
              </w:rPr>
            </w:pPr>
            <w:r>
              <w:rPr>
                <w:sz w:val="22"/>
              </w:rPr>
              <w:t>)</w:t>
            </w:r>
          </w:p>
          <w:p w:rsidR="00DF3D86" w:rsidRDefault="00DF3D86" w:rsidP="00281C06">
            <w:pPr>
              <w:rPr>
                <w:sz w:val="22"/>
              </w:rPr>
            </w:pPr>
            <w:r>
              <w:rPr>
                <w:sz w:val="22"/>
              </w:rPr>
              <w:t>)</w:t>
            </w:r>
          </w:p>
          <w:p w:rsidR="00DF3D86" w:rsidRDefault="00DF3D86" w:rsidP="00281C06">
            <w:pPr>
              <w:rPr>
                <w:sz w:val="22"/>
              </w:rPr>
            </w:pPr>
            <w:r>
              <w:rPr>
                <w:sz w:val="22"/>
              </w:rPr>
              <w:t>)</w:t>
            </w:r>
          </w:p>
        </w:tc>
        <w:tc>
          <w:tcPr>
            <w:tcW w:w="4230" w:type="dxa"/>
          </w:tcPr>
          <w:p w:rsidR="00DF3D86" w:rsidRDefault="00DF3D86" w:rsidP="00281C06">
            <w:pPr>
              <w:rPr>
                <w:sz w:val="22"/>
              </w:rPr>
            </w:pPr>
          </w:p>
          <w:p w:rsidR="00DF3D86" w:rsidRDefault="00DF3D86" w:rsidP="00281C06">
            <w:pPr>
              <w:rPr>
                <w:spacing w:val="-2"/>
                <w:sz w:val="22"/>
              </w:rPr>
            </w:pPr>
          </w:p>
          <w:p w:rsidR="00DF3D86" w:rsidRDefault="00DF3D86" w:rsidP="00281C06">
            <w:pPr>
              <w:rPr>
                <w:sz w:val="22"/>
              </w:rPr>
            </w:pPr>
            <w:r>
              <w:rPr>
                <w:spacing w:val="-2"/>
                <w:sz w:val="22"/>
              </w:rPr>
              <w:t>WC Docket No. 17-65</w:t>
            </w:r>
          </w:p>
        </w:tc>
      </w:tr>
    </w:tbl>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rPr>
          <w:color w:val="000000"/>
          <w:sz w:val="22"/>
        </w:rPr>
      </w:pPr>
      <w:r>
        <w:rPr>
          <w:color w:val="000000"/>
          <w:sz w:val="22"/>
        </w:rPr>
        <w:t xml:space="preserve">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w:t>
      </w:r>
      <w:r w:rsidRPr="00DD3E37">
        <w:rPr>
          <w:color w:val="000000"/>
          <w:sz w:val="22"/>
        </w:rPr>
        <w:t xml:space="preserve">I acknowledge that it is my obligation to ensure that there is no disclosure of Confidential Information </w:t>
      </w:r>
      <w:r>
        <w:rPr>
          <w:color w:val="000000"/>
          <w:sz w:val="22"/>
        </w:rPr>
        <w:t xml:space="preserve">in my possession or </w:t>
      </w:r>
      <w:r w:rsidRPr="00DD3E37">
        <w:rPr>
          <w:color w:val="000000"/>
          <w:sz w:val="22"/>
        </w:rPr>
        <w:t>in the possession of those who work for me, except as pro</w:t>
      </w:r>
      <w:r>
        <w:rPr>
          <w:color w:val="000000"/>
          <w:sz w:val="22"/>
        </w:rPr>
        <w:t xml:space="preserve">vided in the Protective Order. </w:t>
      </w:r>
      <w:r w:rsidRPr="00DD3E37">
        <w:rPr>
          <w:color w:val="000000"/>
          <w:sz w:val="22"/>
        </w:rPr>
        <w:t xml:space="preserve">I certify that I have verified that there are in place procedures at my firm or office to prevent </w:t>
      </w:r>
      <w:r>
        <w:rPr>
          <w:color w:val="000000"/>
          <w:sz w:val="22"/>
        </w:rPr>
        <w:t xml:space="preserve">the </w:t>
      </w:r>
      <w:r w:rsidRPr="00DD3E37">
        <w:rPr>
          <w:color w:val="000000"/>
          <w:sz w:val="22"/>
        </w:rPr>
        <w:t>unauthorized disclosure of Confidential Information.</w:t>
      </w:r>
      <w:r>
        <w:rPr>
          <w:color w:val="000000"/>
          <w:sz w:val="22"/>
        </w:rPr>
        <w:t xml:space="preserve">  I acknowledge that a violation of the Protective Order is a violation of an order of the Federal Communications Commission.  I acknowledge that this Protective Order is also a binding agreement with the Submitting Party.</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(signed)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(printed name)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(representing)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(title)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(employer)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(address)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(phone) ____________________</w:t>
      </w:r>
    </w:p>
    <w:p w:rsidR="00DF3D86" w:rsidRDefault="00DF3D86" w:rsidP="00DF3D86">
      <w:pPr>
        <w:autoSpaceDE w:val="0"/>
        <w:autoSpaceDN w:val="0"/>
        <w:adjustRightInd w:val="0"/>
        <w:rPr>
          <w:color w:val="000000"/>
          <w:sz w:val="22"/>
        </w:rPr>
      </w:pPr>
    </w:p>
    <w:p w:rsidR="00DF3D86" w:rsidRDefault="00DF3D86" w:rsidP="00DF3D86">
      <w:pPr>
        <w:autoSpaceDE w:val="0"/>
        <w:autoSpaceDN w:val="0"/>
        <w:adjustRightInd w:val="0"/>
        <w:jc w:val="both"/>
        <w:rPr>
          <w:color w:val="000000"/>
          <w:sz w:val="22"/>
        </w:rPr>
      </w:pPr>
      <w:r>
        <w:rPr>
          <w:color w:val="000000"/>
          <w:sz w:val="22"/>
        </w:rPr>
        <w:t>(date) ____________________</w:t>
      </w:r>
    </w:p>
    <w:p w:rsidR="00DF3D86" w:rsidRDefault="00DF3D86" w:rsidP="00DF3D86">
      <w:pPr>
        <w:autoSpaceDE w:val="0"/>
        <w:autoSpaceDN w:val="0"/>
        <w:adjustRightInd w:val="0"/>
        <w:rPr>
          <w:color w:val="000000"/>
          <w:sz w:val="22"/>
        </w:rPr>
      </w:pPr>
    </w:p>
    <w:p w:rsidR="00DF3D86" w:rsidRDefault="00DF3D86" w:rsidP="00DF3D86">
      <w:pPr>
        <w:rPr>
          <w:sz w:val="22"/>
          <w:szCs w:val="22"/>
        </w:rPr>
      </w:pPr>
    </w:p>
    <w:p w:rsidR="00DF3D86" w:rsidRDefault="00DF3D86" w:rsidP="00DF3D86">
      <w:pPr>
        <w:rPr>
          <w:sz w:val="22"/>
          <w:szCs w:val="22"/>
        </w:rPr>
      </w:pPr>
    </w:p>
    <w:p w:rsidR="00DF3D86" w:rsidRDefault="00DF3D86" w:rsidP="00DF3D86">
      <w:pPr>
        <w:rPr>
          <w:sz w:val="22"/>
          <w:szCs w:val="22"/>
        </w:rPr>
      </w:pPr>
    </w:p>
    <w:p w:rsidR="00DF3D86" w:rsidRDefault="00DF3D86" w:rsidP="00DF3D86">
      <w:pPr>
        <w:rPr>
          <w:sz w:val="22"/>
          <w:szCs w:val="22"/>
        </w:rPr>
      </w:pPr>
    </w:p>
    <w:p w:rsidR="00DF3D86" w:rsidRDefault="00DF3D86" w:rsidP="00DF3D86">
      <w:pPr>
        <w:spacing w:after="200" w:line="276" w:lineRule="auto"/>
        <w:rPr>
          <w:rFonts w:eastAsia="Calibri"/>
          <w:b/>
          <w:sz w:val="22"/>
          <w:szCs w:val="22"/>
        </w:rPr>
      </w:pPr>
    </w:p>
    <w:p w:rsidR="00DF3D86" w:rsidRDefault="00DF3D86" w:rsidP="00DF3D86">
      <w:pPr>
        <w:spacing w:after="200" w:line="276" w:lineRule="auto"/>
        <w:rPr>
          <w:rFonts w:eastAsia="Calibri"/>
          <w:b/>
          <w:sz w:val="22"/>
          <w:szCs w:val="22"/>
        </w:rPr>
      </w:pPr>
    </w:p>
    <w:p w:rsidR="00DF3D86" w:rsidRPr="00F43336" w:rsidRDefault="00DF3D86" w:rsidP="00DF3D86">
      <w:pPr>
        <w:spacing w:after="200" w:line="276" w:lineRule="auto"/>
        <w:jc w:val="center"/>
        <w:rPr>
          <w:rFonts w:eastAsia="Calibri"/>
          <w:b/>
          <w:sz w:val="22"/>
          <w:szCs w:val="22"/>
        </w:rPr>
      </w:pPr>
      <w:r>
        <w:rPr>
          <w:rFonts w:eastAsia="Calibri"/>
          <w:b/>
          <w:sz w:val="22"/>
          <w:szCs w:val="22"/>
        </w:rPr>
        <w:t>ATTACHMENT B</w:t>
      </w:r>
    </w:p>
    <w:p w:rsidR="00DF3D86" w:rsidRPr="00F43336" w:rsidRDefault="00DF3D86" w:rsidP="00C01BAF">
      <w:pPr>
        <w:spacing w:after="200"/>
        <w:rPr>
          <w:rFonts w:eastAsia="Calibri"/>
          <w:sz w:val="22"/>
          <w:szCs w:val="22"/>
          <w:u w:val="single"/>
        </w:rPr>
      </w:pPr>
      <w:r w:rsidRPr="00F43336">
        <w:rPr>
          <w:rFonts w:eastAsia="Calibri"/>
          <w:sz w:val="22"/>
          <w:szCs w:val="22"/>
          <w:u w:val="single"/>
        </w:rPr>
        <w:t xml:space="preserve">2017 RoR ILEC Summary Workbook  </w:t>
      </w:r>
    </w:p>
    <w:p w:rsidR="00DF3D86" w:rsidRPr="00F43336" w:rsidRDefault="00DF3D86" w:rsidP="00C01BAF">
      <w:pPr>
        <w:spacing w:after="200"/>
        <w:rPr>
          <w:rFonts w:eastAsia="Calibri"/>
          <w:sz w:val="22"/>
          <w:szCs w:val="22"/>
        </w:rPr>
      </w:pPr>
      <w:r w:rsidRPr="00F43336">
        <w:rPr>
          <w:rFonts w:eastAsia="Calibri"/>
          <w:sz w:val="22"/>
          <w:szCs w:val="22"/>
        </w:rPr>
        <w:t>We deleted columns AN, AP, AR, AT, and AU in the Non-NECA RoR Sum worksheet in the 2017 RoR ILEC Summary workbook, because these columns were redundant.</w:t>
      </w:r>
    </w:p>
    <w:p w:rsidR="00DF3D86" w:rsidRPr="00F43336" w:rsidRDefault="00DF3D86" w:rsidP="00C01BAF">
      <w:pPr>
        <w:spacing w:after="200"/>
        <w:rPr>
          <w:rFonts w:eastAsia="Calibri"/>
          <w:sz w:val="22"/>
          <w:szCs w:val="22"/>
        </w:rPr>
      </w:pPr>
      <w:r w:rsidRPr="00F43336">
        <w:rPr>
          <w:rFonts w:eastAsia="Calibri"/>
          <w:sz w:val="22"/>
          <w:szCs w:val="22"/>
        </w:rPr>
        <w:t>We revised the label at the top of new column AZ (column BE before the deletions).  The revised label is “2017-2018 MLB - Imputed ARC Revenue From CBOL Lines.”  Revenue, not rate, data should be reflected in this column.</w:t>
      </w:r>
    </w:p>
    <w:p w:rsidR="00DF3D86" w:rsidRPr="00F43336" w:rsidRDefault="00DF3D86" w:rsidP="00C01BAF">
      <w:pPr>
        <w:spacing w:after="200"/>
        <w:rPr>
          <w:rFonts w:eastAsia="Calibri"/>
          <w:sz w:val="22"/>
          <w:szCs w:val="22"/>
        </w:rPr>
      </w:pPr>
      <w:r w:rsidRPr="00F43336">
        <w:rPr>
          <w:rFonts w:eastAsia="Calibri"/>
          <w:sz w:val="22"/>
          <w:szCs w:val="22"/>
        </w:rPr>
        <w:t>We added “2017-2018” to the labels at the top of new columns AS through BA (columns AX through BF before the deletions).</w:t>
      </w:r>
    </w:p>
    <w:p w:rsidR="00DF3D86" w:rsidRPr="00F43336" w:rsidRDefault="00DF3D86" w:rsidP="00C01BAF">
      <w:pPr>
        <w:spacing w:after="200"/>
        <w:rPr>
          <w:rFonts w:eastAsia="Calibri"/>
          <w:sz w:val="22"/>
          <w:szCs w:val="22"/>
        </w:rPr>
      </w:pPr>
      <w:r w:rsidRPr="00F43336">
        <w:rPr>
          <w:rFonts w:eastAsia="Calibri"/>
          <w:sz w:val="22"/>
          <w:szCs w:val="22"/>
          <w:u w:val="single"/>
        </w:rPr>
        <w:t>Tariff Rate Comp CAF and No CAF Workbooks</w:t>
      </w:r>
    </w:p>
    <w:p w:rsidR="00DF3D86" w:rsidRPr="00F43336" w:rsidRDefault="00DF3D86" w:rsidP="00C01BAF">
      <w:pPr>
        <w:spacing w:after="200"/>
        <w:rPr>
          <w:rFonts w:eastAsia="Calibri"/>
          <w:sz w:val="22"/>
          <w:szCs w:val="22"/>
        </w:rPr>
      </w:pPr>
      <w:r w:rsidRPr="00F43336">
        <w:rPr>
          <w:rFonts w:eastAsia="Calibri"/>
          <w:sz w:val="22"/>
          <w:szCs w:val="22"/>
        </w:rPr>
        <w:t xml:space="preserve">We revised the formulas at the top of the ExchangeLevel ARC worksheet in the Tariff Rate Comp CAF and No CAF workbooks to account for imputed ARC revenue from CBOL lines.  </w:t>
      </w:r>
      <w:r>
        <w:rPr>
          <w:rFonts w:eastAsia="Calibri"/>
          <w:sz w:val="22"/>
          <w:szCs w:val="22"/>
        </w:rPr>
        <w:t>For the ExchangeLevel ARC worksheet in the CAF workbook, carriers now demonstrate compliance</w:t>
      </w:r>
      <w:r w:rsidRPr="00F43336">
        <w:rPr>
          <w:rFonts w:eastAsia="Calibri"/>
          <w:sz w:val="22"/>
          <w:szCs w:val="22"/>
        </w:rPr>
        <w:t xml:space="preserve"> by a comparison of eligible recovery to the sum of projected ARC revenue, CAF-ICC support, and imputed ARC revenue from CBOL Lines.</w:t>
      </w:r>
      <w:r>
        <w:rPr>
          <w:rFonts w:eastAsia="Calibri"/>
          <w:sz w:val="22"/>
          <w:szCs w:val="22"/>
        </w:rPr>
        <w:t xml:space="preserve"> Similarly, for the No CAF workbook, carriers demonstrate compliance </w:t>
      </w:r>
      <w:r w:rsidRPr="00F43336">
        <w:rPr>
          <w:rFonts w:eastAsia="Calibri"/>
          <w:sz w:val="22"/>
          <w:szCs w:val="22"/>
        </w:rPr>
        <w:t>on the ExchangeLevel ARC worksheet by a comparison of eligible recovery to projected ARC revenue, except when the ILEC would have received ICC-CAF, but for imputed ARC revenue from CBOL Lines. With regard to this exception, compliance is demonstrated by a comparison of eligible recovery to projected ARC revenue plus eligible recovery minus the maximum imputed ARC revenues from voice &amp; voice/data lines (based on the maximum ARC charges under section 51.917(e) and projected demand).  </w:t>
      </w:r>
    </w:p>
    <w:p w:rsidR="00DF3D86" w:rsidRPr="00F43336" w:rsidRDefault="00DF3D86" w:rsidP="00C01BAF">
      <w:pPr>
        <w:spacing w:after="200"/>
        <w:rPr>
          <w:rFonts w:eastAsia="Calibri"/>
          <w:sz w:val="22"/>
          <w:szCs w:val="22"/>
        </w:rPr>
      </w:pPr>
      <w:r w:rsidRPr="00F43336">
        <w:rPr>
          <w:rFonts w:eastAsia="Calibri"/>
          <w:sz w:val="22"/>
          <w:szCs w:val="22"/>
        </w:rPr>
        <w:t>We revised the formulas in cells AG45 and AJ45 in the ExchangeLevel ARC worksheet in the Tariff Rate Comp CAF and No CAF workbooks.  The formulas in these cells now add values over the correct range of cells. </w:t>
      </w:r>
    </w:p>
    <w:p w:rsidR="00DF3D86" w:rsidRPr="00F43336" w:rsidRDefault="00DF3D86" w:rsidP="00C01BAF">
      <w:pPr>
        <w:spacing w:after="200"/>
        <w:rPr>
          <w:rFonts w:eastAsia="Calibri"/>
          <w:sz w:val="22"/>
          <w:szCs w:val="22"/>
        </w:rPr>
      </w:pPr>
      <w:r w:rsidRPr="00F43336">
        <w:rPr>
          <w:rFonts w:eastAsia="Calibri"/>
          <w:sz w:val="22"/>
          <w:szCs w:val="22"/>
        </w:rPr>
        <w:t>We revised cells D15 and D16 in the ExchangeLevel ARC worksheet to reflect the maximum residential/single line business ARC, $3.00 per line per month, for tariff year 2017-2018, and the maximum multiline business ARC, $6.00, respectively.</w:t>
      </w:r>
    </w:p>
    <w:p w:rsidR="00DF3D86" w:rsidRPr="00221E4E" w:rsidRDefault="00DF3D86" w:rsidP="00C01BAF">
      <w:pPr>
        <w:spacing w:after="200"/>
        <w:rPr>
          <w:rFonts w:eastAsia="Calibri"/>
          <w:sz w:val="22"/>
          <w:szCs w:val="22"/>
          <w:u w:val="single"/>
        </w:rPr>
      </w:pPr>
      <w:r w:rsidRPr="00221E4E">
        <w:rPr>
          <w:rFonts w:eastAsia="Calibri"/>
          <w:sz w:val="22"/>
          <w:szCs w:val="22"/>
          <w:u w:val="single"/>
        </w:rPr>
        <w:t>RateCeiling CAF and No CAF Workbooks</w:t>
      </w:r>
    </w:p>
    <w:p w:rsidR="00DF3D86" w:rsidRDefault="00DF3D86" w:rsidP="00C01BAF">
      <w:pPr>
        <w:spacing w:after="200"/>
        <w:rPr>
          <w:b/>
          <w:sz w:val="22"/>
          <w:szCs w:val="22"/>
        </w:rPr>
      </w:pPr>
      <w:r w:rsidRPr="00F43336">
        <w:rPr>
          <w:rFonts w:eastAsia="Calibri"/>
          <w:sz w:val="22"/>
          <w:szCs w:val="22"/>
        </w:rPr>
        <w:t>We revised cells B15 and B16 in the Max. ARC Revenue Calc worksheet and cells B8 and B9 in the CAF Calc worksheet in the RateCe</w:t>
      </w:r>
      <w:r>
        <w:rPr>
          <w:rFonts w:eastAsia="Calibri"/>
          <w:sz w:val="22"/>
          <w:szCs w:val="22"/>
        </w:rPr>
        <w:t>i</w:t>
      </w:r>
      <w:r w:rsidRPr="00F43336">
        <w:rPr>
          <w:rFonts w:eastAsia="Calibri"/>
          <w:sz w:val="22"/>
          <w:szCs w:val="22"/>
        </w:rPr>
        <w:t>ling CAF and No CAF workbooks to reflect the maximum residential/single line business ARC and the maximum multiline business ARC for this year, respectively.</w:t>
      </w:r>
      <w:r w:rsidRPr="002B48AB">
        <w:rPr>
          <w:b/>
          <w:sz w:val="22"/>
          <w:szCs w:val="22"/>
        </w:rPr>
        <w:t xml:space="preserve"> </w:t>
      </w:r>
    </w:p>
    <w:p w:rsidR="00DF3D86" w:rsidRPr="0000137F" w:rsidRDefault="00DF3D86" w:rsidP="00C01BAF">
      <w:pPr>
        <w:spacing w:after="200"/>
        <w:rPr>
          <w:sz w:val="22"/>
          <w:szCs w:val="22"/>
        </w:rPr>
      </w:pPr>
      <w:r>
        <w:rPr>
          <w:sz w:val="22"/>
          <w:szCs w:val="22"/>
          <w:u w:val="single"/>
        </w:rPr>
        <w:t>Ro</w:t>
      </w:r>
      <w:r w:rsidRPr="0000137F">
        <w:rPr>
          <w:sz w:val="22"/>
          <w:szCs w:val="22"/>
          <w:u w:val="single"/>
        </w:rPr>
        <w:t>R CAF-BLS and 61.39 ILEC Special Access Reallocation Workbooks</w:t>
      </w:r>
    </w:p>
    <w:p w:rsidR="00DF3D86" w:rsidRPr="0000137F" w:rsidRDefault="00DF3D86" w:rsidP="00C01BAF">
      <w:pPr>
        <w:spacing w:after="200"/>
        <w:rPr>
          <w:sz w:val="22"/>
          <w:szCs w:val="22"/>
        </w:rPr>
      </w:pPr>
      <w:r w:rsidRPr="0000137F">
        <w:rPr>
          <w:sz w:val="22"/>
          <w:szCs w:val="22"/>
        </w:rPr>
        <w:t>We added rows to the 61.38 SA RR Adjustment for CBOL w</w:t>
      </w:r>
      <w:r>
        <w:rPr>
          <w:sz w:val="22"/>
          <w:szCs w:val="22"/>
        </w:rPr>
        <w:t>orksheet in the Annual Filing Ro</w:t>
      </w:r>
      <w:r w:rsidRPr="0000137F">
        <w:rPr>
          <w:sz w:val="22"/>
          <w:szCs w:val="22"/>
        </w:rPr>
        <w:t xml:space="preserve">R CAF-BLS workbook and to the 61.39 SA RR Adjustment for CBOL worksheet in the 61.39 ILEC Special Access Reallocation workbook to clarify the calculation of the maximum CBOL rate for CAF-BLS recipients.  Pursuant to section 69.132(c), the maximum CBOL rate for CAF-BLS recipients is calculated by dividing one-twelfth of the annual CBOL revenue requirement, net of projected annual CAF-BLS attributable to CBOL, by the average number of CBOL lines in use during the annual period (61.38 carriers use a projected revenue requirement and a projected number of lines, while 61.39 carriers use an historical revenue requirement and an historical number of lines to calculate the maximum </w:t>
      </w:r>
      <w:r>
        <w:rPr>
          <w:sz w:val="22"/>
          <w:szCs w:val="22"/>
        </w:rPr>
        <w:t>CBOL rate</w:t>
      </w:r>
      <w:r w:rsidRPr="0000137F">
        <w:rPr>
          <w:sz w:val="22"/>
          <w:szCs w:val="22"/>
        </w:rPr>
        <w:t>)</w:t>
      </w:r>
      <w:r>
        <w:rPr>
          <w:sz w:val="22"/>
          <w:szCs w:val="22"/>
        </w:rPr>
        <w:t>.</w:t>
      </w:r>
      <w:r w:rsidRPr="0000137F">
        <w:rPr>
          <w:sz w:val="22"/>
          <w:szCs w:val="22"/>
        </w:rPr>
        <w:t xml:space="preserve">  None of the limits described in part 54 applies to the calculation of this rate, as those limits are not part of the rate formula in section 69.132(c)</w:t>
      </w:r>
      <w:r>
        <w:rPr>
          <w:sz w:val="22"/>
          <w:szCs w:val="22"/>
        </w:rPr>
        <w:t>.</w:t>
      </w:r>
    </w:p>
    <w:p w:rsidR="00602577" w:rsidRDefault="00602577" w:rsidP="00C01BAF">
      <w:pPr>
        <w:spacing w:before="120" w:after="240"/>
        <w:rPr>
          <w:sz w:val="24"/>
        </w:rPr>
      </w:pPr>
    </w:p>
    <w:sectPr w:rsidR="00602577" w:rsidSect="00F43336">
      <w:headerReference w:type="default" r:id="rId20"/>
      <w:type w:val="continuous"/>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67" w:rsidRDefault="004A2867">
      <w:r>
        <w:separator/>
      </w:r>
    </w:p>
  </w:endnote>
  <w:endnote w:type="continuationSeparator" w:id="0">
    <w:p w:rsidR="004A2867" w:rsidRDefault="004A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4A" w:rsidRDefault="00404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4A" w:rsidRDefault="00404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4A" w:rsidRDefault="004048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6" w:rsidRDefault="00DF3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3D86" w:rsidRDefault="00DF3D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6" w:rsidRPr="002B48AB" w:rsidRDefault="00DF3D86">
    <w:pPr>
      <w:pStyle w:val="Footer"/>
      <w:framePr w:wrap="around" w:vAnchor="text" w:hAnchor="margin" w:xAlign="center" w:y="1"/>
      <w:rPr>
        <w:rStyle w:val="PageNumber"/>
        <w:szCs w:val="22"/>
      </w:rPr>
    </w:pPr>
    <w:r w:rsidRPr="002B48AB">
      <w:rPr>
        <w:rStyle w:val="PageNumber"/>
        <w:szCs w:val="22"/>
      </w:rPr>
      <w:fldChar w:fldCharType="begin"/>
    </w:r>
    <w:r w:rsidRPr="002B48AB">
      <w:rPr>
        <w:rStyle w:val="PageNumber"/>
        <w:szCs w:val="22"/>
      </w:rPr>
      <w:instrText xml:space="preserve">PAGE  </w:instrText>
    </w:r>
    <w:r w:rsidRPr="002B48AB">
      <w:rPr>
        <w:rStyle w:val="PageNumber"/>
        <w:szCs w:val="22"/>
      </w:rPr>
      <w:fldChar w:fldCharType="separate"/>
    </w:r>
    <w:r w:rsidR="000D6A9C">
      <w:rPr>
        <w:rStyle w:val="PageNumber"/>
        <w:noProof/>
        <w:szCs w:val="22"/>
      </w:rPr>
      <w:t>2</w:t>
    </w:r>
    <w:r w:rsidRPr="002B48AB">
      <w:rPr>
        <w:rStyle w:val="PageNumber"/>
        <w:szCs w:val="22"/>
      </w:rPr>
      <w:fldChar w:fldCharType="end"/>
    </w:r>
  </w:p>
  <w:p w:rsidR="00DF3D86" w:rsidRDefault="00DF3D86">
    <w:pPr>
      <w:pStyle w:val="Footer"/>
      <w:tabs>
        <w:tab w:val="clear" w:pos="8640"/>
        <w:tab w:val="right" w:pos="9360"/>
      </w:tabs>
      <w:rPr>
        <w:b/>
        <w:i/>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67" w:rsidRDefault="004A2867">
      <w:r>
        <w:separator/>
      </w:r>
    </w:p>
  </w:footnote>
  <w:footnote w:type="continuationSeparator" w:id="0">
    <w:p w:rsidR="004A2867" w:rsidRDefault="004A2867">
      <w:r>
        <w:continuationSeparator/>
      </w:r>
    </w:p>
  </w:footnote>
  <w:footnote w:id="1">
    <w:p w:rsidR="00DF3D86" w:rsidRDefault="00DF3D86" w:rsidP="005B052F">
      <w:pPr>
        <w:pStyle w:val="FootnoteText"/>
        <w:spacing w:after="120"/>
      </w:pPr>
      <w:r w:rsidRPr="00F43336">
        <w:rPr>
          <w:rStyle w:val="FootnoteReference"/>
        </w:rPr>
        <w:footnoteRef/>
      </w:r>
      <w:r w:rsidRPr="00F43336">
        <w:t xml:space="preserve"> </w:t>
      </w:r>
      <w:r>
        <w:rPr>
          <w:i/>
        </w:rPr>
        <w:t xml:space="preserve">See </w:t>
      </w:r>
      <w:r w:rsidRPr="00FA05D3">
        <w:rPr>
          <w:i/>
        </w:rPr>
        <w:t>Material to be Filed in Support of 2017</w:t>
      </w:r>
      <w:r>
        <w:rPr>
          <w:i/>
        </w:rPr>
        <w:t xml:space="preserve"> Annual Access Tariff Filings</w:t>
      </w:r>
      <w:r>
        <w:t>, WC Docket No. 17-65, Order, DA 17-386 (WCB Apr. 24, 2017).</w:t>
      </w:r>
    </w:p>
  </w:footnote>
  <w:footnote w:id="2">
    <w:p w:rsidR="00DF3D86" w:rsidRPr="00562A6C" w:rsidRDefault="00DF3D86" w:rsidP="005B052F">
      <w:pPr>
        <w:pStyle w:val="FootnoteText"/>
        <w:spacing w:after="120"/>
      </w:pPr>
      <w:r>
        <w:rPr>
          <w:rStyle w:val="FootnoteReference"/>
        </w:rPr>
        <w:footnoteRef/>
      </w:r>
      <w:r>
        <w:t xml:space="preserve"> </w:t>
      </w:r>
      <w:r>
        <w:rPr>
          <w:i/>
        </w:rPr>
        <w:t>Id</w:t>
      </w:r>
      <w:r>
        <w:t>.</w:t>
      </w:r>
    </w:p>
  </w:footnote>
  <w:footnote w:id="3">
    <w:p w:rsidR="00DF3D86" w:rsidRPr="00A500F4" w:rsidRDefault="00DF3D86" w:rsidP="005B052F">
      <w:pPr>
        <w:pStyle w:val="FootnoteText"/>
        <w:spacing w:after="120"/>
      </w:pPr>
      <w:r w:rsidRPr="00A500F4">
        <w:rPr>
          <w:rStyle w:val="FootnoteReference"/>
        </w:rPr>
        <w:footnoteRef/>
      </w:r>
      <w:r w:rsidRPr="00A500F4">
        <w:t xml:space="preserve"> </w:t>
      </w:r>
      <w:r w:rsidRPr="00A500F4">
        <w:rPr>
          <w:i/>
        </w:rPr>
        <w:t>Implementation of Section 402(b)(1)(A) of the Telecommunications Act of 1996</w:t>
      </w:r>
      <w:r w:rsidRPr="00A500F4">
        <w:t>, Report and Order, 12 FCC Rcd 2170 (1997) (</w:t>
      </w:r>
      <w:r w:rsidRPr="00050CBD">
        <w:rPr>
          <w:i/>
        </w:rPr>
        <w:t>Tariff Streamlining Order</w:t>
      </w:r>
      <w:r w:rsidRPr="00A500F4">
        <w:t>).</w:t>
      </w:r>
    </w:p>
  </w:footnote>
  <w:footnote w:id="4">
    <w:p w:rsidR="00DF3D86" w:rsidRPr="00050CBD" w:rsidRDefault="00DF3D86" w:rsidP="005B052F">
      <w:pPr>
        <w:pStyle w:val="FootnoteText"/>
        <w:spacing w:after="120"/>
        <w:rPr>
          <w:u w:val="single"/>
        </w:rPr>
      </w:pPr>
      <w:r>
        <w:rPr>
          <w:vertAlign w:val="superscript"/>
        </w:rPr>
        <w:t xml:space="preserve">3 </w:t>
      </w:r>
      <w:r>
        <w:rPr>
          <w:i/>
        </w:rPr>
        <w:t>Id</w:t>
      </w:r>
      <w:r w:rsidR="00A34521">
        <w:t xml:space="preserve">. at 2210-16, paras. 87-95.  </w:t>
      </w:r>
      <w:r w:rsidRPr="00050CBD">
        <w:rPr>
          <w:i/>
        </w:rPr>
        <w:t xml:space="preserve">See </w:t>
      </w:r>
      <w:r>
        <w:t>47 U.S.C. § 204(a)(3).</w:t>
      </w:r>
    </w:p>
  </w:footnote>
  <w:footnote w:id="5">
    <w:p w:rsidR="00DF3D86" w:rsidRDefault="00DF3D86" w:rsidP="005B052F">
      <w:pPr>
        <w:pStyle w:val="FootnoteText"/>
        <w:spacing w:after="120"/>
      </w:pPr>
      <w:r>
        <w:rPr>
          <w:rStyle w:val="FootnoteReference"/>
        </w:rPr>
        <w:footnoteRef/>
      </w:r>
      <w:r>
        <w:t xml:space="preserve"> </w:t>
      </w:r>
      <w:r w:rsidRPr="00050CBD">
        <w:rPr>
          <w:i/>
        </w:rPr>
        <w:t xml:space="preserve">Tariff Streamlining </w:t>
      </w:r>
      <w:r w:rsidRPr="00223D3F">
        <w:rPr>
          <w:i/>
        </w:rPr>
        <w:t>Order</w:t>
      </w:r>
      <w:r>
        <w:t>, 12 FCC Rcd</w:t>
      </w:r>
      <w:r w:rsidRPr="00A500F4">
        <w:t xml:space="preserve"> at 2239-45,</w:t>
      </w:r>
      <w:r>
        <w:t xml:space="preserve"> Appx. B.</w:t>
      </w:r>
    </w:p>
  </w:footnote>
  <w:footnote w:id="6">
    <w:p w:rsidR="00DF3D86" w:rsidRPr="001106B2" w:rsidRDefault="00DF3D86" w:rsidP="005B052F">
      <w:pPr>
        <w:pStyle w:val="FootnoteText"/>
        <w:spacing w:after="120"/>
      </w:pPr>
      <w:r w:rsidRPr="001106B2">
        <w:rPr>
          <w:rStyle w:val="FootnoteReference"/>
        </w:rPr>
        <w:footnoteRef/>
      </w:r>
      <w:r w:rsidRPr="001106B2">
        <w:t xml:space="preserve"> </w:t>
      </w:r>
      <w:r w:rsidRPr="001106B2">
        <w:rPr>
          <w:i/>
        </w:rPr>
        <w:t>See</w:t>
      </w:r>
      <w:r w:rsidRPr="001106B2">
        <w:t xml:space="preserve"> 47 CFR § 0.459(a).</w:t>
      </w:r>
    </w:p>
  </w:footnote>
  <w:footnote w:id="7">
    <w:p w:rsidR="00DF3D86" w:rsidRPr="001106B2" w:rsidRDefault="00DF3D86" w:rsidP="005B052F">
      <w:pPr>
        <w:pStyle w:val="FootnoteText"/>
        <w:spacing w:after="120"/>
      </w:pPr>
      <w:r w:rsidRPr="001106B2">
        <w:rPr>
          <w:rStyle w:val="FootnoteReference"/>
        </w:rPr>
        <w:footnoteRef/>
      </w:r>
      <w:r w:rsidRPr="001106B2">
        <w:t xml:space="preserve"> </w:t>
      </w:r>
      <w:r w:rsidRPr="001106B2">
        <w:rPr>
          <w:i/>
        </w:rPr>
        <w:t>Cf.</w:t>
      </w:r>
      <w:r w:rsidRPr="001106B2">
        <w:t xml:space="preserve"> 47 CFR §§ 0.459(g), 0.461(i).</w:t>
      </w:r>
    </w:p>
  </w:footnote>
  <w:footnote w:id="8">
    <w:p w:rsidR="00DF3D86" w:rsidRPr="001106B2" w:rsidRDefault="00DF3D86" w:rsidP="005B052F">
      <w:pPr>
        <w:pStyle w:val="FootnoteText"/>
        <w:spacing w:after="120"/>
      </w:pPr>
      <w:r w:rsidRPr="001106B2">
        <w:rPr>
          <w:rStyle w:val="FootnoteReference"/>
        </w:rPr>
        <w:footnoteRef/>
      </w:r>
      <w:r w:rsidRPr="001106B2">
        <w:t xml:space="preserve"> </w:t>
      </w:r>
      <w:r w:rsidRPr="001106B2">
        <w:rPr>
          <w:i/>
        </w:rPr>
        <w:t>See</w:t>
      </w:r>
      <w:r w:rsidRPr="001106B2">
        <w:t xml:space="preserve"> 47 CFR §§ 0.459(h), 0.461.</w:t>
      </w:r>
    </w:p>
  </w:footnote>
  <w:footnote w:id="9">
    <w:p w:rsidR="00DF3D86" w:rsidRPr="001106B2" w:rsidRDefault="00DF3D86" w:rsidP="005B052F">
      <w:pPr>
        <w:pStyle w:val="FootnoteText"/>
        <w:spacing w:after="120"/>
      </w:pPr>
      <w:r w:rsidRPr="00C50B7B">
        <w:rPr>
          <w:rStyle w:val="FootnoteReference"/>
        </w:rPr>
        <w:footnoteRef/>
      </w:r>
      <w:r w:rsidRPr="00C50B7B">
        <w:t xml:space="preserve"> This paragraph describes the procedure for objecting to a specific individual being permitted to review Confidential </w:t>
      </w:r>
      <w:r>
        <w:t xml:space="preserve">Information </w:t>
      </w:r>
      <w:r w:rsidRPr="00C50B7B">
        <w:t xml:space="preserve">pursuant to this Protective Order.  The procedure for objecting to specific Confidential </w:t>
      </w:r>
      <w:r>
        <w:t xml:space="preserve">Information </w:t>
      </w:r>
      <w:r w:rsidRPr="00C50B7B">
        <w:t xml:space="preserve">being reviewed by </w:t>
      </w:r>
      <w:r w:rsidRPr="00C50B7B">
        <w:rPr>
          <w:i/>
        </w:rPr>
        <w:t>any</w:t>
      </w:r>
      <w:r w:rsidRPr="00C50B7B">
        <w:t xml:space="preserve"> individual pursuant to the Protective Order (in other words, for requesting that certain information be entirely withheld from review under the Protective Order</w:t>
      </w:r>
      <w:r>
        <w:t>)</w:t>
      </w:r>
      <w:r w:rsidRPr="00AE2007">
        <w:t xml:space="preserve"> is set forth in paragraph 26 of the Order adopting the Protective Order in MB Docket No. 15-149.  </w:t>
      </w:r>
      <w:r w:rsidRPr="00C50B7B">
        <w:rPr>
          <w:i/>
        </w:rPr>
        <w:t>See Applications of Charter Communications, Inc</w:t>
      </w:r>
      <w:r>
        <w:rPr>
          <w:i/>
        </w:rPr>
        <w:t>.</w:t>
      </w:r>
      <w:r w:rsidRPr="00C50B7B">
        <w:rPr>
          <w:i/>
        </w:rPr>
        <w:t>, Time Warner Cable Inc., and Advance/Newhouse Partnership for Consent to Assign or Transfer Control of Licenses and Authorizations</w:t>
      </w:r>
      <w:r w:rsidRPr="00C50B7B">
        <w:t>, MB Docket No. 15-149, Order, 30 FCC Rcd 10360, 10374, para. 26 (2015)</w:t>
      </w:r>
      <w:r>
        <w:t>.</w:t>
      </w:r>
      <w:r w:rsidRPr="00C50B7B">
        <w:t xml:space="preserve"> </w:t>
      </w:r>
      <w:r>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DF3D86" w:rsidRPr="001106B2" w:rsidRDefault="00DF3D86" w:rsidP="005B052F">
      <w:pPr>
        <w:pStyle w:val="FootnoteText"/>
        <w:spacing w:after="120"/>
      </w:pPr>
      <w:r w:rsidRPr="00C50B7B">
        <w:rPr>
          <w:rStyle w:val="FootnoteReference"/>
        </w:rPr>
        <w:footnoteRef/>
      </w:r>
      <w:r w:rsidRPr="00C50B7B">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w:t>
      </w:r>
      <w:r>
        <w:t xml:space="preserve">Information </w:t>
      </w:r>
      <w:r w:rsidRPr="00C50B7B">
        <w:t>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w:t>
      </w:r>
      <w:r w:rsidRPr="001106B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4A" w:rsidRDefault="00404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4A" w:rsidRDefault="00404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D6A9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D6A9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6" w:rsidRPr="002B48AB" w:rsidRDefault="00DF3D86" w:rsidP="00F43336">
    <w:pPr>
      <w:pStyle w:val="Header"/>
      <w:pBdr>
        <w:bottom w:val="single" w:sz="12" w:space="1" w:color="auto"/>
      </w:pBdr>
      <w:tabs>
        <w:tab w:val="clear" w:pos="4320"/>
        <w:tab w:val="clear" w:pos="8640"/>
        <w:tab w:val="left" w:pos="720"/>
      </w:tabs>
      <w:jc w:val="center"/>
      <w:rPr>
        <w:b/>
        <w:spacing w:val="-2"/>
        <w:szCs w:val="22"/>
      </w:rPr>
    </w:pPr>
    <w:r>
      <w:tab/>
    </w:r>
    <w:r>
      <w:tab/>
    </w:r>
    <w:r>
      <w:tab/>
    </w:r>
    <w:r w:rsidRPr="002B48AB">
      <w:rPr>
        <w:szCs w:val="22"/>
      </w:rPr>
      <w:tab/>
    </w:r>
    <w:r w:rsidRPr="002B48AB">
      <w:rPr>
        <w:b/>
        <w:szCs w:val="22"/>
      </w:rPr>
      <w:t>Federal Communications Commission</w:t>
    </w:r>
    <w:r w:rsidRPr="002B48AB">
      <w:rPr>
        <w:b/>
        <w:szCs w:val="22"/>
      </w:rPr>
      <w:tab/>
    </w:r>
    <w:r w:rsidRPr="002B48AB">
      <w:rPr>
        <w:b/>
        <w:szCs w:val="22"/>
      </w:rPr>
      <w:tab/>
    </w:r>
    <w:r w:rsidRPr="002B48AB">
      <w:rPr>
        <w:b/>
        <w:szCs w:val="22"/>
      </w:rPr>
      <w:tab/>
    </w:r>
    <w:r>
      <w:rPr>
        <w:b/>
        <w:szCs w:val="22"/>
      </w:rPr>
      <w:t xml:space="preserve">     </w:t>
    </w:r>
    <w:r w:rsidRPr="002B48AB">
      <w:rPr>
        <w:b/>
        <w:spacing w:val="-2"/>
        <w:szCs w:val="22"/>
      </w:rPr>
      <w:t xml:space="preserve">DA </w:t>
    </w:r>
    <w:r>
      <w:rPr>
        <w:b/>
        <w:spacing w:val="-2"/>
        <w:szCs w:val="22"/>
      </w:rPr>
      <w:t>17-XX</w:t>
    </w:r>
  </w:p>
  <w:p w:rsidR="00DF3D86" w:rsidRDefault="00DF3D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6" w:rsidRPr="002B48AB" w:rsidRDefault="00DF3D86" w:rsidP="002B48AB">
    <w:pPr>
      <w:pStyle w:val="Header"/>
      <w:tabs>
        <w:tab w:val="clear" w:pos="4320"/>
        <w:tab w:val="clear" w:pos="8640"/>
        <w:tab w:val="left" w:pos="720"/>
      </w:tabs>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86" w:rsidRDefault="000D6A9C">
    <w:pPr>
      <w:pStyle w:val="Header"/>
      <w:tabs>
        <w:tab w:val="clear" w:pos="4320"/>
        <w:tab w:val="clear" w:pos="8640"/>
        <w:tab w:val="left" w:pos="1080"/>
      </w:tabs>
      <w:spacing w:line="1120" w:lineRule="exact"/>
      <w:ind w:left="720"/>
      <w:rPr>
        <w:rFonts w:ascii="Arial" w:hAnsi="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left:0;text-align:left;margin-left:3.95pt;margin-top:7.2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F3D86">
      <w:tab/>
    </w:r>
    <w:r w:rsidR="00DF3D86">
      <w:rPr>
        <w:rFonts w:ascii="Arial" w:hAnsi="Arial"/>
        <w:b/>
        <w:sz w:val="96"/>
      </w:rPr>
      <w:t>PUBLIC NOTICE</w:t>
    </w:r>
  </w:p>
  <w:p w:rsidR="00DF3D86" w:rsidRDefault="000D6A9C">
    <w:pPr>
      <w:pStyle w:val="Header"/>
      <w:tabs>
        <w:tab w:val="clear" w:pos="4320"/>
        <w:tab w:val="clear" w:pos="8640"/>
        <w:tab w:val="left" w:pos="108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Text Box 1" o:spid="_x0000_s2057" type="#_x0000_t202" style="position:absolute;left:0;text-align:left;margin-left:4.05pt;margin-top:7.2pt;width:279.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" stroked="f">
          <v:textbox>
            <w:txbxContent>
              <w:p w:rsidR="00DF3D86" w:rsidRDefault="00DF3D86">
                <w:pPr>
                  <w:rPr>
                    <w:rFonts w:ascii="Arial" w:hAnsi="Arial"/>
                    <w:b/>
                    <w:sz w:val="24"/>
                  </w:rPr>
                </w:pPr>
                <w:r>
                  <w:rPr>
                    <w:rFonts w:ascii="Arial" w:hAnsi="Arial"/>
                    <w:b/>
                    <w:sz w:val="24"/>
                  </w:rPr>
                  <w:t>Federal Communications Commission</w:t>
                </w:r>
              </w:p>
              <w:p w:rsidR="00DF3D86" w:rsidRDefault="00DF3D86">
                <w:pPr>
                  <w:rPr>
                    <w:rFonts w:ascii="Arial" w:hAnsi="Arial"/>
                    <w:b/>
                    <w:sz w:val="24"/>
                  </w:rPr>
                </w:pPr>
                <w:r>
                  <w:rPr>
                    <w:rFonts w:ascii="Arial" w:hAnsi="Arial"/>
                    <w:b/>
                    <w:sz w:val="24"/>
                  </w:rPr>
                  <w:t>445 12th St., SW</w:t>
                </w:r>
              </w:p>
              <w:p w:rsidR="00DF3D86" w:rsidRDefault="00DF3D86">
                <w:pPr>
                  <w:rPr>
                    <w:rFonts w:ascii="Arial" w:hAnsi="Arial"/>
                    <w:sz w:val="24"/>
                  </w:rPr>
                </w:pPr>
                <w:r>
                  <w:rPr>
                    <w:rFonts w:ascii="Arial" w:hAnsi="Arial"/>
                    <w:b/>
                    <w:sz w:val="24"/>
                  </w:rPr>
                  <w:t>Washington, DC 20554</w:t>
                </w:r>
              </w:p>
            </w:txbxContent>
          </v:textbox>
        </v:shape>
      </w:pict>
    </w:r>
    <w:r>
      <w:rPr>
        <w:noProof/>
      </w:rPr>
      <w:pict>
        <v:shape id="Text Box 3" o:spid="_x0000_s2056" type="#_x0000_t202" style="position:absolute;left:0;text-align:left;margin-left:247.05pt;margin-top:7.2pt;width:22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RJ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tPZZYX&#10;6XVeTtazxXxSrIvppJyni0maldflLC3K4nb9LQSYFVUrGOPqTih+VGBW/B3Dh14YtRM1iPoal9N8&#10;OlL0xyTT+P0uyU54aEgpuhovTk6kCsS+VgzSJpUnQo7z5OfwY5WhBsd/rEqUQWB+1IAfNkPU20ld&#10;G80eQRdWA23AMDwmMGm1/YpRD41ZY/dlRyzHSL5VoK0yK4rQyXFRTOegBGTPLZtzC1EUoGrsMRqn&#10;N37s/p2xYtvCTaOalb4CPTYiSiUId4zqoGJovpjT4aEI3X2+jl4/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5+E&#10;SYUCAAAWBQAADgAAAAAAAAAAAAAAAAAuAgAAZHJzL2Uyb0RvYy54bWxQSwECLQAUAAYACAAAACEA&#10;yWHOMNwAAAAKAQAADwAAAAAAAAAAAAAAAADfBAAAZHJzL2Rvd25yZXYueG1sUEsFBgAAAAAEAAQA&#10;8wAAAOgFAAAAAA==&#10;" stroked="f">
          <v:textbox>
            <w:txbxContent>
              <w:p w:rsidR="00DF3D86" w:rsidRDefault="00DF3D86">
                <w:pPr>
                  <w:spacing w:before="40"/>
                  <w:jc w:val="right"/>
                  <w:rPr>
                    <w:rFonts w:ascii="Arial" w:hAnsi="Arial"/>
                    <w:sz w:val="16"/>
                  </w:rPr>
                </w:pPr>
                <w:r>
                  <w:rPr>
                    <w:rFonts w:ascii="Arial" w:hAnsi="Arial"/>
                    <w:sz w:val="16"/>
                  </w:rPr>
                  <w:tab/>
                </w:r>
              </w:p>
              <w:p w:rsidR="00DF3D86" w:rsidRDefault="00DF3D86">
                <w:pPr>
                  <w:spacing w:before="40"/>
                  <w:jc w:val="right"/>
                  <w:rPr>
                    <w:rFonts w:ascii="Arial" w:hAnsi="Arial"/>
                    <w:b/>
                    <w:sz w:val="16"/>
                  </w:rPr>
                </w:pPr>
                <w:r>
                  <w:rPr>
                    <w:rFonts w:ascii="Arial" w:hAnsi="Arial"/>
                    <w:b/>
                    <w:sz w:val="16"/>
                  </w:rPr>
                  <w:t>News Media Information 202 / 418-0500</w:t>
                </w:r>
              </w:p>
              <w:p w:rsidR="00DF3D86" w:rsidRDefault="00DF3D86">
                <w:pPr>
                  <w:jc w:val="right"/>
                  <w:rPr>
                    <w:rFonts w:ascii="Arial" w:hAnsi="Arial"/>
                    <w:b/>
                    <w:sz w:val="16"/>
                  </w:rPr>
                </w:pPr>
                <w:r>
                  <w:rPr>
                    <w:rFonts w:ascii="Arial" w:hAnsi="Arial"/>
                    <w:b/>
                    <w:sz w:val="16"/>
                  </w:rPr>
                  <w:tab/>
                  <w:t>Internet: http://www.fcc.gov</w:t>
                </w:r>
              </w:p>
              <w:p w:rsidR="00DF3D86" w:rsidRDefault="00DF3D86">
                <w:pPr>
                  <w:jc w:val="right"/>
                  <w:rPr>
                    <w:rFonts w:ascii="Arial" w:hAnsi="Arial"/>
                    <w:b/>
                    <w:sz w:val="16"/>
                  </w:rPr>
                </w:pPr>
                <w:r>
                  <w:rPr>
                    <w:rFonts w:ascii="Arial" w:hAnsi="Arial"/>
                    <w:b/>
                    <w:sz w:val="16"/>
                  </w:rPr>
                  <w:t>TTY: 1-888-835-5322</w:t>
                </w:r>
              </w:p>
              <w:p w:rsidR="00DF3D86" w:rsidRDefault="00DF3D86">
                <w:pPr>
                  <w:jc w:val="right"/>
                </w:pPr>
              </w:p>
              <w:p w:rsidR="00DF3D86" w:rsidRDefault="00DF3D86">
                <w:pPr>
                  <w:jc w:val="right"/>
                  <w:rPr>
                    <w:rFonts w:ascii="Arial" w:hAnsi="Arial"/>
                    <w:sz w:val="16"/>
                  </w:rPr>
                </w:pPr>
              </w:p>
              <w:p w:rsidR="00DF3D86" w:rsidRDefault="00DF3D86">
                <w:pPr>
                  <w:jc w:val="right"/>
                  <w:rPr>
                    <w:rFonts w:ascii="Arial" w:hAnsi="Arial"/>
                    <w:sz w:val="16"/>
                  </w:rPr>
                </w:pPr>
                <w:r>
                  <w:rPr>
                    <w:rFonts w:ascii="Arial" w:hAnsi="Arial"/>
                    <w:sz w:val="16"/>
                  </w:rPr>
                  <w:tab/>
                </w:r>
              </w:p>
              <w:p w:rsidR="00DF3D86" w:rsidRDefault="00DF3D86">
                <w:pPr>
                  <w:jc w:val="right"/>
                  <w:rPr>
                    <w:rFonts w:ascii="Arial" w:hAnsi="Arial"/>
                    <w:sz w:val="16"/>
                  </w:rPr>
                </w:pPr>
                <w:r>
                  <w:rPr>
                    <w:rFonts w:ascii="Arial" w:hAnsi="Arial"/>
                    <w:sz w:val="16"/>
                  </w:rPr>
                  <w:tab/>
                </w:r>
              </w:p>
            </w:txbxContent>
          </v:textbox>
        </v:shape>
      </w:pict>
    </w:r>
  </w:p>
  <w:p w:rsidR="00DF3D86" w:rsidRDefault="000D6A9C">
    <w:pPr>
      <w:pStyle w:val="Header"/>
      <w:tabs>
        <w:tab w:val="clear" w:pos="4320"/>
        <w:tab w:val="clear" w:pos="8640"/>
        <w:tab w:val="left" w:pos="1080"/>
      </w:tabs>
      <w:ind w:left="720"/>
      <w:rPr>
        <w:rFonts w:ascii="Arial" w:hAnsi="Arial"/>
        <w:b/>
        <w:sz w:val="24"/>
      </w:rPr>
    </w:pPr>
    <w:r>
      <w:rPr>
        <w:noProof/>
      </w:rPr>
      <w:pict>
        <v:line id="Line 2" o:spid="_x0000_s205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" o:allowincell="f" strokeweight="1.5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39" w:rsidRPr="00DF3D86" w:rsidRDefault="000D6A9C" w:rsidP="00DF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AFA4514"/>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52F5AC9"/>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2F4F1B"/>
    <w:multiLevelType w:val="hybridMultilevel"/>
    <w:tmpl w:val="24BC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F58AB"/>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3"/>
    <w:lvlOverride w:ilvl="0">
      <w:startOverride w:val="1"/>
    </w:lvlOverride>
  </w:num>
  <w:num w:numId="14">
    <w:abstractNumId w:val="2"/>
  </w:num>
  <w:num w:numId="15">
    <w:abstractNumId w:val="5"/>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D86"/>
    <w:rsid w:val="000265AE"/>
    <w:rsid w:val="000D6A9C"/>
    <w:rsid w:val="0040484A"/>
    <w:rsid w:val="004A2867"/>
    <w:rsid w:val="00572361"/>
    <w:rsid w:val="005B052F"/>
    <w:rsid w:val="00602577"/>
    <w:rsid w:val="00746D38"/>
    <w:rsid w:val="007F4A41"/>
    <w:rsid w:val="00A34521"/>
    <w:rsid w:val="00C01BAF"/>
    <w:rsid w:val="00C97738"/>
    <w:rsid w:val="00D17DC0"/>
    <w:rsid w:val="00D60EFF"/>
    <w:rsid w:val="00D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86"/>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o,fr,Appel note de bas de p,Style 17,FR,Style 124,Style 13,Style 6,Footnote Reference/,Style 3,Style 7"/>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DF3D86"/>
    <w:pPr>
      <w:widowControl w:val="0"/>
      <w:tabs>
        <w:tab w:val="num" w:pos="1080"/>
      </w:tabs>
      <w:spacing w:after="200"/>
      <w:ind w:firstLine="720"/>
    </w:pPr>
    <w:rPr>
      <w:sz w:val="22"/>
      <w:szCs w:val="22"/>
    </w:rPr>
  </w:style>
  <w:style w:type="character" w:styleId="PageNumber">
    <w:name w:val="page number"/>
    <w:rsid w:val="00DF3D86"/>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DF3D86"/>
    <w:rPr>
      <w:sz w:val="22"/>
    </w:rPr>
  </w:style>
  <w:style w:type="paragraph" w:styleId="ListParagraph">
    <w:name w:val="List Paragraph"/>
    <w:basedOn w:val="Normal"/>
    <w:uiPriority w:val="34"/>
    <w:qFormat/>
    <w:rsid w:val="00DF3D86"/>
    <w:pPr>
      <w:ind w:left="720"/>
      <w:contextualSpacing/>
    </w:pPr>
  </w:style>
  <w:style w:type="paragraph" w:customStyle="1" w:styleId="ParaNumChar">
    <w:name w:val="ParaNum Char"/>
    <w:basedOn w:val="Normal"/>
    <w:rsid w:val="00DF3D86"/>
    <w:pPr>
      <w:widowControl w:val="0"/>
      <w:numPr>
        <w:numId w:val="18"/>
      </w:numPr>
      <w:spacing w:after="160" w:line="259" w:lineRule="auto"/>
    </w:pPr>
    <w:rPr>
      <w:rFonts w:ascii="Calibri" w:hAnsi="Calibri"/>
      <w:kern w:val="28"/>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F3D8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F3D86"/>
    <w:rPr>
      <w:rFonts w:ascii="Calibri" w:hAnsi="Calibri"/>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2017-tariff-review-plans-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3585</Words>
  <Characters>20268</Characters>
  <Application>Microsoft Office Word</Application>
  <DocSecurity>0</DocSecurity>
  <Lines>390</Lines>
  <Paragraphs>95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23885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2017-06-06T15:27:00Z</dcterms:created>
  <dcterms:modified xsi:type="dcterms:W3CDTF">2017-06-06T15:27:00Z</dcterms:modified>
  <cp:category> </cp:category>
  <cp:contentStatus> </cp:contentStatus>
</cp:coreProperties>
</file>