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0318" w14:textId="77777777" w:rsidR="00F476BC" w:rsidRPr="000F074D" w:rsidRDefault="00F476BC" w:rsidP="00DD4796">
      <w:pPr>
        <w:pStyle w:val="Header"/>
        <w:tabs>
          <w:tab w:val="clear" w:pos="4320"/>
          <w:tab w:val="clear" w:pos="8640"/>
        </w:tabs>
        <w:rPr>
          <w:sz w:val="22"/>
          <w:szCs w:val="22"/>
        </w:rPr>
      </w:pPr>
      <w:bookmarkStart w:id="0" w:name="_GoBack"/>
      <w:bookmarkEnd w:id="0"/>
    </w:p>
    <w:p w14:paraId="20A283B7" w14:textId="616BFA0C" w:rsidR="00F476BC" w:rsidRPr="000F074D" w:rsidRDefault="00F476BC" w:rsidP="00DD4796">
      <w:pPr>
        <w:jc w:val="right"/>
        <w:rPr>
          <w:b/>
          <w:sz w:val="22"/>
          <w:szCs w:val="22"/>
        </w:rPr>
      </w:pPr>
      <w:r w:rsidRPr="000F074D">
        <w:rPr>
          <w:b/>
          <w:sz w:val="22"/>
          <w:szCs w:val="22"/>
        </w:rPr>
        <w:t xml:space="preserve">DA </w:t>
      </w:r>
      <w:r w:rsidR="00515CEA" w:rsidRPr="000F074D">
        <w:rPr>
          <w:b/>
          <w:sz w:val="22"/>
          <w:szCs w:val="22"/>
        </w:rPr>
        <w:t>17-</w:t>
      </w:r>
      <w:r w:rsidR="007B1D05">
        <w:rPr>
          <w:b/>
          <w:sz w:val="22"/>
          <w:szCs w:val="22"/>
        </w:rPr>
        <w:t>560</w:t>
      </w:r>
    </w:p>
    <w:p w14:paraId="15A3CEB6" w14:textId="271456FB" w:rsidR="00F476BC" w:rsidRPr="000F074D" w:rsidRDefault="00F476BC" w:rsidP="00EE6797">
      <w:pPr>
        <w:jc w:val="right"/>
        <w:rPr>
          <w:b/>
          <w:sz w:val="22"/>
          <w:szCs w:val="22"/>
        </w:rPr>
      </w:pPr>
      <w:r w:rsidRPr="000F074D">
        <w:rPr>
          <w:b/>
          <w:sz w:val="22"/>
          <w:szCs w:val="22"/>
        </w:rPr>
        <w:t xml:space="preserve">Released: </w:t>
      </w:r>
      <w:r w:rsidR="00DD4796" w:rsidRPr="000F074D">
        <w:rPr>
          <w:b/>
          <w:sz w:val="22"/>
          <w:szCs w:val="22"/>
        </w:rPr>
        <w:t xml:space="preserve"> </w:t>
      </w:r>
      <w:r w:rsidR="00515CEA" w:rsidRPr="000F074D">
        <w:rPr>
          <w:b/>
          <w:sz w:val="22"/>
          <w:szCs w:val="22"/>
        </w:rPr>
        <w:t xml:space="preserve">June </w:t>
      </w:r>
      <w:r w:rsidR="00AF1D0D">
        <w:rPr>
          <w:b/>
          <w:sz w:val="22"/>
          <w:szCs w:val="22"/>
        </w:rPr>
        <w:t>8</w:t>
      </w:r>
      <w:r w:rsidR="00DA4873" w:rsidRPr="000F074D">
        <w:rPr>
          <w:b/>
          <w:sz w:val="22"/>
          <w:szCs w:val="22"/>
        </w:rPr>
        <w:t xml:space="preserve">, </w:t>
      </w:r>
      <w:r w:rsidR="00515CEA" w:rsidRPr="000F074D">
        <w:rPr>
          <w:b/>
          <w:sz w:val="22"/>
          <w:szCs w:val="22"/>
        </w:rPr>
        <w:t>2017</w:t>
      </w:r>
    </w:p>
    <w:p w14:paraId="48BC3EE4" w14:textId="77777777" w:rsidR="00CA3269" w:rsidRDefault="00CA3269" w:rsidP="002458F3">
      <w:pPr>
        <w:pStyle w:val="paragraph0"/>
        <w:spacing w:before="0" w:beforeAutospacing="0" w:after="0" w:afterAutospacing="0"/>
        <w:jc w:val="center"/>
        <w:textAlignment w:val="baseline"/>
        <w:rPr>
          <w:rStyle w:val="normaltextrun"/>
          <w:b/>
          <w:bCs/>
          <w:sz w:val="22"/>
          <w:szCs w:val="22"/>
        </w:rPr>
      </w:pPr>
    </w:p>
    <w:p w14:paraId="2112FCB1" w14:textId="224F7308" w:rsidR="00E7366C" w:rsidRPr="00334CD3" w:rsidRDefault="00B723F5" w:rsidP="00B723F5">
      <w:pPr>
        <w:pStyle w:val="paragraph0"/>
        <w:spacing w:before="0" w:beforeAutospacing="0" w:after="0" w:afterAutospacing="0"/>
        <w:jc w:val="center"/>
        <w:textAlignment w:val="baseline"/>
        <w:rPr>
          <w:rFonts w:ascii="Segoe UI" w:hAnsi="Segoe UI" w:cs="Segoe UI"/>
          <w:sz w:val="22"/>
          <w:szCs w:val="22"/>
        </w:rPr>
      </w:pPr>
      <w:r>
        <w:rPr>
          <w:rStyle w:val="normaltextrun"/>
          <w:b/>
          <w:bCs/>
          <w:sz w:val="22"/>
          <w:szCs w:val="22"/>
        </w:rPr>
        <w:t>CONSUMER &amp; GOVERNMENTAL AFFAIRS BUREAU REMINDS</w:t>
      </w:r>
      <w:r w:rsidR="00CB5B1F" w:rsidRPr="000F074D">
        <w:rPr>
          <w:rStyle w:val="normaltextrun"/>
          <w:b/>
          <w:bCs/>
          <w:sz w:val="22"/>
          <w:szCs w:val="22"/>
        </w:rPr>
        <w:t xml:space="preserve"> </w:t>
      </w:r>
      <w:r>
        <w:rPr>
          <w:rStyle w:val="normaltextrun"/>
          <w:b/>
          <w:bCs/>
          <w:sz w:val="22"/>
          <w:szCs w:val="22"/>
        </w:rPr>
        <w:t xml:space="preserve">MVPDs OF JULY 10, 2017 DEADLINE </w:t>
      </w:r>
      <w:r w:rsidR="00E7366C" w:rsidRPr="000F074D">
        <w:rPr>
          <w:rStyle w:val="normaltextrun"/>
          <w:b/>
          <w:bCs/>
          <w:sz w:val="22"/>
          <w:szCs w:val="22"/>
        </w:rPr>
        <w:t xml:space="preserve">TO </w:t>
      </w:r>
      <w:r w:rsidR="00CB5B1F" w:rsidRPr="000F074D">
        <w:rPr>
          <w:rStyle w:val="normaltextrun"/>
          <w:b/>
          <w:bCs/>
          <w:sz w:val="22"/>
          <w:szCs w:val="22"/>
        </w:rPr>
        <w:t xml:space="preserve">PASS THROUGH </w:t>
      </w:r>
      <w:r>
        <w:rPr>
          <w:rStyle w:val="normaltextrun"/>
          <w:b/>
          <w:bCs/>
          <w:sz w:val="22"/>
          <w:szCs w:val="22"/>
        </w:rPr>
        <w:t xml:space="preserve">AUDIBLE </w:t>
      </w:r>
      <w:r w:rsidR="00E7366C" w:rsidRPr="000F074D">
        <w:rPr>
          <w:rStyle w:val="normaltextrun"/>
          <w:b/>
          <w:bCs/>
          <w:sz w:val="22"/>
          <w:szCs w:val="22"/>
        </w:rPr>
        <w:t xml:space="preserve">EMERGENCY INFORMATION </w:t>
      </w:r>
      <w:r>
        <w:rPr>
          <w:rStyle w:val="normaltextrun"/>
          <w:b/>
          <w:bCs/>
          <w:sz w:val="22"/>
          <w:szCs w:val="22"/>
        </w:rPr>
        <w:t xml:space="preserve">DURING LINEAR PROGRAMMING </w:t>
      </w:r>
      <w:r w:rsidR="00CB5B1F" w:rsidRPr="00334CD3">
        <w:rPr>
          <w:rStyle w:val="normaltextrun"/>
          <w:b/>
          <w:bCs/>
          <w:sz w:val="22"/>
          <w:szCs w:val="22"/>
        </w:rPr>
        <w:t xml:space="preserve">ON SECOND SCREEN DEVICES </w:t>
      </w:r>
    </w:p>
    <w:p w14:paraId="7D42B5F0" w14:textId="77777777" w:rsidR="00334CD3" w:rsidRPr="002458F3" w:rsidRDefault="00334CD3" w:rsidP="002458F3">
      <w:pPr>
        <w:pStyle w:val="paragraph0"/>
        <w:spacing w:before="0" w:beforeAutospacing="0" w:after="0" w:afterAutospacing="0"/>
        <w:jc w:val="center"/>
        <w:textAlignment w:val="baseline"/>
        <w:rPr>
          <w:rStyle w:val="normaltextrun"/>
          <w:b/>
          <w:sz w:val="22"/>
          <w:szCs w:val="22"/>
        </w:rPr>
      </w:pPr>
    </w:p>
    <w:p w14:paraId="484AE369" w14:textId="3A77B0F7" w:rsidR="00515CEA" w:rsidRPr="00334CD3" w:rsidRDefault="00B723F5" w:rsidP="002458F3">
      <w:pPr>
        <w:pStyle w:val="paragraph0"/>
        <w:spacing w:before="0" w:beforeAutospacing="0" w:after="0" w:afterAutospacing="0"/>
        <w:jc w:val="center"/>
        <w:textAlignment w:val="baseline"/>
        <w:rPr>
          <w:rStyle w:val="normaltextrun"/>
          <w:b/>
          <w:sz w:val="22"/>
          <w:szCs w:val="22"/>
        </w:rPr>
      </w:pPr>
      <w:r>
        <w:rPr>
          <w:rStyle w:val="normaltextrun"/>
          <w:b/>
          <w:sz w:val="22"/>
          <w:szCs w:val="22"/>
        </w:rPr>
        <w:t>MB Docket No. 12-107</w:t>
      </w:r>
    </w:p>
    <w:p w14:paraId="7E679A66" w14:textId="151ABCB0" w:rsidR="008F73A8" w:rsidRDefault="00F1180D" w:rsidP="00926FAB">
      <w:pPr>
        <w:pStyle w:val="paragraph0"/>
        <w:ind w:firstLine="720"/>
        <w:textAlignment w:val="baseline"/>
        <w:rPr>
          <w:rStyle w:val="normaltextrun"/>
          <w:sz w:val="22"/>
          <w:szCs w:val="22"/>
        </w:rPr>
      </w:pPr>
      <w:r w:rsidRPr="00334CD3">
        <w:rPr>
          <w:rStyle w:val="normaltextrun"/>
          <w:sz w:val="22"/>
          <w:szCs w:val="22"/>
        </w:rPr>
        <w:t xml:space="preserve">By this </w:t>
      </w:r>
      <w:r w:rsidR="00EB2359" w:rsidRPr="00334CD3">
        <w:rPr>
          <w:rStyle w:val="normaltextrun"/>
          <w:sz w:val="22"/>
          <w:szCs w:val="22"/>
        </w:rPr>
        <w:t>N</w:t>
      </w:r>
      <w:r w:rsidRPr="00334CD3">
        <w:rPr>
          <w:rStyle w:val="normaltextrun"/>
          <w:sz w:val="22"/>
          <w:szCs w:val="22"/>
        </w:rPr>
        <w:t>otice, the</w:t>
      </w:r>
      <w:r w:rsidR="00360939">
        <w:rPr>
          <w:rStyle w:val="normaltextrun"/>
          <w:sz w:val="22"/>
          <w:szCs w:val="22"/>
        </w:rPr>
        <w:t xml:space="preserve"> Consumer &amp; Governmental Affairs Bureau of the</w:t>
      </w:r>
      <w:r w:rsidRPr="00334CD3">
        <w:rPr>
          <w:rStyle w:val="normaltextrun"/>
          <w:sz w:val="22"/>
          <w:szCs w:val="22"/>
        </w:rPr>
        <w:t xml:space="preserve"> Federal Communications Commission (FCC or </w:t>
      </w:r>
      <w:r w:rsidRPr="000F074D">
        <w:rPr>
          <w:rStyle w:val="normaltextrun"/>
          <w:sz w:val="22"/>
          <w:szCs w:val="22"/>
        </w:rPr>
        <w:t xml:space="preserve">Commission) </w:t>
      </w:r>
      <w:r w:rsidR="00CB5B1F" w:rsidRPr="000F074D">
        <w:rPr>
          <w:rStyle w:val="normaltextrun"/>
          <w:sz w:val="22"/>
          <w:szCs w:val="22"/>
        </w:rPr>
        <w:t>reminds</w:t>
      </w:r>
      <w:r w:rsidR="00515CEA" w:rsidRPr="000F074D">
        <w:rPr>
          <w:rStyle w:val="normaltextrun"/>
          <w:sz w:val="22"/>
          <w:szCs w:val="22"/>
        </w:rPr>
        <w:t xml:space="preserve"> </w:t>
      </w:r>
      <w:r w:rsidR="00FC7966" w:rsidRPr="000F074D">
        <w:rPr>
          <w:rStyle w:val="normaltextrun"/>
          <w:sz w:val="22"/>
          <w:szCs w:val="22"/>
        </w:rPr>
        <w:t xml:space="preserve">multichannel video programming distributors (MVPDs) </w:t>
      </w:r>
      <w:r w:rsidR="00CA7098" w:rsidRPr="000F074D">
        <w:rPr>
          <w:rStyle w:val="normaltextrun"/>
          <w:sz w:val="22"/>
          <w:szCs w:val="22"/>
        </w:rPr>
        <w:t>of their</w:t>
      </w:r>
      <w:r w:rsidR="003A69AC">
        <w:rPr>
          <w:rStyle w:val="normaltextrun"/>
          <w:sz w:val="22"/>
          <w:szCs w:val="22"/>
        </w:rPr>
        <w:t xml:space="preserve"> upcoming</w:t>
      </w:r>
      <w:r w:rsidR="00CA7098" w:rsidRPr="000F074D">
        <w:rPr>
          <w:rStyle w:val="normaltextrun"/>
          <w:sz w:val="22"/>
          <w:szCs w:val="22"/>
        </w:rPr>
        <w:t xml:space="preserve"> obligation</w:t>
      </w:r>
      <w:r w:rsidR="00334CD3">
        <w:rPr>
          <w:rStyle w:val="normaltextrun"/>
          <w:sz w:val="22"/>
          <w:szCs w:val="22"/>
        </w:rPr>
        <w:t xml:space="preserve"> </w:t>
      </w:r>
      <w:r w:rsidR="00FC7966" w:rsidRPr="000F074D">
        <w:rPr>
          <w:rStyle w:val="normaltextrun"/>
          <w:sz w:val="22"/>
          <w:szCs w:val="22"/>
        </w:rPr>
        <w:t xml:space="preserve">to pass through </w:t>
      </w:r>
      <w:r w:rsidR="00360939">
        <w:rPr>
          <w:rStyle w:val="normaltextrun"/>
          <w:sz w:val="22"/>
          <w:szCs w:val="22"/>
        </w:rPr>
        <w:t>a</w:t>
      </w:r>
      <w:r w:rsidR="00360939" w:rsidRPr="000F074D">
        <w:rPr>
          <w:rStyle w:val="normaltextrun"/>
          <w:sz w:val="22"/>
          <w:szCs w:val="22"/>
        </w:rPr>
        <w:t xml:space="preserve"> </w:t>
      </w:r>
      <w:r w:rsidR="00FC7966" w:rsidRPr="000F074D">
        <w:rPr>
          <w:rStyle w:val="normaltextrun"/>
          <w:sz w:val="22"/>
          <w:szCs w:val="22"/>
        </w:rPr>
        <w:t>secondary audio stream</w:t>
      </w:r>
      <w:r w:rsidR="009A0B14" w:rsidRPr="000F074D">
        <w:rPr>
          <w:sz w:val="22"/>
          <w:szCs w:val="22"/>
          <w:vertAlign w:val="superscript"/>
        </w:rPr>
        <w:footnoteReference w:id="2"/>
      </w:r>
      <w:r w:rsidR="00FC7966" w:rsidRPr="000F074D">
        <w:rPr>
          <w:rStyle w:val="normaltextrun"/>
          <w:sz w:val="22"/>
          <w:szCs w:val="22"/>
        </w:rPr>
        <w:t xml:space="preserve"> containing audible emergency information</w:t>
      </w:r>
      <w:r w:rsidR="00334CD3">
        <w:rPr>
          <w:rStyle w:val="normaltextrun"/>
          <w:sz w:val="22"/>
          <w:szCs w:val="22"/>
        </w:rPr>
        <w:t>,</w:t>
      </w:r>
      <w:r w:rsidR="00FC7966" w:rsidRPr="000F074D">
        <w:rPr>
          <w:rStyle w:val="normaltextrun"/>
          <w:sz w:val="22"/>
          <w:szCs w:val="22"/>
        </w:rPr>
        <w:t xml:space="preserve"> when </w:t>
      </w:r>
      <w:r w:rsidR="00360939">
        <w:rPr>
          <w:rStyle w:val="normaltextrun"/>
          <w:sz w:val="22"/>
          <w:szCs w:val="22"/>
        </w:rPr>
        <w:t xml:space="preserve">they permit consumers to access </w:t>
      </w:r>
      <w:r w:rsidR="00FC7966" w:rsidRPr="000F074D">
        <w:rPr>
          <w:rStyle w:val="normaltextrun"/>
          <w:sz w:val="22"/>
          <w:szCs w:val="22"/>
        </w:rPr>
        <w:t>linear programming on second screen devices over the MVPD’s network</w:t>
      </w:r>
      <w:r w:rsidR="00FC7104" w:rsidRPr="000F074D">
        <w:rPr>
          <w:rStyle w:val="normaltextrun"/>
          <w:sz w:val="22"/>
          <w:szCs w:val="22"/>
        </w:rPr>
        <w:t xml:space="preserve"> as part of the</w:t>
      </w:r>
      <w:r w:rsidR="00360939">
        <w:rPr>
          <w:rStyle w:val="normaltextrun"/>
          <w:sz w:val="22"/>
          <w:szCs w:val="22"/>
        </w:rPr>
        <w:t>ir</w:t>
      </w:r>
      <w:r w:rsidR="00FC7104" w:rsidRPr="000F074D">
        <w:rPr>
          <w:rStyle w:val="normaltextrun"/>
          <w:sz w:val="22"/>
          <w:szCs w:val="22"/>
        </w:rPr>
        <w:t xml:space="preserve"> MVPD service</w:t>
      </w:r>
      <w:r w:rsidR="00360939">
        <w:rPr>
          <w:rStyle w:val="normaltextrun"/>
          <w:sz w:val="22"/>
          <w:szCs w:val="22"/>
        </w:rPr>
        <w:t>s</w:t>
      </w:r>
      <w:r w:rsidR="00FC7966" w:rsidRPr="000F074D">
        <w:rPr>
          <w:rStyle w:val="normaltextrun"/>
          <w:sz w:val="22"/>
          <w:szCs w:val="22"/>
        </w:rPr>
        <w:t>.</w:t>
      </w:r>
      <w:r w:rsidR="00FC7966" w:rsidRPr="000F074D">
        <w:rPr>
          <w:rStyle w:val="FootnoteReference"/>
          <w:sz w:val="22"/>
          <w:szCs w:val="22"/>
        </w:rPr>
        <w:footnoteReference w:id="3"/>
      </w:r>
      <w:r w:rsidR="00FC7966" w:rsidRPr="000F074D">
        <w:rPr>
          <w:rStyle w:val="normaltextrun"/>
          <w:sz w:val="22"/>
          <w:szCs w:val="22"/>
        </w:rPr>
        <w:t xml:space="preserve">  </w:t>
      </w:r>
      <w:r w:rsidR="008618D3" w:rsidRPr="000315AB">
        <w:rPr>
          <w:sz w:val="22"/>
          <w:szCs w:val="22"/>
        </w:rPr>
        <w:t>P</w:t>
      </w:r>
      <w:r w:rsidR="008618D3" w:rsidRPr="00691D3B">
        <w:rPr>
          <w:sz w:val="22"/>
          <w:szCs w:val="22"/>
        </w:rPr>
        <w:t xml:space="preserve">roviding emergency information aurally on the secondary audio steam </w:t>
      </w:r>
      <w:r w:rsidR="00AA3C0B">
        <w:rPr>
          <w:sz w:val="22"/>
          <w:szCs w:val="22"/>
        </w:rPr>
        <w:t>enables viewers</w:t>
      </w:r>
      <w:r w:rsidR="008618D3" w:rsidRPr="00691D3B">
        <w:rPr>
          <w:sz w:val="22"/>
          <w:szCs w:val="22"/>
        </w:rPr>
        <w:t xml:space="preserve"> who are blind or visually impaired to </w:t>
      </w:r>
      <w:r w:rsidR="00AA3C0B">
        <w:rPr>
          <w:sz w:val="22"/>
          <w:szCs w:val="22"/>
        </w:rPr>
        <w:t xml:space="preserve">access </w:t>
      </w:r>
      <w:r w:rsidR="008618D3" w:rsidRPr="00691D3B">
        <w:rPr>
          <w:sz w:val="22"/>
          <w:szCs w:val="22"/>
        </w:rPr>
        <w:t xml:space="preserve">the same </w:t>
      </w:r>
      <w:r w:rsidR="00AA3C0B">
        <w:rPr>
          <w:sz w:val="22"/>
          <w:szCs w:val="22"/>
        </w:rPr>
        <w:t xml:space="preserve">emergency </w:t>
      </w:r>
      <w:r w:rsidR="008618D3" w:rsidRPr="00691D3B">
        <w:rPr>
          <w:sz w:val="22"/>
          <w:szCs w:val="22"/>
        </w:rPr>
        <w:t>information that is presented visually.</w:t>
      </w:r>
      <w:r w:rsidR="008618D3">
        <w:rPr>
          <w:rStyle w:val="FootnoteReference"/>
          <w:sz w:val="22"/>
          <w:szCs w:val="22"/>
        </w:rPr>
        <w:footnoteReference w:id="4"/>
      </w:r>
      <w:r w:rsidR="008618D3">
        <w:rPr>
          <w:sz w:val="22"/>
          <w:szCs w:val="22"/>
        </w:rPr>
        <w:t xml:space="preserve">  </w:t>
      </w:r>
      <w:r w:rsidR="003A69AC">
        <w:rPr>
          <w:rStyle w:val="normaltextrun"/>
          <w:sz w:val="22"/>
          <w:szCs w:val="22"/>
        </w:rPr>
        <w:t>The compliance deadline for this requirement is July 10, 2017.</w:t>
      </w:r>
      <w:r w:rsidR="00EA5411">
        <w:rPr>
          <w:rStyle w:val="FootnoteReference"/>
          <w:sz w:val="22"/>
          <w:szCs w:val="22"/>
        </w:rPr>
        <w:footnoteReference w:id="5"/>
      </w:r>
      <w:r w:rsidR="008F73A8">
        <w:rPr>
          <w:rStyle w:val="normaltextrun"/>
          <w:sz w:val="22"/>
          <w:szCs w:val="22"/>
        </w:rPr>
        <w:t xml:space="preserve">  </w:t>
      </w:r>
    </w:p>
    <w:p w14:paraId="4CCB63B8" w14:textId="3CB9363F" w:rsidR="00360939" w:rsidRDefault="00EA5411" w:rsidP="00926FAB">
      <w:pPr>
        <w:pStyle w:val="paragraph0"/>
        <w:ind w:firstLine="720"/>
        <w:textAlignment w:val="baseline"/>
        <w:rPr>
          <w:sz w:val="22"/>
          <w:szCs w:val="22"/>
        </w:rPr>
      </w:pPr>
      <w:r>
        <w:rPr>
          <w:rStyle w:val="normaltextrun"/>
          <w:sz w:val="22"/>
          <w:szCs w:val="22"/>
        </w:rPr>
        <w:t>Specifically, e</w:t>
      </w:r>
      <w:r w:rsidR="006B55E7">
        <w:rPr>
          <w:rStyle w:val="normaltextrun"/>
          <w:sz w:val="22"/>
          <w:szCs w:val="22"/>
        </w:rPr>
        <w:t xml:space="preserve">ach </w:t>
      </w:r>
      <w:r w:rsidR="00926FAB" w:rsidRPr="000F074D">
        <w:rPr>
          <w:rStyle w:val="normaltextrun"/>
          <w:sz w:val="22"/>
          <w:szCs w:val="22"/>
        </w:rPr>
        <w:t>M</w:t>
      </w:r>
      <w:r w:rsidR="00F77BA2">
        <w:rPr>
          <w:rStyle w:val="normaltextrun"/>
          <w:sz w:val="22"/>
          <w:szCs w:val="22"/>
        </w:rPr>
        <w:t xml:space="preserve">VPD </w:t>
      </w:r>
      <w:r w:rsidR="00926FAB" w:rsidRPr="000F074D">
        <w:rPr>
          <w:sz w:val="22"/>
          <w:szCs w:val="22"/>
        </w:rPr>
        <w:t xml:space="preserve">must ensure that any application or plug-in that </w:t>
      </w:r>
      <w:r w:rsidR="006B55E7">
        <w:rPr>
          <w:sz w:val="22"/>
          <w:szCs w:val="22"/>
        </w:rPr>
        <w:t>it</w:t>
      </w:r>
      <w:r w:rsidR="006B55E7" w:rsidRPr="000F074D">
        <w:rPr>
          <w:sz w:val="22"/>
          <w:szCs w:val="22"/>
        </w:rPr>
        <w:t xml:space="preserve"> </w:t>
      </w:r>
      <w:r w:rsidR="00926FAB" w:rsidRPr="000F074D">
        <w:rPr>
          <w:sz w:val="22"/>
          <w:szCs w:val="22"/>
        </w:rPr>
        <w:t>provide</w:t>
      </w:r>
      <w:r w:rsidR="006B55E7">
        <w:rPr>
          <w:sz w:val="22"/>
          <w:szCs w:val="22"/>
        </w:rPr>
        <w:t>s</w:t>
      </w:r>
      <w:r w:rsidR="00926FAB" w:rsidRPr="000F074D">
        <w:rPr>
          <w:sz w:val="22"/>
          <w:szCs w:val="22"/>
        </w:rPr>
        <w:t xml:space="preserve"> to consumers to access linear programming (</w:t>
      </w:r>
      <w:r w:rsidR="00926FAB" w:rsidRPr="00AD7258">
        <w:rPr>
          <w:i/>
          <w:sz w:val="22"/>
          <w:szCs w:val="22"/>
        </w:rPr>
        <w:t>i.e.</w:t>
      </w:r>
      <w:r w:rsidR="00926FAB" w:rsidRPr="00AF7250">
        <w:rPr>
          <w:sz w:val="22"/>
          <w:szCs w:val="22"/>
        </w:rPr>
        <w:t>,</w:t>
      </w:r>
      <w:r w:rsidR="00926FAB" w:rsidRPr="00B36A2E">
        <w:rPr>
          <w:sz w:val="22"/>
          <w:szCs w:val="22"/>
        </w:rPr>
        <w:t xml:space="preserve"> </w:t>
      </w:r>
      <w:r w:rsidR="00926FAB" w:rsidRPr="000F074D">
        <w:rPr>
          <w:sz w:val="22"/>
          <w:szCs w:val="22"/>
        </w:rPr>
        <w:t>programming that is prescheduled by the MVPD)</w:t>
      </w:r>
      <w:r>
        <w:rPr>
          <w:rStyle w:val="FootnoteReference"/>
          <w:sz w:val="22"/>
          <w:szCs w:val="22"/>
        </w:rPr>
        <w:footnoteReference w:id="6"/>
      </w:r>
      <w:r w:rsidR="00926FAB" w:rsidRPr="000F074D">
        <w:rPr>
          <w:sz w:val="22"/>
          <w:szCs w:val="22"/>
        </w:rPr>
        <w:t xml:space="preserve"> on tablets, smartphones, laptops, and similar devices</w:t>
      </w:r>
      <w:r w:rsidR="002458F3" w:rsidRPr="002458F3">
        <w:rPr>
          <w:sz w:val="22"/>
          <w:szCs w:val="22"/>
          <w:vertAlign w:val="superscript"/>
        </w:rPr>
        <w:footnoteReference w:id="7"/>
      </w:r>
      <w:r w:rsidR="00926FAB" w:rsidRPr="000F074D">
        <w:rPr>
          <w:sz w:val="22"/>
          <w:szCs w:val="22"/>
        </w:rPr>
        <w:t xml:space="preserve"> over the MVPD</w:t>
      </w:r>
      <w:r w:rsidR="006B55E7">
        <w:rPr>
          <w:sz w:val="22"/>
          <w:szCs w:val="22"/>
        </w:rPr>
        <w:t>’</w:t>
      </w:r>
      <w:r w:rsidR="00926FAB" w:rsidRPr="000F074D">
        <w:rPr>
          <w:sz w:val="22"/>
          <w:szCs w:val="22"/>
        </w:rPr>
        <w:t xml:space="preserve">s network as part of </w:t>
      </w:r>
      <w:r w:rsidR="001B6707">
        <w:rPr>
          <w:sz w:val="22"/>
          <w:szCs w:val="22"/>
        </w:rPr>
        <w:t>its</w:t>
      </w:r>
      <w:r w:rsidR="001B6707" w:rsidRPr="000F074D">
        <w:rPr>
          <w:sz w:val="22"/>
          <w:szCs w:val="22"/>
        </w:rPr>
        <w:t xml:space="preserve"> </w:t>
      </w:r>
      <w:r w:rsidR="006B55E7">
        <w:rPr>
          <w:sz w:val="22"/>
          <w:szCs w:val="22"/>
        </w:rPr>
        <w:t>MVPD</w:t>
      </w:r>
      <w:r w:rsidR="00926FAB" w:rsidRPr="000F074D">
        <w:rPr>
          <w:sz w:val="22"/>
          <w:szCs w:val="22"/>
        </w:rPr>
        <w:t xml:space="preserve"> service</w:t>
      </w:r>
      <w:r w:rsidR="00A65318">
        <w:rPr>
          <w:sz w:val="22"/>
          <w:szCs w:val="22"/>
        </w:rPr>
        <w:t>s</w:t>
      </w:r>
      <w:r w:rsidR="00926FAB" w:rsidRPr="000F074D">
        <w:rPr>
          <w:sz w:val="22"/>
          <w:szCs w:val="22"/>
        </w:rPr>
        <w:t xml:space="preserve"> is capable of passing through </w:t>
      </w:r>
      <w:r w:rsidR="00A65318">
        <w:rPr>
          <w:sz w:val="22"/>
          <w:szCs w:val="22"/>
        </w:rPr>
        <w:t>an aural representation of the</w:t>
      </w:r>
      <w:r w:rsidR="00A65318" w:rsidRPr="000F074D">
        <w:rPr>
          <w:sz w:val="22"/>
          <w:szCs w:val="22"/>
        </w:rPr>
        <w:t xml:space="preserve"> </w:t>
      </w:r>
      <w:r w:rsidR="00926FAB" w:rsidRPr="000F074D">
        <w:rPr>
          <w:sz w:val="22"/>
          <w:szCs w:val="22"/>
        </w:rPr>
        <w:t>emergency information on a secondary audio stream.</w:t>
      </w:r>
      <w:r w:rsidR="00926FAB" w:rsidRPr="000F074D">
        <w:rPr>
          <w:rStyle w:val="FootnoteReference"/>
          <w:sz w:val="22"/>
          <w:szCs w:val="22"/>
        </w:rPr>
        <w:footnoteReference w:id="8"/>
      </w:r>
      <w:r w:rsidR="00926FAB" w:rsidRPr="000F074D">
        <w:rPr>
          <w:sz w:val="22"/>
          <w:szCs w:val="22"/>
        </w:rPr>
        <w:t xml:space="preserve">  </w:t>
      </w:r>
      <w:r w:rsidR="00B8089E">
        <w:rPr>
          <w:rStyle w:val="normaltextrun"/>
          <w:sz w:val="22"/>
          <w:szCs w:val="22"/>
        </w:rPr>
        <w:t>For purposes of these rules</w:t>
      </w:r>
      <w:r w:rsidR="00360939">
        <w:rPr>
          <w:rStyle w:val="normaltextrun"/>
          <w:sz w:val="22"/>
          <w:szCs w:val="22"/>
        </w:rPr>
        <w:t>, l</w:t>
      </w:r>
      <w:r w:rsidR="00360939" w:rsidRPr="000F074D">
        <w:rPr>
          <w:rStyle w:val="normaltextrun"/>
          <w:sz w:val="22"/>
          <w:szCs w:val="22"/>
        </w:rPr>
        <w:t>inear</w:t>
      </w:r>
      <w:r w:rsidR="00360939" w:rsidRPr="000F074D">
        <w:rPr>
          <w:sz w:val="22"/>
          <w:szCs w:val="22"/>
        </w:rPr>
        <w:t xml:space="preserve"> programming is accessed over the MVPD’s </w:t>
      </w:r>
      <w:r w:rsidR="00360939" w:rsidRPr="000F074D">
        <w:rPr>
          <w:sz w:val="22"/>
          <w:szCs w:val="22"/>
        </w:rPr>
        <w:lastRenderedPageBreak/>
        <w:t>network if it</w:t>
      </w:r>
      <w:r w:rsidR="00360939">
        <w:rPr>
          <w:sz w:val="22"/>
          <w:szCs w:val="22"/>
        </w:rPr>
        <w:t xml:space="preserve"> </w:t>
      </w:r>
      <w:r w:rsidR="00360939" w:rsidRPr="000F074D">
        <w:rPr>
          <w:sz w:val="22"/>
          <w:szCs w:val="22"/>
        </w:rPr>
        <w:t>can</w:t>
      </w:r>
      <w:r w:rsidR="002C10C8">
        <w:rPr>
          <w:sz w:val="22"/>
          <w:szCs w:val="22"/>
        </w:rPr>
        <w:t xml:space="preserve"> only</w:t>
      </w:r>
      <w:r w:rsidR="00360939" w:rsidRPr="000F074D">
        <w:rPr>
          <w:sz w:val="22"/>
          <w:szCs w:val="22"/>
        </w:rPr>
        <w:t xml:space="preserve"> be received via a connection provided by the MVPD</w:t>
      </w:r>
      <w:r w:rsidR="00D30236">
        <w:rPr>
          <w:rStyle w:val="FootnoteReference"/>
          <w:sz w:val="22"/>
          <w:szCs w:val="22"/>
        </w:rPr>
        <w:footnoteReference w:id="9"/>
      </w:r>
      <w:r w:rsidR="00360939" w:rsidRPr="000F074D">
        <w:rPr>
          <w:sz w:val="22"/>
          <w:szCs w:val="22"/>
        </w:rPr>
        <w:t xml:space="preserve"> using an MVPD-provided application or plug-in.</w:t>
      </w:r>
      <w:r w:rsidR="00685229">
        <w:rPr>
          <w:rStyle w:val="FootnoteReference"/>
          <w:sz w:val="22"/>
          <w:szCs w:val="22"/>
        </w:rPr>
        <w:footnoteReference w:id="10"/>
      </w:r>
      <w:r w:rsidR="00360939" w:rsidRPr="000F074D">
        <w:rPr>
          <w:sz w:val="22"/>
          <w:szCs w:val="22"/>
        </w:rPr>
        <w:t xml:space="preserve">  This is distinguishable from video programming provided over the Internet, which can be accessed by an MVPD </w:t>
      </w:r>
      <w:r w:rsidR="00360939" w:rsidRPr="00834D9F">
        <w:rPr>
          <w:sz w:val="22"/>
          <w:szCs w:val="22"/>
        </w:rPr>
        <w:t>subscriber using either an MVPD-provided connection</w:t>
      </w:r>
      <w:r w:rsidR="00360939">
        <w:rPr>
          <w:sz w:val="22"/>
          <w:szCs w:val="22"/>
        </w:rPr>
        <w:t>,</w:t>
      </w:r>
      <w:r w:rsidR="00360939" w:rsidRPr="00834D9F">
        <w:rPr>
          <w:sz w:val="22"/>
          <w:szCs w:val="22"/>
        </w:rPr>
        <w:t xml:space="preserve"> or a third-party Internet service provider or broadband connection.</w:t>
      </w:r>
      <w:r w:rsidR="00360939" w:rsidRPr="00834D9F">
        <w:rPr>
          <w:rStyle w:val="FootnoteReference"/>
          <w:sz w:val="22"/>
          <w:szCs w:val="22"/>
        </w:rPr>
        <w:footnoteReference w:id="11"/>
      </w:r>
    </w:p>
    <w:p w14:paraId="4A2CB6E8" w14:textId="507D20C1" w:rsidR="00FC7966" w:rsidRDefault="00360939" w:rsidP="00D30236">
      <w:pPr>
        <w:pStyle w:val="paragraph0"/>
        <w:ind w:firstLine="720"/>
        <w:textAlignment w:val="baseline"/>
        <w:rPr>
          <w:sz w:val="22"/>
          <w:szCs w:val="22"/>
        </w:rPr>
      </w:pPr>
      <w:r>
        <w:rPr>
          <w:rStyle w:val="normaltextrun"/>
          <w:sz w:val="22"/>
          <w:szCs w:val="22"/>
        </w:rPr>
        <w:t>We</w:t>
      </w:r>
      <w:r w:rsidR="00F77BA2" w:rsidRPr="000F074D">
        <w:rPr>
          <w:rStyle w:val="normaltextrun"/>
          <w:sz w:val="22"/>
          <w:szCs w:val="22"/>
        </w:rPr>
        <w:t xml:space="preserve"> also remind manufacturers</w:t>
      </w:r>
      <w:r w:rsidR="000F36E3">
        <w:rPr>
          <w:rStyle w:val="normaltextrun"/>
          <w:sz w:val="22"/>
          <w:szCs w:val="22"/>
        </w:rPr>
        <w:t xml:space="preserve"> that</w:t>
      </w:r>
      <w:r w:rsidR="00D30236">
        <w:rPr>
          <w:rStyle w:val="normaltextrun"/>
          <w:sz w:val="22"/>
          <w:szCs w:val="22"/>
        </w:rPr>
        <w:t>,</w:t>
      </w:r>
      <w:r w:rsidR="000F36E3">
        <w:rPr>
          <w:rStyle w:val="normaltextrun"/>
          <w:sz w:val="22"/>
          <w:szCs w:val="22"/>
        </w:rPr>
        <w:t xml:space="preserve"> since December 20, 2016, they have been required</w:t>
      </w:r>
      <w:r w:rsidR="00F77BA2" w:rsidRPr="000F074D">
        <w:rPr>
          <w:rStyle w:val="normaltextrun"/>
          <w:sz w:val="22"/>
          <w:szCs w:val="22"/>
        </w:rPr>
        <w:t xml:space="preserve"> to provide a mechanism that is simple and easy to use, such as one that is reasonably comparable to a button, key, or icon, for activating the secondary audio stream to access audible emergency information</w:t>
      </w:r>
      <w:r w:rsidR="001A61C9">
        <w:rPr>
          <w:rStyle w:val="normaltextrun"/>
          <w:sz w:val="22"/>
          <w:szCs w:val="22"/>
        </w:rPr>
        <w:t xml:space="preserve"> on covered video devices</w:t>
      </w:r>
      <w:r w:rsidR="00F77BA2" w:rsidRPr="000F074D">
        <w:rPr>
          <w:rStyle w:val="normaltextrun"/>
          <w:sz w:val="22"/>
          <w:szCs w:val="22"/>
        </w:rPr>
        <w:t>.</w:t>
      </w:r>
      <w:r w:rsidR="00F77BA2" w:rsidRPr="000F074D">
        <w:rPr>
          <w:rStyle w:val="FootnoteReference"/>
          <w:sz w:val="22"/>
          <w:szCs w:val="22"/>
        </w:rPr>
        <w:footnoteReference w:id="12"/>
      </w:r>
      <w:r w:rsidR="00F77BA2" w:rsidRPr="000F074D">
        <w:rPr>
          <w:rStyle w:val="normaltextrun"/>
          <w:sz w:val="22"/>
          <w:szCs w:val="22"/>
        </w:rPr>
        <w:t xml:space="preserve">  </w:t>
      </w:r>
      <w:r w:rsidR="0062069A" w:rsidRPr="00834D9F">
        <w:rPr>
          <w:sz w:val="22"/>
          <w:szCs w:val="22"/>
        </w:rPr>
        <w:t xml:space="preserve">  </w:t>
      </w:r>
    </w:p>
    <w:p w14:paraId="2C8A1743" w14:textId="172F1C99" w:rsidR="00926FAB" w:rsidRPr="000F074D" w:rsidRDefault="00926FAB" w:rsidP="000F074D">
      <w:pPr>
        <w:pStyle w:val="paragraph0"/>
        <w:ind w:firstLine="720"/>
        <w:textAlignment w:val="baseline"/>
        <w:rPr>
          <w:sz w:val="22"/>
          <w:szCs w:val="22"/>
        </w:rPr>
      </w:pPr>
      <w:r w:rsidRPr="000F074D">
        <w:rPr>
          <w:rStyle w:val="normaltextrun"/>
          <w:sz w:val="22"/>
          <w:szCs w:val="22"/>
        </w:rPr>
        <w:t>The f</w:t>
      </w:r>
      <w:r w:rsidR="00E7366C" w:rsidRPr="000F074D">
        <w:rPr>
          <w:rStyle w:val="normaltextrun"/>
          <w:sz w:val="22"/>
          <w:szCs w:val="22"/>
        </w:rPr>
        <w:t xml:space="preserve">act sheet summarizing </w:t>
      </w:r>
      <w:r w:rsidR="00B723F5">
        <w:rPr>
          <w:rStyle w:val="normaltextrun"/>
          <w:sz w:val="22"/>
          <w:szCs w:val="22"/>
        </w:rPr>
        <w:t>the Commission’s accessible</w:t>
      </w:r>
      <w:r w:rsidR="00E7366C" w:rsidRPr="000F074D">
        <w:rPr>
          <w:rStyle w:val="normaltextrun"/>
          <w:sz w:val="22"/>
          <w:szCs w:val="22"/>
        </w:rPr>
        <w:t xml:space="preserve"> emergency information rules </w:t>
      </w:r>
      <w:r w:rsidRPr="000F074D">
        <w:rPr>
          <w:rStyle w:val="normaltextrun"/>
          <w:sz w:val="22"/>
          <w:szCs w:val="22"/>
        </w:rPr>
        <w:t>is</w:t>
      </w:r>
      <w:r w:rsidR="00E7366C" w:rsidRPr="000F074D">
        <w:rPr>
          <w:rStyle w:val="normaltextrun"/>
          <w:sz w:val="22"/>
          <w:szCs w:val="22"/>
        </w:rPr>
        <w:t xml:space="preserve"> available at</w:t>
      </w:r>
      <w:r w:rsidRPr="000F074D">
        <w:rPr>
          <w:rStyle w:val="normaltextrun"/>
          <w:sz w:val="22"/>
          <w:szCs w:val="22"/>
        </w:rPr>
        <w:t xml:space="preserve">:  </w:t>
      </w:r>
      <w:hyperlink r:id="rId8" w:history="1">
        <w:r w:rsidR="000559C9" w:rsidRPr="000F074D">
          <w:rPr>
            <w:rStyle w:val="Hyperlink"/>
            <w:sz w:val="22"/>
            <w:szCs w:val="22"/>
          </w:rPr>
          <w:t>https://www.fcc.gov/consumers/guides/accessibility-emergency-information-television</w:t>
        </w:r>
      </w:hyperlink>
      <w:r w:rsidR="000559C9" w:rsidRPr="000F074D">
        <w:rPr>
          <w:sz w:val="22"/>
          <w:szCs w:val="22"/>
        </w:rPr>
        <w:t xml:space="preserve">.  </w:t>
      </w:r>
      <w:r w:rsidRPr="000F074D">
        <w:rPr>
          <w:sz w:val="22"/>
          <w:szCs w:val="22"/>
        </w:rPr>
        <w:t xml:space="preserve">A </w:t>
      </w:r>
      <w:r w:rsidR="00B723F5">
        <w:rPr>
          <w:sz w:val="22"/>
          <w:szCs w:val="22"/>
        </w:rPr>
        <w:t>S</w:t>
      </w:r>
      <w:r w:rsidRPr="000F074D">
        <w:rPr>
          <w:sz w:val="22"/>
          <w:szCs w:val="22"/>
        </w:rPr>
        <w:t xml:space="preserve">mall </w:t>
      </w:r>
      <w:r w:rsidR="00B723F5">
        <w:rPr>
          <w:sz w:val="22"/>
          <w:szCs w:val="22"/>
        </w:rPr>
        <w:t>Entity</w:t>
      </w:r>
      <w:r w:rsidR="00B723F5" w:rsidRPr="000F074D">
        <w:rPr>
          <w:sz w:val="22"/>
          <w:szCs w:val="22"/>
        </w:rPr>
        <w:t xml:space="preserve"> </w:t>
      </w:r>
      <w:r w:rsidR="00B723F5">
        <w:rPr>
          <w:sz w:val="22"/>
          <w:szCs w:val="22"/>
        </w:rPr>
        <w:t>C</w:t>
      </w:r>
      <w:r w:rsidRPr="000F074D">
        <w:rPr>
          <w:sz w:val="22"/>
          <w:szCs w:val="22"/>
        </w:rPr>
        <w:t xml:space="preserve">ompliance </w:t>
      </w:r>
      <w:r w:rsidR="00B723F5">
        <w:rPr>
          <w:sz w:val="22"/>
          <w:szCs w:val="22"/>
        </w:rPr>
        <w:t>G</w:t>
      </w:r>
      <w:r w:rsidRPr="000F074D">
        <w:rPr>
          <w:sz w:val="22"/>
          <w:szCs w:val="22"/>
        </w:rPr>
        <w:t xml:space="preserve">uide </w:t>
      </w:r>
      <w:r w:rsidR="00B723F5">
        <w:rPr>
          <w:sz w:val="22"/>
          <w:szCs w:val="22"/>
        </w:rPr>
        <w:t>intended to help small entities comply with the accessible emergency information rules is</w:t>
      </w:r>
      <w:r w:rsidRPr="000F074D">
        <w:rPr>
          <w:sz w:val="22"/>
          <w:szCs w:val="22"/>
        </w:rPr>
        <w:t xml:space="preserve"> available at:  </w:t>
      </w:r>
      <w:hyperlink r:id="rId9" w:history="1">
        <w:r w:rsidRPr="000F074D">
          <w:rPr>
            <w:rStyle w:val="Hyperlink"/>
            <w:sz w:val="22"/>
            <w:szCs w:val="22"/>
          </w:rPr>
          <w:t>https://www.fcc.gov/document/implementation-twenty-first-century-communications-video-accessibility</w:t>
        </w:r>
      </w:hyperlink>
      <w:r w:rsidRPr="000F074D">
        <w:rPr>
          <w:sz w:val="22"/>
          <w:szCs w:val="22"/>
        </w:rPr>
        <w:t xml:space="preserve">.  </w:t>
      </w:r>
    </w:p>
    <w:p w14:paraId="5BBA2ED2" w14:textId="31DA5D03" w:rsidR="00E7366C" w:rsidRPr="000F074D" w:rsidRDefault="000559C9" w:rsidP="000F074D">
      <w:pPr>
        <w:pStyle w:val="paragraph0"/>
        <w:ind w:firstLine="720"/>
        <w:textAlignment w:val="baseline"/>
        <w:rPr>
          <w:rFonts w:ascii="Segoe UI" w:hAnsi="Segoe UI" w:cs="Segoe UI"/>
          <w:sz w:val="22"/>
          <w:szCs w:val="22"/>
        </w:rPr>
      </w:pPr>
      <w:r w:rsidRPr="000F074D">
        <w:rPr>
          <w:sz w:val="22"/>
          <w:szCs w:val="22"/>
        </w:rPr>
        <w:t>T</w:t>
      </w:r>
      <w:r w:rsidR="00E7366C" w:rsidRPr="000F074D">
        <w:rPr>
          <w:rStyle w:val="normaltextrun"/>
          <w:sz w:val="22"/>
          <w:szCs w:val="22"/>
        </w:rPr>
        <w:t>o request this Public Notice</w:t>
      </w:r>
      <w:r w:rsidR="00E7366C" w:rsidRPr="000F074D">
        <w:rPr>
          <w:rStyle w:val="normaltextrun"/>
          <w:i/>
          <w:iCs/>
          <w:sz w:val="22"/>
          <w:szCs w:val="22"/>
        </w:rPr>
        <w:t xml:space="preserve"> </w:t>
      </w:r>
      <w:r w:rsidR="00E7366C" w:rsidRPr="000F074D">
        <w:rPr>
          <w:rStyle w:val="normaltextrun"/>
          <w:sz w:val="22"/>
          <w:szCs w:val="22"/>
        </w:rPr>
        <w:t xml:space="preserve">or any other materials in accessible formats for people with disabilities (Braille, large print, electronic files, audio format), send an e-mail to </w:t>
      </w:r>
      <w:hyperlink r:id="rId10" w:history="1">
        <w:r w:rsidR="00926FAB" w:rsidRPr="000F074D">
          <w:rPr>
            <w:rStyle w:val="Hyperlink"/>
            <w:sz w:val="22"/>
            <w:szCs w:val="22"/>
          </w:rPr>
          <w:t>fcc504@fcc.gov</w:t>
        </w:r>
      </w:hyperlink>
      <w:r w:rsidR="00926FAB" w:rsidRPr="000F074D">
        <w:rPr>
          <w:rStyle w:val="normaltextrun"/>
          <w:sz w:val="22"/>
          <w:szCs w:val="22"/>
        </w:rPr>
        <w:t xml:space="preserve">, or </w:t>
      </w:r>
      <w:r w:rsidR="00E7366C" w:rsidRPr="000F074D">
        <w:rPr>
          <w:rStyle w:val="normaltextrun"/>
          <w:sz w:val="22"/>
          <w:szCs w:val="22"/>
        </w:rPr>
        <w:t>call the Consumer and Governmental Affairs Bureau at 202-418-0530 (voice) or 202-418-0432 (TTY).</w:t>
      </w:r>
    </w:p>
    <w:p w14:paraId="10A30822" w14:textId="1DC20C51" w:rsidR="00E7366C" w:rsidRPr="000F074D" w:rsidRDefault="00926FAB" w:rsidP="000F074D">
      <w:pPr>
        <w:pStyle w:val="paragraph0"/>
        <w:ind w:firstLine="720"/>
        <w:textAlignment w:val="baseline"/>
        <w:rPr>
          <w:rStyle w:val="normaltextrun"/>
          <w:sz w:val="22"/>
          <w:szCs w:val="22"/>
        </w:rPr>
      </w:pPr>
      <w:r w:rsidRPr="000F074D">
        <w:rPr>
          <w:rStyle w:val="normaltextrun"/>
          <w:sz w:val="22"/>
          <w:szCs w:val="22"/>
        </w:rPr>
        <w:t xml:space="preserve">Consumer and Governmental Affairs Bureau </w:t>
      </w:r>
      <w:r w:rsidR="00E7366C" w:rsidRPr="000F074D">
        <w:rPr>
          <w:rStyle w:val="normaltextrun"/>
          <w:sz w:val="22"/>
          <w:szCs w:val="22"/>
        </w:rPr>
        <w:t xml:space="preserve">Contact:  </w:t>
      </w:r>
      <w:r w:rsidR="00605C90" w:rsidRPr="000F074D">
        <w:rPr>
          <w:rStyle w:val="normaltextrun"/>
          <w:sz w:val="22"/>
          <w:szCs w:val="22"/>
        </w:rPr>
        <w:t>Will Schell</w:t>
      </w:r>
      <w:r w:rsidR="00E7366C" w:rsidRPr="000F074D">
        <w:rPr>
          <w:rStyle w:val="normaltextrun"/>
          <w:sz w:val="22"/>
          <w:szCs w:val="22"/>
        </w:rPr>
        <w:t>, 202-</w:t>
      </w:r>
      <w:r w:rsidR="005B65B4" w:rsidRPr="000F074D">
        <w:rPr>
          <w:rStyle w:val="normaltextrun"/>
          <w:sz w:val="22"/>
          <w:szCs w:val="22"/>
        </w:rPr>
        <w:t>418-</w:t>
      </w:r>
      <w:r w:rsidR="00605C90" w:rsidRPr="000F074D">
        <w:rPr>
          <w:rStyle w:val="normaltextrun"/>
          <w:sz w:val="22"/>
          <w:szCs w:val="22"/>
        </w:rPr>
        <w:t>0767</w:t>
      </w:r>
      <w:r w:rsidR="00E7366C" w:rsidRPr="000F074D">
        <w:rPr>
          <w:rStyle w:val="normaltextrun"/>
          <w:sz w:val="22"/>
          <w:szCs w:val="22"/>
        </w:rPr>
        <w:t xml:space="preserve">, e-mail </w:t>
      </w:r>
      <w:hyperlink r:id="rId11" w:history="1">
        <w:r w:rsidR="00605C90" w:rsidRPr="000F074D">
          <w:rPr>
            <w:rStyle w:val="Hyperlink"/>
            <w:sz w:val="22"/>
            <w:szCs w:val="22"/>
          </w:rPr>
          <w:t>will.schell@fcc.gov</w:t>
        </w:r>
      </w:hyperlink>
      <w:r w:rsidR="005B65B4" w:rsidRPr="000F074D">
        <w:rPr>
          <w:rStyle w:val="normaltextrun"/>
          <w:sz w:val="22"/>
          <w:szCs w:val="22"/>
        </w:rPr>
        <w:t>.</w:t>
      </w:r>
      <w:r w:rsidR="00605C90" w:rsidRPr="000F074D">
        <w:rPr>
          <w:rStyle w:val="normaltextrun"/>
          <w:sz w:val="22"/>
          <w:szCs w:val="22"/>
        </w:rPr>
        <w:t xml:space="preserve"> </w:t>
      </w:r>
      <w:r w:rsidR="005B65B4" w:rsidRPr="000F074D">
        <w:rPr>
          <w:rStyle w:val="normaltextrun"/>
          <w:sz w:val="22"/>
          <w:szCs w:val="22"/>
        </w:rPr>
        <w:t xml:space="preserve">  </w:t>
      </w:r>
    </w:p>
    <w:p w14:paraId="60D5C28F" w14:textId="77777777" w:rsidR="00926FAB" w:rsidRDefault="00926FAB" w:rsidP="00941765">
      <w:pPr>
        <w:pStyle w:val="paragraph0"/>
        <w:spacing w:before="0" w:beforeAutospacing="0" w:after="120" w:afterAutospacing="0"/>
        <w:ind w:firstLine="720"/>
        <w:textAlignment w:val="baseline"/>
        <w:rPr>
          <w:rFonts w:ascii="Segoe UI" w:hAnsi="Segoe UI" w:cs="Segoe UI"/>
          <w:sz w:val="12"/>
          <w:szCs w:val="12"/>
        </w:rPr>
      </w:pPr>
    </w:p>
    <w:p w14:paraId="1508DFCD" w14:textId="77777777" w:rsidR="00926FAB" w:rsidRDefault="00926FAB" w:rsidP="00941765">
      <w:pPr>
        <w:pStyle w:val="paragraph0"/>
        <w:spacing w:before="0" w:beforeAutospacing="0" w:after="120" w:afterAutospacing="0"/>
        <w:ind w:firstLine="720"/>
        <w:textAlignment w:val="baseline"/>
        <w:rPr>
          <w:rFonts w:ascii="Segoe UI" w:hAnsi="Segoe UI" w:cs="Segoe UI"/>
          <w:sz w:val="12"/>
          <w:szCs w:val="12"/>
        </w:rPr>
      </w:pPr>
    </w:p>
    <w:p w14:paraId="15992A5F" w14:textId="77777777" w:rsidR="00F476BC" w:rsidRDefault="00F476BC" w:rsidP="00DD4796">
      <w:pPr>
        <w:ind w:left="3600" w:firstLine="720"/>
        <w:rPr>
          <w:sz w:val="22"/>
          <w:szCs w:val="22"/>
        </w:rPr>
      </w:pPr>
      <w:r w:rsidRPr="00EE6797">
        <w:rPr>
          <w:sz w:val="22"/>
          <w:szCs w:val="22"/>
        </w:rPr>
        <w:t>-FCC-</w:t>
      </w:r>
    </w:p>
    <w:p w14:paraId="6BF72C0F" w14:textId="124C1F3C" w:rsidR="00B606AC" w:rsidRPr="00EE6797" w:rsidRDefault="00B606AC">
      <w:pPr>
        <w:ind w:left="3600" w:firstLine="720"/>
        <w:rPr>
          <w:sz w:val="22"/>
          <w:szCs w:val="22"/>
        </w:rPr>
      </w:pPr>
    </w:p>
    <w:sectPr w:rsidR="00B606AC" w:rsidRPr="00EE6797" w:rsidSect="00926FA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26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F78E0" w14:textId="77777777" w:rsidR="0014344D" w:rsidRDefault="0014344D">
      <w:r>
        <w:separator/>
      </w:r>
    </w:p>
  </w:endnote>
  <w:endnote w:type="continuationSeparator" w:id="0">
    <w:p w14:paraId="360CB4CA" w14:textId="77777777" w:rsidR="0014344D" w:rsidRDefault="0014344D">
      <w:r>
        <w:continuationSeparator/>
      </w:r>
    </w:p>
  </w:endnote>
  <w:endnote w:type="continuationNotice" w:id="1">
    <w:p w14:paraId="7D289406" w14:textId="77777777" w:rsidR="0014344D" w:rsidRDefault="00143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F4C8" w14:textId="77777777" w:rsidR="00D17603" w:rsidRDefault="00D17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7E65F0" w14:textId="77777777" w:rsidR="00D17603" w:rsidRDefault="00D17603">
    <w:pPr>
      <w:pStyle w:val="Footer"/>
    </w:pPr>
  </w:p>
  <w:p w14:paraId="7D197463" w14:textId="77777777" w:rsidR="00D17603" w:rsidRDefault="00D176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8745" w14:textId="77777777" w:rsidR="00D17603" w:rsidRPr="005B2FB8" w:rsidRDefault="00D17603" w:rsidP="00EE6797">
    <w:pPr>
      <w:pStyle w:val="Footer"/>
      <w:framePr w:h="720" w:hRule="exact" w:wrap="around" w:vAnchor="text" w:hAnchor="margin" w:xAlign="center" w:y="1"/>
      <w:rPr>
        <w:rStyle w:val="PageNumber"/>
        <w:sz w:val="22"/>
        <w:szCs w:val="22"/>
      </w:rPr>
    </w:pPr>
    <w:r w:rsidRPr="005B2FB8">
      <w:rPr>
        <w:rStyle w:val="PageNumber"/>
        <w:sz w:val="22"/>
        <w:szCs w:val="22"/>
      </w:rPr>
      <w:fldChar w:fldCharType="begin"/>
    </w:r>
    <w:r w:rsidRPr="005B2FB8">
      <w:rPr>
        <w:rStyle w:val="PageNumber"/>
        <w:sz w:val="22"/>
        <w:szCs w:val="22"/>
      </w:rPr>
      <w:instrText xml:space="preserve">PAGE  </w:instrText>
    </w:r>
    <w:r w:rsidRPr="005B2FB8">
      <w:rPr>
        <w:rStyle w:val="PageNumber"/>
        <w:sz w:val="22"/>
        <w:szCs w:val="22"/>
      </w:rPr>
      <w:fldChar w:fldCharType="separate"/>
    </w:r>
    <w:r w:rsidR="006A622C">
      <w:rPr>
        <w:rStyle w:val="PageNumber"/>
        <w:noProof/>
        <w:sz w:val="22"/>
        <w:szCs w:val="22"/>
      </w:rPr>
      <w:t>2</w:t>
    </w:r>
    <w:r w:rsidRPr="005B2FB8">
      <w:rPr>
        <w:rStyle w:val="PageNumber"/>
        <w:sz w:val="22"/>
        <w:szCs w:val="22"/>
      </w:rPr>
      <w:fldChar w:fldCharType="end"/>
    </w:r>
  </w:p>
  <w:p w14:paraId="5CC638D5" w14:textId="77777777" w:rsidR="00D17603" w:rsidRDefault="00D17603">
    <w:pPr>
      <w:pStyle w:val="Footer"/>
    </w:pPr>
  </w:p>
  <w:p w14:paraId="3B7F2A42" w14:textId="77777777" w:rsidR="00D17603" w:rsidRDefault="00D176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A289" w14:textId="77777777" w:rsidR="008C2623" w:rsidRDefault="008C2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9AA59" w14:textId="77777777" w:rsidR="0014344D" w:rsidRDefault="0014344D">
      <w:r>
        <w:separator/>
      </w:r>
    </w:p>
  </w:footnote>
  <w:footnote w:type="continuationSeparator" w:id="0">
    <w:p w14:paraId="325EEDFC" w14:textId="77777777" w:rsidR="0014344D" w:rsidRDefault="0014344D">
      <w:r>
        <w:continuationSeparator/>
      </w:r>
    </w:p>
  </w:footnote>
  <w:footnote w:type="continuationNotice" w:id="1">
    <w:p w14:paraId="710F0B02" w14:textId="77777777" w:rsidR="0014344D" w:rsidRDefault="0014344D"/>
  </w:footnote>
  <w:footnote w:id="2">
    <w:p w14:paraId="6691CB06" w14:textId="7516CFA8" w:rsidR="009A0B14" w:rsidRPr="00D30236" w:rsidRDefault="009A0B14" w:rsidP="00D30236">
      <w:pPr>
        <w:pStyle w:val="FootnoteText"/>
        <w:spacing w:after="120"/>
        <w:rPr>
          <w:sz w:val="20"/>
        </w:rPr>
      </w:pPr>
      <w:r w:rsidRPr="00D30236">
        <w:rPr>
          <w:rStyle w:val="FootnoteReference"/>
          <w:sz w:val="20"/>
        </w:rPr>
        <w:footnoteRef/>
      </w:r>
      <w:r w:rsidRPr="00D30236">
        <w:rPr>
          <w:sz w:val="20"/>
        </w:rPr>
        <w:t xml:space="preserve"> A secondary audio stream is an audio channel, other than the main program audio channel, that is typically used for foreign language audio and video description.</w:t>
      </w:r>
      <w:r w:rsidR="00EA5411" w:rsidRPr="00D30236">
        <w:rPr>
          <w:sz w:val="20"/>
        </w:rPr>
        <w:t xml:space="preserve">  </w:t>
      </w:r>
      <w:r w:rsidR="00EA5411" w:rsidRPr="00D30236">
        <w:rPr>
          <w:i/>
          <w:sz w:val="20"/>
        </w:rPr>
        <w:t>Accessible Emergency Information, and Apparatus Requirements for Emergency Information and Video Description</w:t>
      </w:r>
      <w:r w:rsidR="00EA5411" w:rsidRPr="00D30236">
        <w:rPr>
          <w:sz w:val="20"/>
        </w:rPr>
        <w:t xml:space="preserve">, Second Report and Order and Second Further Notice of Proposed Rulemaking, 30 FCC Rcd 5186, 5187, </w:t>
      </w:r>
      <w:r w:rsidR="00164CFB" w:rsidRPr="00D30236">
        <w:rPr>
          <w:sz w:val="20"/>
        </w:rPr>
        <w:t xml:space="preserve">para. 1, </w:t>
      </w:r>
      <w:r w:rsidR="00EA5411" w:rsidRPr="00D30236">
        <w:rPr>
          <w:sz w:val="20"/>
        </w:rPr>
        <w:t>n.2 (2015) (</w:t>
      </w:r>
      <w:r w:rsidR="00EA5411" w:rsidRPr="00D30236">
        <w:rPr>
          <w:i/>
          <w:sz w:val="20"/>
        </w:rPr>
        <w:t>Accessible Emergency Information Second Report and Order</w:t>
      </w:r>
      <w:r w:rsidR="00EA5411" w:rsidRPr="00D30236">
        <w:rPr>
          <w:sz w:val="20"/>
        </w:rPr>
        <w:t>).</w:t>
      </w:r>
    </w:p>
  </w:footnote>
  <w:footnote w:id="3">
    <w:p w14:paraId="535F444A" w14:textId="52224350" w:rsidR="00FC7966" w:rsidRPr="00D30236" w:rsidRDefault="00FC7966" w:rsidP="00D30236">
      <w:pPr>
        <w:pStyle w:val="FootnoteText"/>
        <w:spacing w:after="120"/>
        <w:rPr>
          <w:sz w:val="20"/>
        </w:rPr>
      </w:pPr>
      <w:r w:rsidRPr="00D30236">
        <w:rPr>
          <w:rStyle w:val="FootnoteReference"/>
          <w:sz w:val="20"/>
        </w:rPr>
        <w:footnoteRef/>
      </w:r>
      <w:r w:rsidRPr="00D30236">
        <w:rPr>
          <w:sz w:val="20"/>
        </w:rPr>
        <w:t xml:space="preserve"> </w:t>
      </w:r>
      <w:r w:rsidRPr="00D30236">
        <w:rPr>
          <w:i/>
          <w:iCs/>
          <w:sz w:val="20"/>
        </w:rPr>
        <w:t xml:space="preserve">See </w:t>
      </w:r>
      <w:r w:rsidR="00EA5411" w:rsidRPr="00D30236">
        <w:rPr>
          <w:i/>
          <w:iCs/>
          <w:sz w:val="20"/>
        </w:rPr>
        <w:t>id</w:t>
      </w:r>
      <w:r w:rsidR="00EA5411" w:rsidRPr="00D30236">
        <w:rPr>
          <w:iCs/>
          <w:sz w:val="20"/>
        </w:rPr>
        <w:t>.</w:t>
      </w:r>
      <w:r w:rsidRPr="00AD7258">
        <w:rPr>
          <w:iCs/>
          <w:sz w:val="20"/>
        </w:rPr>
        <w:t xml:space="preserve"> </w:t>
      </w:r>
      <w:r w:rsidR="004F19D4" w:rsidRPr="00D30236">
        <w:rPr>
          <w:sz w:val="20"/>
        </w:rPr>
        <w:t xml:space="preserve">at </w:t>
      </w:r>
      <w:r w:rsidRPr="00D30236">
        <w:rPr>
          <w:sz w:val="20"/>
        </w:rPr>
        <w:t>5191</w:t>
      </w:r>
      <w:r w:rsidR="00515CEA" w:rsidRPr="00D30236">
        <w:rPr>
          <w:sz w:val="20"/>
        </w:rPr>
        <w:t xml:space="preserve">-98, paras. </w:t>
      </w:r>
      <w:r w:rsidRPr="00D30236">
        <w:rPr>
          <w:sz w:val="20"/>
        </w:rPr>
        <w:t>9-1</w:t>
      </w:r>
      <w:r w:rsidR="00EA5411" w:rsidRPr="00D30236">
        <w:rPr>
          <w:sz w:val="20"/>
        </w:rPr>
        <w:t>6</w:t>
      </w:r>
      <w:r w:rsidR="00515CEA" w:rsidRPr="00D30236">
        <w:rPr>
          <w:sz w:val="20"/>
        </w:rPr>
        <w:t>, 19-21</w:t>
      </w:r>
      <w:r w:rsidRPr="00D30236">
        <w:rPr>
          <w:sz w:val="20"/>
        </w:rPr>
        <w:t xml:space="preserve">; </w:t>
      </w:r>
      <w:r w:rsidRPr="00D30236">
        <w:rPr>
          <w:i/>
          <w:sz w:val="20"/>
        </w:rPr>
        <w:t>see also</w:t>
      </w:r>
      <w:r w:rsidRPr="00D30236">
        <w:rPr>
          <w:sz w:val="20"/>
        </w:rPr>
        <w:t xml:space="preserve"> 47 </w:t>
      </w:r>
      <w:r w:rsidR="000559C9" w:rsidRPr="00D30236">
        <w:rPr>
          <w:sz w:val="20"/>
        </w:rPr>
        <w:t>CFR</w:t>
      </w:r>
      <w:r w:rsidRPr="00D30236">
        <w:rPr>
          <w:sz w:val="20"/>
        </w:rPr>
        <w:t xml:space="preserve"> § 79.2(b)(6).</w:t>
      </w:r>
    </w:p>
  </w:footnote>
  <w:footnote w:id="4">
    <w:p w14:paraId="3967E4A7" w14:textId="773E0CA2" w:rsidR="008618D3" w:rsidRPr="00AA3C0B" w:rsidRDefault="008618D3" w:rsidP="00AA3C0B">
      <w:pPr>
        <w:pStyle w:val="FootnoteText"/>
        <w:spacing w:after="120"/>
        <w:rPr>
          <w:sz w:val="20"/>
        </w:rPr>
      </w:pPr>
      <w:r>
        <w:rPr>
          <w:rStyle w:val="FootnoteReference"/>
        </w:rPr>
        <w:footnoteRef/>
      </w:r>
      <w:r>
        <w:t xml:space="preserve"> </w:t>
      </w:r>
      <w:r w:rsidRPr="00AA3C0B">
        <w:rPr>
          <w:i/>
          <w:iCs/>
          <w:sz w:val="20"/>
        </w:rPr>
        <w:t>See</w:t>
      </w:r>
      <w:r w:rsidRPr="00AA3C0B">
        <w:rPr>
          <w:sz w:val="20"/>
        </w:rPr>
        <w:t xml:space="preserve"> 47 CFR § 79.2(b)(2)(ii)</w:t>
      </w:r>
      <w:r w:rsidR="00780E64">
        <w:rPr>
          <w:sz w:val="20"/>
        </w:rPr>
        <w:t xml:space="preserve">; </w:t>
      </w:r>
      <w:r w:rsidRPr="00AA3C0B">
        <w:rPr>
          <w:i/>
          <w:sz w:val="20"/>
        </w:rPr>
        <w:t>Accessible Emergency Information, and Apparatus Requirements for Emergency Information and Video Description: Implementation of the Twenty-First Century Communications and Video Accessibility Act of 2010</w:t>
      </w:r>
      <w:r w:rsidRPr="00AA3C0B">
        <w:rPr>
          <w:sz w:val="20"/>
        </w:rPr>
        <w:t>, Report and Order and Further Notice of Proposed Rulemaking, 28 FCC Rcd 4871 (2013)</w:t>
      </w:r>
      <w:r w:rsidR="00AA3C0B">
        <w:rPr>
          <w:sz w:val="20"/>
        </w:rPr>
        <w:t>.</w:t>
      </w:r>
    </w:p>
  </w:footnote>
  <w:footnote w:id="5">
    <w:p w14:paraId="20DBB403" w14:textId="5C550F18" w:rsidR="00EA5411" w:rsidRPr="00AA3C0B" w:rsidRDefault="00EA5411" w:rsidP="00D30236">
      <w:pPr>
        <w:pStyle w:val="FootnoteText"/>
        <w:spacing w:after="120"/>
        <w:rPr>
          <w:sz w:val="20"/>
          <w:u w:val="single"/>
        </w:rPr>
      </w:pPr>
      <w:r w:rsidRPr="00D30236">
        <w:rPr>
          <w:rStyle w:val="FootnoteReference"/>
          <w:sz w:val="20"/>
        </w:rPr>
        <w:footnoteRef/>
      </w:r>
      <w:r w:rsidRPr="00D30236">
        <w:rPr>
          <w:sz w:val="20"/>
        </w:rPr>
        <w:t xml:space="preserve"> </w:t>
      </w:r>
      <w:r w:rsidRPr="00D30236">
        <w:rPr>
          <w:i/>
          <w:sz w:val="20"/>
        </w:rPr>
        <w:t xml:space="preserve">Accessible Emergency Information </w:t>
      </w:r>
      <w:r w:rsidRPr="00AA3C0B">
        <w:rPr>
          <w:i/>
          <w:sz w:val="20"/>
        </w:rPr>
        <w:t>Second Report and Order</w:t>
      </w:r>
      <w:r w:rsidRPr="00AA3C0B">
        <w:rPr>
          <w:sz w:val="20"/>
        </w:rPr>
        <w:t>, 30 FCC Rcd at 5187,</w:t>
      </w:r>
      <w:r w:rsidR="00164CFB" w:rsidRPr="00AA3C0B">
        <w:rPr>
          <w:sz w:val="20"/>
        </w:rPr>
        <w:t xml:space="preserve"> para. 2,</w:t>
      </w:r>
      <w:r w:rsidRPr="00AA3C0B">
        <w:rPr>
          <w:sz w:val="20"/>
        </w:rPr>
        <w:t xml:space="preserve"> n.4.</w:t>
      </w:r>
    </w:p>
  </w:footnote>
  <w:footnote w:id="6">
    <w:p w14:paraId="27D1343A" w14:textId="6CE578C3" w:rsidR="00EA5411" w:rsidRPr="00AA3C0B" w:rsidRDefault="00EA5411" w:rsidP="00D30236">
      <w:pPr>
        <w:pStyle w:val="FootnoteText"/>
        <w:spacing w:after="120"/>
        <w:rPr>
          <w:sz w:val="20"/>
        </w:rPr>
      </w:pPr>
      <w:r w:rsidRPr="00AA3C0B">
        <w:rPr>
          <w:rStyle w:val="FootnoteReference"/>
          <w:sz w:val="20"/>
        </w:rPr>
        <w:footnoteRef/>
      </w:r>
      <w:r w:rsidRPr="00AA3C0B">
        <w:rPr>
          <w:sz w:val="20"/>
        </w:rPr>
        <w:t xml:space="preserve"> </w:t>
      </w:r>
      <w:r w:rsidR="00B23393" w:rsidRPr="00AA3C0B">
        <w:rPr>
          <w:sz w:val="20"/>
        </w:rPr>
        <w:t>47 CFR § 79.2(b)(6).</w:t>
      </w:r>
    </w:p>
  </w:footnote>
  <w:footnote w:id="7">
    <w:p w14:paraId="6B64D7C3" w14:textId="12DF2773" w:rsidR="002458F3" w:rsidRPr="00D30236" w:rsidRDefault="002458F3" w:rsidP="00D30236">
      <w:pPr>
        <w:pStyle w:val="FootnoteText"/>
        <w:spacing w:after="120"/>
        <w:rPr>
          <w:sz w:val="20"/>
        </w:rPr>
      </w:pPr>
      <w:r w:rsidRPr="00D30236">
        <w:rPr>
          <w:rStyle w:val="FootnoteReference"/>
          <w:sz w:val="20"/>
        </w:rPr>
        <w:footnoteRef/>
      </w:r>
      <w:r w:rsidRPr="00D30236">
        <w:rPr>
          <w:sz w:val="20"/>
        </w:rPr>
        <w:t xml:space="preserve"> The phrase “similar devices” includes other devices on which subscribers can view MVPD-provided linear programming over the MVPD’s network (</w:t>
      </w:r>
      <w:r w:rsidRPr="00AD7258">
        <w:rPr>
          <w:i/>
          <w:sz w:val="20"/>
        </w:rPr>
        <w:t>e.g.</w:t>
      </w:r>
      <w:r w:rsidRPr="00D30236">
        <w:rPr>
          <w:sz w:val="20"/>
        </w:rPr>
        <w:t xml:space="preserve">, personal computers, game consoles, Roku devices).  </w:t>
      </w:r>
      <w:r w:rsidR="00A65318" w:rsidRPr="00D30236">
        <w:rPr>
          <w:i/>
          <w:sz w:val="20"/>
        </w:rPr>
        <w:t>Accessible Emergency Information Second Report and Order</w:t>
      </w:r>
      <w:r w:rsidRPr="00D30236">
        <w:rPr>
          <w:sz w:val="20"/>
        </w:rPr>
        <w:t xml:space="preserve">, 30 FCC Rcd </w:t>
      </w:r>
      <w:r w:rsidR="00A65318" w:rsidRPr="00D30236">
        <w:rPr>
          <w:sz w:val="20"/>
        </w:rPr>
        <w:t>at</w:t>
      </w:r>
      <w:r w:rsidRPr="00D30236">
        <w:rPr>
          <w:sz w:val="20"/>
        </w:rPr>
        <w:t xml:space="preserve"> 5191, para. 9, n.25.</w:t>
      </w:r>
    </w:p>
  </w:footnote>
  <w:footnote w:id="8">
    <w:p w14:paraId="3F8903A5" w14:textId="56E8511B" w:rsidR="00926FAB" w:rsidRPr="00D30236" w:rsidRDefault="00926FAB" w:rsidP="00D30236">
      <w:pPr>
        <w:pStyle w:val="FootnoteText"/>
        <w:spacing w:after="120"/>
        <w:rPr>
          <w:sz w:val="20"/>
        </w:rPr>
      </w:pPr>
      <w:r w:rsidRPr="00D30236">
        <w:rPr>
          <w:rStyle w:val="FootnoteReference"/>
          <w:sz w:val="20"/>
        </w:rPr>
        <w:footnoteRef/>
      </w:r>
      <w:r w:rsidRPr="00D30236">
        <w:rPr>
          <w:sz w:val="20"/>
        </w:rPr>
        <w:t xml:space="preserve"> 47 CFR § 79.2(b)(6).</w:t>
      </w:r>
    </w:p>
  </w:footnote>
  <w:footnote w:id="9">
    <w:p w14:paraId="01852CB1" w14:textId="3AB8D49F" w:rsidR="00D30236" w:rsidRPr="00D30236" w:rsidRDefault="00D30236" w:rsidP="00D30236">
      <w:pPr>
        <w:pStyle w:val="FootnoteText"/>
        <w:spacing w:after="120"/>
        <w:rPr>
          <w:sz w:val="20"/>
        </w:rPr>
      </w:pPr>
      <w:r w:rsidRPr="00D30236">
        <w:rPr>
          <w:rStyle w:val="FootnoteReference"/>
          <w:sz w:val="20"/>
        </w:rPr>
        <w:footnoteRef/>
      </w:r>
      <w:r w:rsidRPr="00D30236">
        <w:rPr>
          <w:sz w:val="20"/>
        </w:rPr>
        <w:t xml:space="preserve"> </w:t>
      </w:r>
      <w:r>
        <w:rPr>
          <w:sz w:val="20"/>
        </w:rPr>
        <w:t xml:space="preserve">Video is “received via a connection provided by the MVPD” if it is received either via an MVPD’s broadband connection or if it is video that comes over a coaxial or satellite connection that is converted to IP in the home gateway.  </w:t>
      </w:r>
      <w:r w:rsidRPr="00D30236">
        <w:rPr>
          <w:i/>
          <w:sz w:val="20"/>
        </w:rPr>
        <w:t>Accessible Emergency Information Second Report and Order</w:t>
      </w:r>
      <w:r w:rsidRPr="00D30236">
        <w:rPr>
          <w:sz w:val="20"/>
        </w:rPr>
        <w:t>, 30 FCC Rcd at 5191, para. 9, n.28.</w:t>
      </w:r>
    </w:p>
  </w:footnote>
  <w:footnote w:id="10">
    <w:p w14:paraId="4049F6AE" w14:textId="2D434B1A" w:rsidR="00685229" w:rsidRPr="00D30236" w:rsidRDefault="00685229" w:rsidP="00D30236">
      <w:pPr>
        <w:pStyle w:val="FootnoteText"/>
        <w:spacing w:after="120"/>
        <w:rPr>
          <w:sz w:val="20"/>
        </w:rPr>
      </w:pPr>
      <w:r w:rsidRPr="00D30236">
        <w:rPr>
          <w:rStyle w:val="FootnoteReference"/>
          <w:sz w:val="20"/>
        </w:rPr>
        <w:footnoteRef/>
      </w:r>
      <w:r w:rsidRPr="00D30236">
        <w:rPr>
          <w:sz w:val="20"/>
        </w:rPr>
        <w:t xml:space="preserve"> </w:t>
      </w:r>
      <w:r w:rsidR="00D30236" w:rsidRPr="00D30236">
        <w:rPr>
          <w:i/>
          <w:sz w:val="20"/>
        </w:rPr>
        <w:t>Id</w:t>
      </w:r>
      <w:r w:rsidR="00D30236" w:rsidRPr="00D30236">
        <w:rPr>
          <w:sz w:val="20"/>
        </w:rPr>
        <w:t xml:space="preserve">. </w:t>
      </w:r>
      <w:r w:rsidRPr="00D30236">
        <w:rPr>
          <w:sz w:val="20"/>
        </w:rPr>
        <w:t>at</w:t>
      </w:r>
      <w:r w:rsidR="002C10C8" w:rsidRPr="00D30236">
        <w:rPr>
          <w:sz w:val="20"/>
        </w:rPr>
        <w:t xml:space="preserve"> 5191, para. 9.</w:t>
      </w:r>
    </w:p>
  </w:footnote>
  <w:footnote w:id="11">
    <w:p w14:paraId="06A3D11B" w14:textId="7529531C" w:rsidR="00360939" w:rsidRPr="00D30236" w:rsidRDefault="00360939" w:rsidP="00D30236">
      <w:pPr>
        <w:pStyle w:val="FootnoteText"/>
        <w:spacing w:after="120"/>
        <w:rPr>
          <w:sz w:val="20"/>
        </w:rPr>
      </w:pPr>
      <w:r w:rsidRPr="00D30236">
        <w:rPr>
          <w:rStyle w:val="FootnoteReference"/>
          <w:sz w:val="20"/>
        </w:rPr>
        <w:footnoteRef/>
      </w:r>
      <w:r w:rsidRPr="00D30236">
        <w:rPr>
          <w:sz w:val="20"/>
        </w:rPr>
        <w:t xml:space="preserve"> </w:t>
      </w:r>
      <w:r w:rsidR="004B7BBE" w:rsidRPr="00D30236">
        <w:rPr>
          <w:i/>
          <w:sz w:val="20"/>
        </w:rPr>
        <w:t>Id</w:t>
      </w:r>
      <w:r w:rsidR="004B7BBE" w:rsidRPr="00D30236">
        <w:rPr>
          <w:sz w:val="20"/>
        </w:rPr>
        <w:t>.</w:t>
      </w:r>
      <w:r w:rsidRPr="00D30236">
        <w:rPr>
          <w:sz w:val="20"/>
        </w:rPr>
        <w:t xml:space="preserve"> at 5191, para. 9, n.29.</w:t>
      </w:r>
    </w:p>
  </w:footnote>
  <w:footnote w:id="12">
    <w:p w14:paraId="76D3CBBC" w14:textId="13C99AC0" w:rsidR="00F77BA2" w:rsidRPr="00D30236" w:rsidRDefault="00F77BA2" w:rsidP="00D30236">
      <w:pPr>
        <w:pStyle w:val="FootnoteText"/>
        <w:spacing w:after="120"/>
        <w:rPr>
          <w:i/>
          <w:sz w:val="20"/>
        </w:rPr>
      </w:pPr>
      <w:r w:rsidRPr="00D30236">
        <w:rPr>
          <w:rStyle w:val="FootnoteReference"/>
          <w:sz w:val="20"/>
        </w:rPr>
        <w:footnoteRef/>
      </w:r>
      <w:r w:rsidRPr="00D30236">
        <w:rPr>
          <w:sz w:val="20"/>
        </w:rPr>
        <w:t xml:space="preserve"> </w:t>
      </w:r>
      <w:r w:rsidR="00EF034A" w:rsidRPr="00D30236">
        <w:rPr>
          <w:i/>
          <w:sz w:val="20"/>
        </w:rPr>
        <w:t>Id</w:t>
      </w:r>
      <w:r w:rsidR="00EF034A" w:rsidRPr="00D30236">
        <w:rPr>
          <w:sz w:val="20"/>
        </w:rPr>
        <w:t xml:space="preserve">. </w:t>
      </w:r>
      <w:r w:rsidRPr="00D30236">
        <w:rPr>
          <w:sz w:val="20"/>
        </w:rPr>
        <w:t>at 5198-20</w:t>
      </w:r>
      <w:r w:rsidR="008F6F21" w:rsidRPr="00D30236">
        <w:rPr>
          <w:sz w:val="20"/>
        </w:rPr>
        <w:t>5</w:t>
      </w:r>
      <w:r w:rsidRPr="00D30236">
        <w:rPr>
          <w:sz w:val="20"/>
        </w:rPr>
        <w:t xml:space="preserve">, paras. 22-36; </w:t>
      </w:r>
      <w:r w:rsidRPr="00D30236">
        <w:rPr>
          <w:i/>
          <w:sz w:val="20"/>
        </w:rPr>
        <w:t>see also</w:t>
      </w:r>
      <w:r w:rsidRPr="00D30236">
        <w:rPr>
          <w:sz w:val="20"/>
        </w:rPr>
        <w:t xml:space="preserve"> 47 CFR § 79.105(d).</w:t>
      </w:r>
      <w:r w:rsidRPr="00D30236">
        <w:rPr>
          <w:iCs/>
          <w:sz w:val="20"/>
        </w:rPr>
        <w:t xml:space="preserve"> </w:t>
      </w:r>
      <w:r w:rsidR="00685229" w:rsidRPr="00D30236">
        <w:rPr>
          <w:iCs/>
          <w:sz w:val="20"/>
        </w:rPr>
        <w:t xml:space="preserve"> </w:t>
      </w:r>
      <w:r w:rsidR="001A61C9" w:rsidRPr="00D30236">
        <w:rPr>
          <w:iCs/>
          <w:sz w:val="20"/>
        </w:rPr>
        <w:t>Covered devices include apparatus that are designed to receive or play back video programming transmitted s</w:t>
      </w:r>
      <w:r w:rsidR="00685229" w:rsidRPr="00D30236">
        <w:rPr>
          <w:iCs/>
          <w:sz w:val="20"/>
        </w:rPr>
        <w:t>imultaneously with sound that are</w:t>
      </w:r>
      <w:r w:rsidR="001A61C9" w:rsidRPr="00D30236">
        <w:rPr>
          <w:iCs/>
          <w:sz w:val="20"/>
        </w:rPr>
        <w:t xml:space="preserve"> provided by entities subject to Sections 79.2 and 79.3 of the Commission’s rules, are manufactured or imported for use in the United States, and use a picture screen of any size, subject to certain exemptions.  </w:t>
      </w:r>
      <w:r w:rsidR="001A61C9" w:rsidRPr="00D30236">
        <w:rPr>
          <w:i/>
          <w:iCs/>
          <w:sz w:val="20"/>
        </w:rPr>
        <w:t xml:space="preserve">See </w:t>
      </w:r>
      <w:r w:rsidR="001A61C9" w:rsidRPr="00D30236">
        <w:rPr>
          <w:i/>
          <w:sz w:val="20"/>
        </w:rPr>
        <w:t>Accessible Emergency Information Second Report and Order</w:t>
      </w:r>
      <w:r w:rsidR="001A61C9" w:rsidRPr="00D30236">
        <w:rPr>
          <w:sz w:val="20"/>
        </w:rPr>
        <w:t xml:space="preserve">, 30 FCC Rcd at 5198, para. 22, n.75; </w:t>
      </w:r>
      <w:r w:rsidR="001A61C9" w:rsidRPr="00D30236">
        <w:rPr>
          <w:i/>
          <w:sz w:val="20"/>
        </w:rPr>
        <w:t>see also</w:t>
      </w:r>
      <w:r w:rsidR="001A61C9" w:rsidRPr="00D30236">
        <w:rPr>
          <w:sz w:val="20"/>
        </w:rPr>
        <w:t xml:space="preserve"> 47 CFR § 79.105(a)-(b).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D9C3" w14:textId="77777777" w:rsidR="008C2623" w:rsidRDefault="008C2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185C" w14:textId="77777777" w:rsidR="008C2623" w:rsidRDefault="008C2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CED2" w14:textId="386B8B93" w:rsidR="00D17603" w:rsidRDefault="00D1767A" w:rsidP="005D7411">
    <w:pPr>
      <w:pStyle w:val="Header"/>
      <w:tabs>
        <w:tab w:val="clear" w:pos="4320"/>
        <w:tab w:val="clear" w:pos="8640"/>
        <w:tab w:val="left" w:pos="1080"/>
      </w:tabs>
      <w:spacing w:line="1120" w:lineRule="exact"/>
      <w:rPr>
        <w:rFonts w:ascii="Arial" w:hAnsi="Arial"/>
        <w:b/>
        <w:sz w:val="96"/>
      </w:rPr>
    </w:pPr>
    <w:r>
      <w:rPr>
        <w:rFonts w:ascii="Arial" w:hAnsi="Arial"/>
        <w:b/>
        <w:noProof/>
      </w:rPr>
      <w:drawing>
        <wp:anchor distT="0" distB="0" distL="114300" distR="114300" simplePos="0" relativeHeight="251659264" behindDoc="0" locked="0" layoutInCell="1" allowOverlap="1" wp14:anchorId="0F750B81" wp14:editId="6DA1D65F">
          <wp:simplePos x="0" y="0"/>
          <wp:positionH relativeFrom="column">
            <wp:posOffset>-414337</wp:posOffset>
          </wp:positionH>
          <wp:positionV relativeFrom="paragraph">
            <wp:posOffset>66357</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172FDB">
      <w:rPr>
        <w:rFonts w:ascii="Arial" w:hAnsi="Arial"/>
        <w:b/>
        <w:sz w:val="96"/>
      </w:rPr>
      <w:t xml:space="preserve">  </w:t>
    </w:r>
    <w:r w:rsidR="00D17603">
      <w:rPr>
        <w:rFonts w:ascii="Arial" w:hAnsi="Arial"/>
        <w:b/>
        <w:sz w:val="96"/>
      </w:rPr>
      <w:t>PUBLIC NOTICE</w:t>
    </w:r>
  </w:p>
  <w:p w14:paraId="418310FA" w14:textId="77777777" w:rsidR="00D17603" w:rsidRDefault="00D1767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14:anchorId="55BA79A6" wp14:editId="6DD9B609">
              <wp:simplePos x="0" y="0"/>
              <wp:positionH relativeFrom="column">
                <wp:posOffset>342900</wp:posOffset>
              </wp:positionH>
              <wp:positionV relativeFrom="paragraph">
                <wp:posOffset>20320</wp:posOffset>
              </wp:positionV>
              <wp:extent cx="3370580" cy="640080"/>
              <wp:effectExtent l="0" t="127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6D908" w14:textId="77777777" w:rsidR="00D17603" w:rsidRDefault="00D17603">
                          <w:pPr>
                            <w:rPr>
                              <w:rFonts w:ascii="Arial" w:hAnsi="Arial"/>
                              <w:b/>
                            </w:rPr>
                          </w:pPr>
                          <w:r>
                            <w:rPr>
                              <w:rFonts w:ascii="Arial" w:hAnsi="Arial"/>
                              <w:b/>
                            </w:rPr>
                            <w:t>Federal Communications Commission</w:t>
                          </w:r>
                        </w:p>
                        <w:p w14:paraId="7AB0ED0E" w14:textId="77777777" w:rsidR="00D17603" w:rsidRDefault="00D17603">
                          <w:pPr>
                            <w:rPr>
                              <w:rFonts w:ascii="Arial" w:hAnsi="Arial"/>
                              <w:b/>
                            </w:rPr>
                          </w:pPr>
                          <w:r>
                            <w:rPr>
                              <w:rFonts w:ascii="Arial" w:hAnsi="Arial"/>
                              <w:b/>
                            </w:rPr>
                            <w:t>445 12th St., S.W.</w:t>
                          </w:r>
                        </w:p>
                        <w:p w14:paraId="70833A87" w14:textId="77777777" w:rsidR="00D17603" w:rsidRDefault="00D1760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BA79A6" id="_x0000_t202" coordsize="21600,21600" o:spt="202" path="m,l,21600r21600,l21600,xe">
              <v:stroke joinstyle="miter"/>
              <v:path gradientshapeok="t" o:connecttype="rect"/>
            </v:shapetype>
            <v:shape id="Text Box 1" o:spid="_x0000_s1026" type="#_x0000_t202" style="position:absolute;left:0;text-align:left;margin-left:27pt;margin-top:1.6pt;width:265.4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fAgg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" o:allowincell="f" stroked="f">
              <v:textbox>
                <w:txbxContent>
                  <w:p w14:paraId="4DB6D908" w14:textId="77777777" w:rsidR="00D17603" w:rsidRDefault="00D17603">
                    <w:pPr>
                      <w:rPr>
                        <w:rFonts w:ascii="Arial" w:hAnsi="Arial"/>
                        <w:b/>
                      </w:rPr>
                    </w:pPr>
                    <w:r>
                      <w:rPr>
                        <w:rFonts w:ascii="Arial" w:hAnsi="Arial"/>
                        <w:b/>
                      </w:rPr>
                      <w:t>Federal Communications Commission</w:t>
                    </w:r>
                  </w:p>
                  <w:p w14:paraId="7AB0ED0E" w14:textId="77777777" w:rsidR="00D17603" w:rsidRDefault="00D17603">
                    <w:pPr>
                      <w:rPr>
                        <w:rFonts w:ascii="Arial" w:hAnsi="Arial"/>
                        <w:b/>
                      </w:rPr>
                    </w:pPr>
                    <w:r>
                      <w:rPr>
                        <w:rFonts w:ascii="Arial" w:hAnsi="Arial"/>
                        <w:b/>
                      </w:rPr>
                      <w:t>445 12th St., S.W.</w:t>
                    </w:r>
                  </w:p>
                  <w:p w14:paraId="70833A87" w14:textId="77777777" w:rsidR="00D17603" w:rsidRDefault="00D17603">
                    <w:pPr>
                      <w:rPr>
                        <w:rFonts w:ascii="Arial" w:hAnsi="Arial"/>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8240" behindDoc="0" locked="0" layoutInCell="1" allowOverlap="1" wp14:anchorId="54296437" wp14:editId="52F67004">
              <wp:simplePos x="0" y="0"/>
              <wp:positionH relativeFrom="column">
                <wp:posOffset>3251835</wp:posOffset>
              </wp:positionH>
              <wp:positionV relativeFrom="paragraph">
                <wp:posOffset>91440</wp:posOffset>
              </wp:positionV>
              <wp:extent cx="2743200" cy="668020"/>
              <wp:effectExtent l="381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20AE4" w14:textId="77777777" w:rsidR="00D17603" w:rsidRDefault="00D17603">
                          <w:pPr>
                            <w:spacing w:before="40"/>
                            <w:jc w:val="right"/>
                            <w:rPr>
                              <w:rFonts w:ascii="Arial" w:hAnsi="Arial"/>
                              <w:sz w:val="16"/>
                            </w:rPr>
                          </w:pPr>
                          <w:r>
                            <w:rPr>
                              <w:rFonts w:ascii="Arial" w:hAnsi="Arial"/>
                              <w:sz w:val="16"/>
                            </w:rPr>
                            <w:tab/>
                          </w:r>
                        </w:p>
                        <w:p w14:paraId="4C18C730" w14:textId="77777777" w:rsidR="00D17603" w:rsidRDefault="00D17603">
                          <w:pPr>
                            <w:spacing w:before="40"/>
                            <w:jc w:val="right"/>
                            <w:rPr>
                              <w:rFonts w:ascii="Arial" w:hAnsi="Arial"/>
                              <w:b/>
                              <w:sz w:val="16"/>
                            </w:rPr>
                          </w:pPr>
                          <w:r>
                            <w:rPr>
                              <w:rFonts w:ascii="Arial" w:hAnsi="Arial"/>
                              <w:b/>
                              <w:sz w:val="16"/>
                            </w:rPr>
                            <w:t>News Media Information 202 / 418-0500</w:t>
                          </w:r>
                        </w:p>
                        <w:p w14:paraId="6D9E47AA" w14:textId="77777777" w:rsidR="00D17603" w:rsidRDefault="00D1760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C302CAE" w14:textId="77777777" w:rsidR="00D17603" w:rsidRDefault="00D17603">
                          <w:pPr>
                            <w:jc w:val="right"/>
                            <w:rPr>
                              <w:rFonts w:ascii="Arial" w:hAnsi="Arial"/>
                              <w:b/>
                              <w:sz w:val="16"/>
                            </w:rPr>
                          </w:pPr>
                          <w:r>
                            <w:rPr>
                              <w:rFonts w:ascii="Arial" w:hAnsi="Arial"/>
                              <w:b/>
                              <w:sz w:val="16"/>
                            </w:rPr>
                            <w:t>TTY: 1-888-835-5322</w:t>
                          </w:r>
                        </w:p>
                        <w:p w14:paraId="0F2F0D05" w14:textId="77777777" w:rsidR="00D17603" w:rsidRDefault="00D17603">
                          <w:pPr>
                            <w:jc w:val="right"/>
                          </w:pPr>
                        </w:p>
                        <w:p w14:paraId="1B132B65" w14:textId="77777777" w:rsidR="00D17603" w:rsidRDefault="00D17603">
                          <w:pPr>
                            <w:jc w:val="right"/>
                            <w:rPr>
                              <w:rFonts w:ascii="Arial" w:hAnsi="Arial"/>
                              <w:sz w:val="16"/>
                            </w:rPr>
                          </w:pPr>
                        </w:p>
                        <w:p w14:paraId="49748C78" w14:textId="77777777" w:rsidR="00D17603" w:rsidRDefault="00D17603">
                          <w:pPr>
                            <w:jc w:val="right"/>
                            <w:rPr>
                              <w:rFonts w:ascii="Arial" w:hAnsi="Arial"/>
                              <w:sz w:val="16"/>
                            </w:rPr>
                          </w:pPr>
                          <w:r>
                            <w:rPr>
                              <w:rFonts w:ascii="Arial" w:hAnsi="Arial"/>
                              <w:sz w:val="16"/>
                            </w:rPr>
                            <w:tab/>
                          </w:r>
                        </w:p>
                        <w:p w14:paraId="173DBC13" w14:textId="77777777" w:rsidR="00D17603" w:rsidRDefault="00D17603">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96437" id="Text Box 3" o:spid="_x0000_s1027" type="#_x0000_t202" style="position:absolute;left:0;text-align:left;margin-left:256.05pt;margin-top:7.2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Rr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XxenAPdGFGwzWaLNI/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" stroked="f">
              <v:textbox>
                <w:txbxContent>
                  <w:p w14:paraId="62720AE4" w14:textId="77777777" w:rsidR="00D17603" w:rsidRDefault="00D17603">
                    <w:pPr>
                      <w:spacing w:before="40"/>
                      <w:jc w:val="right"/>
                      <w:rPr>
                        <w:rFonts w:ascii="Arial" w:hAnsi="Arial"/>
                        <w:sz w:val="16"/>
                      </w:rPr>
                    </w:pPr>
                    <w:r>
                      <w:rPr>
                        <w:rFonts w:ascii="Arial" w:hAnsi="Arial"/>
                        <w:sz w:val="16"/>
                      </w:rPr>
                      <w:tab/>
                    </w:r>
                  </w:p>
                  <w:p w14:paraId="4C18C730" w14:textId="77777777" w:rsidR="00D17603" w:rsidRDefault="00D17603">
                    <w:pPr>
                      <w:spacing w:before="40"/>
                      <w:jc w:val="right"/>
                      <w:rPr>
                        <w:rFonts w:ascii="Arial" w:hAnsi="Arial"/>
                        <w:b/>
                        <w:sz w:val="16"/>
                      </w:rPr>
                    </w:pPr>
                    <w:r>
                      <w:rPr>
                        <w:rFonts w:ascii="Arial" w:hAnsi="Arial"/>
                        <w:b/>
                        <w:sz w:val="16"/>
                      </w:rPr>
                      <w:t>News Media Information 202 / 418-0500</w:t>
                    </w:r>
                  </w:p>
                  <w:p w14:paraId="6D9E47AA" w14:textId="77777777" w:rsidR="00D17603" w:rsidRDefault="00D1760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C302CAE" w14:textId="77777777" w:rsidR="00D17603" w:rsidRDefault="00D17603">
                    <w:pPr>
                      <w:jc w:val="right"/>
                      <w:rPr>
                        <w:rFonts w:ascii="Arial" w:hAnsi="Arial"/>
                        <w:b/>
                        <w:sz w:val="16"/>
                      </w:rPr>
                    </w:pPr>
                    <w:r>
                      <w:rPr>
                        <w:rFonts w:ascii="Arial" w:hAnsi="Arial"/>
                        <w:b/>
                        <w:sz w:val="16"/>
                      </w:rPr>
                      <w:t>TTY: 1-888-835-5322</w:t>
                    </w:r>
                  </w:p>
                  <w:p w14:paraId="0F2F0D05" w14:textId="77777777" w:rsidR="00D17603" w:rsidRDefault="00D17603">
                    <w:pPr>
                      <w:jc w:val="right"/>
                    </w:pPr>
                  </w:p>
                  <w:p w14:paraId="1B132B65" w14:textId="77777777" w:rsidR="00D17603" w:rsidRDefault="00D17603">
                    <w:pPr>
                      <w:jc w:val="right"/>
                      <w:rPr>
                        <w:rFonts w:ascii="Arial" w:hAnsi="Arial"/>
                        <w:sz w:val="16"/>
                      </w:rPr>
                    </w:pPr>
                  </w:p>
                  <w:p w14:paraId="49748C78" w14:textId="77777777" w:rsidR="00D17603" w:rsidRDefault="00D17603">
                    <w:pPr>
                      <w:jc w:val="right"/>
                      <w:rPr>
                        <w:rFonts w:ascii="Arial" w:hAnsi="Arial"/>
                        <w:sz w:val="16"/>
                      </w:rPr>
                    </w:pPr>
                    <w:r>
                      <w:rPr>
                        <w:rFonts w:ascii="Arial" w:hAnsi="Arial"/>
                        <w:sz w:val="16"/>
                      </w:rPr>
                      <w:tab/>
                    </w:r>
                  </w:p>
                  <w:p w14:paraId="173DBC13" w14:textId="77777777" w:rsidR="00D17603" w:rsidRDefault="00D17603">
                    <w:pPr>
                      <w:jc w:val="right"/>
                      <w:rPr>
                        <w:rFonts w:ascii="Arial" w:hAnsi="Arial"/>
                        <w:sz w:val="16"/>
                      </w:rPr>
                    </w:pPr>
                    <w:r>
                      <w:rPr>
                        <w:rFonts w:ascii="Arial" w:hAnsi="Arial"/>
                        <w:sz w:val="16"/>
                      </w:rPr>
                      <w:tab/>
                    </w:r>
                  </w:p>
                </w:txbxContent>
              </v:textbox>
            </v:shape>
          </w:pict>
        </mc:Fallback>
      </mc:AlternateContent>
    </w:r>
  </w:p>
  <w:p w14:paraId="5C2F139F" w14:textId="77777777" w:rsidR="00D17603" w:rsidRDefault="00D1767A">
    <w:pPr>
      <w:pStyle w:val="Header"/>
      <w:tabs>
        <w:tab w:val="clear" w:pos="4320"/>
        <w:tab w:val="clear" w:pos="8640"/>
        <w:tab w:val="left" w:pos="1080"/>
      </w:tabs>
      <w:ind w:left="720"/>
      <w:rPr>
        <w:rFonts w:ascii="Arial" w:hAnsi="Arial"/>
        <w:b/>
      </w:rPr>
    </w:pPr>
    <w:r>
      <w:rPr>
        <w:rFonts w:ascii="Arial" w:hAnsi="Arial"/>
        <w:b/>
        <w:noProof/>
        <w:sz w:val="22"/>
      </w:rPr>
      <mc:AlternateContent>
        <mc:Choice Requires="wps">
          <w:drawing>
            <wp:anchor distT="0" distB="0" distL="114300" distR="114300" simplePos="0" relativeHeight="251657216" behindDoc="0" locked="0" layoutInCell="0" allowOverlap="1" wp14:anchorId="533421B8" wp14:editId="11FE68A3">
              <wp:simplePos x="0" y="0"/>
              <wp:positionH relativeFrom="column">
                <wp:posOffset>0</wp:posOffset>
              </wp:positionH>
              <wp:positionV relativeFrom="paragraph">
                <wp:posOffset>105410</wp:posOffset>
              </wp:positionV>
              <wp:extent cx="8229600" cy="0"/>
              <wp:effectExtent l="9525" t="10160" r="952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515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9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Wa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5A"/>
    <w:multiLevelType w:val="hybridMultilevel"/>
    <w:tmpl w:val="7E700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0422F"/>
    <w:multiLevelType w:val="multilevel"/>
    <w:tmpl w:val="78FCC8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67C514A"/>
    <w:multiLevelType w:val="multilevel"/>
    <w:tmpl w:val="B76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82925"/>
    <w:multiLevelType w:val="singleLevel"/>
    <w:tmpl w:val="D180CED0"/>
    <w:lvl w:ilvl="0">
      <w:start w:val="1"/>
      <w:numFmt w:val="decimal"/>
      <w:pStyle w:val="ParaNum"/>
      <w:lvlText w:val="%1."/>
      <w:lvlJc w:val="left"/>
      <w:pPr>
        <w:tabs>
          <w:tab w:val="num" w:pos="1440"/>
        </w:tabs>
        <w:ind w:left="360" w:firstLine="7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95"/>
    <w:rsid w:val="00003498"/>
    <w:rsid w:val="00013110"/>
    <w:rsid w:val="00026263"/>
    <w:rsid w:val="000315AB"/>
    <w:rsid w:val="000334ED"/>
    <w:rsid w:val="00033C2F"/>
    <w:rsid w:val="00050E10"/>
    <w:rsid w:val="00054374"/>
    <w:rsid w:val="000559C9"/>
    <w:rsid w:val="000706CF"/>
    <w:rsid w:val="00087930"/>
    <w:rsid w:val="00095019"/>
    <w:rsid w:val="000C4F01"/>
    <w:rsid w:val="000C533F"/>
    <w:rsid w:val="000D2596"/>
    <w:rsid w:val="000E653D"/>
    <w:rsid w:val="000F074D"/>
    <w:rsid w:val="000F0ED2"/>
    <w:rsid w:val="000F1661"/>
    <w:rsid w:val="000F36E3"/>
    <w:rsid w:val="001073AC"/>
    <w:rsid w:val="00113346"/>
    <w:rsid w:val="00117248"/>
    <w:rsid w:val="00126B1E"/>
    <w:rsid w:val="00133DB6"/>
    <w:rsid w:val="00140B00"/>
    <w:rsid w:val="0014344D"/>
    <w:rsid w:val="00154D01"/>
    <w:rsid w:val="001554FD"/>
    <w:rsid w:val="00164CFB"/>
    <w:rsid w:val="001655DB"/>
    <w:rsid w:val="001662B9"/>
    <w:rsid w:val="00172FDB"/>
    <w:rsid w:val="0017322C"/>
    <w:rsid w:val="00174145"/>
    <w:rsid w:val="0018612D"/>
    <w:rsid w:val="001A166D"/>
    <w:rsid w:val="001A182C"/>
    <w:rsid w:val="001A61C9"/>
    <w:rsid w:val="001B6707"/>
    <w:rsid w:val="001E0B9D"/>
    <w:rsid w:val="001E6DE3"/>
    <w:rsid w:val="00204DF8"/>
    <w:rsid w:val="002107A4"/>
    <w:rsid w:val="00217205"/>
    <w:rsid w:val="00221ABA"/>
    <w:rsid w:val="00237477"/>
    <w:rsid w:val="00242094"/>
    <w:rsid w:val="002458F3"/>
    <w:rsid w:val="00273CDF"/>
    <w:rsid w:val="0027649E"/>
    <w:rsid w:val="00284690"/>
    <w:rsid w:val="002969B1"/>
    <w:rsid w:val="002A12C5"/>
    <w:rsid w:val="002A1C56"/>
    <w:rsid w:val="002A30E1"/>
    <w:rsid w:val="002B6175"/>
    <w:rsid w:val="002C10C8"/>
    <w:rsid w:val="002C3A34"/>
    <w:rsid w:val="002C4196"/>
    <w:rsid w:val="002C5398"/>
    <w:rsid w:val="002D3EE8"/>
    <w:rsid w:val="002F3B3C"/>
    <w:rsid w:val="00305824"/>
    <w:rsid w:val="003176E9"/>
    <w:rsid w:val="00320D5F"/>
    <w:rsid w:val="0032577B"/>
    <w:rsid w:val="0033258D"/>
    <w:rsid w:val="00334CD3"/>
    <w:rsid w:val="00345E82"/>
    <w:rsid w:val="003523D6"/>
    <w:rsid w:val="00360939"/>
    <w:rsid w:val="0037005E"/>
    <w:rsid w:val="003854AF"/>
    <w:rsid w:val="003944AF"/>
    <w:rsid w:val="003A69AC"/>
    <w:rsid w:val="003B24C7"/>
    <w:rsid w:val="003B39BE"/>
    <w:rsid w:val="003E22C6"/>
    <w:rsid w:val="00405374"/>
    <w:rsid w:val="00441FD7"/>
    <w:rsid w:val="004439D0"/>
    <w:rsid w:val="00453DB9"/>
    <w:rsid w:val="004561F7"/>
    <w:rsid w:val="00456F01"/>
    <w:rsid w:val="004616BC"/>
    <w:rsid w:val="004714F1"/>
    <w:rsid w:val="00473AC1"/>
    <w:rsid w:val="00475D04"/>
    <w:rsid w:val="00476203"/>
    <w:rsid w:val="00490C69"/>
    <w:rsid w:val="004A2871"/>
    <w:rsid w:val="004A6DB8"/>
    <w:rsid w:val="004B0388"/>
    <w:rsid w:val="004B32C1"/>
    <w:rsid w:val="004B7BBE"/>
    <w:rsid w:val="004F19D4"/>
    <w:rsid w:val="004F423F"/>
    <w:rsid w:val="00507E86"/>
    <w:rsid w:val="0051255A"/>
    <w:rsid w:val="00513EC5"/>
    <w:rsid w:val="00515CEA"/>
    <w:rsid w:val="00530CEE"/>
    <w:rsid w:val="00531B38"/>
    <w:rsid w:val="00535478"/>
    <w:rsid w:val="00540ABA"/>
    <w:rsid w:val="005446B8"/>
    <w:rsid w:val="00545A97"/>
    <w:rsid w:val="00550D36"/>
    <w:rsid w:val="0055769F"/>
    <w:rsid w:val="00566EA9"/>
    <w:rsid w:val="00570899"/>
    <w:rsid w:val="00572266"/>
    <w:rsid w:val="00573720"/>
    <w:rsid w:val="00576196"/>
    <w:rsid w:val="00583584"/>
    <w:rsid w:val="00584681"/>
    <w:rsid w:val="005907F0"/>
    <w:rsid w:val="0059569F"/>
    <w:rsid w:val="00597F68"/>
    <w:rsid w:val="005A0384"/>
    <w:rsid w:val="005B2FB8"/>
    <w:rsid w:val="005B47AB"/>
    <w:rsid w:val="005B65B4"/>
    <w:rsid w:val="005C4841"/>
    <w:rsid w:val="005C495D"/>
    <w:rsid w:val="005D4011"/>
    <w:rsid w:val="005D7411"/>
    <w:rsid w:val="005E02E2"/>
    <w:rsid w:val="005E2F53"/>
    <w:rsid w:val="005E7CF0"/>
    <w:rsid w:val="005F14E9"/>
    <w:rsid w:val="005F2EBF"/>
    <w:rsid w:val="00600FE9"/>
    <w:rsid w:val="00603E36"/>
    <w:rsid w:val="00605C90"/>
    <w:rsid w:val="0062069A"/>
    <w:rsid w:val="006237AF"/>
    <w:rsid w:val="00626B67"/>
    <w:rsid w:val="006337C1"/>
    <w:rsid w:val="00643CE4"/>
    <w:rsid w:val="00653C36"/>
    <w:rsid w:val="00666DF5"/>
    <w:rsid w:val="006710A7"/>
    <w:rsid w:val="0068468A"/>
    <w:rsid w:val="00684B75"/>
    <w:rsid w:val="00685229"/>
    <w:rsid w:val="00685325"/>
    <w:rsid w:val="0068594E"/>
    <w:rsid w:val="006A622C"/>
    <w:rsid w:val="006A6514"/>
    <w:rsid w:val="006B0670"/>
    <w:rsid w:val="006B0FFA"/>
    <w:rsid w:val="006B55E7"/>
    <w:rsid w:val="006C1943"/>
    <w:rsid w:val="006C2355"/>
    <w:rsid w:val="006C7B38"/>
    <w:rsid w:val="006C7C1D"/>
    <w:rsid w:val="006E1D62"/>
    <w:rsid w:val="006E40E2"/>
    <w:rsid w:val="006F7A15"/>
    <w:rsid w:val="00701F0D"/>
    <w:rsid w:val="00711827"/>
    <w:rsid w:val="00760810"/>
    <w:rsid w:val="0076085B"/>
    <w:rsid w:val="00760B02"/>
    <w:rsid w:val="0077493E"/>
    <w:rsid w:val="00775CA3"/>
    <w:rsid w:val="00776965"/>
    <w:rsid w:val="00780E64"/>
    <w:rsid w:val="00783D3C"/>
    <w:rsid w:val="00784418"/>
    <w:rsid w:val="0079375A"/>
    <w:rsid w:val="007A006D"/>
    <w:rsid w:val="007B0170"/>
    <w:rsid w:val="007B1D05"/>
    <w:rsid w:val="007D0331"/>
    <w:rsid w:val="007D6462"/>
    <w:rsid w:val="007E7674"/>
    <w:rsid w:val="007F5502"/>
    <w:rsid w:val="00800861"/>
    <w:rsid w:val="008106B6"/>
    <w:rsid w:val="0081273F"/>
    <w:rsid w:val="00814E25"/>
    <w:rsid w:val="00834D9F"/>
    <w:rsid w:val="00837066"/>
    <w:rsid w:val="00840953"/>
    <w:rsid w:val="00842028"/>
    <w:rsid w:val="00852EFF"/>
    <w:rsid w:val="008618D3"/>
    <w:rsid w:val="00875126"/>
    <w:rsid w:val="00880C57"/>
    <w:rsid w:val="0088556D"/>
    <w:rsid w:val="00886693"/>
    <w:rsid w:val="008C2623"/>
    <w:rsid w:val="008D424F"/>
    <w:rsid w:val="008D4D77"/>
    <w:rsid w:val="008F0988"/>
    <w:rsid w:val="008F2C1C"/>
    <w:rsid w:val="008F6F21"/>
    <w:rsid w:val="008F73A8"/>
    <w:rsid w:val="00900628"/>
    <w:rsid w:val="00907C95"/>
    <w:rsid w:val="009169BB"/>
    <w:rsid w:val="00922432"/>
    <w:rsid w:val="00924BD0"/>
    <w:rsid w:val="00926FAB"/>
    <w:rsid w:val="00941765"/>
    <w:rsid w:val="009517F7"/>
    <w:rsid w:val="00960FFE"/>
    <w:rsid w:val="009619C3"/>
    <w:rsid w:val="0097197B"/>
    <w:rsid w:val="0097451A"/>
    <w:rsid w:val="009A0B14"/>
    <w:rsid w:val="009B0A68"/>
    <w:rsid w:val="009B66A7"/>
    <w:rsid w:val="009C1EEE"/>
    <w:rsid w:val="009C417C"/>
    <w:rsid w:val="009E2BAF"/>
    <w:rsid w:val="009E66F6"/>
    <w:rsid w:val="009E6DDC"/>
    <w:rsid w:val="009F2FEF"/>
    <w:rsid w:val="00A238A6"/>
    <w:rsid w:val="00A30002"/>
    <w:rsid w:val="00A335C4"/>
    <w:rsid w:val="00A369D3"/>
    <w:rsid w:val="00A43BF2"/>
    <w:rsid w:val="00A441D3"/>
    <w:rsid w:val="00A46325"/>
    <w:rsid w:val="00A46A49"/>
    <w:rsid w:val="00A47CB7"/>
    <w:rsid w:val="00A50013"/>
    <w:rsid w:val="00A608F4"/>
    <w:rsid w:val="00A60EDF"/>
    <w:rsid w:val="00A61974"/>
    <w:rsid w:val="00A63E0E"/>
    <w:rsid w:val="00A65318"/>
    <w:rsid w:val="00A6549D"/>
    <w:rsid w:val="00A65D8D"/>
    <w:rsid w:val="00A66554"/>
    <w:rsid w:val="00A70A77"/>
    <w:rsid w:val="00A862FF"/>
    <w:rsid w:val="00AA3C0B"/>
    <w:rsid w:val="00AC76C5"/>
    <w:rsid w:val="00AD7258"/>
    <w:rsid w:val="00AF1D0D"/>
    <w:rsid w:val="00AF7250"/>
    <w:rsid w:val="00AF7FDC"/>
    <w:rsid w:val="00B0254E"/>
    <w:rsid w:val="00B13BEE"/>
    <w:rsid w:val="00B23393"/>
    <w:rsid w:val="00B269FE"/>
    <w:rsid w:val="00B36A2E"/>
    <w:rsid w:val="00B440A2"/>
    <w:rsid w:val="00B47B84"/>
    <w:rsid w:val="00B55C89"/>
    <w:rsid w:val="00B606AC"/>
    <w:rsid w:val="00B61409"/>
    <w:rsid w:val="00B723F5"/>
    <w:rsid w:val="00B74B42"/>
    <w:rsid w:val="00B8089E"/>
    <w:rsid w:val="00BA4701"/>
    <w:rsid w:val="00BB7309"/>
    <w:rsid w:val="00BC426C"/>
    <w:rsid w:val="00BD24DF"/>
    <w:rsid w:val="00BE5A0B"/>
    <w:rsid w:val="00BF2A21"/>
    <w:rsid w:val="00BF7290"/>
    <w:rsid w:val="00C020CF"/>
    <w:rsid w:val="00C07B58"/>
    <w:rsid w:val="00C110DB"/>
    <w:rsid w:val="00C46540"/>
    <w:rsid w:val="00C47172"/>
    <w:rsid w:val="00C546DB"/>
    <w:rsid w:val="00C96904"/>
    <w:rsid w:val="00CA3269"/>
    <w:rsid w:val="00CA4B7A"/>
    <w:rsid w:val="00CA7098"/>
    <w:rsid w:val="00CB5B1F"/>
    <w:rsid w:val="00CE0D14"/>
    <w:rsid w:val="00CF4EA2"/>
    <w:rsid w:val="00CF5CA6"/>
    <w:rsid w:val="00D104D7"/>
    <w:rsid w:val="00D14937"/>
    <w:rsid w:val="00D17603"/>
    <w:rsid w:val="00D1767A"/>
    <w:rsid w:val="00D30236"/>
    <w:rsid w:val="00D319E3"/>
    <w:rsid w:val="00D35447"/>
    <w:rsid w:val="00D40BD9"/>
    <w:rsid w:val="00D40CEF"/>
    <w:rsid w:val="00D55839"/>
    <w:rsid w:val="00D55A9A"/>
    <w:rsid w:val="00D5649F"/>
    <w:rsid w:val="00D630F5"/>
    <w:rsid w:val="00D64769"/>
    <w:rsid w:val="00D65FD0"/>
    <w:rsid w:val="00D7051A"/>
    <w:rsid w:val="00D757F3"/>
    <w:rsid w:val="00D77EFF"/>
    <w:rsid w:val="00D8217E"/>
    <w:rsid w:val="00D83523"/>
    <w:rsid w:val="00D90E46"/>
    <w:rsid w:val="00D93D54"/>
    <w:rsid w:val="00D9455F"/>
    <w:rsid w:val="00DA4873"/>
    <w:rsid w:val="00DA53FF"/>
    <w:rsid w:val="00DB09E1"/>
    <w:rsid w:val="00DB2413"/>
    <w:rsid w:val="00DB7C2B"/>
    <w:rsid w:val="00DC17D3"/>
    <w:rsid w:val="00DC31DE"/>
    <w:rsid w:val="00DD4796"/>
    <w:rsid w:val="00DD581C"/>
    <w:rsid w:val="00DE3540"/>
    <w:rsid w:val="00DE5EAC"/>
    <w:rsid w:val="00DF662D"/>
    <w:rsid w:val="00DF783F"/>
    <w:rsid w:val="00E0551D"/>
    <w:rsid w:val="00E062F5"/>
    <w:rsid w:val="00E113DA"/>
    <w:rsid w:val="00E22845"/>
    <w:rsid w:val="00E30098"/>
    <w:rsid w:val="00E40A08"/>
    <w:rsid w:val="00E4603C"/>
    <w:rsid w:val="00E47121"/>
    <w:rsid w:val="00E54DEB"/>
    <w:rsid w:val="00E604C7"/>
    <w:rsid w:val="00E704DB"/>
    <w:rsid w:val="00E70A51"/>
    <w:rsid w:val="00E71130"/>
    <w:rsid w:val="00E72169"/>
    <w:rsid w:val="00E7366C"/>
    <w:rsid w:val="00E75314"/>
    <w:rsid w:val="00E75A3E"/>
    <w:rsid w:val="00E84BB5"/>
    <w:rsid w:val="00E942C1"/>
    <w:rsid w:val="00E957B1"/>
    <w:rsid w:val="00EA0E6F"/>
    <w:rsid w:val="00EA5411"/>
    <w:rsid w:val="00EB2359"/>
    <w:rsid w:val="00EB5FC4"/>
    <w:rsid w:val="00EC164F"/>
    <w:rsid w:val="00ED1964"/>
    <w:rsid w:val="00ED4C0C"/>
    <w:rsid w:val="00ED5681"/>
    <w:rsid w:val="00EE07F3"/>
    <w:rsid w:val="00EE3EC8"/>
    <w:rsid w:val="00EE6797"/>
    <w:rsid w:val="00EF034A"/>
    <w:rsid w:val="00EF1D1D"/>
    <w:rsid w:val="00EF2098"/>
    <w:rsid w:val="00F02E87"/>
    <w:rsid w:val="00F1180D"/>
    <w:rsid w:val="00F127D7"/>
    <w:rsid w:val="00F13003"/>
    <w:rsid w:val="00F16395"/>
    <w:rsid w:val="00F207EB"/>
    <w:rsid w:val="00F21E48"/>
    <w:rsid w:val="00F331FF"/>
    <w:rsid w:val="00F42C60"/>
    <w:rsid w:val="00F476BC"/>
    <w:rsid w:val="00F5312E"/>
    <w:rsid w:val="00F53732"/>
    <w:rsid w:val="00F555B9"/>
    <w:rsid w:val="00F56E9C"/>
    <w:rsid w:val="00F57ABE"/>
    <w:rsid w:val="00F62C0A"/>
    <w:rsid w:val="00F77BA2"/>
    <w:rsid w:val="00F80097"/>
    <w:rsid w:val="00F85D03"/>
    <w:rsid w:val="00F93BC5"/>
    <w:rsid w:val="00F94E70"/>
    <w:rsid w:val="00FA2BD0"/>
    <w:rsid w:val="00FA4496"/>
    <w:rsid w:val="00FB43EE"/>
    <w:rsid w:val="00FC7104"/>
    <w:rsid w:val="00FC7966"/>
    <w:rsid w:val="00FD0DDC"/>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AD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ind w:left="-10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3 Char,Footnote Text Char1"/>
    <w:basedOn w:val="Normal"/>
    <w:link w:val="FootnoteTextChar2"/>
    <w:rsid w:val="0068468A"/>
  </w:style>
  <w:style w:type="character" w:styleId="FootnoteReference">
    <w:name w:val="footnote reference"/>
    <w:aliases w:val="Appel note de bas de p,Style 12,(NECG) Footnote Reference,Style 124,o,fr,Style 3,Style 13,FR,Style 17,Style 6,Footnote Reference/,Style 4,Style 7"/>
    <w:rsid w:val="0068468A"/>
    <w:rPr>
      <w:vertAlign w:val="superscript"/>
    </w:rPr>
  </w:style>
  <w:style w:type="paragraph" w:customStyle="1" w:styleId="Paragraph">
    <w:name w:val="Paragraph"/>
    <w:basedOn w:val="Normal"/>
    <w:pPr>
      <w:widowControl w:val="0"/>
      <w:suppressAutoHyphens/>
      <w:spacing w:after="200"/>
    </w:pPr>
    <w:rPr>
      <w:snapToGrid w:val="0"/>
      <w:kern w:val="28"/>
      <w:sz w:val="22"/>
    </w:rPr>
  </w:style>
  <w:style w:type="character" w:customStyle="1" w:styleId="FootnoteTextChar2">
    <w:name w:val="Footnote Text Char2"/>
    <w:aliases w:val="Footnote Text Char Char,Footnote Text Char2 Char Char,Footnote Text Char Char Char Char,Footnote Text Char1 Char Char1 Char Char,Footnote Text Char Char1 Char Char Char Char,Footnote Text Char3 Char Char Char Char Char Char"/>
    <w:link w:val="FootnoteText"/>
    <w:rPr>
      <w:sz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1"/>
    <w:pPr>
      <w:widowControl w:val="0"/>
      <w:numPr>
        <w:numId w:val="1"/>
      </w:numPr>
      <w:spacing w:after="120"/>
    </w:pPr>
    <w:rPr>
      <w:snapToGrid w:val="0"/>
      <w:kern w:val="28"/>
      <w:sz w:val="22"/>
    </w:rPr>
  </w:style>
  <w:style w:type="character" w:customStyle="1" w:styleId="ParaNumChar1">
    <w:name w:val="ParaNum Char1"/>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searchterm">
    <w:name w:val="searchterm"/>
    <w:basedOn w:val="DefaultParagraphFont"/>
  </w:style>
  <w:style w:type="character" w:styleId="PageNumber">
    <w:name w:val="page number"/>
    <w:basedOn w:val="DefaultParagraphFont"/>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basedOn w:val="DefaultParagraphFont"/>
    <w:rsid w:val="00666DF5"/>
    <w:rPr>
      <w:color w:val="800080" w:themeColor="followedHyperlink"/>
      <w:u w:val="single"/>
    </w:rPr>
  </w:style>
  <w:style w:type="paragraph" w:customStyle="1" w:styleId="paragraph0">
    <w:name w:val="paragraph"/>
    <w:basedOn w:val="Normal"/>
    <w:rsid w:val="00E7366C"/>
    <w:pPr>
      <w:spacing w:before="100" w:beforeAutospacing="1" w:after="100" w:afterAutospacing="1"/>
    </w:pPr>
    <w:rPr>
      <w:szCs w:val="24"/>
    </w:rPr>
  </w:style>
  <w:style w:type="character" w:customStyle="1" w:styleId="normaltextrun">
    <w:name w:val="normaltextrun"/>
    <w:basedOn w:val="DefaultParagraphFont"/>
    <w:rsid w:val="00E7366C"/>
  </w:style>
  <w:style w:type="character" w:customStyle="1" w:styleId="eop">
    <w:name w:val="eop"/>
    <w:basedOn w:val="DefaultParagraphFont"/>
    <w:rsid w:val="00E7366C"/>
  </w:style>
  <w:style w:type="character" w:customStyle="1" w:styleId="scx162200607">
    <w:name w:val="scx162200607"/>
    <w:basedOn w:val="DefaultParagraphFont"/>
    <w:rsid w:val="00E7366C"/>
  </w:style>
  <w:style w:type="character" w:customStyle="1" w:styleId="spellingerror">
    <w:name w:val="spellingerror"/>
    <w:basedOn w:val="DefaultParagraphFont"/>
    <w:rsid w:val="00E7366C"/>
  </w:style>
  <w:style w:type="paragraph" w:styleId="Revision">
    <w:name w:val="Revision"/>
    <w:hidden/>
    <w:uiPriority w:val="99"/>
    <w:semiHidden/>
    <w:rsid w:val="000D2596"/>
    <w:rPr>
      <w:sz w:val="24"/>
    </w:rPr>
  </w:style>
  <w:style w:type="paragraph" w:styleId="EndnoteText">
    <w:name w:val="endnote text"/>
    <w:basedOn w:val="Normal"/>
    <w:link w:val="EndnoteTextChar"/>
    <w:semiHidden/>
    <w:unhideWhenUsed/>
    <w:rsid w:val="0062069A"/>
    <w:rPr>
      <w:sz w:val="20"/>
    </w:rPr>
  </w:style>
  <w:style w:type="character" w:customStyle="1" w:styleId="EndnoteTextChar">
    <w:name w:val="Endnote Text Char"/>
    <w:basedOn w:val="DefaultParagraphFont"/>
    <w:link w:val="EndnoteText"/>
    <w:semiHidden/>
    <w:rsid w:val="0062069A"/>
  </w:style>
  <w:style w:type="character" w:styleId="EndnoteReference">
    <w:name w:val="endnote reference"/>
    <w:basedOn w:val="DefaultParagraphFont"/>
    <w:semiHidden/>
    <w:unhideWhenUsed/>
    <w:rsid w:val="006206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ind w:left="-10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3 Char,Footnote Text Char1"/>
    <w:basedOn w:val="Normal"/>
    <w:link w:val="FootnoteTextChar2"/>
    <w:rsid w:val="0068468A"/>
  </w:style>
  <w:style w:type="character" w:styleId="FootnoteReference">
    <w:name w:val="footnote reference"/>
    <w:aliases w:val="Appel note de bas de p,Style 12,(NECG) Footnote Reference,Style 124,o,fr,Style 3,Style 13,FR,Style 17,Style 6,Footnote Reference/,Style 4,Style 7"/>
    <w:rsid w:val="0068468A"/>
    <w:rPr>
      <w:vertAlign w:val="superscript"/>
    </w:rPr>
  </w:style>
  <w:style w:type="paragraph" w:customStyle="1" w:styleId="Paragraph">
    <w:name w:val="Paragraph"/>
    <w:basedOn w:val="Normal"/>
    <w:pPr>
      <w:widowControl w:val="0"/>
      <w:suppressAutoHyphens/>
      <w:spacing w:after="200"/>
    </w:pPr>
    <w:rPr>
      <w:snapToGrid w:val="0"/>
      <w:kern w:val="28"/>
      <w:sz w:val="22"/>
    </w:rPr>
  </w:style>
  <w:style w:type="character" w:customStyle="1" w:styleId="FootnoteTextChar2">
    <w:name w:val="Footnote Text Char2"/>
    <w:aliases w:val="Footnote Text Char Char,Footnote Text Char2 Char Char,Footnote Text Char Char Char Char,Footnote Text Char1 Char Char1 Char Char,Footnote Text Char Char1 Char Char Char Char,Footnote Text Char3 Char Char Char Char Char Char"/>
    <w:link w:val="FootnoteText"/>
    <w:rPr>
      <w:sz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1"/>
    <w:pPr>
      <w:widowControl w:val="0"/>
      <w:numPr>
        <w:numId w:val="1"/>
      </w:numPr>
      <w:spacing w:after="120"/>
    </w:pPr>
    <w:rPr>
      <w:snapToGrid w:val="0"/>
      <w:kern w:val="28"/>
      <w:sz w:val="22"/>
    </w:rPr>
  </w:style>
  <w:style w:type="character" w:customStyle="1" w:styleId="ParaNumChar1">
    <w:name w:val="ParaNum Char1"/>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searchterm">
    <w:name w:val="searchterm"/>
    <w:basedOn w:val="DefaultParagraphFont"/>
  </w:style>
  <w:style w:type="character" w:styleId="PageNumber">
    <w:name w:val="page number"/>
    <w:basedOn w:val="DefaultParagraphFont"/>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basedOn w:val="DefaultParagraphFont"/>
    <w:rsid w:val="00666DF5"/>
    <w:rPr>
      <w:color w:val="800080" w:themeColor="followedHyperlink"/>
      <w:u w:val="single"/>
    </w:rPr>
  </w:style>
  <w:style w:type="paragraph" w:customStyle="1" w:styleId="paragraph0">
    <w:name w:val="paragraph"/>
    <w:basedOn w:val="Normal"/>
    <w:rsid w:val="00E7366C"/>
    <w:pPr>
      <w:spacing w:before="100" w:beforeAutospacing="1" w:after="100" w:afterAutospacing="1"/>
    </w:pPr>
    <w:rPr>
      <w:szCs w:val="24"/>
    </w:rPr>
  </w:style>
  <w:style w:type="character" w:customStyle="1" w:styleId="normaltextrun">
    <w:name w:val="normaltextrun"/>
    <w:basedOn w:val="DefaultParagraphFont"/>
    <w:rsid w:val="00E7366C"/>
  </w:style>
  <w:style w:type="character" w:customStyle="1" w:styleId="eop">
    <w:name w:val="eop"/>
    <w:basedOn w:val="DefaultParagraphFont"/>
    <w:rsid w:val="00E7366C"/>
  </w:style>
  <w:style w:type="character" w:customStyle="1" w:styleId="scx162200607">
    <w:name w:val="scx162200607"/>
    <w:basedOn w:val="DefaultParagraphFont"/>
    <w:rsid w:val="00E7366C"/>
  </w:style>
  <w:style w:type="character" w:customStyle="1" w:styleId="spellingerror">
    <w:name w:val="spellingerror"/>
    <w:basedOn w:val="DefaultParagraphFont"/>
    <w:rsid w:val="00E7366C"/>
  </w:style>
  <w:style w:type="paragraph" w:styleId="Revision">
    <w:name w:val="Revision"/>
    <w:hidden/>
    <w:uiPriority w:val="99"/>
    <w:semiHidden/>
    <w:rsid w:val="000D2596"/>
    <w:rPr>
      <w:sz w:val="24"/>
    </w:rPr>
  </w:style>
  <w:style w:type="paragraph" w:styleId="EndnoteText">
    <w:name w:val="endnote text"/>
    <w:basedOn w:val="Normal"/>
    <w:link w:val="EndnoteTextChar"/>
    <w:semiHidden/>
    <w:unhideWhenUsed/>
    <w:rsid w:val="0062069A"/>
    <w:rPr>
      <w:sz w:val="20"/>
    </w:rPr>
  </w:style>
  <w:style w:type="character" w:customStyle="1" w:styleId="EndnoteTextChar">
    <w:name w:val="Endnote Text Char"/>
    <w:basedOn w:val="DefaultParagraphFont"/>
    <w:link w:val="EndnoteText"/>
    <w:semiHidden/>
    <w:rsid w:val="0062069A"/>
  </w:style>
  <w:style w:type="character" w:styleId="EndnoteReference">
    <w:name w:val="endnote reference"/>
    <w:basedOn w:val="DefaultParagraphFont"/>
    <w:semiHidden/>
    <w:unhideWhenUsed/>
    <w:rsid w:val="0062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3667">
      <w:bodyDiv w:val="1"/>
      <w:marLeft w:val="0"/>
      <w:marRight w:val="0"/>
      <w:marTop w:val="0"/>
      <w:marBottom w:val="0"/>
      <w:divBdr>
        <w:top w:val="none" w:sz="0" w:space="0" w:color="auto"/>
        <w:left w:val="none" w:sz="0" w:space="0" w:color="auto"/>
        <w:bottom w:val="none" w:sz="0" w:space="0" w:color="auto"/>
        <w:right w:val="none" w:sz="0" w:space="0" w:color="auto"/>
      </w:divBdr>
      <w:divsChild>
        <w:div w:id="733939080">
          <w:marLeft w:val="0"/>
          <w:marRight w:val="0"/>
          <w:marTop w:val="0"/>
          <w:marBottom w:val="0"/>
          <w:divBdr>
            <w:top w:val="none" w:sz="0" w:space="0" w:color="auto"/>
            <w:left w:val="none" w:sz="0" w:space="0" w:color="auto"/>
            <w:bottom w:val="none" w:sz="0" w:space="0" w:color="auto"/>
            <w:right w:val="none" w:sz="0" w:space="0" w:color="auto"/>
          </w:divBdr>
        </w:div>
        <w:div w:id="807624137">
          <w:marLeft w:val="0"/>
          <w:marRight w:val="0"/>
          <w:marTop w:val="0"/>
          <w:marBottom w:val="0"/>
          <w:divBdr>
            <w:top w:val="none" w:sz="0" w:space="0" w:color="auto"/>
            <w:left w:val="none" w:sz="0" w:space="0" w:color="auto"/>
            <w:bottom w:val="none" w:sz="0" w:space="0" w:color="auto"/>
            <w:right w:val="none" w:sz="0" w:space="0" w:color="auto"/>
          </w:divBdr>
        </w:div>
        <w:div w:id="2059281625">
          <w:marLeft w:val="0"/>
          <w:marRight w:val="0"/>
          <w:marTop w:val="0"/>
          <w:marBottom w:val="0"/>
          <w:divBdr>
            <w:top w:val="none" w:sz="0" w:space="0" w:color="auto"/>
            <w:left w:val="none" w:sz="0" w:space="0" w:color="auto"/>
            <w:bottom w:val="none" w:sz="0" w:space="0" w:color="auto"/>
            <w:right w:val="none" w:sz="0" w:space="0" w:color="auto"/>
          </w:divBdr>
        </w:div>
        <w:div w:id="941645177">
          <w:marLeft w:val="0"/>
          <w:marRight w:val="0"/>
          <w:marTop w:val="0"/>
          <w:marBottom w:val="0"/>
          <w:divBdr>
            <w:top w:val="none" w:sz="0" w:space="0" w:color="auto"/>
            <w:left w:val="none" w:sz="0" w:space="0" w:color="auto"/>
            <w:bottom w:val="none" w:sz="0" w:space="0" w:color="auto"/>
            <w:right w:val="none" w:sz="0" w:space="0" w:color="auto"/>
          </w:divBdr>
        </w:div>
        <w:div w:id="2117173125">
          <w:marLeft w:val="0"/>
          <w:marRight w:val="0"/>
          <w:marTop w:val="0"/>
          <w:marBottom w:val="0"/>
          <w:divBdr>
            <w:top w:val="none" w:sz="0" w:space="0" w:color="auto"/>
            <w:left w:val="none" w:sz="0" w:space="0" w:color="auto"/>
            <w:bottom w:val="none" w:sz="0" w:space="0" w:color="auto"/>
            <w:right w:val="none" w:sz="0" w:space="0" w:color="auto"/>
          </w:divBdr>
        </w:div>
        <w:div w:id="1323511109">
          <w:marLeft w:val="0"/>
          <w:marRight w:val="0"/>
          <w:marTop w:val="0"/>
          <w:marBottom w:val="0"/>
          <w:divBdr>
            <w:top w:val="none" w:sz="0" w:space="0" w:color="auto"/>
            <w:left w:val="none" w:sz="0" w:space="0" w:color="auto"/>
            <w:bottom w:val="none" w:sz="0" w:space="0" w:color="auto"/>
            <w:right w:val="none" w:sz="0" w:space="0" w:color="auto"/>
          </w:divBdr>
        </w:div>
        <w:div w:id="1249971151">
          <w:marLeft w:val="0"/>
          <w:marRight w:val="0"/>
          <w:marTop w:val="0"/>
          <w:marBottom w:val="0"/>
          <w:divBdr>
            <w:top w:val="none" w:sz="0" w:space="0" w:color="auto"/>
            <w:left w:val="none" w:sz="0" w:space="0" w:color="auto"/>
            <w:bottom w:val="none" w:sz="0" w:space="0" w:color="auto"/>
            <w:right w:val="none" w:sz="0" w:space="0" w:color="auto"/>
          </w:divBdr>
        </w:div>
        <w:div w:id="276110311">
          <w:marLeft w:val="0"/>
          <w:marRight w:val="0"/>
          <w:marTop w:val="0"/>
          <w:marBottom w:val="0"/>
          <w:divBdr>
            <w:top w:val="none" w:sz="0" w:space="0" w:color="auto"/>
            <w:left w:val="none" w:sz="0" w:space="0" w:color="auto"/>
            <w:bottom w:val="none" w:sz="0" w:space="0" w:color="auto"/>
            <w:right w:val="none" w:sz="0" w:space="0" w:color="auto"/>
          </w:divBdr>
        </w:div>
        <w:div w:id="1970235941">
          <w:marLeft w:val="0"/>
          <w:marRight w:val="0"/>
          <w:marTop w:val="0"/>
          <w:marBottom w:val="0"/>
          <w:divBdr>
            <w:top w:val="none" w:sz="0" w:space="0" w:color="auto"/>
            <w:left w:val="none" w:sz="0" w:space="0" w:color="auto"/>
            <w:bottom w:val="none" w:sz="0" w:space="0" w:color="auto"/>
            <w:right w:val="none" w:sz="0" w:space="0" w:color="auto"/>
          </w:divBdr>
        </w:div>
        <w:div w:id="1075976859">
          <w:marLeft w:val="0"/>
          <w:marRight w:val="0"/>
          <w:marTop w:val="0"/>
          <w:marBottom w:val="0"/>
          <w:divBdr>
            <w:top w:val="none" w:sz="0" w:space="0" w:color="auto"/>
            <w:left w:val="none" w:sz="0" w:space="0" w:color="auto"/>
            <w:bottom w:val="none" w:sz="0" w:space="0" w:color="auto"/>
            <w:right w:val="none" w:sz="0" w:space="0" w:color="auto"/>
          </w:divBdr>
        </w:div>
        <w:div w:id="1117023627">
          <w:marLeft w:val="0"/>
          <w:marRight w:val="0"/>
          <w:marTop w:val="0"/>
          <w:marBottom w:val="0"/>
          <w:divBdr>
            <w:top w:val="none" w:sz="0" w:space="0" w:color="auto"/>
            <w:left w:val="none" w:sz="0" w:space="0" w:color="auto"/>
            <w:bottom w:val="none" w:sz="0" w:space="0" w:color="auto"/>
            <w:right w:val="none" w:sz="0" w:space="0" w:color="auto"/>
          </w:divBdr>
        </w:div>
      </w:divsChild>
    </w:div>
    <w:div w:id="11675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consumers/guides/accessibility-emergency-information-televisio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ll.schell@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document/implementation-twenty-first-century-communications-video-accessibilit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2491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2899</CharactersWithSpaces>
  <SharedDoc>false</SharedDoc>
  <HyperlinkBase> </HyperlinkBase>
  <HLinks>
    <vt:vector size="36" baseType="variant">
      <vt:variant>
        <vt:i4>3473482</vt:i4>
      </vt:variant>
      <vt:variant>
        <vt:i4>15</vt:i4>
      </vt:variant>
      <vt:variant>
        <vt:i4>0</vt:i4>
      </vt:variant>
      <vt:variant>
        <vt:i4>5</vt:i4>
      </vt:variant>
      <vt:variant>
        <vt:lpwstr>mailto:fcc504@fcc.gov</vt:lpwstr>
      </vt:variant>
      <vt:variant>
        <vt:lpwstr/>
      </vt:variant>
      <vt:variant>
        <vt:i4>2949239</vt:i4>
      </vt:variant>
      <vt:variant>
        <vt:i4>12</vt:i4>
      </vt:variant>
      <vt:variant>
        <vt:i4>0</vt:i4>
      </vt:variant>
      <vt:variant>
        <vt:i4>5</vt:i4>
      </vt:variant>
      <vt:variant>
        <vt:lpwstr>http://www.fcc.gov/cgb/consumerfacts/closedcaption.html</vt:lpwstr>
      </vt:variant>
      <vt:variant>
        <vt:lpwstr/>
      </vt:variant>
      <vt:variant>
        <vt:i4>7798899</vt:i4>
      </vt:variant>
      <vt:variant>
        <vt:i4>9</vt:i4>
      </vt:variant>
      <vt:variant>
        <vt:i4>0</vt:i4>
      </vt:variant>
      <vt:variant>
        <vt:i4>5</vt:i4>
      </vt:variant>
      <vt:variant>
        <vt:lpwstr>http://www.fcc.gov/cgb/complaints.html</vt:lpwstr>
      </vt:variant>
      <vt:variant>
        <vt:lpwstr/>
      </vt:variant>
      <vt:variant>
        <vt:i4>7471172</vt:i4>
      </vt:variant>
      <vt:variant>
        <vt:i4>6</vt:i4>
      </vt:variant>
      <vt:variant>
        <vt:i4>0</vt:i4>
      </vt:variant>
      <vt:variant>
        <vt:i4>5</vt:i4>
      </vt:variant>
      <vt:variant>
        <vt:lpwstr>mailto:fccinfo@fcc.gov</vt:lpwstr>
      </vt:variant>
      <vt:variant>
        <vt:lpwstr/>
      </vt:variant>
      <vt:variant>
        <vt:i4>5111885</vt:i4>
      </vt:variant>
      <vt:variant>
        <vt:i4>3</vt:i4>
      </vt:variant>
      <vt:variant>
        <vt:i4>0</vt:i4>
      </vt:variant>
      <vt:variant>
        <vt:i4>5</vt:i4>
      </vt:variant>
      <vt:variant>
        <vt:lpwstr>http://www.fcc.gov/cgb/form2000c.html</vt:lpwstr>
      </vt:variant>
      <vt:variant>
        <vt:lpwstr/>
      </vt:variant>
      <vt:variant>
        <vt:i4>196684</vt:i4>
      </vt:variant>
      <vt:variant>
        <vt:i4>0</vt:i4>
      </vt:variant>
      <vt:variant>
        <vt:i4>0</vt:i4>
      </vt:variant>
      <vt:variant>
        <vt:i4>5</vt:i4>
      </vt:variant>
      <vt:variant>
        <vt:lpwstr>http://esupport.fcc.gov/vpd-search/search.action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2014-09-10T12:12:00Z</cp:lastPrinted>
  <dcterms:created xsi:type="dcterms:W3CDTF">2017-06-08T15:57:00Z</dcterms:created>
  <dcterms:modified xsi:type="dcterms:W3CDTF">2017-06-08T15:57:00Z</dcterms:modified>
  <cp:category> </cp:category>
  <cp:contentStatus> </cp:contentStatus>
</cp:coreProperties>
</file>