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80E3C" w14:textId="77777777" w:rsidR="004D5504" w:rsidRPr="00361351" w:rsidRDefault="004D5504" w:rsidP="002B5667">
      <w:pPr>
        <w:ind w:firstLine="720"/>
        <w:rPr>
          <w:sz w:val="22"/>
          <w:szCs w:val="22"/>
        </w:rPr>
      </w:pPr>
      <w:bookmarkStart w:id="0" w:name="_GoBack"/>
      <w:bookmarkEnd w:id="0"/>
    </w:p>
    <w:p w14:paraId="16E6FD86" w14:textId="77777777" w:rsidR="005851D7" w:rsidRDefault="005851D7" w:rsidP="00D4568E">
      <w:pPr>
        <w:ind w:left="360" w:firstLine="720"/>
        <w:jc w:val="right"/>
        <w:rPr>
          <w:sz w:val="22"/>
          <w:szCs w:val="22"/>
        </w:rPr>
      </w:pPr>
    </w:p>
    <w:p w14:paraId="3698BC78" w14:textId="2603D2D4" w:rsidR="00624EA1" w:rsidRPr="00D4568E" w:rsidRDefault="00924084" w:rsidP="00D4568E">
      <w:pPr>
        <w:ind w:left="360" w:firstLine="720"/>
        <w:jc w:val="right"/>
        <w:rPr>
          <w:sz w:val="22"/>
          <w:szCs w:val="22"/>
        </w:rPr>
      </w:pPr>
      <w:r>
        <w:rPr>
          <w:sz w:val="22"/>
          <w:szCs w:val="22"/>
        </w:rPr>
        <w:t xml:space="preserve">DA </w:t>
      </w:r>
      <w:r w:rsidR="003C4F22">
        <w:rPr>
          <w:sz w:val="22"/>
          <w:szCs w:val="22"/>
        </w:rPr>
        <w:t>17-</w:t>
      </w:r>
      <w:r w:rsidR="00D32509">
        <w:rPr>
          <w:sz w:val="22"/>
          <w:szCs w:val="22"/>
        </w:rPr>
        <w:t>570</w:t>
      </w:r>
    </w:p>
    <w:p w14:paraId="1C8329AD" w14:textId="77777777" w:rsidR="00056F09" w:rsidRDefault="00056F09" w:rsidP="002B5667">
      <w:pPr>
        <w:pStyle w:val="Header"/>
        <w:tabs>
          <w:tab w:val="clear" w:pos="4320"/>
          <w:tab w:val="left" w:pos="720"/>
          <w:tab w:val="left" w:pos="1440"/>
        </w:tabs>
        <w:ind w:firstLine="720"/>
        <w:rPr>
          <w:b/>
          <w:sz w:val="22"/>
          <w:szCs w:val="22"/>
        </w:rPr>
      </w:pPr>
    </w:p>
    <w:p w14:paraId="6EE2A2C5" w14:textId="77777777" w:rsidR="005851D7" w:rsidRDefault="005851D7" w:rsidP="002B5667">
      <w:pPr>
        <w:pStyle w:val="Header"/>
        <w:tabs>
          <w:tab w:val="clear" w:pos="4320"/>
          <w:tab w:val="left" w:pos="720"/>
          <w:tab w:val="left" w:pos="1440"/>
        </w:tabs>
        <w:ind w:firstLine="720"/>
        <w:rPr>
          <w:b/>
          <w:sz w:val="22"/>
          <w:szCs w:val="22"/>
        </w:rPr>
      </w:pPr>
    </w:p>
    <w:p w14:paraId="078B4001" w14:textId="77777777" w:rsidR="004A3EE0" w:rsidRPr="00D4568E" w:rsidRDefault="004A3EE0" w:rsidP="002B5667">
      <w:pPr>
        <w:pStyle w:val="Header"/>
        <w:tabs>
          <w:tab w:val="clear" w:pos="4320"/>
          <w:tab w:val="left" w:pos="720"/>
          <w:tab w:val="left" w:pos="1440"/>
        </w:tabs>
        <w:ind w:firstLine="720"/>
        <w:rPr>
          <w:b/>
          <w:sz w:val="22"/>
          <w:szCs w:val="22"/>
        </w:rPr>
      </w:pPr>
    </w:p>
    <w:p w14:paraId="04231127" w14:textId="77777777" w:rsidR="00EA439A" w:rsidRPr="00B35F96" w:rsidRDefault="003C4F22" w:rsidP="000452EE">
      <w:pPr>
        <w:pStyle w:val="Header"/>
        <w:tabs>
          <w:tab w:val="left" w:pos="720"/>
          <w:tab w:val="left" w:pos="1440"/>
        </w:tabs>
        <w:rPr>
          <w:sz w:val="22"/>
          <w:szCs w:val="22"/>
        </w:rPr>
      </w:pPr>
      <w:r w:rsidRPr="00B35F96">
        <w:rPr>
          <w:sz w:val="22"/>
          <w:szCs w:val="22"/>
        </w:rPr>
        <w:t>Alex Sene</w:t>
      </w:r>
      <w:r w:rsidR="00D80761" w:rsidRPr="00B35F96">
        <w:rPr>
          <w:sz w:val="22"/>
          <w:szCs w:val="22"/>
        </w:rPr>
        <w:t xml:space="preserve">, </w:t>
      </w:r>
      <w:r w:rsidRPr="00B35F96">
        <w:rPr>
          <w:sz w:val="22"/>
          <w:szCs w:val="22"/>
        </w:rPr>
        <w:t>Acting CEO</w:t>
      </w:r>
    </w:p>
    <w:p w14:paraId="5055ADC7" w14:textId="77777777" w:rsidR="003C4F22" w:rsidRDefault="003C4F22" w:rsidP="00BB4E53">
      <w:pPr>
        <w:pStyle w:val="Header"/>
        <w:tabs>
          <w:tab w:val="clear" w:pos="4320"/>
          <w:tab w:val="left" w:pos="720"/>
          <w:tab w:val="left" w:pos="1440"/>
        </w:tabs>
        <w:rPr>
          <w:sz w:val="22"/>
          <w:szCs w:val="22"/>
        </w:rPr>
      </w:pPr>
      <w:r w:rsidRPr="00B35F96">
        <w:rPr>
          <w:sz w:val="22"/>
          <w:szCs w:val="22"/>
        </w:rPr>
        <w:t>American Samoa Telecommunications</w:t>
      </w:r>
      <w:r>
        <w:rPr>
          <w:sz w:val="22"/>
          <w:szCs w:val="22"/>
        </w:rPr>
        <w:t xml:space="preserve"> Authority</w:t>
      </w:r>
    </w:p>
    <w:p w14:paraId="01F8965F" w14:textId="77777777" w:rsidR="003C4F22" w:rsidRDefault="003C4F22" w:rsidP="00BB4E53">
      <w:pPr>
        <w:pStyle w:val="Header"/>
        <w:tabs>
          <w:tab w:val="clear" w:pos="4320"/>
          <w:tab w:val="left" w:pos="720"/>
          <w:tab w:val="left" w:pos="1440"/>
        </w:tabs>
        <w:rPr>
          <w:sz w:val="22"/>
          <w:szCs w:val="22"/>
        </w:rPr>
      </w:pPr>
      <w:r>
        <w:rPr>
          <w:sz w:val="22"/>
          <w:szCs w:val="22"/>
        </w:rPr>
        <w:t>P.O. Box M</w:t>
      </w:r>
    </w:p>
    <w:p w14:paraId="38AD5D47" w14:textId="77777777" w:rsidR="003C4F22" w:rsidRPr="00C22544" w:rsidRDefault="0097373B" w:rsidP="00BB4E53">
      <w:pPr>
        <w:pStyle w:val="Header"/>
        <w:tabs>
          <w:tab w:val="clear" w:pos="4320"/>
          <w:tab w:val="left" w:pos="720"/>
          <w:tab w:val="left" w:pos="1440"/>
        </w:tabs>
        <w:rPr>
          <w:sz w:val="22"/>
          <w:szCs w:val="22"/>
        </w:rPr>
      </w:pPr>
      <w:r>
        <w:rPr>
          <w:sz w:val="22"/>
          <w:szCs w:val="22"/>
        </w:rPr>
        <w:t xml:space="preserve">Pago Pago, AS </w:t>
      </w:r>
      <w:r w:rsidR="003C4F22">
        <w:rPr>
          <w:sz w:val="22"/>
          <w:szCs w:val="22"/>
        </w:rPr>
        <w:t xml:space="preserve"> 96799</w:t>
      </w:r>
    </w:p>
    <w:p w14:paraId="6DE0516C" w14:textId="77777777" w:rsidR="00EA439A" w:rsidRPr="00C22544" w:rsidRDefault="00EA439A" w:rsidP="002D0D24">
      <w:pPr>
        <w:pStyle w:val="Header"/>
        <w:tabs>
          <w:tab w:val="clear" w:pos="4320"/>
          <w:tab w:val="left" w:pos="720"/>
          <w:tab w:val="left" w:pos="1440"/>
        </w:tabs>
        <w:rPr>
          <w:b/>
          <w:sz w:val="22"/>
          <w:szCs w:val="22"/>
        </w:rPr>
      </w:pPr>
    </w:p>
    <w:p w14:paraId="51A08AE7" w14:textId="77777777" w:rsidR="003D765C" w:rsidRDefault="00F81BC1" w:rsidP="008D666C">
      <w:pPr>
        <w:pStyle w:val="Header"/>
        <w:tabs>
          <w:tab w:val="clear" w:pos="4320"/>
          <w:tab w:val="left" w:pos="720"/>
          <w:tab w:val="left" w:pos="1440"/>
        </w:tabs>
        <w:ind w:left="1440" w:hanging="720"/>
        <w:rPr>
          <w:b/>
          <w:spacing w:val="-2"/>
          <w:sz w:val="22"/>
          <w:szCs w:val="22"/>
        </w:rPr>
      </w:pPr>
      <w:r w:rsidRPr="00C22544">
        <w:rPr>
          <w:b/>
          <w:sz w:val="22"/>
          <w:szCs w:val="22"/>
        </w:rPr>
        <w:t xml:space="preserve">RE:  </w:t>
      </w:r>
      <w:r w:rsidR="00FB618B">
        <w:rPr>
          <w:b/>
          <w:sz w:val="22"/>
          <w:szCs w:val="22"/>
        </w:rPr>
        <w:tab/>
      </w:r>
      <w:r w:rsidR="003C4F22">
        <w:rPr>
          <w:b/>
          <w:sz w:val="22"/>
          <w:szCs w:val="22"/>
        </w:rPr>
        <w:t xml:space="preserve">Petition for Reconsideration, </w:t>
      </w:r>
      <w:r w:rsidR="00056F09" w:rsidRPr="00C22544">
        <w:rPr>
          <w:b/>
          <w:sz w:val="22"/>
          <w:szCs w:val="22"/>
        </w:rPr>
        <w:t xml:space="preserve">Request </w:t>
      </w:r>
      <w:r w:rsidR="00D21344" w:rsidRPr="00C22544">
        <w:rPr>
          <w:b/>
          <w:sz w:val="22"/>
          <w:szCs w:val="22"/>
        </w:rPr>
        <w:t xml:space="preserve">for </w:t>
      </w:r>
      <w:r w:rsidR="004A2A1D" w:rsidRPr="00C22544">
        <w:rPr>
          <w:b/>
          <w:sz w:val="22"/>
          <w:szCs w:val="22"/>
        </w:rPr>
        <w:t>Waive</w:t>
      </w:r>
      <w:r w:rsidR="00D21344" w:rsidRPr="00C22544">
        <w:rPr>
          <w:b/>
          <w:sz w:val="22"/>
          <w:szCs w:val="22"/>
        </w:rPr>
        <w:t>r</w:t>
      </w:r>
      <w:r w:rsidR="003C4F22">
        <w:rPr>
          <w:b/>
          <w:sz w:val="22"/>
          <w:szCs w:val="22"/>
        </w:rPr>
        <w:t>, an</w:t>
      </w:r>
      <w:r w:rsidR="00D80761">
        <w:rPr>
          <w:b/>
          <w:sz w:val="22"/>
          <w:szCs w:val="22"/>
        </w:rPr>
        <w:t xml:space="preserve">d Request for </w:t>
      </w:r>
      <w:r w:rsidR="005851D7">
        <w:rPr>
          <w:b/>
          <w:sz w:val="22"/>
          <w:szCs w:val="22"/>
        </w:rPr>
        <w:t>Extension of Time</w:t>
      </w:r>
      <w:r w:rsidR="008D666C">
        <w:rPr>
          <w:b/>
          <w:sz w:val="22"/>
          <w:szCs w:val="22"/>
        </w:rPr>
        <w:t xml:space="preserve"> </w:t>
      </w:r>
      <w:r w:rsidR="005851D7">
        <w:rPr>
          <w:b/>
          <w:sz w:val="22"/>
          <w:szCs w:val="22"/>
        </w:rPr>
        <w:t>(</w:t>
      </w:r>
      <w:r w:rsidR="00FB618B">
        <w:rPr>
          <w:b/>
          <w:sz w:val="22"/>
          <w:szCs w:val="22"/>
        </w:rPr>
        <w:tab/>
      </w:r>
      <w:r w:rsidR="008D666C">
        <w:rPr>
          <w:b/>
          <w:sz w:val="22"/>
          <w:szCs w:val="22"/>
        </w:rPr>
        <w:t>Call S</w:t>
      </w:r>
      <w:r w:rsidR="003C4F22">
        <w:rPr>
          <w:b/>
          <w:sz w:val="22"/>
          <w:szCs w:val="22"/>
        </w:rPr>
        <w:t xml:space="preserve">igns </w:t>
      </w:r>
      <w:r w:rsidR="003C4F22" w:rsidRPr="000452EE">
        <w:rPr>
          <w:b/>
          <w:spacing w:val="-2"/>
          <w:sz w:val="22"/>
          <w:szCs w:val="22"/>
        </w:rPr>
        <w:t>WQNF697, WQNF698,</w:t>
      </w:r>
      <w:r w:rsidR="00507227">
        <w:rPr>
          <w:b/>
          <w:spacing w:val="-2"/>
          <w:sz w:val="22"/>
          <w:szCs w:val="22"/>
        </w:rPr>
        <w:t xml:space="preserve"> WQNF699, WQNF700, WQNF703, and </w:t>
      </w:r>
      <w:r w:rsidR="008D666C">
        <w:rPr>
          <w:b/>
          <w:spacing w:val="-2"/>
          <w:sz w:val="22"/>
          <w:szCs w:val="22"/>
        </w:rPr>
        <w:t>WQNF705</w:t>
      </w:r>
      <w:r w:rsidR="005851D7">
        <w:rPr>
          <w:b/>
          <w:spacing w:val="-2"/>
          <w:sz w:val="22"/>
          <w:szCs w:val="22"/>
        </w:rPr>
        <w:t>)</w:t>
      </w:r>
      <w:r w:rsidR="000452EE" w:rsidRPr="000452EE">
        <w:rPr>
          <w:b/>
          <w:spacing w:val="-2"/>
          <w:sz w:val="22"/>
          <w:szCs w:val="22"/>
        </w:rPr>
        <w:t xml:space="preserve"> </w:t>
      </w:r>
    </w:p>
    <w:p w14:paraId="16FDA4B3" w14:textId="77777777" w:rsidR="008D666C" w:rsidRPr="008D666C" w:rsidRDefault="00507227">
      <w:pPr>
        <w:pStyle w:val="Header"/>
        <w:tabs>
          <w:tab w:val="clear" w:pos="4320"/>
          <w:tab w:val="left" w:pos="720"/>
          <w:tab w:val="left" w:pos="1440"/>
        </w:tabs>
        <w:rPr>
          <w:b/>
          <w:spacing w:val="-2"/>
          <w:sz w:val="22"/>
          <w:szCs w:val="22"/>
        </w:rPr>
      </w:pPr>
      <w:r>
        <w:rPr>
          <w:b/>
          <w:spacing w:val="-2"/>
          <w:sz w:val="22"/>
          <w:szCs w:val="22"/>
        </w:rPr>
        <w:tab/>
      </w:r>
      <w:r w:rsidR="00FB618B">
        <w:rPr>
          <w:b/>
          <w:spacing w:val="-2"/>
          <w:sz w:val="22"/>
          <w:szCs w:val="22"/>
        </w:rPr>
        <w:tab/>
      </w:r>
    </w:p>
    <w:p w14:paraId="1BA42645" w14:textId="77777777" w:rsidR="00056F09" w:rsidRPr="00361351" w:rsidRDefault="00C548B9">
      <w:pPr>
        <w:rPr>
          <w:sz w:val="22"/>
          <w:szCs w:val="22"/>
        </w:rPr>
      </w:pPr>
      <w:r w:rsidRPr="00C22544">
        <w:rPr>
          <w:sz w:val="22"/>
          <w:szCs w:val="22"/>
        </w:rPr>
        <w:t>Dear</w:t>
      </w:r>
      <w:r w:rsidR="00A64D0C" w:rsidRPr="00C22544">
        <w:rPr>
          <w:sz w:val="22"/>
          <w:szCs w:val="22"/>
        </w:rPr>
        <w:t xml:space="preserve"> </w:t>
      </w:r>
      <w:r w:rsidR="003C4F22">
        <w:rPr>
          <w:sz w:val="22"/>
          <w:szCs w:val="22"/>
        </w:rPr>
        <w:t>Mr. Sene</w:t>
      </w:r>
      <w:r w:rsidR="00056F09" w:rsidRPr="00C22544">
        <w:rPr>
          <w:sz w:val="22"/>
          <w:szCs w:val="22"/>
        </w:rPr>
        <w:t>:</w:t>
      </w:r>
    </w:p>
    <w:p w14:paraId="035CE43C" w14:textId="77777777" w:rsidR="008C36DE" w:rsidRPr="00361351" w:rsidRDefault="008C36DE" w:rsidP="002B5667">
      <w:pPr>
        <w:ind w:firstLine="720"/>
        <w:rPr>
          <w:sz w:val="22"/>
          <w:szCs w:val="22"/>
        </w:rPr>
      </w:pPr>
    </w:p>
    <w:p w14:paraId="1DAC89FF" w14:textId="7BBBCFD3" w:rsidR="00A77695" w:rsidRDefault="003C4F22" w:rsidP="00FB618B">
      <w:pPr>
        <w:pStyle w:val="ParaNum"/>
        <w:ind w:firstLine="720"/>
      </w:pPr>
      <w:r>
        <w:t xml:space="preserve">This letter addresses the </w:t>
      </w:r>
      <w:r w:rsidR="000452EE">
        <w:t>above-referenced petition for reconsideration, request for waiver, and request for extension of time (Petition) filed by American Samoa Telecommunications Authority (ASTCA</w:t>
      </w:r>
      <w:r w:rsidR="000452EE" w:rsidRPr="00876457">
        <w:t>)</w:t>
      </w:r>
      <w:r w:rsidR="000452EE">
        <w:t>.</w:t>
      </w:r>
      <w:r w:rsidR="000452EE">
        <w:rPr>
          <w:rStyle w:val="FootnoteReference"/>
        </w:rPr>
        <w:footnoteReference w:id="2"/>
      </w:r>
      <w:r w:rsidR="000452EE">
        <w:t xml:space="preserve">  ASTCA seeks reconsideration of the Notice</w:t>
      </w:r>
      <w:r w:rsidR="000A7CFC">
        <w:t>s</w:t>
      </w:r>
      <w:r w:rsidR="000452EE">
        <w:t xml:space="preserve"> of License Termination Pending Status</w:t>
      </w:r>
      <w:r w:rsidR="000452EE">
        <w:rPr>
          <w:rStyle w:val="FootnoteReference"/>
        </w:rPr>
        <w:footnoteReference w:id="3"/>
      </w:r>
      <w:r w:rsidR="000C6B9F">
        <w:t xml:space="preserve"> that</w:t>
      </w:r>
      <w:r w:rsidR="000452EE">
        <w:t xml:space="preserve"> the </w:t>
      </w:r>
      <w:r w:rsidR="002F4C13">
        <w:t xml:space="preserve">Wireless Telecommunications Bureau (Bureau) </w:t>
      </w:r>
      <w:r w:rsidR="00E72C49">
        <w:t>issued</w:t>
      </w:r>
      <w:r w:rsidR="000452EE">
        <w:t xml:space="preserve"> as a result of ASTCA’s failure to meet its </w:t>
      </w:r>
      <w:r w:rsidR="000C6B9F">
        <w:t xml:space="preserve">five-year </w:t>
      </w:r>
      <w:r w:rsidR="000452EE">
        <w:t xml:space="preserve">build-out </w:t>
      </w:r>
      <w:r w:rsidR="000C6B9F">
        <w:t>deadline</w:t>
      </w:r>
      <w:r w:rsidR="00AC7C45">
        <w:t>s</w:t>
      </w:r>
      <w:r w:rsidR="00097FAE">
        <w:t xml:space="preserve"> for the </w:t>
      </w:r>
      <w:r w:rsidR="000452EE">
        <w:t>above-referenced PCS licenses</w:t>
      </w:r>
      <w:r w:rsidR="00097FAE">
        <w:t xml:space="preserve"> (Licenses)</w:t>
      </w:r>
      <w:r w:rsidR="000452EE">
        <w:t xml:space="preserve">.  </w:t>
      </w:r>
      <w:r w:rsidR="00C613AF">
        <w:t xml:space="preserve">Because it did not file for relief timely, ASTCA also seeks a waiver of section 1.946(e) of the Commission’s rules.  Further, ASTCA also seeks a period of seven months from reinstatement of the Licenses to complete construction.  </w:t>
      </w:r>
      <w:r w:rsidR="000452EE">
        <w:t xml:space="preserve">For the reasons discussed </w:t>
      </w:r>
      <w:r w:rsidR="00C613AF">
        <w:t>herein</w:t>
      </w:r>
      <w:r w:rsidR="000452EE">
        <w:t xml:space="preserve">, </w:t>
      </w:r>
      <w:r w:rsidR="005C653D" w:rsidRPr="00361351">
        <w:t>we find that</w:t>
      </w:r>
      <w:r w:rsidR="00D74D24">
        <w:t xml:space="preserve"> unique circumstances are present in this situation and that</w:t>
      </w:r>
      <w:r w:rsidR="005C653D" w:rsidRPr="00361351">
        <w:t xml:space="preserve"> </w:t>
      </w:r>
      <w:r w:rsidR="00D74D24">
        <w:t>a</w:t>
      </w:r>
      <w:r w:rsidR="004806C7">
        <w:t xml:space="preserve"> waiver of section 24.203 and</w:t>
      </w:r>
      <w:r w:rsidR="00D74D24">
        <w:t xml:space="preserve"> reinstatement</w:t>
      </w:r>
      <w:r w:rsidR="00415AA7">
        <w:t xml:space="preserve"> </w:t>
      </w:r>
      <w:r w:rsidR="00D74D24">
        <w:t>of ASTCA’s licenses</w:t>
      </w:r>
      <w:r w:rsidR="00415AA7">
        <w:t xml:space="preserve">, </w:t>
      </w:r>
      <w:r w:rsidR="00415AA7">
        <w:rPr>
          <w:i/>
        </w:rPr>
        <w:t>nunc pro tunc</w:t>
      </w:r>
      <w:r w:rsidR="00415AA7">
        <w:t>,</w:t>
      </w:r>
      <w:r w:rsidR="00C613AF">
        <w:t xml:space="preserve"> </w:t>
      </w:r>
      <w:r w:rsidR="005C653D" w:rsidRPr="00D4568E">
        <w:t xml:space="preserve">will serve the public interest by </w:t>
      </w:r>
      <w:r w:rsidR="009B06BC" w:rsidRPr="00D4568E">
        <w:t xml:space="preserve">enabling </w:t>
      </w:r>
      <w:r w:rsidR="000452EE">
        <w:t>ASTCA</w:t>
      </w:r>
      <w:r w:rsidR="009B06BC" w:rsidRPr="00D4568E">
        <w:t xml:space="preserve"> to </w:t>
      </w:r>
      <w:r w:rsidR="005C653D" w:rsidRPr="00D4568E">
        <w:t>rapid</w:t>
      </w:r>
      <w:r w:rsidR="009B06BC" w:rsidRPr="00D4568E">
        <w:t>ly</w:t>
      </w:r>
      <w:r w:rsidR="005C653D" w:rsidRPr="00D4568E">
        <w:t xml:space="preserve"> </w:t>
      </w:r>
      <w:r w:rsidR="009B06BC" w:rsidRPr="00D4568E">
        <w:t>bring</w:t>
      </w:r>
      <w:r w:rsidR="000452EE">
        <w:t xml:space="preserve"> </w:t>
      </w:r>
      <w:r w:rsidR="00882AA9">
        <w:t xml:space="preserve">advanced </w:t>
      </w:r>
      <w:r w:rsidR="000452EE">
        <w:t xml:space="preserve">LTE service </w:t>
      </w:r>
      <w:r w:rsidR="005C653D" w:rsidRPr="00D4568E">
        <w:t xml:space="preserve">to the </w:t>
      </w:r>
      <w:r w:rsidR="00882AA9">
        <w:t>residents</w:t>
      </w:r>
      <w:r w:rsidR="005C653D" w:rsidRPr="00D4568E">
        <w:t xml:space="preserve"> of </w:t>
      </w:r>
      <w:r w:rsidR="000452EE">
        <w:t>the remote islands of American Samoa</w:t>
      </w:r>
      <w:r w:rsidR="005C653D" w:rsidRPr="002D0D24">
        <w:t>.</w:t>
      </w:r>
      <w:r w:rsidR="00820989">
        <w:rPr>
          <w:rStyle w:val="FootnoteReference"/>
        </w:rPr>
        <w:footnoteReference w:id="4"/>
      </w:r>
    </w:p>
    <w:p w14:paraId="7F36B7F3" w14:textId="77777777" w:rsidR="00D4568E" w:rsidRPr="00BB4E53" w:rsidRDefault="00D4568E" w:rsidP="00FB618B">
      <w:pPr>
        <w:pStyle w:val="ParaNum"/>
      </w:pPr>
    </w:p>
    <w:p w14:paraId="713BEDF2" w14:textId="6F20D66C" w:rsidR="004028BD" w:rsidRDefault="00E706A6" w:rsidP="00FB618B">
      <w:pPr>
        <w:pStyle w:val="ParaNum"/>
        <w:ind w:firstLine="720"/>
      </w:pPr>
      <w:r w:rsidRPr="00BB4E53">
        <w:rPr>
          <w:i/>
        </w:rPr>
        <w:t>Background</w:t>
      </w:r>
      <w:r w:rsidRPr="00BB4E53">
        <w:t xml:space="preserve">. </w:t>
      </w:r>
      <w:r w:rsidR="005E4989">
        <w:t xml:space="preserve"> </w:t>
      </w:r>
      <w:r w:rsidR="004028BD">
        <w:t>Pursuant to</w:t>
      </w:r>
      <w:r w:rsidR="00D3366A">
        <w:t xml:space="preserve"> </w:t>
      </w:r>
      <w:r w:rsidR="00D679F8">
        <w:t xml:space="preserve">section 24.203 of </w:t>
      </w:r>
      <w:r w:rsidR="00D3366A">
        <w:t>the</w:t>
      </w:r>
      <w:r w:rsidR="004028BD">
        <w:t xml:space="preserve"> Commission</w:t>
      </w:r>
      <w:r w:rsidR="002F4C13">
        <w:t>’s</w:t>
      </w:r>
      <w:r w:rsidR="004028BD">
        <w:t xml:space="preserve"> rules, PCS licensees must</w:t>
      </w:r>
      <w:r w:rsidR="00D3366A">
        <w:t xml:space="preserve"> demonstrate that they are providing service sufficient to</w:t>
      </w:r>
      <w:r w:rsidR="004028BD">
        <w:t xml:space="preserve"> serve either one-third </w:t>
      </w:r>
      <w:r w:rsidR="00800AB7">
        <w:t>(for licensees of 30 megahertz blocks)</w:t>
      </w:r>
      <w:r w:rsidR="00D679F8">
        <w:rPr>
          <w:rStyle w:val="FootnoteReference"/>
        </w:rPr>
        <w:footnoteReference w:id="5"/>
      </w:r>
      <w:r w:rsidR="00800AB7">
        <w:t xml:space="preserve"> or</w:t>
      </w:r>
      <w:r w:rsidR="004028BD">
        <w:t xml:space="preserve"> one-fourth </w:t>
      </w:r>
      <w:r w:rsidR="00800AB7">
        <w:t>(for all other licensees)</w:t>
      </w:r>
      <w:r w:rsidR="00860EF8">
        <w:rPr>
          <w:rStyle w:val="FootnoteReference"/>
        </w:rPr>
        <w:footnoteReference w:id="6"/>
      </w:r>
      <w:r w:rsidR="00800AB7">
        <w:t xml:space="preserve"> </w:t>
      </w:r>
      <w:r w:rsidR="004028BD">
        <w:t>of the population</w:t>
      </w:r>
      <w:r w:rsidR="00800AB7">
        <w:t xml:space="preserve"> in their licensed market areas</w:t>
      </w:r>
      <w:r w:rsidR="004028BD">
        <w:t xml:space="preserve"> within five years of the initial license g</w:t>
      </w:r>
      <w:r w:rsidR="00800AB7">
        <w:t xml:space="preserve">rant.  </w:t>
      </w:r>
      <w:r w:rsidR="00D943AD">
        <w:t>Alternatively, l</w:t>
      </w:r>
      <w:r w:rsidR="00800AB7">
        <w:t xml:space="preserve">icensees may </w:t>
      </w:r>
      <w:r w:rsidR="004028BD">
        <w:t>make a substantial service showing.</w:t>
      </w:r>
      <w:r w:rsidR="00800AB7">
        <w:rPr>
          <w:rStyle w:val="FootnoteReference"/>
        </w:rPr>
        <w:footnoteReference w:id="7"/>
      </w:r>
      <w:r w:rsidR="001E4D4C">
        <w:t xml:space="preserve"> </w:t>
      </w:r>
      <w:r w:rsidR="004028BD">
        <w:t xml:space="preserve"> A PCS license will automatically terminate as of the construction deadline if the licensee fails to meet the </w:t>
      </w:r>
      <w:r w:rsidR="00800AB7">
        <w:t>requirements of s</w:t>
      </w:r>
      <w:r w:rsidR="004028BD">
        <w:t xml:space="preserve">ection 24.203 unless the Commission grants an extension or waives the </w:t>
      </w:r>
      <w:r w:rsidR="00D943AD">
        <w:t>applicable construction requirement</w:t>
      </w:r>
      <w:r w:rsidR="00800AB7">
        <w:t>.</w:t>
      </w:r>
      <w:r w:rsidR="00800AB7">
        <w:rPr>
          <w:rStyle w:val="FootnoteReference"/>
        </w:rPr>
        <w:footnoteReference w:id="8"/>
      </w:r>
      <w:r w:rsidR="00800AB7">
        <w:t xml:space="preserve"> </w:t>
      </w:r>
      <w:r w:rsidR="004028BD">
        <w:t xml:space="preserve"> </w:t>
      </w:r>
      <w:r w:rsidR="00800AB7">
        <w:t>F</w:t>
      </w:r>
      <w:r w:rsidR="004028BD">
        <w:t>ailure</w:t>
      </w:r>
      <w:r w:rsidR="00800AB7">
        <w:t xml:space="preserve"> to construct as required</w:t>
      </w:r>
      <w:r w:rsidR="004028BD">
        <w:t xml:space="preserve"> results in forfeiture of the license or non-renewal and the licensee is ineligible to regain the license.</w:t>
      </w:r>
      <w:r w:rsidR="00800AB7">
        <w:rPr>
          <w:rStyle w:val="FootnoteReference"/>
        </w:rPr>
        <w:footnoteReference w:id="9"/>
      </w:r>
      <w:r w:rsidR="004028BD">
        <w:t xml:space="preserve">    </w:t>
      </w:r>
    </w:p>
    <w:p w14:paraId="232442BE" w14:textId="77777777" w:rsidR="004028BD" w:rsidRDefault="004028BD" w:rsidP="00FB618B">
      <w:pPr>
        <w:pStyle w:val="ParaNum"/>
        <w:ind w:firstLine="720"/>
      </w:pPr>
    </w:p>
    <w:p w14:paraId="4121472B" w14:textId="77777777" w:rsidR="007739E9" w:rsidRPr="008D666C" w:rsidRDefault="00FA2B0D" w:rsidP="00FB618B">
      <w:pPr>
        <w:pStyle w:val="ParaNum"/>
        <w:ind w:firstLine="720"/>
      </w:pPr>
      <w:r>
        <w:t xml:space="preserve">ASTCA </w:t>
      </w:r>
      <w:r w:rsidR="00E22A82">
        <w:t>was the winning bidder for</w:t>
      </w:r>
      <w:r>
        <w:t xml:space="preserve"> </w:t>
      </w:r>
      <w:r w:rsidR="002F4C13">
        <w:t>the</w:t>
      </w:r>
      <w:r>
        <w:t xml:space="preserve"> Licenses</w:t>
      </w:r>
      <w:r w:rsidR="002F4C13">
        <w:t>,</w:t>
      </w:r>
      <w:r w:rsidR="00D80761">
        <w:t xml:space="preserve"> </w:t>
      </w:r>
      <w:r w:rsidR="00860EF8">
        <w:t xml:space="preserve">comprising </w:t>
      </w:r>
      <w:r w:rsidR="00D80761">
        <w:t>80 MHz of spectrum</w:t>
      </w:r>
      <w:r w:rsidR="002F4C13">
        <w:t>,</w:t>
      </w:r>
      <w:r w:rsidR="00D80761">
        <w:t xml:space="preserve"> </w:t>
      </w:r>
      <w:r w:rsidR="007F6ADB">
        <w:t>in</w:t>
      </w:r>
      <w:r w:rsidR="00D80761">
        <w:t xml:space="preserve"> Auctions 71 and 78</w:t>
      </w:r>
      <w:r w:rsidR="002F4C13">
        <w:t>,</w:t>
      </w:r>
      <w:r w:rsidR="00D80761">
        <w:rPr>
          <w:rStyle w:val="FootnoteReference"/>
        </w:rPr>
        <w:footnoteReference w:id="10"/>
      </w:r>
      <w:r w:rsidR="00D80761">
        <w:t xml:space="preserve"> </w:t>
      </w:r>
      <w:r w:rsidR="002F4C13">
        <w:t>and t</w:t>
      </w:r>
      <w:r w:rsidR="00D80761">
        <w:t xml:space="preserve">he </w:t>
      </w:r>
      <w:r w:rsidR="002F4C13">
        <w:t>Bureau</w:t>
      </w:r>
      <w:r w:rsidR="00D80761">
        <w:t xml:space="preserve"> granted the Licenses to ASTCA on January 24, 2011.</w:t>
      </w:r>
      <w:r w:rsidR="00D80761">
        <w:rPr>
          <w:rStyle w:val="FootnoteReference"/>
        </w:rPr>
        <w:footnoteReference w:id="11"/>
      </w:r>
      <w:r w:rsidR="00D80761">
        <w:t xml:space="preserve">  </w:t>
      </w:r>
      <w:r w:rsidR="00175DC4">
        <w:t xml:space="preserve">Accordingly, ASTCA’s initial </w:t>
      </w:r>
      <w:r w:rsidR="00E72C49">
        <w:t xml:space="preserve">five-year </w:t>
      </w:r>
      <w:r w:rsidR="00175DC4">
        <w:t xml:space="preserve">construction deadline </w:t>
      </w:r>
      <w:r w:rsidR="008C57B9">
        <w:t xml:space="preserve">for each of its licenses </w:t>
      </w:r>
      <w:r w:rsidR="00175DC4">
        <w:t>was January 24, 2016.</w:t>
      </w:r>
      <w:r w:rsidR="00175DC4">
        <w:rPr>
          <w:rStyle w:val="FootnoteReference"/>
        </w:rPr>
        <w:footnoteReference w:id="12"/>
      </w:r>
      <w:r w:rsidR="00175DC4">
        <w:t xml:space="preserve">  </w:t>
      </w:r>
      <w:r w:rsidR="00D80761">
        <w:t>Pursuant to Commission rules, ASTCA was required to serve either one-third of the population of American</w:t>
      </w:r>
      <w:r w:rsidR="008C57B9">
        <w:t xml:space="preserve"> Samoa for its 30 MHz license</w:t>
      </w:r>
      <w:r w:rsidR="008C57B9">
        <w:rPr>
          <w:rStyle w:val="FootnoteReference"/>
        </w:rPr>
        <w:footnoteReference w:id="13"/>
      </w:r>
      <w:r w:rsidR="00D80761">
        <w:t xml:space="preserve"> </w:t>
      </w:r>
      <w:r w:rsidR="008C57B9">
        <w:t xml:space="preserve">and one-fourth of the population </w:t>
      </w:r>
      <w:r w:rsidR="00D80761">
        <w:t>for its 10 MHz license</w:t>
      </w:r>
      <w:r w:rsidR="008C57B9">
        <w:t>s</w:t>
      </w:r>
      <w:r w:rsidR="00175DC4">
        <w:t>,</w:t>
      </w:r>
      <w:r w:rsidR="008C57B9">
        <w:rPr>
          <w:rStyle w:val="FootnoteReference"/>
        </w:rPr>
        <w:footnoteReference w:id="14"/>
      </w:r>
      <w:r w:rsidR="00175DC4">
        <w:t xml:space="preserve"> o</w:t>
      </w:r>
      <w:r w:rsidR="00D80761">
        <w:t xml:space="preserve">r demonstrate substantial service in </w:t>
      </w:r>
      <w:r w:rsidR="008C57B9">
        <w:t>each</w:t>
      </w:r>
      <w:r w:rsidR="00D80761">
        <w:t xml:space="preserve"> licensed area</w:t>
      </w:r>
      <w:r w:rsidR="00175DC4">
        <w:t xml:space="preserve"> by that date</w:t>
      </w:r>
      <w:r w:rsidR="00D80761">
        <w:t xml:space="preserve">.  On March 2, 2016, as a result of ASTCA’s failure to file construction notifications or a request for waiver or extension of time to meet its build-out deadline, the </w:t>
      </w:r>
      <w:r w:rsidR="002A43EE">
        <w:t>Bureau</w:t>
      </w:r>
      <w:r w:rsidR="00D80761">
        <w:t xml:space="preserve"> </w:t>
      </w:r>
      <w:r w:rsidR="007F6ADB">
        <w:t>issued</w:t>
      </w:r>
      <w:r w:rsidR="00D80761">
        <w:t xml:space="preserve"> the </w:t>
      </w:r>
      <w:r w:rsidR="00D80761" w:rsidRPr="008D666C">
        <w:t>Termination Notice</w:t>
      </w:r>
      <w:r w:rsidR="002F4C13" w:rsidRPr="008D666C">
        <w:t>s</w:t>
      </w:r>
      <w:r w:rsidR="00D80761" w:rsidRPr="008D666C">
        <w:t>, placing the Licenses in termination pending status.</w:t>
      </w:r>
      <w:r w:rsidR="00E706A6" w:rsidRPr="008D666C">
        <w:t xml:space="preserve"> </w:t>
      </w:r>
    </w:p>
    <w:p w14:paraId="34B415C9" w14:textId="77777777" w:rsidR="007739E9" w:rsidRPr="008D666C" w:rsidRDefault="007739E9" w:rsidP="00FB618B">
      <w:pPr>
        <w:pStyle w:val="ParaNum"/>
      </w:pPr>
    </w:p>
    <w:p w14:paraId="7BB49FB3" w14:textId="77777777" w:rsidR="00D80761" w:rsidRPr="008D666C" w:rsidRDefault="007739E9" w:rsidP="00FB618B">
      <w:pPr>
        <w:pStyle w:val="ParaNum"/>
        <w:ind w:firstLine="720"/>
      </w:pPr>
      <w:r w:rsidRPr="008D666C">
        <w:t xml:space="preserve">On April 1, 2016, ASTCA filed </w:t>
      </w:r>
      <w:r w:rsidR="0097373B" w:rsidRPr="008D666C">
        <w:t>the</w:t>
      </w:r>
      <w:r w:rsidRPr="008D666C">
        <w:t xml:space="preserve"> Petition requesting </w:t>
      </w:r>
      <w:r w:rsidR="00860EF8" w:rsidRPr="008D666C">
        <w:t>relief, including an</w:t>
      </w:r>
      <w:r w:rsidRPr="008D666C">
        <w:t xml:space="preserve"> extension of less than o</w:t>
      </w:r>
      <w:r w:rsidR="00860EF8" w:rsidRPr="008D666C">
        <w:t>ne year</w:t>
      </w:r>
      <w:r w:rsidRPr="008D666C">
        <w:t xml:space="preserve"> to meet its </w:t>
      </w:r>
      <w:r w:rsidR="00860EF8" w:rsidRPr="008D666C">
        <w:t>five-year</w:t>
      </w:r>
      <w:r w:rsidRPr="008D666C">
        <w:t xml:space="preserve"> build-out deadline</w:t>
      </w:r>
      <w:r w:rsidR="00860EF8" w:rsidRPr="008D666C">
        <w:t>s</w:t>
      </w:r>
      <w:r w:rsidRPr="008D666C">
        <w:t>.</w:t>
      </w:r>
      <w:r w:rsidRPr="008D666C">
        <w:rPr>
          <w:rStyle w:val="FootnoteReference"/>
        </w:rPr>
        <w:footnoteReference w:id="15"/>
      </w:r>
      <w:r w:rsidRPr="008D666C">
        <w:t xml:space="preserve">  In support of its r</w:t>
      </w:r>
      <w:r w:rsidR="00EB47AD" w:rsidRPr="008D666C">
        <w:t xml:space="preserve">equest, </w:t>
      </w:r>
      <w:r w:rsidR="00FA2B0D" w:rsidRPr="008D666C">
        <w:t>ASTCA argued that grant of its petition was</w:t>
      </w:r>
      <w:r w:rsidR="00E04F0F" w:rsidRPr="008D666C">
        <w:t xml:space="preserve"> warranted because</w:t>
      </w:r>
      <w:r w:rsidR="00FA2B0D" w:rsidRPr="008D666C">
        <w:t>:</w:t>
      </w:r>
      <w:r w:rsidR="00E04F0F" w:rsidRPr="008D666C">
        <w:t xml:space="preserve"> </w:t>
      </w:r>
      <w:r w:rsidR="002D7C7C" w:rsidRPr="008D666C">
        <w:t xml:space="preserve">(1) </w:t>
      </w:r>
      <w:r w:rsidR="00E04F0F" w:rsidRPr="008D666C">
        <w:t xml:space="preserve">it has been diligent in constructing its system through its involvement in the </w:t>
      </w:r>
      <w:r w:rsidR="002D7C7C" w:rsidRPr="008D666C">
        <w:t>Broadband Linking the American Samoa Territory (</w:t>
      </w:r>
      <w:r w:rsidR="00E04F0F" w:rsidRPr="008D666C">
        <w:t>BLAST</w:t>
      </w:r>
      <w:r w:rsidR="002D7C7C" w:rsidRPr="008D666C">
        <w:t>)</w:t>
      </w:r>
      <w:r w:rsidR="00E04F0F" w:rsidRPr="008D666C">
        <w:t xml:space="preserve"> project</w:t>
      </w:r>
      <w:r w:rsidR="00B01500" w:rsidRPr="008D666C">
        <w:t>,</w:t>
      </w:r>
      <w:r w:rsidR="002D7C7C" w:rsidRPr="008D666C">
        <w:rPr>
          <w:rStyle w:val="FootnoteReference"/>
        </w:rPr>
        <w:footnoteReference w:id="16"/>
      </w:r>
      <w:r w:rsidR="00E04F0F" w:rsidRPr="008D666C">
        <w:t xml:space="preserve"> and </w:t>
      </w:r>
      <w:r w:rsidR="00FA2B0D" w:rsidRPr="008D666C">
        <w:t xml:space="preserve">the </w:t>
      </w:r>
      <w:r w:rsidR="00E04F0F" w:rsidRPr="008D666C">
        <w:t xml:space="preserve">preparations </w:t>
      </w:r>
      <w:r w:rsidR="00FA2B0D" w:rsidRPr="008D666C">
        <w:t xml:space="preserve">it has </w:t>
      </w:r>
      <w:r w:rsidR="00E04F0F" w:rsidRPr="008D666C">
        <w:t>made at its cell sites</w:t>
      </w:r>
      <w:r w:rsidR="002D7C7C" w:rsidRPr="008D666C">
        <w:t xml:space="preserve">, including upgraded backhaul capability </w:t>
      </w:r>
      <w:r w:rsidR="002A43EE" w:rsidRPr="008D666C">
        <w:t>as well as</w:t>
      </w:r>
      <w:r w:rsidR="002D7C7C" w:rsidRPr="008D666C">
        <w:t xml:space="preserve"> power systems </w:t>
      </w:r>
      <w:r w:rsidR="002D7C7C" w:rsidRPr="008D666C">
        <w:lastRenderedPageBreak/>
        <w:t>and transmitter relocation;</w:t>
      </w:r>
      <w:r w:rsidR="00E04F0F" w:rsidRPr="008D666C">
        <w:rPr>
          <w:rStyle w:val="FootnoteReference"/>
        </w:rPr>
        <w:footnoteReference w:id="17"/>
      </w:r>
      <w:r w:rsidR="002D7C7C" w:rsidRPr="008D666C">
        <w:t xml:space="preserve"> (2) delays to construction were beyond its control and resulted from “financial uncertainty and cash flow issues”;</w:t>
      </w:r>
      <w:r w:rsidR="00783859" w:rsidRPr="008D666C">
        <w:rPr>
          <w:rStyle w:val="FootnoteReference"/>
        </w:rPr>
        <w:footnoteReference w:id="18"/>
      </w:r>
      <w:r w:rsidR="002D7C7C" w:rsidRPr="008D666C">
        <w:t xml:space="preserve"> and (3)</w:t>
      </w:r>
      <w:r w:rsidRPr="008D666C">
        <w:t xml:space="preserve"> </w:t>
      </w:r>
      <w:r w:rsidR="00FD6C74" w:rsidRPr="008D666C">
        <w:t>grant would further the rules and advance the public interest</w:t>
      </w:r>
      <w:r w:rsidR="00E706A6" w:rsidRPr="008D666C">
        <w:t xml:space="preserve"> </w:t>
      </w:r>
      <w:r w:rsidR="00FD6C74" w:rsidRPr="008D666C">
        <w:t>in that ASTCA is poised to use its spectrum to provide high-speed LTE service to the people of American Samoa.</w:t>
      </w:r>
      <w:r w:rsidR="00FD6C74" w:rsidRPr="008D666C">
        <w:rPr>
          <w:rStyle w:val="FootnoteReference"/>
        </w:rPr>
        <w:footnoteReference w:id="19"/>
      </w:r>
    </w:p>
    <w:p w14:paraId="5B5F9481" w14:textId="77777777" w:rsidR="00D80761" w:rsidRPr="008D666C" w:rsidRDefault="00D80761" w:rsidP="00FB618B">
      <w:pPr>
        <w:pStyle w:val="ParaNum"/>
      </w:pPr>
    </w:p>
    <w:p w14:paraId="7CD10A14" w14:textId="37CCB35A" w:rsidR="00853532" w:rsidRDefault="004A20E9" w:rsidP="00FB618B">
      <w:pPr>
        <w:pStyle w:val="ParaNum"/>
        <w:ind w:firstLine="720"/>
      </w:pPr>
      <w:r w:rsidRPr="008D666C">
        <w:t>O</w:t>
      </w:r>
      <w:r w:rsidR="001D57F5" w:rsidRPr="008D666C">
        <w:t xml:space="preserve">n </w:t>
      </w:r>
      <w:r w:rsidR="00857691" w:rsidRPr="008D666C">
        <w:t xml:space="preserve">January 7, 2017, ASTCA filed </w:t>
      </w:r>
      <w:r w:rsidR="002A43EE" w:rsidRPr="008D666C">
        <w:t>a Supplement</w:t>
      </w:r>
      <w:r w:rsidR="00857691" w:rsidRPr="008D666C">
        <w:t xml:space="preserve">, providing </w:t>
      </w:r>
      <w:r w:rsidR="00E72C49" w:rsidRPr="008D666C">
        <w:t>further support for its petition,</w:t>
      </w:r>
      <w:r w:rsidR="00E22E88" w:rsidRPr="008D666C">
        <w:t xml:space="preserve"> including </w:t>
      </w:r>
      <w:r w:rsidR="00857691" w:rsidRPr="008D666C">
        <w:t>detail</w:t>
      </w:r>
      <w:r w:rsidR="00E22E88" w:rsidRPr="008D666C">
        <w:t>s</w:t>
      </w:r>
      <w:r w:rsidR="00857691" w:rsidRPr="008D666C">
        <w:t xml:space="preserve"> regarding</w:t>
      </w:r>
      <w:r w:rsidR="00E22E88" w:rsidRPr="008D666C">
        <w:t xml:space="preserve"> </w:t>
      </w:r>
      <w:r w:rsidR="00857691" w:rsidRPr="008D666C">
        <w:t xml:space="preserve">the </w:t>
      </w:r>
      <w:r w:rsidR="00803CB2">
        <w:t xml:space="preserve">challenges to construction </w:t>
      </w:r>
      <w:r w:rsidR="00160B69">
        <w:t>a</w:t>
      </w:r>
      <w:r w:rsidR="00803CB2">
        <w:t>rising from</w:t>
      </w:r>
      <w:r w:rsidR="00857691" w:rsidRPr="008D666C">
        <w:t xml:space="preserve"> </w:t>
      </w:r>
      <w:r w:rsidR="00857691" w:rsidRPr="00CF1E8E">
        <w:t>American Samoa’s geographic isolation</w:t>
      </w:r>
      <w:r w:rsidR="00647315" w:rsidRPr="00CF1E8E">
        <w:t xml:space="preserve"> and the company’s</w:t>
      </w:r>
      <w:r w:rsidR="00756879" w:rsidRPr="00CF1E8E">
        <w:t xml:space="preserve"> </w:t>
      </w:r>
      <w:r w:rsidR="00E22E88" w:rsidRPr="00CF1E8E">
        <w:t xml:space="preserve">efforts in </w:t>
      </w:r>
      <w:r w:rsidR="00756879" w:rsidRPr="00CF1E8E">
        <w:t>upgrading</w:t>
      </w:r>
      <w:r w:rsidR="00857691" w:rsidRPr="00CF1E8E">
        <w:t xml:space="preserve"> necessary communications infrastructure.</w:t>
      </w:r>
      <w:r w:rsidR="00232271" w:rsidRPr="00CF1E8E">
        <w:rPr>
          <w:rStyle w:val="FootnoteReference"/>
        </w:rPr>
        <w:footnoteReference w:id="20"/>
      </w:r>
      <w:r w:rsidR="00857691" w:rsidRPr="00CF1E8E">
        <w:t xml:space="preserve">  ASTCA states that, “because much of [the middle-mile] infrastructure was in </w:t>
      </w:r>
      <w:r w:rsidR="00803CB2" w:rsidRPr="00CF1E8E">
        <w:t>desperate need of upgrading [</w:t>
      </w:r>
      <w:r w:rsidR="00232271" w:rsidRPr="00CF1E8E">
        <w:t xml:space="preserve">prior to </w:t>
      </w:r>
      <w:r w:rsidR="00803CB2" w:rsidRPr="00CF1E8E">
        <w:t xml:space="preserve">completion of  the </w:t>
      </w:r>
      <w:r w:rsidR="00232271" w:rsidRPr="00CF1E8E">
        <w:t>BLAST</w:t>
      </w:r>
      <w:r w:rsidR="00803CB2" w:rsidRPr="00CF1E8E">
        <w:t xml:space="preserve"> project]</w:t>
      </w:r>
      <w:r w:rsidR="00232271" w:rsidRPr="00CF1E8E">
        <w:t>, ASTCA could not simply provide 4G service by installing LTE equipment.”</w:t>
      </w:r>
      <w:r w:rsidR="00232271" w:rsidRPr="00CF1E8E">
        <w:rPr>
          <w:rStyle w:val="FootnoteReference"/>
        </w:rPr>
        <w:footnoteReference w:id="21"/>
      </w:r>
      <w:r w:rsidR="00232271" w:rsidRPr="00CF1E8E">
        <w:t xml:space="preserve">  Rather,</w:t>
      </w:r>
      <w:r w:rsidR="001E0BCA" w:rsidRPr="00CF1E8E">
        <w:t xml:space="preserve"> ASTCA </w:t>
      </w:r>
      <w:r w:rsidR="006262F6" w:rsidRPr="00CF1E8E">
        <w:t>has</w:t>
      </w:r>
      <w:r w:rsidR="001E0BCA" w:rsidRPr="00CF1E8E">
        <w:t xml:space="preserve"> engage</w:t>
      </w:r>
      <w:r w:rsidR="006262F6" w:rsidRPr="00CF1E8E">
        <w:t>d</w:t>
      </w:r>
      <w:r w:rsidR="001E0BCA" w:rsidRPr="00CF1E8E">
        <w:t xml:space="preserve"> in</w:t>
      </w:r>
      <w:r w:rsidR="00232271" w:rsidRPr="00CF1E8E">
        <w:t xml:space="preserve"> </w:t>
      </w:r>
      <w:r w:rsidR="00692F69">
        <w:t xml:space="preserve">uniquely </w:t>
      </w:r>
      <w:r w:rsidR="00232271" w:rsidRPr="00CF1E8E">
        <w:t>time-consuming, costly</w:t>
      </w:r>
      <w:r w:rsidR="006262F6" w:rsidRPr="00CF1E8E">
        <w:t xml:space="preserve"> telecommunications</w:t>
      </w:r>
      <w:r w:rsidR="00232271" w:rsidRPr="00CF1E8E">
        <w:t xml:space="preserve"> infrastructure upgrades </w:t>
      </w:r>
      <w:r w:rsidR="00692F69">
        <w:t xml:space="preserve">required in American Samoa </w:t>
      </w:r>
      <w:r w:rsidR="00232271" w:rsidRPr="00CF1E8E">
        <w:t xml:space="preserve">prior to the deployment of LTE.  </w:t>
      </w:r>
      <w:r w:rsidR="001A3FC4" w:rsidRPr="00CF1E8E">
        <w:t xml:space="preserve">ASTCA </w:t>
      </w:r>
      <w:r w:rsidR="00C8071D" w:rsidRPr="00CF1E8E">
        <w:t>argues</w:t>
      </w:r>
      <w:r w:rsidR="001A3FC4" w:rsidRPr="00CF1E8E">
        <w:t xml:space="preserve"> that </w:t>
      </w:r>
      <w:r w:rsidR="00232271" w:rsidRPr="00CF1E8E">
        <w:t xml:space="preserve">the replacement of deteriorating legacy copper infrastructure with a fiber network was “a necessary precursor to 4G LTE deployment,” and this process was completed </w:t>
      </w:r>
      <w:r w:rsidR="00232271" w:rsidRPr="005D2A1A">
        <w:t>“only a few months prior</w:t>
      </w:r>
      <w:r w:rsidR="00232271" w:rsidRPr="00CF1E8E">
        <w:t xml:space="preserve"> to the January 2016 construction deadline.”</w:t>
      </w:r>
      <w:r w:rsidR="00232271" w:rsidRPr="00CF1E8E">
        <w:rPr>
          <w:rStyle w:val="FootnoteReference"/>
        </w:rPr>
        <w:footnoteReference w:id="22"/>
      </w:r>
      <w:r w:rsidR="00232271" w:rsidRPr="00CF1E8E">
        <w:t xml:space="preserve">  </w:t>
      </w:r>
      <w:r w:rsidR="001A3FC4" w:rsidRPr="00CF1E8E">
        <w:t xml:space="preserve">ASTCA </w:t>
      </w:r>
      <w:r w:rsidR="0095777F" w:rsidRPr="00CF1E8E">
        <w:t>asserts that</w:t>
      </w:r>
      <w:r w:rsidR="00B01500" w:rsidRPr="00CF1E8E">
        <w:t>, with the completion of necessary infrastructure,</w:t>
      </w:r>
      <w:r w:rsidR="0095777F" w:rsidRPr="00CF1E8E">
        <w:t xml:space="preserve"> it will be able to</w:t>
      </w:r>
      <w:r w:rsidR="001A3FC4" w:rsidRPr="00CF1E8E">
        <w:t xml:space="preserve"> offer 4G LTE coverage meeting the Commission’s requirements within months of reinstatement of the Licenses.</w:t>
      </w:r>
      <w:r w:rsidR="001A3FC4" w:rsidRPr="00CF1E8E">
        <w:rPr>
          <w:rStyle w:val="FootnoteReference"/>
        </w:rPr>
        <w:footnoteReference w:id="23"/>
      </w:r>
      <w:r w:rsidR="007739E9">
        <w:t xml:space="preserve"> </w:t>
      </w:r>
    </w:p>
    <w:p w14:paraId="736B43B3" w14:textId="77777777" w:rsidR="005C24E1" w:rsidRDefault="005C24E1" w:rsidP="00FB618B">
      <w:pPr>
        <w:pStyle w:val="ParaNum"/>
        <w:ind w:firstLine="720"/>
      </w:pPr>
    </w:p>
    <w:p w14:paraId="09FF4896" w14:textId="0D24EA0D" w:rsidR="005C24E1" w:rsidRDefault="005C24E1" w:rsidP="00FB618B">
      <w:pPr>
        <w:pStyle w:val="ParaNum"/>
        <w:ind w:firstLine="720"/>
      </w:pPr>
      <w:r>
        <w:t xml:space="preserve">More specifically, ASTCA notes that it was unable to provide 4G LTE service on its PCS spectrum by simply installing LTE equipment because the pre-existing copper infrastructure and circuit switching network </w:t>
      </w:r>
      <w:r w:rsidRPr="002D3C7F">
        <w:t>lim</w:t>
      </w:r>
      <w:r>
        <w:t>ited backhaul speeds to 10 Mbps—</w:t>
      </w:r>
      <w:r w:rsidRPr="002D3C7F">
        <w:t xml:space="preserve"> not enough throughput to make LTE deployment “meaningful.”</w:t>
      </w:r>
      <w:r>
        <w:rPr>
          <w:rStyle w:val="FootnoteReference"/>
        </w:rPr>
        <w:footnoteReference w:id="24"/>
      </w:r>
      <w:r>
        <w:t xml:space="preserve">  In order to provide advanced telecommunications service offerings, ASTCA reports that it has devoted its staff and resources over the last five years to the BLAST project, a $95 million project to replace legacy copper infrastructure with a fiber optic network to link the islands of American Samoa and deliver advanced telecommunications offerings including high-speed data, voice and cellular backhaul services.</w:t>
      </w:r>
      <w:r>
        <w:rPr>
          <w:rStyle w:val="FootnoteReference"/>
        </w:rPr>
        <w:footnoteReference w:id="25"/>
      </w:r>
      <w:r>
        <w:t xml:space="preserve">  ASTCA emphasizes that work on the BLAST project was a “necessary precursor” to its moving forward on the deployment of its LTE network.</w:t>
      </w:r>
      <w:r>
        <w:rPr>
          <w:rStyle w:val="FootnoteReference"/>
        </w:rPr>
        <w:footnoteReference w:id="26"/>
      </w:r>
      <w:r>
        <w:t xml:space="preserve">  In addition to making network changes to enable higher data rates,</w:t>
      </w:r>
      <w:r>
        <w:rPr>
          <w:rStyle w:val="FootnoteReference"/>
        </w:rPr>
        <w:footnoteReference w:id="27"/>
      </w:r>
      <w:r>
        <w:t xml:space="preserve"> ASTCA took additional steps in furtherance of its 4G LTE launch such as upgrading backhaul capacity and power systems at its cell sites,</w:t>
      </w:r>
      <w:r>
        <w:rPr>
          <w:rStyle w:val="FootnoteReference"/>
        </w:rPr>
        <w:footnoteReference w:id="28"/>
      </w:r>
      <w:r>
        <w:t xml:space="preserve"> as well as improving its computer systems and relocating transmitters on its towers to accommodate new LTE antennas.</w:t>
      </w:r>
      <w:r>
        <w:rPr>
          <w:rStyle w:val="FootnoteReference"/>
        </w:rPr>
        <w:footnoteReference w:id="29"/>
      </w:r>
      <w:r>
        <w:t xml:space="preserve">  ASTCA has also purchased and deployed a new antenna base and two new microwave facilities for additional backhaul capability,</w:t>
      </w:r>
      <w:r>
        <w:rPr>
          <w:rStyle w:val="FootnoteReference"/>
        </w:rPr>
        <w:footnoteReference w:id="30"/>
      </w:r>
      <w:r>
        <w:t xml:space="preserve"> with the now-installed fiber network linking all of ASTCA’s existing cell towers and connecting the main islands of American Samoa.</w:t>
      </w:r>
      <w:r>
        <w:rPr>
          <w:rStyle w:val="FootnoteReference"/>
        </w:rPr>
        <w:footnoteReference w:id="31"/>
      </w:r>
      <w:r>
        <w:t xml:space="preserve">  </w:t>
      </w:r>
    </w:p>
    <w:p w14:paraId="7A7C8CB6" w14:textId="77777777" w:rsidR="00E826BA" w:rsidRDefault="00E826BA">
      <w:pPr>
        <w:rPr>
          <w:snapToGrid w:val="0"/>
          <w:color w:val="000000"/>
          <w:kern w:val="28"/>
          <w:sz w:val="22"/>
          <w:szCs w:val="22"/>
        </w:rPr>
      </w:pPr>
    </w:p>
    <w:p w14:paraId="172F0E3E" w14:textId="59CEE857" w:rsidR="0070745C" w:rsidRDefault="00CD7548" w:rsidP="002C4419">
      <w:pPr>
        <w:pStyle w:val="ParaNum"/>
        <w:ind w:firstLine="720"/>
      </w:pPr>
      <w:r w:rsidRPr="00D4568E">
        <w:rPr>
          <w:i/>
        </w:rPr>
        <w:t>Discussion</w:t>
      </w:r>
      <w:r w:rsidRPr="00D4568E">
        <w:t xml:space="preserve">.  </w:t>
      </w:r>
      <w:r w:rsidR="00860EF8">
        <w:t>Requests to waive Commission rules must “meet a high hurdle at the starting gate.”</w:t>
      </w:r>
      <w:r w:rsidR="00157CE0">
        <w:rPr>
          <w:rStyle w:val="FootnoteReference"/>
        </w:rPr>
        <w:footnoteReference w:id="32"/>
      </w:r>
      <w:r w:rsidR="00860EF8">
        <w:t xml:space="preserve">  </w:t>
      </w:r>
      <w:r w:rsidR="001E0BCA">
        <w:t xml:space="preserve">In determining whether that standard is met, we must evaluate </w:t>
      </w:r>
      <w:r w:rsidR="00C17A3D">
        <w:t xml:space="preserve">each case </w:t>
      </w:r>
      <w:r w:rsidR="001E0BCA">
        <w:t xml:space="preserve">based on the </w:t>
      </w:r>
      <w:r w:rsidR="00C17A3D">
        <w:t>specific circumstances</w:t>
      </w:r>
      <w:r w:rsidR="001E0BCA">
        <w:t xml:space="preserve"> it presents</w:t>
      </w:r>
      <w:r w:rsidR="00C17A3D">
        <w:t xml:space="preserve">.  </w:t>
      </w:r>
      <w:r w:rsidR="00984CF2">
        <w:t>It is well-established that the Commission may waive a rule where the particular facts make strict compliance inconsistent with the public interest,</w:t>
      </w:r>
      <w:r w:rsidR="00984CF2">
        <w:rPr>
          <w:rStyle w:val="FootnoteReference"/>
        </w:rPr>
        <w:footnoteReference w:id="33"/>
      </w:r>
      <w:r w:rsidR="00984CF2">
        <w:t xml:space="preserve"> </w:t>
      </w:r>
      <w:r w:rsidR="00984CF2" w:rsidRPr="003C0DB8">
        <w:t xml:space="preserve">and it may take into account </w:t>
      </w:r>
      <w:r w:rsidR="00AF24D2">
        <w:t xml:space="preserve">unique </w:t>
      </w:r>
      <w:r w:rsidR="00984CF2" w:rsidRPr="003C0DB8">
        <w:t>considerations of hardship, equity, or more effective implementation of overall policy on an individual basis.</w:t>
      </w:r>
      <w:r w:rsidR="00984CF2" w:rsidRPr="003C0DB8">
        <w:rPr>
          <w:rStyle w:val="FootnoteReference"/>
        </w:rPr>
        <w:footnoteReference w:id="34"/>
      </w:r>
      <w:r w:rsidR="00984CF2" w:rsidRPr="003C0DB8">
        <w:t xml:space="preserve">  </w:t>
      </w:r>
      <w:r w:rsidR="00921201">
        <w:t>The Commission may grant a waiver</w:t>
      </w:r>
      <w:r w:rsidR="00F85A71">
        <w:t xml:space="preserve"> pursuant to </w:t>
      </w:r>
      <w:r w:rsidR="00160B69">
        <w:t xml:space="preserve">section </w:t>
      </w:r>
      <w:r w:rsidR="00F85A71">
        <w:t>1.925(b)(3)</w:t>
      </w:r>
      <w:r w:rsidR="00921201">
        <w:t xml:space="preserve"> </w:t>
      </w:r>
      <w:r w:rsidR="00686BB6">
        <w:t xml:space="preserve">of the Commission’s rules </w:t>
      </w:r>
      <w:r w:rsidR="00921201">
        <w:t>when: (i) the underlying purpose of the rules(s)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921201">
        <w:rPr>
          <w:rStyle w:val="FootnoteReference"/>
        </w:rPr>
        <w:footnoteReference w:id="35"/>
      </w:r>
      <w:r w:rsidR="009E2341">
        <w:t xml:space="preserve">  </w:t>
      </w:r>
      <w:r w:rsidR="0008285A">
        <w:t>The Commission has also stated that i</w:t>
      </w:r>
      <w:r w:rsidR="0008285A" w:rsidRPr="0008285A">
        <w:t xml:space="preserve">n instances where the circumstances are unique and the public interest would be served, </w:t>
      </w:r>
      <w:r w:rsidR="0008285A">
        <w:t xml:space="preserve">it </w:t>
      </w:r>
      <w:r w:rsidR="0008285A" w:rsidRPr="0008285A">
        <w:t xml:space="preserve">will consider waiving the </w:t>
      </w:r>
      <w:r w:rsidR="0008285A">
        <w:t xml:space="preserve">PCS construction </w:t>
      </w:r>
      <w:r w:rsidR="0008285A" w:rsidRPr="0008285A">
        <w:t>requirements on a case-by-case basis</w:t>
      </w:r>
      <w:r w:rsidR="0008285A">
        <w:t>.</w:t>
      </w:r>
      <w:r w:rsidR="0008285A">
        <w:rPr>
          <w:rStyle w:val="FootnoteReference"/>
        </w:rPr>
        <w:footnoteReference w:id="36"/>
      </w:r>
      <w:r w:rsidR="0008285A" w:rsidRPr="0008285A">
        <w:t xml:space="preserve"> </w:t>
      </w:r>
      <w:r w:rsidR="0008285A">
        <w:t xml:space="preserve"> </w:t>
      </w:r>
      <w:r w:rsidR="008E4367" w:rsidRPr="00361351">
        <w:t>We have carefully reviewed the record before us and find that</w:t>
      </w:r>
      <w:r w:rsidR="008C3209">
        <w:t xml:space="preserve"> </w:t>
      </w:r>
      <w:r w:rsidR="0070745C">
        <w:t xml:space="preserve">the geographic </w:t>
      </w:r>
      <w:r w:rsidR="002657B7">
        <w:t xml:space="preserve">and environmental </w:t>
      </w:r>
      <w:r w:rsidR="0070745C">
        <w:t>challenges associated with providing coverage to American Samoa</w:t>
      </w:r>
      <w:r w:rsidR="002657B7">
        <w:t>, when viewed as a whole, present circumstances</w:t>
      </w:r>
      <w:r w:rsidR="0070745C">
        <w:t xml:space="preserve"> sufficiently unique that strict application of the Commission’s rules in this case would be contrary to the public interest. </w:t>
      </w:r>
      <w:r w:rsidR="00294D99">
        <w:t xml:space="preserve"> Moreover, in providing relief, we permit ASTCA to provide </w:t>
      </w:r>
      <w:r w:rsidR="00E930A3">
        <w:t>4G LTE</w:t>
      </w:r>
      <w:r w:rsidR="00160B69">
        <w:t xml:space="preserve"> service</w:t>
      </w:r>
      <w:r w:rsidR="00E930A3">
        <w:t xml:space="preserve"> to a remote, underserved area that</w:t>
      </w:r>
      <w:r w:rsidR="006F77B8">
        <w:t xml:space="preserve"> has</w:t>
      </w:r>
      <w:r w:rsidR="00E930A3">
        <w:t xml:space="preserve"> until </w:t>
      </w:r>
      <w:r w:rsidR="006F77B8">
        <w:t>now</w:t>
      </w:r>
      <w:r w:rsidR="00E930A3">
        <w:t xml:space="preserve"> lacked advanced broadband services.</w:t>
      </w:r>
      <w:r w:rsidR="00454F54">
        <w:rPr>
          <w:rStyle w:val="FootnoteReference"/>
        </w:rPr>
        <w:footnoteReference w:id="37"/>
      </w:r>
      <w:r w:rsidR="0070745C">
        <w:t xml:space="preserve"> </w:t>
      </w:r>
    </w:p>
    <w:p w14:paraId="03421833" w14:textId="77777777" w:rsidR="0070745C" w:rsidRDefault="0070745C" w:rsidP="0070745C">
      <w:pPr>
        <w:pStyle w:val="ParaNum"/>
        <w:ind w:firstLine="720"/>
      </w:pPr>
    </w:p>
    <w:p w14:paraId="19A70E6F" w14:textId="3E4BB584" w:rsidR="0029607D" w:rsidRDefault="0029607D" w:rsidP="009A513C">
      <w:pPr>
        <w:pStyle w:val="ParaNum"/>
        <w:ind w:firstLine="720"/>
      </w:pPr>
      <w:r>
        <w:t xml:space="preserve">The Commission has found </w:t>
      </w:r>
      <w:r w:rsidR="002C4419">
        <w:t xml:space="preserve">that the difficulties experienced in providing service coverage in </w:t>
      </w:r>
      <w:r w:rsidR="000F6384">
        <w:t xml:space="preserve">certain </w:t>
      </w:r>
      <w:r w:rsidR="002C4419">
        <w:t xml:space="preserve">remote geographic areas may, in limited situations, constitute </w:t>
      </w:r>
      <w:r>
        <w:t>unique</w:t>
      </w:r>
      <w:r w:rsidR="002C4419">
        <w:t xml:space="preserve"> circumstances justifying waiver of construction requirements</w:t>
      </w:r>
      <w:r>
        <w:t xml:space="preserve">.  </w:t>
      </w:r>
      <w:r w:rsidR="002C4419">
        <w:t>For example, t</w:t>
      </w:r>
      <w:r w:rsidR="00984CF2" w:rsidRPr="001E72AC">
        <w:t xml:space="preserve">he Commission </w:t>
      </w:r>
      <w:r w:rsidR="00984CF2">
        <w:t xml:space="preserve">has </w:t>
      </w:r>
      <w:r w:rsidR="002C4419">
        <w:t xml:space="preserve">noted the </w:t>
      </w:r>
      <w:r w:rsidR="007B3637">
        <w:t>challenges</w:t>
      </w:r>
      <w:r w:rsidR="00984CF2">
        <w:t xml:space="preserve"> </w:t>
      </w:r>
      <w:r w:rsidR="00984CF2" w:rsidRPr="001E72AC">
        <w:t xml:space="preserve">that </w:t>
      </w:r>
      <w:r w:rsidR="007B3637">
        <w:t>licensees</w:t>
      </w:r>
      <w:r w:rsidR="00984CF2" w:rsidRPr="001E72AC">
        <w:t xml:space="preserve"> in Alaska </w:t>
      </w:r>
      <w:r w:rsidR="00984CF2">
        <w:t>face</w:t>
      </w:r>
      <w:r w:rsidR="00984CF2" w:rsidRPr="001E72AC">
        <w:t xml:space="preserve"> </w:t>
      </w:r>
      <w:r w:rsidR="002C4419">
        <w:t>due to “</w:t>
      </w:r>
      <w:r w:rsidR="00984CF2" w:rsidRPr="001E72AC">
        <w:t>remoteness, lack of roads, challenges and costs associated with transporting fuel, lack of scalability per community, satellite and backhaul availability, extreme weather conditions, challenging topography, and short construction season.”</w:t>
      </w:r>
      <w:r w:rsidR="00984CF2" w:rsidRPr="001E72AC">
        <w:rPr>
          <w:vertAlign w:val="superscript"/>
        </w:rPr>
        <w:footnoteReference w:id="38"/>
      </w:r>
      <w:r w:rsidR="00984CF2" w:rsidRPr="001E72AC">
        <w:t xml:space="preserve"> </w:t>
      </w:r>
      <w:r w:rsidR="00984CF2">
        <w:t xml:space="preserve"> </w:t>
      </w:r>
      <w:r w:rsidR="000F6384">
        <w:t>T</w:t>
      </w:r>
      <w:r>
        <w:t xml:space="preserve">he Bureau has </w:t>
      </w:r>
      <w:r w:rsidR="00AC4C27">
        <w:t>accordingly granted waiver relief</w:t>
      </w:r>
      <w:r>
        <w:t xml:space="preserve"> </w:t>
      </w:r>
      <w:r w:rsidR="00AC4C27">
        <w:t xml:space="preserve">on the basis of challenges stemming from </w:t>
      </w:r>
      <w:r>
        <w:t>“geographical distance from the lower forty-eight contiguous states</w:t>
      </w:r>
      <w:r w:rsidR="00AC4C27">
        <w:t>,</w:t>
      </w:r>
      <w:r>
        <w:t>”</w:t>
      </w:r>
      <w:r>
        <w:rPr>
          <w:rStyle w:val="FootnoteReference"/>
        </w:rPr>
        <w:footnoteReference w:id="39"/>
      </w:r>
      <w:r>
        <w:t xml:space="preserve"> </w:t>
      </w:r>
      <w:r w:rsidR="009548E5">
        <w:t xml:space="preserve">the </w:t>
      </w:r>
      <w:r>
        <w:t xml:space="preserve">limited </w:t>
      </w:r>
      <w:r w:rsidR="009548E5">
        <w:t>timeframe</w:t>
      </w:r>
      <w:r>
        <w:t xml:space="preserve"> when work can be </w:t>
      </w:r>
      <w:r w:rsidR="005A0D1B">
        <w:t>performed</w:t>
      </w:r>
      <w:r>
        <w:t xml:space="preserve"> and the</w:t>
      </w:r>
      <w:r w:rsidR="005A0D1B">
        <w:t xml:space="preserve"> limited transportation options to</w:t>
      </w:r>
      <w:r>
        <w:t xml:space="preserve"> remote areas</w:t>
      </w:r>
      <w:r w:rsidR="009548E5">
        <w:t>,</w:t>
      </w:r>
      <w:r>
        <w:rPr>
          <w:rStyle w:val="FootnoteReference"/>
        </w:rPr>
        <w:footnoteReference w:id="40"/>
      </w:r>
      <w:r>
        <w:t xml:space="preserve"> </w:t>
      </w:r>
      <w:r w:rsidR="009548E5">
        <w:t xml:space="preserve">as well as </w:t>
      </w:r>
      <w:r w:rsidR="005A0D1B">
        <w:t>the need</w:t>
      </w:r>
      <w:r w:rsidR="0048516E">
        <w:t xml:space="preserve"> to transport fuel, supplies and equipment</w:t>
      </w:r>
      <w:r w:rsidR="005A0D1B">
        <w:t xml:space="preserve"> required to construct remote facilities</w:t>
      </w:r>
      <w:r w:rsidR="0048516E">
        <w:t>.</w:t>
      </w:r>
      <w:r w:rsidR="0048516E">
        <w:rPr>
          <w:rStyle w:val="FootnoteReference"/>
        </w:rPr>
        <w:footnoteReference w:id="41"/>
      </w:r>
      <w:r w:rsidR="0048516E">
        <w:t xml:space="preserve"> </w:t>
      </w:r>
      <w:r>
        <w:t xml:space="preserve"> </w:t>
      </w:r>
      <w:r w:rsidR="00181AEF">
        <w:t>Most</w:t>
      </w:r>
      <w:r>
        <w:t xml:space="preserve"> recently, we found a waiver grant </w:t>
      </w:r>
      <w:r w:rsidR="009548E5">
        <w:t>appropriate</w:t>
      </w:r>
      <w:r>
        <w:t xml:space="preserve"> because of the “unique circumstances” attendan</w:t>
      </w:r>
      <w:r w:rsidR="009548E5">
        <w:t xml:space="preserve">t to serving Alaska, including </w:t>
      </w:r>
      <w:r>
        <w:t xml:space="preserve">difficult geographic and weather conditions that </w:t>
      </w:r>
      <w:r w:rsidR="0048516E">
        <w:t>make it</w:t>
      </w:r>
      <w:r>
        <w:t xml:space="preserve"> “impracticable” to meet the applicable construction requirement.</w:t>
      </w:r>
      <w:r>
        <w:rPr>
          <w:rStyle w:val="FootnoteReference"/>
        </w:rPr>
        <w:footnoteReference w:id="42"/>
      </w:r>
      <w:r>
        <w:t xml:space="preserve">  </w:t>
      </w:r>
    </w:p>
    <w:p w14:paraId="38E16AC1" w14:textId="77777777" w:rsidR="007A0E4C" w:rsidRDefault="007A0E4C" w:rsidP="009A513C">
      <w:pPr>
        <w:pStyle w:val="ParaNum"/>
        <w:ind w:firstLine="720"/>
      </w:pPr>
    </w:p>
    <w:p w14:paraId="7B146A9D" w14:textId="6953E763" w:rsidR="00E70583" w:rsidRPr="00486D76" w:rsidRDefault="009548E5" w:rsidP="00CE7ACF">
      <w:pPr>
        <w:pStyle w:val="ParaNum"/>
        <w:ind w:firstLine="720"/>
      </w:pPr>
      <w:r>
        <w:t>We find that the instant case</w:t>
      </w:r>
      <w:r w:rsidR="00B53BE2">
        <w:t xml:space="preserve"> presents unique circumstances and warrants a waiver for </w:t>
      </w:r>
      <w:r w:rsidR="00C714D9">
        <w:t xml:space="preserve">somewhat </w:t>
      </w:r>
      <w:r w:rsidR="00B53BE2">
        <w:t>similar reasons</w:t>
      </w:r>
      <w:r>
        <w:t xml:space="preserve">. </w:t>
      </w:r>
      <w:r w:rsidR="005851D7">
        <w:t xml:space="preserve"> </w:t>
      </w:r>
      <w:r w:rsidR="00D453C8">
        <w:t xml:space="preserve">Although, as a general matter, we observe that </w:t>
      </w:r>
      <w:r w:rsidR="005851D7">
        <w:t>it is a licensee’s general responsibility to conduct its due diligence to ensure that it can meet its performance obligations as required by the Commission’s rules,</w:t>
      </w:r>
      <w:r w:rsidR="00416F3C">
        <w:rPr>
          <w:rStyle w:val="FootnoteReference"/>
        </w:rPr>
        <w:footnoteReference w:id="43"/>
      </w:r>
      <w:r w:rsidR="005851D7">
        <w:t xml:space="preserve"> c</w:t>
      </w:r>
      <w:r w:rsidR="005851D7" w:rsidRPr="00BE0EE5">
        <w:t xml:space="preserve">onstruction of facilities </w:t>
      </w:r>
      <w:r w:rsidR="005851D7">
        <w:t xml:space="preserve">in this area </w:t>
      </w:r>
      <w:r w:rsidR="005851D7" w:rsidRPr="00BE0EE5">
        <w:t xml:space="preserve">is unusually difficult, involving complications generally not experienced in other areas of the country.  </w:t>
      </w:r>
      <w:r w:rsidR="0006084B">
        <w:t>American Samoa is a remote, unincorporated territory of the United States located approximately 2,300 miles southwest of Hawaii and 4,800 miles from the U.S. mainland, consisting of seven islands separated by large stretches of water.</w:t>
      </w:r>
      <w:r w:rsidR="0006084B">
        <w:rPr>
          <w:rStyle w:val="FootnoteReference"/>
        </w:rPr>
        <w:footnoteReference w:id="44"/>
      </w:r>
      <w:r w:rsidR="00CB0B7D">
        <w:t xml:space="preserve"> </w:t>
      </w:r>
      <w:r w:rsidR="0075222C">
        <w:t xml:space="preserve"> </w:t>
      </w:r>
      <w:r w:rsidR="003B270A">
        <w:t xml:space="preserve">While residents can be found on several of the islands, the </w:t>
      </w:r>
      <w:r w:rsidR="006D7133">
        <w:t>majority of the territory’s population resides on Tutuila, the largest island, and the nearby Aunu’u.</w:t>
      </w:r>
      <w:r w:rsidR="006D7133">
        <w:rPr>
          <w:rStyle w:val="FootnoteReference"/>
        </w:rPr>
        <w:footnoteReference w:id="45"/>
      </w:r>
      <w:r w:rsidR="006D7133">
        <w:t xml:space="preserve">  Three other islands, Ta’u, Ofu, and Olosega, account for most of the remaining population.</w:t>
      </w:r>
      <w:r w:rsidR="00DE4B78">
        <w:rPr>
          <w:rStyle w:val="FootnoteReference"/>
        </w:rPr>
        <w:footnoteReference w:id="46"/>
      </w:r>
    </w:p>
    <w:p w14:paraId="2CFF0E4F" w14:textId="77777777" w:rsidR="00E70583" w:rsidRDefault="00E70583" w:rsidP="00CE7ACF">
      <w:pPr>
        <w:pStyle w:val="ParaNum"/>
        <w:ind w:firstLine="720"/>
      </w:pPr>
    </w:p>
    <w:p w14:paraId="78B7C00C" w14:textId="2A77691E" w:rsidR="00D51D5D" w:rsidRDefault="0075222C" w:rsidP="00160B69">
      <w:pPr>
        <w:pStyle w:val="ParaNum"/>
        <w:ind w:firstLine="720"/>
      </w:pPr>
      <w:r>
        <w:t>There are no direct flights to the U.S. mainland, and only two weekly flights to Hawaii</w:t>
      </w:r>
      <w:r w:rsidR="00744F4C">
        <w:t>,</w:t>
      </w:r>
      <w:r>
        <w:rPr>
          <w:rStyle w:val="FootnoteReference"/>
        </w:rPr>
        <w:footnoteReference w:id="47"/>
      </w:r>
      <w:r w:rsidR="00744F4C">
        <w:t xml:space="preserve"> with cargo ships departing for American Samoa approximately</w:t>
      </w:r>
      <w:r w:rsidR="00284859">
        <w:t xml:space="preserve"> once</w:t>
      </w:r>
      <w:r w:rsidR="00744F4C">
        <w:t xml:space="preserve"> every two weeks.</w:t>
      </w:r>
      <w:r>
        <w:t xml:space="preserve">  </w:t>
      </w:r>
      <w:r w:rsidR="0043468E">
        <w:t>The bulk of resources</w:t>
      </w:r>
      <w:r w:rsidR="00BE0EE5">
        <w:t xml:space="preserve">, from telecommunications components to </w:t>
      </w:r>
      <w:r w:rsidR="00751F41">
        <w:t xml:space="preserve">heavy </w:t>
      </w:r>
      <w:r w:rsidR="00BE0EE5">
        <w:t>equipment used</w:t>
      </w:r>
      <w:r w:rsidR="0043468E">
        <w:t xml:space="preserve"> </w:t>
      </w:r>
      <w:r w:rsidR="00BE0EE5">
        <w:t xml:space="preserve">to construct the </w:t>
      </w:r>
      <w:r w:rsidR="009A06D0">
        <w:t xml:space="preserve">communications </w:t>
      </w:r>
      <w:r w:rsidR="00BE0EE5">
        <w:t>facilities,</w:t>
      </w:r>
      <w:r w:rsidR="0043468E">
        <w:t xml:space="preserve"> </w:t>
      </w:r>
      <w:r w:rsidR="00744F4C">
        <w:t xml:space="preserve">must be ordered </w:t>
      </w:r>
      <w:r w:rsidR="003D4295">
        <w:t>months</w:t>
      </w:r>
      <w:r w:rsidR="00744F4C">
        <w:t xml:space="preserve"> in advanced and </w:t>
      </w:r>
      <w:r w:rsidR="00BE0EE5" w:rsidRPr="001D64B7">
        <w:t>shipped</w:t>
      </w:r>
      <w:r w:rsidR="00BE0EE5">
        <w:t xml:space="preserve"> to American Samoa.  </w:t>
      </w:r>
      <w:r w:rsidR="0088483C">
        <w:t xml:space="preserve">Transport of </w:t>
      </w:r>
      <w:r w:rsidR="0088483C" w:rsidRPr="00B53EFC">
        <w:t xml:space="preserve">construction materials is extremely challenging </w:t>
      </w:r>
      <w:r w:rsidR="0043468E" w:rsidRPr="00B53EFC">
        <w:t xml:space="preserve">and costly </w:t>
      </w:r>
      <w:r w:rsidR="0088483C" w:rsidRPr="00B53EFC">
        <w:t xml:space="preserve">with shipment of supplies and equipment taking several weeks to months to travel from </w:t>
      </w:r>
      <w:r w:rsidR="001D64B7" w:rsidRPr="00B53EFC">
        <w:t xml:space="preserve">the point of origin on </w:t>
      </w:r>
      <w:r w:rsidR="0088483C" w:rsidRPr="00B53EFC">
        <w:t>the mainland</w:t>
      </w:r>
      <w:r w:rsidR="009A06D0" w:rsidRPr="00B53EFC">
        <w:t xml:space="preserve">:  </w:t>
      </w:r>
      <w:r w:rsidR="001D64B7" w:rsidRPr="00B53EFC">
        <w:t>equipment must</w:t>
      </w:r>
      <w:r w:rsidR="00E70583" w:rsidRPr="00B53EFC">
        <w:t xml:space="preserve"> first</w:t>
      </w:r>
      <w:r w:rsidR="001D64B7" w:rsidRPr="00B53EFC">
        <w:t xml:space="preserve"> travel </w:t>
      </w:r>
      <w:r w:rsidR="00D42A94" w:rsidRPr="00B53EFC">
        <w:t xml:space="preserve">overland </w:t>
      </w:r>
      <w:r w:rsidR="001D64B7" w:rsidRPr="00B53EFC">
        <w:t>from supplier</w:t>
      </w:r>
      <w:r w:rsidR="00910BB3" w:rsidRPr="00B53EFC">
        <w:t>s</w:t>
      </w:r>
      <w:r w:rsidR="001D64B7" w:rsidRPr="00B53EFC">
        <w:t xml:space="preserve"> to </w:t>
      </w:r>
      <w:r w:rsidR="0006328F" w:rsidRPr="00B53EFC">
        <w:t>a</w:t>
      </w:r>
      <w:r w:rsidR="009A06D0" w:rsidRPr="00B53EFC">
        <w:t xml:space="preserve"> port</w:t>
      </w:r>
      <w:r w:rsidR="0006328F" w:rsidRPr="00B53EFC">
        <w:t xml:space="preserve"> (typically on the West Coast), </w:t>
      </w:r>
      <w:r w:rsidR="002416FE" w:rsidRPr="00B53EFC">
        <w:t>warehoused</w:t>
      </w:r>
      <w:r w:rsidR="00E70583" w:rsidRPr="00B53EFC">
        <w:t xml:space="preserve"> until it can </w:t>
      </w:r>
      <w:r w:rsidR="0006328F" w:rsidRPr="00B53EFC">
        <w:t xml:space="preserve">be loaded onto </w:t>
      </w:r>
      <w:r w:rsidR="00D42A94" w:rsidRPr="00B53EFC">
        <w:t>a</w:t>
      </w:r>
      <w:r w:rsidR="0006328F" w:rsidRPr="00B53EFC">
        <w:t xml:space="preserve"> ship</w:t>
      </w:r>
      <w:r w:rsidR="00E70583" w:rsidRPr="00B53EFC">
        <w:t>,</w:t>
      </w:r>
      <w:r w:rsidR="0006328F" w:rsidRPr="00B53EFC">
        <w:t xml:space="preserve"> and </w:t>
      </w:r>
      <w:r w:rsidR="00D42A94" w:rsidRPr="00B53EFC">
        <w:t xml:space="preserve">then </w:t>
      </w:r>
      <w:r w:rsidR="0085336F" w:rsidRPr="00B53EFC">
        <w:t>transported</w:t>
      </w:r>
      <w:r w:rsidR="00D42A94" w:rsidRPr="00B53EFC">
        <w:t xml:space="preserve"> to American Samoa</w:t>
      </w:r>
      <w:r w:rsidR="009A06D0" w:rsidRPr="00B53EFC">
        <w:t xml:space="preserve">.  </w:t>
      </w:r>
      <w:r w:rsidR="00D42A94" w:rsidRPr="00B53EFC">
        <w:t xml:space="preserve">Any number of </w:t>
      </w:r>
      <w:r w:rsidR="00692F69">
        <w:t xml:space="preserve">unpredictable </w:t>
      </w:r>
      <w:r w:rsidR="00D42A94" w:rsidRPr="00B53EFC">
        <w:t>factors – from weather-related transportation problems to work stoppages</w:t>
      </w:r>
      <w:r w:rsidR="00E70583" w:rsidRPr="00B53EFC">
        <w:t xml:space="preserve"> at ports</w:t>
      </w:r>
      <w:r w:rsidR="00D42A94" w:rsidRPr="00B53EFC">
        <w:rPr>
          <w:rStyle w:val="FootnoteReference"/>
        </w:rPr>
        <w:footnoteReference w:id="48"/>
      </w:r>
      <w:r w:rsidR="00160B69">
        <w:t>—</w:t>
      </w:r>
      <w:r w:rsidR="00E70583" w:rsidRPr="00B53EFC">
        <w:t xml:space="preserve"> can delay shipments</w:t>
      </w:r>
      <w:r w:rsidR="0088483C" w:rsidRPr="00B53EFC">
        <w:t>.</w:t>
      </w:r>
      <w:r w:rsidR="002C13C0" w:rsidRPr="00B53EFC">
        <w:rPr>
          <w:rStyle w:val="FootnoteReference"/>
        </w:rPr>
        <w:footnoteReference w:id="49"/>
      </w:r>
      <w:r w:rsidR="0088483C" w:rsidRPr="00B53EFC">
        <w:t xml:space="preserve">  </w:t>
      </w:r>
      <w:r w:rsidR="00BD00E2" w:rsidRPr="00B53EFC">
        <w:t>Further, American</w:t>
      </w:r>
      <w:r w:rsidR="00BD00E2">
        <w:t xml:space="preserve"> Samoa is limited in industry-specific </w:t>
      </w:r>
      <w:r w:rsidR="005D698C">
        <w:t>manpower</w:t>
      </w:r>
      <w:r w:rsidR="00BD00E2">
        <w:t>.  There is limited access to skilled telecommunica</w:t>
      </w:r>
      <w:r w:rsidR="005D698C">
        <w:t>tions personnel who can readily construct wireless facilities; instead, specialized contractors must be brought in from the mainland.</w:t>
      </w:r>
      <w:r w:rsidR="005D698C">
        <w:rPr>
          <w:rStyle w:val="FootnoteReference"/>
        </w:rPr>
        <w:footnoteReference w:id="50"/>
      </w:r>
      <w:r w:rsidR="005D698C">
        <w:t xml:space="preserve"> </w:t>
      </w:r>
      <w:r w:rsidR="00BD00E2">
        <w:t xml:space="preserve"> </w:t>
      </w:r>
      <w:r w:rsidR="0088483C" w:rsidRPr="00803CB2">
        <w:t>The</w:t>
      </w:r>
      <w:r w:rsidR="00404C7A" w:rsidRPr="00803CB2">
        <w:t xml:space="preserve"> i</w:t>
      </w:r>
      <w:r w:rsidR="001E3730" w:rsidRPr="00803CB2">
        <w:t>solated location, lack of industry-specific suppliers and retailers on the island as well as unpredictable mainland delivery options</w:t>
      </w:r>
      <w:r w:rsidR="00404C7A" w:rsidRPr="00803CB2">
        <w:t xml:space="preserve"> </w:t>
      </w:r>
      <w:r w:rsidR="0088483C" w:rsidRPr="00803CB2">
        <w:t>compound the challenge</w:t>
      </w:r>
      <w:r w:rsidR="00CB0B7D" w:rsidRPr="00803CB2">
        <w:t xml:space="preserve">s in </w:t>
      </w:r>
      <w:r w:rsidR="007C6B44">
        <w:t xml:space="preserve">meeting construction requirements </w:t>
      </w:r>
      <w:r w:rsidR="00CB0B7D" w:rsidRPr="00803CB2">
        <w:t xml:space="preserve">in this area.  </w:t>
      </w:r>
    </w:p>
    <w:p w14:paraId="5015C169" w14:textId="77777777" w:rsidR="00D51D5D" w:rsidRDefault="00D51D5D" w:rsidP="00CE7ACF">
      <w:pPr>
        <w:pStyle w:val="ParaNum"/>
        <w:ind w:firstLine="720"/>
      </w:pPr>
    </w:p>
    <w:p w14:paraId="3AC941F5" w14:textId="42087B0A" w:rsidR="006173B7" w:rsidRDefault="006D7133" w:rsidP="002C13C0">
      <w:pPr>
        <w:pStyle w:val="ParaNum"/>
        <w:ind w:firstLine="720"/>
      </w:pPr>
      <w:r>
        <w:t xml:space="preserve">American Samoa’s </w:t>
      </w:r>
      <w:r w:rsidR="00744F4C">
        <w:t xml:space="preserve">topographic and </w:t>
      </w:r>
      <w:r>
        <w:t xml:space="preserve">environmental characteristics also pose </w:t>
      </w:r>
      <w:r w:rsidR="00F15CD3">
        <w:t>problems</w:t>
      </w:r>
      <w:r>
        <w:t xml:space="preserve"> for licensees.  </w:t>
      </w:r>
      <w:r w:rsidR="00BD00E2">
        <w:t xml:space="preserve">The </w:t>
      </w:r>
      <w:r w:rsidR="00F15CD3">
        <w:t xml:space="preserve">territory’s terrain </w:t>
      </w:r>
      <w:r w:rsidR="00BD00E2">
        <w:t xml:space="preserve">is </w:t>
      </w:r>
      <w:r w:rsidR="00744F4C">
        <w:t xml:space="preserve">very </w:t>
      </w:r>
      <w:r w:rsidR="00BD00E2">
        <w:t>challenging:  t</w:t>
      </w:r>
      <w:r w:rsidR="00BD00E2" w:rsidRPr="005F7CB3">
        <w:t>he</w:t>
      </w:r>
      <w:r w:rsidR="00F42191">
        <w:t>se</w:t>
      </w:r>
      <w:r w:rsidR="00BD00E2" w:rsidRPr="005F7CB3">
        <w:t xml:space="preserve"> volcanic islands are extremely rug</w:t>
      </w:r>
      <w:r w:rsidR="00BD00E2">
        <w:t>ged and steep with two</w:t>
      </w:r>
      <w:r w:rsidR="00160B69">
        <w:t>-</w:t>
      </w:r>
      <w:r w:rsidR="00BD00E2">
        <w:t>thirds of the land covered by forest,</w:t>
      </w:r>
      <w:r w:rsidR="00BD00E2">
        <w:rPr>
          <w:rStyle w:val="FootnoteReference"/>
        </w:rPr>
        <w:footnoteReference w:id="51"/>
      </w:r>
      <w:r w:rsidR="00BD00E2">
        <w:t xml:space="preserve"> making it difficult to provide </w:t>
      </w:r>
      <w:r w:rsidR="00F15CD3">
        <w:t xml:space="preserve">service </w:t>
      </w:r>
      <w:r w:rsidR="00BD00E2">
        <w:t>coverage on the islands</w:t>
      </w:r>
      <w:r w:rsidR="00F15CD3">
        <w:t xml:space="preserve"> </w:t>
      </w:r>
      <w:r w:rsidR="00F42191">
        <w:t xml:space="preserve">in terms of </w:t>
      </w:r>
      <w:r w:rsidR="00F15CD3">
        <w:t>site</w:t>
      </w:r>
      <w:r w:rsidR="00F42191">
        <w:t xml:space="preserve"> construction</w:t>
      </w:r>
      <w:r w:rsidR="00F15CD3">
        <w:t xml:space="preserve"> as well as</w:t>
      </w:r>
      <w:r w:rsidR="007B1024">
        <w:t xml:space="preserve"> </w:t>
      </w:r>
      <w:r w:rsidR="00F15CD3">
        <w:t>signal propagation</w:t>
      </w:r>
      <w:r w:rsidR="00BD00E2">
        <w:t xml:space="preserve">.  The provision of service coverage is made even more difficult because many areas of the islands </w:t>
      </w:r>
      <w:r w:rsidR="00245BB0">
        <w:t xml:space="preserve">lack </w:t>
      </w:r>
      <w:r w:rsidR="00BD00E2">
        <w:t>electricity</w:t>
      </w:r>
      <w:r w:rsidR="00245BB0">
        <w:t xml:space="preserve"> and are difficult to reach</w:t>
      </w:r>
      <w:r w:rsidR="00BD00E2">
        <w:t>.</w:t>
      </w:r>
      <w:r w:rsidR="00BD00E2">
        <w:rPr>
          <w:rStyle w:val="FootnoteReference"/>
        </w:rPr>
        <w:footnoteReference w:id="52"/>
      </w:r>
      <w:r w:rsidR="002C13C0">
        <w:t xml:space="preserve">  </w:t>
      </w:r>
      <w:r w:rsidR="0075222C" w:rsidRPr="00803CB2">
        <w:t>Moreover, weather conditions pose</w:t>
      </w:r>
      <w:r w:rsidR="0088483C" w:rsidRPr="00803CB2">
        <w:t xml:space="preserve"> additional</w:t>
      </w:r>
      <w:r w:rsidR="0075222C" w:rsidRPr="00803CB2">
        <w:t xml:space="preserve"> challenges for licensees</w:t>
      </w:r>
      <w:r w:rsidR="00407EAD" w:rsidRPr="00803CB2">
        <w:t xml:space="preserve">:  </w:t>
      </w:r>
      <w:r w:rsidR="00123A32">
        <w:t>American Samoa</w:t>
      </w:r>
      <w:r w:rsidR="00123A32" w:rsidRPr="00803CB2">
        <w:t xml:space="preserve"> </w:t>
      </w:r>
      <w:r w:rsidR="00BE657A" w:rsidRPr="00803CB2">
        <w:t xml:space="preserve">experiences a </w:t>
      </w:r>
      <w:r w:rsidR="00407EAD" w:rsidRPr="00803CB2">
        <w:t>cyclone (</w:t>
      </w:r>
      <w:r w:rsidR="00BE657A" w:rsidRPr="00803CB2">
        <w:t>hurricane</w:t>
      </w:r>
      <w:r w:rsidR="00407EAD" w:rsidRPr="00803CB2">
        <w:t>)</w:t>
      </w:r>
      <w:r w:rsidR="00BE657A" w:rsidRPr="00803CB2">
        <w:t xml:space="preserve"> season for six months out of the year</w:t>
      </w:r>
      <w:r w:rsidR="00856386">
        <w:t xml:space="preserve"> which causes frequent storms that can interfere with deployment and operations</w:t>
      </w:r>
      <w:r w:rsidR="006173B7" w:rsidRPr="00803CB2">
        <w:t>,</w:t>
      </w:r>
      <w:r w:rsidR="00BE657A" w:rsidRPr="00803CB2">
        <w:rPr>
          <w:rStyle w:val="FootnoteReference"/>
        </w:rPr>
        <w:footnoteReference w:id="53"/>
      </w:r>
      <w:r w:rsidR="00407EAD" w:rsidRPr="00803CB2">
        <w:t xml:space="preserve"> and averages 125</w:t>
      </w:r>
      <w:r w:rsidR="006173B7" w:rsidRPr="00803CB2">
        <w:t xml:space="preserve"> inches of rainfall a year</w:t>
      </w:r>
      <w:r w:rsidR="00181AEF" w:rsidRPr="00803CB2">
        <w:t>, with certain location</w:t>
      </w:r>
      <w:r w:rsidR="0088483C" w:rsidRPr="00803CB2">
        <w:t>s</w:t>
      </w:r>
      <w:r w:rsidR="00181AEF" w:rsidRPr="00803CB2">
        <w:t xml:space="preserve"> receiving up to 300 inches</w:t>
      </w:r>
      <w:r w:rsidR="006173B7" w:rsidRPr="00803CB2">
        <w:t>.</w:t>
      </w:r>
      <w:r w:rsidR="001F7110" w:rsidRPr="00803CB2">
        <w:rPr>
          <w:rStyle w:val="FootnoteReference"/>
        </w:rPr>
        <w:footnoteReference w:id="54"/>
      </w:r>
      <w:r w:rsidR="00B812A0" w:rsidRPr="00803CB2">
        <w:t xml:space="preserve">  </w:t>
      </w:r>
      <w:r w:rsidR="00BE0EE5" w:rsidRPr="00803CB2">
        <w:t>Such conditions can disrupt transport</w:t>
      </w:r>
      <w:r w:rsidR="00CE7ACF" w:rsidRPr="00803CB2">
        <w:t xml:space="preserve"> of equipment</w:t>
      </w:r>
      <w:r w:rsidR="00BE0EE5" w:rsidRPr="00803CB2">
        <w:t xml:space="preserve"> as well as delay construction of facilities.  </w:t>
      </w:r>
      <w:r w:rsidR="00B812A0" w:rsidRPr="00803CB2">
        <w:t xml:space="preserve">We </w:t>
      </w:r>
      <w:r w:rsidR="003940E5" w:rsidRPr="00803CB2">
        <w:t>conclude</w:t>
      </w:r>
      <w:r w:rsidR="00B812A0" w:rsidRPr="00803CB2">
        <w:t xml:space="preserve"> that </w:t>
      </w:r>
      <w:r w:rsidR="00BE0EE5" w:rsidRPr="00803CB2">
        <w:t xml:space="preserve">the </w:t>
      </w:r>
      <w:r w:rsidR="00B812A0" w:rsidRPr="00803CB2">
        <w:t xml:space="preserve">difficulties </w:t>
      </w:r>
      <w:r w:rsidR="003D7050">
        <w:t xml:space="preserve">posed in </w:t>
      </w:r>
      <w:r w:rsidR="00245BB0">
        <w:t>transporting equipment and other resources,</w:t>
      </w:r>
      <w:r w:rsidR="006262F6">
        <w:t xml:space="preserve"> as well as</w:t>
      </w:r>
      <w:r w:rsidR="00245BB0">
        <w:t xml:space="preserve"> </w:t>
      </w:r>
      <w:r w:rsidR="007B1024">
        <w:t>building</w:t>
      </w:r>
      <w:r w:rsidR="003D7050">
        <w:t xml:space="preserve"> </w:t>
      </w:r>
      <w:r w:rsidR="00245BB0">
        <w:t xml:space="preserve">facilities </w:t>
      </w:r>
      <w:r w:rsidR="003D7050">
        <w:t>and deploying service in American Samoa</w:t>
      </w:r>
      <w:r w:rsidR="00F22DDE">
        <w:t xml:space="preserve"> </w:t>
      </w:r>
      <w:r w:rsidR="003D7050">
        <w:t xml:space="preserve">are </w:t>
      </w:r>
      <w:r w:rsidR="006262F6">
        <w:t>unlike the challenges experienced by licensees in</w:t>
      </w:r>
      <w:r w:rsidR="00692F69">
        <w:t xml:space="preserve"> the continental United States</w:t>
      </w:r>
      <w:r w:rsidR="006262F6">
        <w:t xml:space="preserve">.  We find that circumstances in this case are </w:t>
      </w:r>
      <w:r w:rsidR="003D7050">
        <w:t>sufficiently unique to warrant</w:t>
      </w:r>
      <w:r w:rsidR="005E38F9" w:rsidRPr="00803CB2">
        <w:t xml:space="preserve"> waiver</w:t>
      </w:r>
      <w:r w:rsidR="00B812A0" w:rsidRPr="00803CB2">
        <w:t xml:space="preserve"> relief, and we agree</w:t>
      </w:r>
      <w:r w:rsidR="005E38F9" w:rsidRPr="00803CB2">
        <w:t xml:space="preserve"> with ASTCA that the unique conditions associated with constructing facilities in American Samoa make strict application of the Commission’s performance </w:t>
      </w:r>
      <w:r w:rsidR="005851D7">
        <w:t>requirements</w:t>
      </w:r>
      <w:r w:rsidR="005E38F9" w:rsidRPr="00803CB2">
        <w:t xml:space="preserve"> in this instance contrary to the public interest</w:t>
      </w:r>
      <w:r w:rsidR="003940E5" w:rsidRPr="00803CB2">
        <w:t>.</w:t>
      </w:r>
      <w:r w:rsidR="00EE1617">
        <w:t xml:space="preserve"> </w:t>
      </w:r>
    </w:p>
    <w:p w14:paraId="72953324" w14:textId="12149B6B" w:rsidR="00407EAD" w:rsidRDefault="00407EAD" w:rsidP="00160B69">
      <w:pPr>
        <w:pStyle w:val="ParaNum"/>
      </w:pPr>
    </w:p>
    <w:p w14:paraId="60D7EB61" w14:textId="6E273414" w:rsidR="008E4C07" w:rsidRDefault="006F77B8" w:rsidP="00F06453">
      <w:pPr>
        <w:pStyle w:val="ParaNum"/>
        <w:ind w:firstLine="720"/>
      </w:pPr>
      <w:r>
        <w:t>Finally</w:t>
      </w:r>
      <w:r w:rsidR="00D72209">
        <w:t xml:space="preserve">, </w:t>
      </w:r>
      <w:r w:rsidR="00DF6EA1">
        <w:t>w</w:t>
      </w:r>
      <w:r w:rsidR="0041486C">
        <w:t xml:space="preserve">e </w:t>
      </w:r>
      <w:r w:rsidR="00803CB2">
        <w:t>are also persuaded</w:t>
      </w:r>
      <w:r w:rsidR="0041486C">
        <w:t xml:space="preserve"> that a grant in this situation will result in significant benefit to the American Samoa community.  </w:t>
      </w:r>
      <w:r w:rsidR="00D72209" w:rsidRPr="00D72209">
        <w:t>Section 309 of the Act directs the Commission to ensure “the development and rapid deployment of new technologies, products, and services for the benefit of the public, including th</w:t>
      </w:r>
      <w:r w:rsidR="00D72209">
        <w:t>ose residing in rural areas.”</w:t>
      </w:r>
      <w:r w:rsidR="00D72209">
        <w:rPr>
          <w:rStyle w:val="FootnoteReference"/>
        </w:rPr>
        <w:footnoteReference w:id="55"/>
      </w:r>
      <w:r w:rsidR="009E0DF2">
        <w:t xml:space="preserve"> </w:t>
      </w:r>
      <w:r w:rsidR="008E4C07">
        <w:t xml:space="preserve"> In line with this mandate and given the unique challenges of deploying service in this area, we find that a waiver will serve the public interest by facilitating the continue</w:t>
      </w:r>
      <w:r w:rsidR="00F06453">
        <w:t>d development and deployment of</w:t>
      </w:r>
      <w:r w:rsidR="008E4C07">
        <w:t xml:space="preserve"> broadband services to this remote area</w:t>
      </w:r>
      <w:r w:rsidR="006F2DD0">
        <w:t xml:space="preserve">.  </w:t>
      </w:r>
      <w:r w:rsidR="003F2075">
        <w:t>Access to advanced communications services in American Samoa</w:t>
      </w:r>
      <w:r w:rsidR="00715413">
        <w:t xml:space="preserve"> has until recently been limited </w:t>
      </w:r>
      <w:r w:rsidR="00615327">
        <w:t>with available</w:t>
      </w:r>
      <w:r w:rsidR="00715413">
        <w:t xml:space="preserve"> data service offerings </w:t>
      </w:r>
      <w:r w:rsidR="00615327">
        <w:t xml:space="preserve">being </w:t>
      </w:r>
      <w:r w:rsidR="00A13F8C">
        <w:t>comparatively</w:t>
      </w:r>
      <w:r w:rsidR="00615327">
        <w:t xml:space="preserve"> </w:t>
      </w:r>
      <w:r w:rsidR="00715413">
        <w:t>slow and expensive.</w:t>
      </w:r>
      <w:r w:rsidR="00715413">
        <w:rPr>
          <w:rStyle w:val="FootnoteReference"/>
        </w:rPr>
        <w:footnoteReference w:id="56"/>
      </w:r>
      <w:r w:rsidR="00715413">
        <w:t xml:space="preserve"> </w:t>
      </w:r>
      <w:r w:rsidR="003F2075">
        <w:t xml:space="preserve"> </w:t>
      </w:r>
      <w:r w:rsidR="00615327">
        <w:t>More specifically</w:t>
      </w:r>
      <w:r w:rsidR="00715413">
        <w:t>,</w:t>
      </w:r>
      <w:r w:rsidR="00615327">
        <w:t xml:space="preserve"> residents</w:t>
      </w:r>
      <w:r w:rsidR="00A13F8C">
        <w:t xml:space="preserve"> of</w:t>
      </w:r>
      <w:r w:rsidR="00615327">
        <w:t xml:space="preserve"> and visitors to American Samoa </w:t>
      </w:r>
      <w:r w:rsidR="00A13F8C">
        <w:t>have been limited to 2G or 3G mobile services and have not had access to the same advanced mobile services that have been widely available in other parts of the country.</w:t>
      </w:r>
      <w:r w:rsidR="000D775D">
        <w:rPr>
          <w:rStyle w:val="FootnoteReference"/>
        </w:rPr>
        <w:footnoteReference w:id="57"/>
      </w:r>
      <w:r w:rsidR="003F2075">
        <w:t xml:space="preserve"> </w:t>
      </w:r>
      <w:r w:rsidR="00A13F8C">
        <w:t xml:space="preserve"> W</w:t>
      </w:r>
      <w:r w:rsidR="008E4C07" w:rsidRPr="008E4C07">
        <w:t xml:space="preserve">e </w:t>
      </w:r>
      <w:r w:rsidR="00CC0573">
        <w:t xml:space="preserve">conclude that providing relief in this instance will help to </w:t>
      </w:r>
      <w:r w:rsidR="00692F69">
        <w:t xml:space="preserve">promote </w:t>
      </w:r>
      <w:r w:rsidR="00CC0573">
        <w:t xml:space="preserve">competitive </w:t>
      </w:r>
      <w:r w:rsidR="00692F69">
        <w:t xml:space="preserve">mobile </w:t>
      </w:r>
      <w:r w:rsidR="00CC0573">
        <w:t>broadband services in American Samoa</w:t>
      </w:r>
      <w:r w:rsidR="00A13F8C">
        <w:t xml:space="preserve"> </w:t>
      </w:r>
      <w:r w:rsidR="00266379">
        <w:t>as well as access to the economic and personal benefits associated with</w:t>
      </w:r>
      <w:r w:rsidR="00F94EB1">
        <w:t xml:space="preserve"> high-speed</w:t>
      </w:r>
      <w:r w:rsidR="00266379">
        <w:t xml:space="preserve"> broadband services</w:t>
      </w:r>
      <w:r w:rsidR="00CC0573">
        <w:t>.</w:t>
      </w:r>
      <w:r w:rsidR="00266379" w:rsidRPr="000D775D">
        <w:rPr>
          <w:rStyle w:val="FootnoteReference"/>
        </w:rPr>
        <w:footnoteReference w:id="58"/>
      </w:r>
      <w:r w:rsidR="00CC0573">
        <w:t xml:space="preserve"> </w:t>
      </w:r>
      <w:r w:rsidR="009369D1">
        <w:t xml:space="preserve"> Moreover, ASTCA has committed to </w:t>
      </w:r>
      <w:r w:rsidR="009369D1" w:rsidRPr="000D775D">
        <w:t>making dedicated</w:t>
      </w:r>
      <w:r w:rsidR="00267B72" w:rsidRPr="000D775D">
        <w:t xml:space="preserve"> PCS</w:t>
      </w:r>
      <w:r w:rsidR="009369D1" w:rsidRPr="000D775D">
        <w:t xml:space="preserve"> frequencies available to first responders during emergencies.</w:t>
      </w:r>
      <w:r w:rsidR="009369D1" w:rsidRPr="000D775D">
        <w:rPr>
          <w:rStyle w:val="FootnoteReference"/>
        </w:rPr>
        <w:footnoteReference w:id="59"/>
      </w:r>
      <w:r w:rsidR="00CC0573" w:rsidRPr="000D775D">
        <w:t xml:space="preserve"> A</w:t>
      </w:r>
      <w:r w:rsidR="008E4C07" w:rsidRPr="000D775D">
        <w:t xml:space="preserve">bsent a waiver, </w:t>
      </w:r>
      <w:r w:rsidR="006F2DD0" w:rsidRPr="000D775D">
        <w:t>a</w:t>
      </w:r>
      <w:r w:rsidR="00F22DDE" w:rsidRPr="000D775D">
        <w:t>ffordable a</w:t>
      </w:r>
      <w:r w:rsidR="006F2DD0" w:rsidRPr="000D775D">
        <w:t>ccess to</w:t>
      </w:r>
      <w:r w:rsidR="008E4C07" w:rsidRPr="000D775D">
        <w:t xml:space="preserve"> new </w:t>
      </w:r>
      <w:r w:rsidR="006F2DD0" w:rsidRPr="000D775D">
        <w:t>advanced</w:t>
      </w:r>
      <w:r w:rsidR="008E4C07" w:rsidRPr="000D775D">
        <w:t xml:space="preserve"> </w:t>
      </w:r>
      <w:r w:rsidR="00F06453" w:rsidRPr="000D775D">
        <w:t xml:space="preserve">wireless </w:t>
      </w:r>
      <w:r w:rsidR="008E4C07" w:rsidRPr="000D775D">
        <w:t>services</w:t>
      </w:r>
      <w:r w:rsidR="00F06453" w:rsidRPr="000D775D">
        <w:t>—as well as</w:t>
      </w:r>
      <w:r w:rsidR="00351CEF" w:rsidRPr="000D775D">
        <w:t xml:space="preserve"> potential</w:t>
      </w:r>
      <w:r w:rsidR="00F06453" w:rsidRPr="000D775D">
        <w:t xml:space="preserve"> benefits brought about by such access—</w:t>
      </w:r>
      <w:r w:rsidR="008E4C07" w:rsidRPr="000D775D">
        <w:t xml:space="preserve"> </w:t>
      </w:r>
      <w:r w:rsidRPr="000D775D">
        <w:t>by</w:t>
      </w:r>
      <w:r w:rsidR="006F2DD0" w:rsidRPr="000D775D">
        <w:t xml:space="preserve"> American Samoa</w:t>
      </w:r>
      <w:r w:rsidRPr="000D775D">
        <w:t xml:space="preserve"> residents</w:t>
      </w:r>
      <w:r w:rsidR="008E4C07" w:rsidRPr="000D775D">
        <w:t xml:space="preserve"> could be delayed, frustrating </w:t>
      </w:r>
      <w:r w:rsidRPr="000D775D">
        <w:t>a key Commission</w:t>
      </w:r>
      <w:r>
        <w:t xml:space="preserve"> goal</w:t>
      </w:r>
      <w:r w:rsidR="008E4C07" w:rsidRPr="008E4C07">
        <w:t xml:space="preserve"> of promoting spectrum access and service, particularly in </w:t>
      </w:r>
      <w:r>
        <w:t>underserved</w:t>
      </w:r>
      <w:r w:rsidR="008E4C07" w:rsidRPr="008E4C07">
        <w:t xml:space="preserve"> areas</w:t>
      </w:r>
      <w:r>
        <w:t>.</w:t>
      </w:r>
      <w:r w:rsidR="00715413">
        <w:t xml:space="preserve"> </w:t>
      </w:r>
    </w:p>
    <w:p w14:paraId="566DD974" w14:textId="77777777" w:rsidR="0068291B" w:rsidRDefault="0068291B" w:rsidP="00F06453">
      <w:pPr>
        <w:pStyle w:val="ParaNum"/>
        <w:ind w:firstLine="720"/>
      </w:pPr>
    </w:p>
    <w:p w14:paraId="53589C31" w14:textId="4C1E0B11" w:rsidR="000D775D" w:rsidRDefault="0068291B" w:rsidP="00267B72">
      <w:pPr>
        <w:pStyle w:val="ParaNum"/>
        <w:ind w:firstLine="720"/>
      </w:pPr>
      <w:r>
        <w:t xml:space="preserve">Based on the totality of these factors, we conclude that a waiver of </w:t>
      </w:r>
      <w:r w:rsidR="00CC0573">
        <w:t xml:space="preserve">the construction requirements of </w:t>
      </w:r>
      <w:r>
        <w:t xml:space="preserve">section 24.203 is warranted.  We find that the challenges faced by ASTCA in </w:t>
      </w:r>
      <w:r w:rsidR="00BC7A93">
        <w:t>providing service</w:t>
      </w:r>
      <w:r>
        <w:t xml:space="preserve"> in this remote area, </w:t>
      </w:r>
      <w:r w:rsidR="00935359">
        <w:t xml:space="preserve">as </w:t>
      </w:r>
      <w:r>
        <w:t xml:space="preserve">well as the meaningful public benefit to be derived from access to advanced wireless services </w:t>
      </w:r>
      <w:r w:rsidR="00BC7A93">
        <w:t>rises to the level of “unique or unusual circumstances” and that given these circumstances, strict application of this rule would be contrary to the public interest.</w:t>
      </w:r>
      <w:r w:rsidR="00BC7A93">
        <w:rPr>
          <w:rStyle w:val="FootnoteReference"/>
        </w:rPr>
        <w:footnoteReference w:id="60"/>
      </w:r>
      <w:r w:rsidR="00DA6E08">
        <w:t xml:space="preserve"> </w:t>
      </w:r>
      <w:r w:rsidR="0080724E">
        <w:t xml:space="preserve"> </w:t>
      </w:r>
      <w:r w:rsidR="0018604E">
        <w:t>W</w:t>
      </w:r>
      <w:r w:rsidR="004806C7">
        <w:t xml:space="preserve">e </w:t>
      </w:r>
      <w:r w:rsidR="0018604E">
        <w:t xml:space="preserve">reject </w:t>
      </w:r>
      <w:r w:rsidR="004806C7">
        <w:t xml:space="preserve">other arguments </w:t>
      </w:r>
      <w:r w:rsidR="00267B72">
        <w:t xml:space="preserve">– particularly those based on financial considerations – </w:t>
      </w:r>
      <w:r w:rsidR="004806C7">
        <w:t xml:space="preserve">made by ASTCA in support of its request.  </w:t>
      </w:r>
      <w:r w:rsidR="0018604E">
        <w:t>In this regard, w</w:t>
      </w:r>
      <w:r w:rsidR="004806C7" w:rsidRPr="00557E22">
        <w:t xml:space="preserve">e </w:t>
      </w:r>
      <w:r w:rsidR="004806C7">
        <w:t>emphasize</w:t>
      </w:r>
      <w:r w:rsidR="004806C7" w:rsidRPr="00557E22">
        <w:t>, that the Commission has generally found that financial considerations or consequences resulting from a licensee’s business decisions do not constitute sufficient</w:t>
      </w:r>
      <w:r w:rsidR="004806C7">
        <w:t xml:space="preserve"> basis</w:t>
      </w:r>
      <w:r w:rsidR="004806C7" w:rsidRPr="00557E22">
        <w:t xml:space="preserve"> to warrant extension or waiver of a licensee’s obligations.</w:t>
      </w:r>
      <w:r w:rsidR="004806C7">
        <w:rPr>
          <w:rStyle w:val="FootnoteReference"/>
        </w:rPr>
        <w:footnoteReference w:id="61"/>
      </w:r>
      <w:r w:rsidR="004806C7">
        <w:t xml:space="preserve">  </w:t>
      </w:r>
    </w:p>
    <w:p w14:paraId="316F6541" w14:textId="5A313ED0" w:rsidR="000E38C0" w:rsidRDefault="00DA6E08" w:rsidP="000D775D">
      <w:pPr>
        <w:pStyle w:val="ParaNum"/>
        <w:ind w:firstLine="720"/>
      </w:pPr>
      <w:r>
        <w:t>In light of the consideration</w:t>
      </w:r>
      <w:r w:rsidR="00A04B90">
        <w:t>s</w:t>
      </w:r>
      <w:r w:rsidR="000D775D">
        <w:t xml:space="preserve"> discussed above</w:t>
      </w:r>
      <w:r>
        <w:t xml:space="preserve">, we waive the </w:t>
      </w:r>
      <w:r w:rsidR="00655DAF">
        <w:t xml:space="preserve">five-year </w:t>
      </w:r>
      <w:r>
        <w:t xml:space="preserve">construction </w:t>
      </w:r>
      <w:r w:rsidR="00655DAF">
        <w:t xml:space="preserve">requirements applicable under section 24.203 and reinstate </w:t>
      </w:r>
      <w:r w:rsidR="00061439">
        <w:rPr>
          <w:i/>
        </w:rPr>
        <w:t xml:space="preserve">nunc pro tunc </w:t>
      </w:r>
      <w:r w:rsidR="00655DAF">
        <w:t>ASTCA’s Licenses</w:t>
      </w:r>
      <w:r>
        <w:t xml:space="preserve"> subject to ASTCA completing construction and deploying service as </w:t>
      </w:r>
      <w:r w:rsidR="00655DAF">
        <w:t>conditioned</w:t>
      </w:r>
      <w:r>
        <w:t xml:space="preserve"> below.</w:t>
      </w:r>
      <w:r w:rsidR="000D775D">
        <w:t xml:space="preserve">  </w:t>
      </w:r>
      <w:r>
        <w:t>I</w:t>
      </w:r>
      <w:r w:rsidR="005D1D17">
        <w:t xml:space="preserve">n order to ensure that ASTCA promptly deploys and maintains its planned services </w:t>
      </w:r>
      <w:r>
        <w:t>in</w:t>
      </w:r>
      <w:r w:rsidR="005D1D17">
        <w:t xml:space="preserve"> each of its licensed markets, we will require ASTCA to demonstrate that it has constructed and is providing the coverage specified in its Petition and Supplement.  Specifically, ASTCA requests a period  of seven months from the date of reinstatement of its Licenses, during which time it will take the remaining steps necessary to fully deploy its 4G LTE network.</w:t>
      </w:r>
      <w:r w:rsidR="005D1D17">
        <w:rPr>
          <w:rStyle w:val="FootnoteReference"/>
        </w:rPr>
        <w:footnoteReference w:id="62"/>
      </w:r>
      <w:r w:rsidR="005D1D17">
        <w:t xml:space="preserve">  </w:t>
      </w:r>
      <w:r w:rsidR="00935359">
        <w:t>B</w:t>
      </w:r>
      <w:r w:rsidR="00883922">
        <w:t xml:space="preserve">y the end of this time </w:t>
      </w:r>
      <w:r w:rsidR="000B0F2B">
        <w:t xml:space="preserve">period </w:t>
      </w:r>
      <w:r w:rsidR="00883922">
        <w:t>and p</w:t>
      </w:r>
      <w:r w:rsidR="005D1D17">
        <w:t xml:space="preserve">ursuant to its deployment plan, ASTCA </w:t>
      </w:r>
      <w:r>
        <w:t>states that it will</w:t>
      </w:r>
      <w:r w:rsidR="005D1D17">
        <w:t xml:space="preserve"> provide coverage to 60.42</w:t>
      </w:r>
      <w:r w:rsidR="001D0EB3">
        <w:t xml:space="preserve"> percent</w:t>
      </w:r>
      <w:r w:rsidR="005D1D17">
        <w:t xml:space="preserve"> of the American Samoa population on the A and D block channels and to 34.34</w:t>
      </w:r>
      <w:r w:rsidR="001D0EB3">
        <w:t xml:space="preserve"> percent </w:t>
      </w:r>
      <w:r w:rsidR="005D1D17">
        <w:t>of the population on the C and F block channels, with a combined coverage to more than 80</w:t>
      </w:r>
      <w:r w:rsidR="001D0EB3">
        <w:t xml:space="preserve"> percent </w:t>
      </w:r>
      <w:r w:rsidR="005D1D17">
        <w:t>of the population.</w:t>
      </w:r>
      <w:r w:rsidR="005D1D17">
        <w:rPr>
          <w:rStyle w:val="FootnoteReference"/>
        </w:rPr>
        <w:footnoteReference w:id="63"/>
      </w:r>
      <w:r w:rsidR="005D1D17">
        <w:t xml:space="preserve">  </w:t>
      </w:r>
    </w:p>
    <w:p w14:paraId="198C4828" w14:textId="77777777" w:rsidR="000E38C0" w:rsidRDefault="000E38C0" w:rsidP="006F2DD0">
      <w:pPr>
        <w:pStyle w:val="ParaNum"/>
        <w:ind w:firstLine="720"/>
      </w:pPr>
    </w:p>
    <w:p w14:paraId="35B8DC55" w14:textId="28748B0D" w:rsidR="00B21212" w:rsidRPr="008D666C" w:rsidRDefault="00B37AEB" w:rsidP="00381840">
      <w:pPr>
        <w:pStyle w:val="ParaNum"/>
        <w:ind w:firstLine="720"/>
      </w:pPr>
      <w:r w:rsidRPr="002B2FBE">
        <w:t>Accordingly,</w:t>
      </w:r>
      <w:r w:rsidR="000E38C0" w:rsidRPr="002B2FBE">
        <w:t xml:space="preserve"> we require ASTCA to </w:t>
      </w:r>
      <w:r w:rsidR="00A04B90" w:rsidRPr="002B2FBE">
        <w:t>file</w:t>
      </w:r>
      <w:r w:rsidRPr="002B2FBE">
        <w:t xml:space="preserve"> notification</w:t>
      </w:r>
      <w:r w:rsidR="00A04B90" w:rsidRPr="002B2FBE">
        <w:t>s</w:t>
      </w:r>
      <w:r w:rsidRPr="002B2FBE">
        <w:t xml:space="preserve"> of construction in ULS, demonstrating that it is providing the specified level of coverage by </w:t>
      </w:r>
      <w:r w:rsidR="002B2FBE" w:rsidRPr="002B2FBE">
        <w:rPr>
          <w:b/>
        </w:rPr>
        <w:t xml:space="preserve">March </w:t>
      </w:r>
      <w:r w:rsidR="00EC66BF">
        <w:rPr>
          <w:b/>
        </w:rPr>
        <w:t>7</w:t>
      </w:r>
      <w:r w:rsidR="00D32509" w:rsidRPr="002B2FBE">
        <w:rPr>
          <w:b/>
        </w:rPr>
        <w:t>, 2018</w:t>
      </w:r>
      <w:r w:rsidR="00A04B90" w:rsidRPr="002B2FBE">
        <w:t xml:space="preserve"> for each of its Licenses</w:t>
      </w:r>
      <w:r w:rsidRPr="002B2FBE">
        <w:t xml:space="preserve">.  </w:t>
      </w:r>
      <w:r w:rsidR="000E38C0" w:rsidRPr="002B2FBE">
        <w:t xml:space="preserve">These notifications must be filed by </w:t>
      </w:r>
      <w:r w:rsidR="002B2FBE" w:rsidRPr="002B2FBE">
        <w:rPr>
          <w:b/>
        </w:rPr>
        <w:t xml:space="preserve">March </w:t>
      </w:r>
      <w:r w:rsidR="00EC66BF">
        <w:rPr>
          <w:b/>
        </w:rPr>
        <w:t>22</w:t>
      </w:r>
      <w:r w:rsidR="00D32509" w:rsidRPr="002B2FBE">
        <w:rPr>
          <w:b/>
        </w:rPr>
        <w:t>, 2018</w:t>
      </w:r>
      <w:r w:rsidR="000E38C0" w:rsidRPr="002B2FBE">
        <w:t>.</w:t>
      </w:r>
      <w:r w:rsidR="00A04B90" w:rsidRPr="002B2FBE">
        <w:rPr>
          <w:rStyle w:val="FootnoteReference"/>
        </w:rPr>
        <w:footnoteReference w:id="64"/>
      </w:r>
      <w:r w:rsidR="00A04B90" w:rsidRPr="002B2FBE">
        <w:t xml:space="preserve">  Further</w:t>
      </w:r>
      <w:r w:rsidR="005D1D17" w:rsidRPr="002B2FBE">
        <w:t xml:space="preserve">, </w:t>
      </w:r>
      <w:r w:rsidR="000E38C0" w:rsidRPr="002B2FBE">
        <w:t xml:space="preserve">to ensure that ASTCA continues </w:t>
      </w:r>
      <w:r w:rsidR="00655DAF" w:rsidRPr="002B2FBE">
        <w:t xml:space="preserve">to provide the residents of American Samoa continued access to advanced broadband service, </w:t>
      </w:r>
      <w:r w:rsidR="005D1D17" w:rsidRPr="002B2FBE">
        <w:t>ASTCA must demonstrate at renewal that</w:t>
      </w:r>
      <w:r w:rsidR="008D666C" w:rsidRPr="002B2FBE">
        <w:t>,</w:t>
      </w:r>
      <w:r w:rsidR="005D1D17" w:rsidRPr="002B2FBE">
        <w:t xml:space="preserve"> for each of its licensed markets, it has maintained or increased the</w:t>
      </w:r>
      <w:r w:rsidR="00381840" w:rsidRPr="002B2FBE">
        <w:t xml:space="preserve"> level of</w:t>
      </w:r>
      <w:r w:rsidR="005D1D17" w:rsidRPr="002B2FBE">
        <w:t xml:space="preserve"> service coverage identified in the construction notifications.  </w:t>
      </w:r>
      <w:r w:rsidR="008D666C" w:rsidRPr="002B2FBE">
        <w:t>W</w:t>
      </w:r>
      <w:r w:rsidR="00C22A74" w:rsidRPr="002B2FBE">
        <w:t xml:space="preserve">e </w:t>
      </w:r>
      <w:r w:rsidR="005D1D17" w:rsidRPr="002B2FBE">
        <w:t>expect</w:t>
      </w:r>
      <w:r w:rsidR="00C22A74" w:rsidRPr="002B2FBE">
        <w:t xml:space="preserve"> that ASTCA will work diligently to adhere to its </w:t>
      </w:r>
      <w:r w:rsidR="00655DAF" w:rsidRPr="002B2FBE">
        <w:t>specified</w:t>
      </w:r>
      <w:r w:rsidR="00C22A74" w:rsidRPr="002B2FBE">
        <w:t xml:space="preserve"> construction and deployment schedule and remind ASTCA that failure </w:t>
      </w:r>
      <w:r w:rsidR="00A04B90" w:rsidRPr="002B2FBE">
        <w:t xml:space="preserve">to construct as required and </w:t>
      </w:r>
      <w:r w:rsidR="00C22A74" w:rsidRPr="002B2FBE">
        <w:t>to file construction notifications for its Licenses</w:t>
      </w:r>
      <w:r w:rsidR="00C22A74" w:rsidRPr="008D666C">
        <w:t xml:space="preserve"> by the deadline</w:t>
      </w:r>
      <w:r w:rsidR="00655DAF">
        <w:t xml:space="preserve"> specified</w:t>
      </w:r>
      <w:r w:rsidR="00C22A74" w:rsidRPr="008D666C">
        <w:t xml:space="preserve"> will result in</w:t>
      </w:r>
      <w:r w:rsidR="00692F69">
        <w:t xml:space="preserve"> automatic</w:t>
      </w:r>
      <w:r w:rsidR="00C22A74" w:rsidRPr="008D666C">
        <w:t xml:space="preserve"> termination of the Licenses.</w:t>
      </w:r>
      <w:r w:rsidR="00AE7F2C" w:rsidRPr="008D666C">
        <w:t xml:space="preserve">  </w:t>
      </w:r>
    </w:p>
    <w:p w14:paraId="0FE96C64" w14:textId="77777777" w:rsidR="00B21212" w:rsidRPr="008D666C" w:rsidRDefault="00B21212" w:rsidP="00FB618B">
      <w:pPr>
        <w:pStyle w:val="ParaNum"/>
      </w:pPr>
    </w:p>
    <w:p w14:paraId="08F0050F" w14:textId="5DC9A4E7" w:rsidR="00C110DC" w:rsidRDefault="003440AE" w:rsidP="00FB618B">
      <w:pPr>
        <w:pStyle w:val="ParaNum"/>
        <w:ind w:firstLine="720"/>
      </w:pPr>
      <w:r w:rsidRPr="00BB4E53">
        <w:t xml:space="preserve">Accordingly, IT IS ORDERED that, pursuant to Section 4(i) of the Communications Act of 1934, as amended, 47 U.S.C. § 154(i), and </w:t>
      </w:r>
      <w:r w:rsidR="008D666C">
        <w:t>s</w:t>
      </w:r>
      <w:r w:rsidRPr="00BB4E53">
        <w:t>ection 1.925(b)</w:t>
      </w:r>
      <w:r w:rsidR="00655DAF">
        <w:t>(3)(ii)</w:t>
      </w:r>
      <w:r w:rsidRPr="00BB4E53">
        <w:t xml:space="preserve"> </w:t>
      </w:r>
      <w:r w:rsidR="002F7497">
        <w:t>of the Commission’s rules, 47 C</w:t>
      </w:r>
      <w:r w:rsidRPr="00BB4E53">
        <w:t>F</w:t>
      </w:r>
      <w:r w:rsidR="002F7497">
        <w:t>R</w:t>
      </w:r>
      <w:r w:rsidRPr="00BB4E53">
        <w:t xml:space="preserve"> § 1.925</w:t>
      </w:r>
      <w:r w:rsidR="00D53A66">
        <w:t>(b)</w:t>
      </w:r>
      <w:r w:rsidR="00655DAF">
        <w:t>(3)(ii)</w:t>
      </w:r>
      <w:r w:rsidR="00D53A66">
        <w:t xml:space="preserve">, </w:t>
      </w:r>
      <w:r w:rsidR="00415AA7">
        <w:t>a waiver of sections 1.946(e), and 24.203(a) and (b)</w:t>
      </w:r>
      <w:r w:rsidR="00415AA7" w:rsidRPr="002D0D24">
        <w:t xml:space="preserve"> </w:t>
      </w:r>
      <w:r w:rsidR="00415AA7">
        <w:t>of the Commission’s rules, 47 CFR §§ 1.946(e), 24.203(a)-(b),</w:t>
      </w:r>
      <w:r w:rsidR="00415AA7" w:rsidRPr="002D0D24">
        <w:t xml:space="preserve"> </w:t>
      </w:r>
      <w:r w:rsidR="00415AA7">
        <w:t xml:space="preserve">is hereby GRANTED and </w:t>
      </w:r>
      <w:r w:rsidR="00B21212">
        <w:t>American Samoa Telecommunications Authority</w:t>
      </w:r>
      <w:r w:rsidR="00B966AD">
        <w:t>’s licenses</w:t>
      </w:r>
      <w:r w:rsidR="00415AA7">
        <w:t xml:space="preserve">, </w:t>
      </w:r>
      <w:r w:rsidR="00415AA7" w:rsidRPr="002F4C13">
        <w:t>Call Signs WQNF697, WQNF698, WQNF699, WQNF700, WQNF703, and WQNF705</w:t>
      </w:r>
      <w:r w:rsidR="00415AA7">
        <w:t>,</w:t>
      </w:r>
      <w:r w:rsidR="00B966AD">
        <w:t xml:space="preserve"> are hereby REINSTATED</w:t>
      </w:r>
      <w:r w:rsidRPr="00BB4E53">
        <w:t>,</w:t>
      </w:r>
      <w:r w:rsidR="00415AA7">
        <w:t xml:space="preserve"> </w:t>
      </w:r>
      <w:r w:rsidR="00415AA7">
        <w:rPr>
          <w:i/>
        </w:rPr>
        <w:t>nunc pro tunc</w:t>
      </w:r>
      <w:r w:rsidR="00415AA7">
        <w:t>,</w:t>
      </w:r>
      <w:r w:rsidRPr="00BB4E53">
        <w:t xml:space="preserve"> </w:t>
      </w:r>
      <w:r w:rsidR="00655DAF">
        <w:t xml:space="preserve">to the extent provided and subject to the conditions imposed herein.  </w:t>
      </w:r>
    </w:p>
    <w:p w14:paraId="7AFEC3EC" w14:textId="77777777" w:rsidR="00D4568E" w:rsidRPr="00BB4E53" w:rsidRDefault="00D4568E" w:rsidP="00FB618B">
      <w:pPr>
        <w:pStyle w:val="ParaNum"/>
      </w:pPr>
    </w:p>
    <w:p w14:paraId="1AAF2CC6" w14:textId="77777777" w:rsidR="007E009B" w:rsidRPr="002D0D24" w:rsidRDefault="007E009B" w:rsidP="00FB618B">
      <w:pPr>
        <w:pStyle w:val="ParaNum"/>
        <w:ind w:firstLine="720"/>
      </w:pPr>
      <w:r w:rsidRPr="00BB4E53">
        <w:t xml:space="preserve">These actions are taken under delegated authority pursuant to Sections 0.131 and 0.331 </w:t>
      </w:r>
      <w:r w:rsidR="002F7497">
        <w:t>of the Commission’s rules, 47 CFR</w:t>
      </w:r>
      <w:r w:rsidRPr="00BB4E53">
        <w:t xml:space="preserve"> §§ 0.131, 0.331.</w:t>
      </w:r>
      <w:r w:rsidR="00FB618B">
        <w:t xml:space="preserve"> </w:t>
      </w:r>
    </w:p>
    <w:p w14:paraId="4D555B1B" w14:textId="77777777" w:rsidR="00E235BC" w:rsidRPr="002D0D24" w:rsidRDefault="00E235BC" w:rsidP="00FB618B">
      <w:pPr>
        <w:pStyle w:val="ParaNum"/>
      </w:pPr>
    </w:p>
    <w:p w14:paraId="5E94F6F8" w14:textId="77777777" w:rsidR="007E009B" w:rsidRPr="002D0D24" w:rsidRDefault="007E009B" w:rsidP="00FB618B">
      <w:pPr>
        <w:pStyle w:val="ParaNum"/>
        <w:ind w:left="4320"/>
      </w:pPr>
      <w:r w:rsidRPr="002D0D24">
        <w:t>Sincerely,</w:t>
      </w:r>
    </w:p>
    <w:p w14:paraId="13D371F8" w14:textId="3A9DB625" w:rsidR="007E009B" w:rsidRDefault="007E009B" w:rsidP="00FB618B">
      <w:pPr>
        <w:pStyle w:val="ParaNum"/>
        <w:ind w:left="4320"/>
      </w:pPr>
    </w:p>
    <w:p w14:paraId="4F617053" w14:textId="77777777" w:rsidR="00A25BCD" w:rsidRPr="002D0D24" w:rsidRDefault="00A25BCD" w:rsidP="00FB618B">
      <w:pPr>
        <w:pStyle w:val="ParaNum"/>
        <w:ind w:left="4320"/>
      </w:pPr>
    </w:p>
    <w:p w14:paraId="31C803D2" w14:textId="77777777" w:rsidR="007E009B" w:rsidRPr="002D0D24" w:rsidRDefault="007E009B" w:rsidP="00FB618B">
      <w:pPr>
        <w:pStyle w:val="ParaNum"/>
        <w:ind w:left="4320"/>
      </w:pPr>
    </w:p>
    <w:p w14:paraId="61476920" w14:textId="77777777" w:rsidR="007E009B" w:rsidRPr="002D0D24" w:rsidRDefault="007E009B" w:rsidP="00FB618B">
      <w:pPr>
        <w:pStyle w:val="ParaNum"/>
        <w:ind w:left="4320"/>
      </w:pPr>
      <w:r w:rsidRPr="002D0D24">
        <w:t>Roger S. Noel</w:t>
      </w:r>
    </w:p>
    <w:p w14:paraId="0B98E8AA" w14:textId="77777777" w:rsidR="007E009B" w:rsidRPr="00C22544" w:rsidRDefault="007E009B" w:rsidP="00FB618B">
      <w:pPr>
        <w:pStyle w:val="ParaNum"/>
        <w:ind w:left="4320"/>
      </w:pPr>
      <w:r w:rsidRPr="00C22544">
        <w:t>Chief, Mobility Division</w:t>
      </w:r>
    </w:p>
    <w:p w14:paraId="38E7113F" w14:textId="2E45AABE" w:rsidR="00A917FA" w:rsidRDefault="007E009B" w:rsidP="00DB0C6E">
      <w:pPr>
        <w:pStyle w:val="ParaNum"/>
        <w:ind w:left="4320"/>
      </w:pPr>
      <w:r w:rsidRPr="00C22544">
        <w:t>Wireless Telecommunications Bureau</w:t>
      </w:r>
    </w:p>
    <w:p w14:paraId="138D69A4" w14:textId="77777777" w:rsidR="00A917FA" w:rsidRDefault="00A917FA" w:rsidP="00FB618B">
      <w:pPr>
        <w:pStyle w:val="ParaNum"/>
      </w:pPr>
    </w:p>
    <w:p w14:paraId="331A848E" w14:textId="77777777" w:rsidR="005E4989" w:rsidRPr="00177D42" w:rsidRDefault="005E4989" w:rsidP="00FB618B">
      <w:pPr>
        <w:pStyle w:val="ParaNum"/>
      </w:pPr>
    </w:p>
    <w:sectPr w:rsidR="005E4989" w:rsidRPr="00177D42" w:rsidSect="002B56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496CC" w14:textId="77777777" w:rsidR="00965CB3" w:rsidRDefault="00965CB3">
      <w:r>
        <w:separator/>
      </w:r>
    </w:p>
  </w:endnote>
  <w:endnote w:type="continuationSeparator" w:id="0">
    <w:p w14:paraId="0666E2E9" w14:textId="77777777" w:rsidR="00965CB3" w:rsidRDefault="00965CB3">
      <w:r>
        <w:continuationSeparator/>
      </w:r>
    </w:p>
  </w:endnote>
  <w:endnote w:type="continuationNotice" w:id="1">
    <w:p w14:paraId="2525DDF0" w14:textId="77777777" w:rsidR="00965CB3" w:rsidRDefault="0096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5DB95" w14:textId="77777777" w:rsidR="002F3C06" w:rsidRDefault="002F3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53422"/>
      <w:docPartObj>
        <w:docPartGallery w:val="Page Numbers (Bottom of Page)"/>
        <w:docPartUnique/>
      </w:docPartObj>
    </w:sdtPr>
    <w:sdtEndPr>
      <w:rPr>
        <w:noProof/>
      </w:rPr>
    </w:sdtEndPr>
    <w:sdtContent>
      <w:p w14:paraId="3F9951B6" w14:textId="7EB3299F" w:rsidR="002657B7" w:rsidRDefault="002657B7">
        <w:pPr>
          <w:pStyle w:val="Footer"/>
          <w:jc w:val="center"/>
        </w:pPr>
        <w:r>
          <w:fldChar w:fldCharType="begin"/>
        </w:r>
        <w:r>
          <w:instrText xml:space="preserve"> PAGE   \* MERGEFORMAT </w:instrText>
        </w:r>
        <w:r>
          <w:fldChar w:fldCharType="separate"/>
        </w:r>
        <w:r w:rsidR="000A004A">
          <w:rPr>
            <w:noProof/>
          </w:rPr>
          <w:t>2</w:t>
        </w:r>
        <w:r>
          <w:rPr>
            <w:noProof/>
          </w:rPr>
          <w:fldChar w:fldCharType="end"/>
        </w:r>
      </w:p>
    </w:sdtContent>
  </w:sdt>
  <w:p w14:paraId="77E092DF" w14:textId="77777777" w:rsidR="002657B7" w:rsidRDefault="002657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87890" w14:textId="77777777" w:rsidR="002F3C06" w:rsidRDefault="002F3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DB8C0" w14:textId="77777777" w:rsidR="00965CB3" w:rsidRDefault="00965CB3">
      <w:r>
        <w:separator/>
      </w:r>
    </w:p>
  </w:footnote>
  <w:footnote w:type="continuationSeparator" w:id="0">
    <w:p w14:paraId="3EC08D49" w14:textId="64C69404" w:rsidR="00965CB3" w:rsidRDefault="00965CB3">
      <w:r>
        <w:t xml:space="preserve">(Continued from previous page) </w:t>
      </w:r>
      <w:r>
        <w:separator/>
      </w:r>
    </w:p>
  </w:footnote>
  <w:footnote w:type="continuationNotice" w:id="1">
    <w:p w14:paraId="1AB51597" w14:textId="77777777" w:rsidR="00965CB3" w:rsidRDefault="00965CB3" w:rsidP="001E4D4C"/>
  </w:footnote>
  <w:footnote w:id="2">
    <w:p w14:paraId="34B426F1" w14:textId="77777777" w:rsidR="002657B7" w:rsidRDefault="002657B7" w:rsidP="00293A29">
      <w:pPr>
        <w:pStyle w:val="FootnoteText"/>
        <w:jc w:val="left"/>
      </w:pPr>
      <w:r>
        <w:rPr>
          <w:rStyle w:val="FootnoteReference"/>
        </w:rPr>
        <w:footnoteRef/>
      </w:r>
      <w:r>
        <w:t xml:space="preserve"> </w:t>
      </w:r>
      <w:r w:rsidRPr="00AC7C45">
        <w:t xml:space="preserve">American Samoa Telecommunications Authority </w:t>
      </w:r>
      <w:r>
        <w:t xml:space="preserve">Petition for Reconsideration, Request for Waiver, and Request for </w:t>
      </w:r>
      <w:r w:rsidRPr="002F4C13">
        <w:t>Extension of Time, Call Signs WQNF697, WQNF698, WQNF699, WQNF700, WQNF703, and WQNF705 (filed Apr</w:t>
      </w:r>
      <w:r>
        <w:t xml:space="preserve">. 1, 2016) (Petition).     </w:t>
      </w:r>
    </w:p>
  </w:footnote>
  <w:footnote w:id="3">
    <w:p w14:paraId="7E46B487" w14:textId="4AE1A995" w:rsidR="002657B7" w:rsidRDefault="002657B7" w:rsidP="00293A29">
      <w:pPr>
        <w:pStyle w:val="FootnoteText"/>
        <w:jc w:val="left"/>
      </w:pPr>
      <w:r>
        <w:rPr>
          <w:rStyle w:val="FootnoteReference"/>
        </w:rPr>
        <w:footnoteRef/>
      </w:r>
      <w:r>
        <w:t xml:space="preserve"> </w:t>
      </w:r>
      <w:r>
        <w:rPr>
          <w:i/>
        </w:rPr>
        <w:t xml:space="preserve">See e.g. </w:t>
      </w:r>
      <w:r w:rsidRPr="006F7FE3">
        <w:t>Construction/Coverage Deadline Notice of License Termination Pending Status for American Samoa Telecommunications Authority, Reference No. 6119428</w:t>
      </w:r>
      <w:r>
        <w:t xml:space="preserve"> (dated Mar. 2, 2016) (Termination Notices).  ASTCA seeks reconsideration of the Termination Pending status and reinstatement of each of the above-referenced licenses.</w:t>
      </w:r>
    </w:p>
  </w:footnote>
  <w:footnote w:id="4">
    <w:p w14:paraId="79889C18" w14:textId="1C4260B2" w:rsidR="002657B7" w:rsidRPr="00E2054C" w:rsidRDefault="002657B7" w:rsidP="00820989">
      <w:pPr>
        <w:pStyle w:val="FootnoteText"/>
        <w:jc w:val="left"/>
      </w:pPr>
      <w:r>
        <w:rPr>
          <w:rStyle w:val="FootnoteReference"/>
        </w:rPr>
        <w:footnoteRef/>
      </w:r>
      <w:r>
        <w:t xml:space="preserve"> While </w:t>
      </w:r>
      <w:r w:rsidRPr="006F7FE3">
        <w:t xml:space="preserve">ASTCA </w:t>
      </w:r>
      <w:r>
        <w:t xml:space="preserve">styles part of its request as a petition for reconsideration of </w:t>
      </w:r>
      <w:r w:rsidRPr="006F7FE3">
        <w:t xml:space="preserve">the </w:t>
      </w:r>
      <w:r>
        <w:t>Termination Notices</w:t>
      </w:r>
      <w:r w:rsidRPr="006F7FE3">
        <w:t xml:space="preserve"> </w:t>
      </w:r>
      <w:r>
        <w:t>pursuant to section 1.106 of the Commission’s rules, 47 CFR § 1.106, we note that, with respect to “termination pending” status, the Commission permits a licensee to file a petition for reconsideration to demonstrate that construction has actually been met.</w:t>
      </w:r>
      <w:r w:rsidRPr="00820989">
        <w:rPr>
          <w:i/>
        </w:rPr>
        <w:t xml:space="preserve"> </w:t>
      </w:r>
      <w:r>
        <w:rPr>
          <w:i/>
        </w:rPr>
        <w:t xml:space="preserve">See </w:t>
      </w:r>
      <w:r w:rsidRPr="00E01B85">
        <w:rPr>
          <w:i/>
        </w:rPr>
        <w:t>Wireless Telecommunications Bureau Announces Deployment Of “Auto-Term,” the Automated Feature in its Universal Licensing System That Identifies Unconstructed Stations Resulting in Automatic Termination of Licenses</w:t>
      </w:r>
      <w:r w:rsidRPr="0000632A">
        <w:t>, Public Notice, 21 FCC Rcd 163, 164 (WTB 2006)</w:t>
      </w:r>
      <w:r>
        <w:t xml:space="preserve">.  It is not a vehicle by which a licensee may seek reconsideration of license termination where the licensee has not met its performance requirements.  Instead, we will treat the petition for reconsideration and associated request for extension as a request for waiver and reinstatement </w:t>
      </w:r>
      <w:r>
        <w:rPr>
          <w:i/>
        </w:rPr>
        <w:t xml:space="preserve">nunc pro tunc </w:t>
      </w:r>
      <w:r>
        <w:t xml:space="preserve">under section 1.925.  ASTCA also seeks a waiver of section 1.946(e) which requires that licensees seeking relief with respect to performance requirements must do so prior to the end of the applicable construction requirement.  </w:t>
      </w:r>
      <w:r>
        <w:rPr>
          <w:i/>
        </w:rPr>
        <w:t>See</w:t>
      </w:r>
      <w:r>
        <w:t xml:space="preserve"> 47 CFR § 1.946(e).  </w:t>
      </w:r>
      <w:r w:rsidRPr="00765B92">
        <w:t xml:space="preserve">The Commission has repeatedly emphasized that requiring licensees to timely seek relief serves important public policy objectives and has dismissed untimely requests for relief.  </w:t>
      </w:r>
      <w:r w:rsidRPr="00765B92">
        <w:rPr>
          <w:i/>
        </w:rPr>
        <w:t>See</w:t>
      </w:r>
      <w:r w:rsidR="00160B69">
        <w:t>,</w:t>
      </w:r>
      <w:r w:rsidRPr="00765B92">
        <w:rPr>
          <w:i/>
        </w:rPr>
        <w:t xml:space="preserve"> e.g.</w:t>
      </w:r>
      <w:r w:rsidR="00160B69">
        <w:t>,</w:t>
      </w:r>
      <w:r w:rsidRPr="00765B92">
        <w:rPr>
          <w:i/>
        </w:rPr>
        <w:t xml:space="preserve"> Vijay Ravenkar, The Port Authority of New York and New Jersey, Requests for Waiver to Permit Untimely Filing and to Extend the Construction Period for Station WQPK961</w:t>
      </w:r>
      <w:r w:rsidRPr="00765B92">
        <w:t xml:space="preserve">, File No. 0006191959, Letter Order, 29 FCC Rcd 3729 (WTB MD 2014).  The Commission may, however, entertain late-filed petitions where it is in the public interest to grant relief.  </w:t>
      </w:r>
      <w:r w:rsidRPr="00765B92">
        <w:rPr>
          <w:i/>
        </w:rPr>
        <w:t>Data-Max Wireless, LLC, Request for Waiver and Extension of Time of Tribal Land Bidding Credit Requirements</w:t>
      </w:r>
      <w:r w:rsidRPr="00765B92">
        <w:t>, Call Sign WQJQ674, File Number 0005662520</w:t>
      </w:r>
      <w:r>
        <w:t>, Letter Order, 29 FCC Rcd</w:t>
      </w:r>
      <w:r w:rsidRPr="00765B92">
        <w:t xml:space="preserve"> 5149</w:t>
      </w:r>
      <w:r>
        <w:t>, 5152-3 (WTB MD 2014).  We conclude that the overarching public interest benefits supporting a waiver of ASTCA’s five-year construction deadlines also support ASTCA’s request that we entertain its late-filed petition.</w:t>
      </w:r>
    </w:p>
  </w:footnote>
  <w:footnote w:id="5">
    <w:p w14:paraId="08D94B12" w14:textId="77777777" w:rsidR="002657B7" w:rsidRPr="00860EF8" w:rsidRDefault="002657B7">
      <w:pPr>
        <w:pStyle w:val="FootnoteText"/>
        <w:rPr>
          <w:i/>
        </w:rPr>
      </w:pPr>
      <w:r>
        <w:rPr>
          <w:rStyle w:val="FootnoteReference"/>
        </w:rPr>
        <w:footnoteRef/>
      </w:r>
      <w:r>
        <w:t xml:space="preserve"> 47 CFR §</w:t>
      </w:r>
      <w:r w:rsidRPr="00D679F8">
        <w:t xml:space="preserve"> 24.203(a</w:t>
      </w:r>
      <w:r>
        <w:t xml:space="preserve">).  Section 24.203(a) also requires licenses of 30 megahertz PCS blocks to demonstrate that they are serving with a signal level sufficient to provide service to at least two-thirds of the population in the applicable license area within ten years of license grant.  </w:t>
      </w:r>
      <w:r>
        <w:rPr>
          <w:i/>
        </w:rPr>
        <w:t>Id.</w:t>
      </w:r>
    </w:p>
  </w:footnote>
  <w:footnote w:id="6">
    <w:p w14:paraId="132198E1" w14:textId="77777777" w:rsidR="002657B7" w:rsidRDefault="002657B7">
      <w:pPr>
        <w:pStyle w:val="FootnoteText"/>
      </w:pPr>
      <w:r>
        <w:rPr>
          <w:rStyle w:val="FootnoteReference"/>
        </w:rPr>
        <w:footnoteRef/>
      </w:r>
      <w:r>
        <w:t xml:space="preserve"> 47 CFR §</w:t>
      </w:r>
      <w:r w:rsidRPr="00D679F8">
        <w:t xml:space="preserve"> 24.203(</w:t>
      </w:r>
      <w:r>
        <w:t xml:space="preserve">b).  </w:t>
      </w:r>
    </w:p>
  </w:footnote>
  <w:footnote w:id="7">
    <w:p w14:paraId="0AF2B114" w14:textId="77777777" w:rsidR="002657B7" w:rsidRDefault="002657B7">
      <w:pPr>
        <w:pStyle w:val="FootnoteText"/>
      </w:pPr>
      <w:r>
        <w:rPr>
          <w:rStyle w:val="FootnoteReference"/>
        </w:rPr>
        <w:footnoteRef/>
      </w:r>
      <w:r>
        <w:t xml:space="preserve"> </w:t>
      </w:r>
      <w:r w:rsidRPr="00786650">
        <w:rPr>
          <w:i/>
        </w:rPr>
        <w:t xml:space="preserve">See </w:t>
      </w:r>
      <w:r>
        <w:t xml:space="preserve">47 CFR §§ 24.203(a), (b).  </w:t>
      </w:r>
    </w:p>
  </w:footnote>
  <w:footnote w:id="8">
    <w:p w14:paraId="1B800EBB" w14:textId="77777777" w:rsidR="002657B7" w:rsidRPr="00800AB7" w:rsidRDefault="002657B7">
      <w:pPr>
        <w:pStyle w:val="FootnoteText"/>
        <w:rPr>
          <w:i/>
        </w:rPr>
      </w:pPr>
      <w:r>
        <w:rPr>
          <w:rStyle w:val="FootnoteReference"/>
        </w:rPr>
        <w:footnoteRef/>
      </w:r>
      <w:r>
        <w:t xml:space="preserve"> </w:t>
      </w:r>
      <w:r>
        <w:rPr>
          <w:i/>
        </w:rPr>
        <w:t>Id.</w:t>
      </w:r>
    </w:p>
  </w:footnote>
  <w:footnote w:id="9">
    <w:p w14:paraId="1AC1D3D5" w14:textId="77777777" w:rsidR="002657B7" w:rsidRDefault="002657B7">
      <w:pPr>
        <w:pStyle w:val="FootnoteText"/>
      </w:pPr>
      <w:r>
        <w:rPr>
          <w:rStyle w:val="FootnoteReference"/>
        </w:rPr>
        <w:footnoteRef/>
      </w:r>
      <w:r>
        <w:t xml:space="preserve"> </w:t>
      </w:r>
      <w:r w:rsidRPr="005424B6">
        <w:rPr>
          <w:i/>
        </w:rPr>
        <w:t>See</w:t>
      </w:r>
      <w:r>
        <w:t xml:space="preserve"> 47 CFR §§ 1.946(c), 1.955(a)(2), and 24.203(a), (b).</w:t>
      </w:r>
    </w:p>
  </w:footnote>
  <w:footnote w:id="10">
    <w:p w14:paraId="18E85930" w14:textId="77777777" w:rsidR="002657B7" w:rsidRDefault="002657B7" w:rsidP="00293A29">
      <w:pPr>
        <w:pStyle w:val="FootnoteText"/>
        <w:jc w:val="left"/>
      </w:pPr>
      <w:r>
        <w:rPr>
          <w:rStyle w:val="FootnoteReference"/>
        </w:rPr>
        <w:footnoteRef/>
      </w:r>
      <w:r>
        <w:t xml:space="preserve"> </w:t>
      </w:r>
      <w:r w:rsidRPr="00E25141">
        <w:rPr>
          <w:i/>
        </w:rPr>
        <w:t>See</w:t>
      </w:r>
      <w:r>
        <w:t xml:space="preserve"> </w:t>
      </w:r>
      <w:r w:rsidRPr="00E515D8">
        <w:rPr>
          <w:i/>
        </w:rPr>
        <w:t xml:space="preserve">Auction of Broadband PCS Spectrum Licenses Closes:  Winning Bidders Announced for Auction No. 71, </w:t>
      </w:r>
      <w:r w:rsidRPr="00151DC7">
        <w:rPr>
          <w:i/>
        </w:rPr>
        <w:t>Report No. AUC-07-71-E</w:t>
      </w:r>
      <w:r w:rsidRPr="00E515D8">
        <w:t xml:space="preserve">, </w:t>
      </w:r>
      <w:r>
        <w:t>Public Notice, 22 FCC Rcd 9247 (WTB 2007);</w:t>
      </w:r>
      <w:r w:rsidRPr="00E515D8">
        <w:t xml:space="preserve"> </w:t>
      </w:r>
      <w:r w:rsidRPr="00E515D8">
        <w:rPr>
          <w:i/>
        </w:rPr>
        <w:t>Auction of AWS-1 and Broadband PCS Licenses Closes: Winning Bidders Announced for Auction 78</w:t>
      </w:r>
      <w:r w:rsidRPr="00151DC7">
        <w:rPr>
          <w:i/>
        </w:rPr>
        <w:t>, Report No. AUC-08-78-E,</w:t>
      </w:r>
      <w:r w:rsidRPr="00E515D8">
        <w:t xml:space="preserve"> </w:t>
      </w:r>
      <w:r>
        <w:t xml:space="preserve">Public Notice, </w:t>
      </w:r>
      <w:r w:rsidRPr="00E515D8">
        <w:t>23 FCC Rcd 12749 (WTB 2008)</w:t>
      </w:r>
      <w:r>
        <w:t>.</w:t>
      </w:r>
    </w:p>
  </w:footnote>
  <w:footnote w:id="11">
    <w:p w14:paraId="24B252DE" w14:textId="77777777" w:rsidR="002657B7" w:rsidRDefault="002657B7" w:rsidP="00B03FD5">
      <w:pPr>
        <w:pStyle w:val="FootnoteText"/>
        <w:jc w:val="left"/>
      </w:pPr>
      <w:r>
        <w:rPr>
          <w:rStyle w:val="FootnoteReference"/>
        </w:rPr>
        <w:footnoteRef/>
      </w:r>
      <w:r>
        <w:t xml:space="preserve"> </w:t>
      </w:r>
      <w:r>
        <w:rPr>
          <w:i/>
        </w:rPr>
        <w:t xml:space="preserve">See </w:t>
      </w:r>
      <w:r w:rsidRPr="00B03FD5">
        <w:rPr>
          <w:i/>
        </w:rPr>
        <w:t>Wireless Telecommunications Bureau Grants Broadband Personal Communications Services (PCS) Licenses:  Auction 71, Report No. AUC-71 (Auction 71)</w:t>
      </w:r>
      <w:r>
        <w:t xml:space="preserve">, Public Notice, 26 FCC Rcd 462 (WTB 2011); </w:t>
      </w:r>
      <w:r w:rsidRPr="00B03FD5">
        <w:rPr>
          <w:i/>
        </w:rPr>
        <w:t>Wireless Telecommunications Bureau Grants Broadband Personal Communications Services (PCS) Licenses:  Auction 78, Report No. AUC-78 (Auction 78)</w:t>
      </w:r>
      <w:r>
        <w:t>, Public Notice, 26 FCC Rcd 480 (WTB 2011).</w:t>
      </w:r>
    </w:p>
  </w:footnote>
  <w:footnote w:id="12">
    <w:p w14:paraId="6821CC9D" w14:textId="77777777" w:rsidR="002657B7" w:rsidRDefault="002657B7" w:rsidP="00293A29">
      <w:pPr>
        <w:pStyle w:val="FootnoteText"/>
        <w:jc w:val="left"/>
      </w:pPr>
      <w:r>
        <w:rPr>
          <w:rStyle w:val="FootnoteReference"/>
        </w:rPr>
        <w:footnoteRef/>
      </w:r>
      <w:r>
        <w:t xml:space="preserve"> </w:t>
      </w:r>
      <w:r w:rsidRPr="00E25141">
        <w:rPr>
          <w:i/>
        </w:rPr>
        <w:t>See</w:t>
      </w:r>
      <w:r>
        <w:t xml:space="preserve"> 47 CFR §§ 24.203(a), (b).</w:t>
      </w:r>
    </w:p>
  </w:footnote>
  <w:footnote w:id="13">
    <w:p w14:paraId="73B38530" w14:textId="77777777" w:rsidR="002657B7" w:rsidRDefault="002657B7">
      <w:pPr>
        <w:pStyle w:val="FootnoteText"/>
      </w:pPr>
      <w:r>
        <w:rPr>
          <w:rStyle w:val="FootnoteReference"/>
        </w:rPr>
        <w:footnoteRef/>
      </w:r>
      <w:r>
        <w:t xml:space="preserve"> Call Sign </w:t>
      </w:r>
      <w:r w:rsidRPr="007A666F">
        <w:t>WQNF700</w:t>
      </w:r>
      <w:r>
        <w:t>.</w:t>
      </w:r>
    </w:p>
  </w:footnote>
  <w:footnote w:id="14">
    <w:p w14:paraId="490980B1" w14:textId="77777777" w:rsidR="002657B7" w:rsidRDefault="002657B7">
      <w:pPr>
        <w:pStyle w:val="FootnoteText"/>
      </w:pPr>
      <w:r>
        <w:rPr>
          <w:rStyle w:val="FootnoteReference"/>
        </w:rPr>
        <w:footnoteRef/>
      </w:r>
      <w:r>
        <w:t xml:space="preserve"> Call Signs </w:t>
      </w:r>
      <w:r w:rsidRPr="00E37224">
        <w:t>WQN</w:t>
      </w:r>
      <w:r>
        <w:t>F697, WQNF698, WQNF699,</w:t>
      </w:r>
      <w:r w:rsidRPr="00E37224">
        <w:t xml:space="preserve"> WQNF703, and WQNF705</w:t>
      </w:r>
      <w:r>
        <w:t>.</w:t>
      </w:r>
    </w:p>
  </w:footnote>
  <w:footnote w:id="15">
    <w:p w14:paraId="0C9AE2B1" w14:textId="77777777" w:rsidR="002657B7" w:rsidRDefault="002657B7" w:rsidP="00293A29">
      <w:pPr>
        <w:pStyle w:val="FootnoteText"/>
        <w:jc w:val="left"/>
      </w:pPr>
      <w:r>
        <w:rPr>
          <w:rStyle w:val="FootnoteReference"/>
        </w:rPr>
        <w:footnoteRef/>
      </w:r>
      <w:r>
        <w:t xml:space="preserve"> Petition at 1.</w:t>
      </w:r>
    </w:p>
  </w:footnote>
  <w:footnote w:id="16">
    <w:p w14:paraId="2CF7525B" w14:textId="2A45987D" w:rsidR="002657B7" w:rsidRDefault="002657B7" w:rsidP="00293A29">
      <w:pPr>
        <w:pStyle w:val="FootnoteText"/>
        <w:jc w:val="left"/>
      </w:pPr>
      <w:r>
        <w:rPr>
          <w:rStyle w:val="FootnoteReference"/>
        </w:rPr>
        <w:footnoteRef/>
      </w:r>
      <w:r>
        <w:t xml:space="preserve"> </w:t>
      </w:r>
      <w:r w:rsidR="00707E33">
        <w:rPr>
          <w:i/>
        </w:rPr>
        <w:t>Id.</w:t>
      </w:r>
      <w:r>
        <w:t xml:space="preserve"> at 2-3.</w:t>
      </w:r>
    </w:p>
  </w:footnote>
  <w:footnote w:id="17">
    <w:p w14:paraId="271F2D6D" w14:textId="77777777" w:rsidR="002657B7" w:rsidRDefault="002657B7" w:rsidP="00293A29">
      <w:pPr>
        <w:pStyle w:val="FootnoteText"/>
        <w:jc w:val="left"/>
      </w:pPr>
      <w:r>
        <w:rPr>
          <w:rStyle w:val="FootnoteReference"/>
        </w:rPr>
        <w:footnoteRef/>
      </w:r>
      <w:r>
        <w:t xml:space="preserve"> </w:t>
      </w:r>
      <w:r w:rsidRPr="00E04F0F">
        <w:rPr>
          <w:i/>
        </w:rPr>
        <w:t>See</w:t>
      </w:r>
      <w:r>
        <w:t xml:space="preserve"> </w:t>
      </w:r>
      <w:r w:rsidRPr="00673C5E">
        <w:rPr>
          <w:i/>
        </w:rPr>
        <w:t>id.</w:t>
      </w:r>
      <w:r>
        <w:t xml:space="preserve"> at 3-4.</w:t>
      </w:r>
    </w:p>
  </w:footnote>
  <w:footnote w:id="18">
    <w:p w14:paraId="721E6332" w14:textId="77777777" w:rsidR="002657B7" w:rsidRDefault="002657B7" w:rsidP="00293A29">
      <w:pPr>
        <w:pStyle w:val="FootnoteText"/>
        <w:jc w:val="left"/>
      </w:pPr>
      <w:r>
        <w:rPr>
          <w:rStyle w:val="FootnoteReference"/>
        </w:rPr>
        <w:footnoteRef/>
      </w:r>
      <w:r>
        <w:t xml:space="preserve"> </w:t>
      </w:r>
      <w:r w:rsidRPr="00783859">
        <w:rPr>
          <w:i/>
        </w:rPr>
        <w:t>Id.</w:t>
      </w:r>
      <w:r>
        <w:t xml:space="preserve"> at 5-6.</w:t>
      </w:r>
    </w:p>
  </w:footnote>
  <w:footnote w:id="19">
    <w:p w14:paraId="12D062A3" w14:textId="77777777" w:rsidR="002657B7" w:rsidRDefault="002657B7" w:rsidP="00293A29">
      <w:pPr>
        <w:pStyle w:val="FootnoteText"/>
        <w:jc w:val="left"/>
      </w:pPr>
      <w:r>
        <w:rPr>
          <w:rStyle w:val="FootnoteReference"/>
        </w:rPr>
        <w:footnoteRef/>
      </w:r>
      <w:r>
        <w:t xml:space="preserve"> </w:t>
      </w:r>
      <w:r w:rsidRPr="00FD6C74">
        <w:rPr>
          <w:i/>
        </w:rPr>
        <w:t>Id.</w:t>
      </w:r>
      <w:r>
        <w:t xml:space="preserve"> at 7-9.</w:t>
      </w:r>
    </w:p>
  </w:footnote>
  <w:footnote w:id="20">
    <w:p w14:paraId="5F64C93A" w14:textId="77777777" w:rsidR="002657B7" w:rsidRDefault="002657B7" w:rsidP="00293A29">
      <w:pPr>
        <w:pStyle w:val="FootnoteText"/>
        <w:jc w:val="left"/>
      </w:pPr>
      <w:r>
        <w:rPr>
          <w:rStyle w:val="FootnoteReference"/>
        </w:rPr>
        <w:footnoteRef/>
      </w:r>
      <w:r>
        <w:t xml:space="preserve"> </w:t>
      </w:r>
      <w:r w:rsidRPr="00BB3916">
        <w:t>American Samoa Telecommunications Authority</w:t>
      </w:r>
      <w:r>
        <w:t>,</w:t>
      </w:r>
      <w:r w:rsidRPr="00BB3916">
        <w:t xml:space="preserve"> Supplement </w:t>
      </w:r>
      <w:r>
        <w:t xml:space="preserve">at 2-3 </w:t>
      </w:r>
      <w:r w:rsidRPr="00BB3916">
        <w:t>(filed Jan. 7, 2017)</w:t>
      </w:r>
      <w:r>
        <w:t xml:space="preserve"> (Supplement).</w:t>
      </w:r>
    </w:p>
  </w:footnote>
  <w:footnote w:id="21">
    <w:p w14:paraId="388890E2" w14:textId="77777777" w:rsidR="002657B7" w:rsidRDefault="002657B7" w:rsidP="00293A29">
      <w:pPr>
        <w:pStyle w:val="FootnoteText"/>
        <w:jc w:val="left"/>
      </w:pPr>
      <w:r>
        <w:rPr>
          <w:rStyle w:val="FootnoteReference"/>
        </w:rPr>
        <w:footnoteRef/>
      </w:r>
      <w:r>
        <w:t xml:space="preserve"> </w:t>
      </w:r>
      <w:r w:rsidRPr="00232271">
        <w:rPr>
          <w:i/>
        </w:rPr>
        <w:t>Id.</w:t>
      </w:r>
      <w:r>
        <w:t xml:space="preserve"> at 3.</w:t>
      </w:r>
    </w:p>
  </w:footnote>
  <w:footnote w:id="22">
    <w:p w14:paraId="6A2B0DA2" w14:textId="77777777" w:rsidR="002657B7" w:rsidRDefault="002657B7" w:rsidP="00293A29">
      <w:pPr>
        <w:pStyle w:val="FootnoteText"/>
        <w:jc w:val="left"/>
      </w:pPr>
      <w:r>
        <w:rPr>
          <w:rStyle w:val="FootnoteReference"/>
        </w:rPr>
        <w:footnoteRef/>
      </w:r>
      <w:r>
        <w:t xml:space="preserve"> </w:t>
      </w:r>
      <w:r w:rsidRPr="00232271">
        <w:rPr>
          <w:i/>
        </w:rPr>
        <w:t>Id.</w:t>
      </w:r>
      <w:r>
        <w:t xml:space="preserve"> at 4-5.</w:t>
      </w:r>
    </w:p>
  </w:footnote>
  <w:footnote w:id="23">
    <w:p w14:paraId="10B6F066" w14:textId="77777777" w:rsidR="002657B7" w:rsidRDefault="002657B7" w:rsidP="00293A29">
      <w:pPr>
        <w:pStyle w:val="FootnoteText"/>
        <w:jc w:val="left"/>
      </w:pPr>
      <w:r>
        <w:rPr>
          <w:rStyle w:val="FootnoteReference"/>
        </w:rPr>
        <w:footnoteRef/>
      </w:r>
      <w:r>
        <w:t xml:space="preserve"> </w:t>
      </w:r>
      <w:r w:rsidRPr="001A3FC4">
        <w:rPr>
          <w:i/>
        </w:rPr>
        <w:t>Id.</w:t>
      </w:r>
      <w:r>
        <w:t xml:space="preserve"> at 5-7.</w:t>
      </w:r>
    </w:p>
  </w:footnote>
  <w:footnote w:id="24">
    <w:p w14:paraId="3B66C3F0" w14:textId="1E536FE4" w:rsidR="005C24E1" w:rsidRDefault="005C24E1" w:rsidP="005C24E1">
      <w:pPr>
        <w:pStyle w:val="FootnoteText"/>
        <w:jc w:val="left"/>
      </w:pPr>
      <w:r>
        <w:rPr>
          <w:rStyle w:val="FootnoteReference"/>
        </w:rPr>
        <w:footnoteRef/>
      </w:r>
      <w:r>
        <w:t xml:space="preserve"> </w:t>
      </w:r>
      <w:r w:rsidRPr="00A32EE3">
        <w:rPr>
          <w:i/>
        </w:rPr>
        <w:t xml:space="preserve">See </w:t>
      </w:r>
      <w:r w:rsidR="00160B69">
        <w:rPr>
          <w:i/>
        </w:rPr>
        <w:t>id.</w:t>
      </w:r>
      <w:r w:rsidR="00160B69">
        <w:t xml:space="preserve"> </w:t>
      </w:r>
      <w:r>
        <w:t>at 3-4.</w:t>
      </w:r>
    </w:p>
  </w:footnote>
  <w:footnote w:id="25">
    <w:p w14:paraId="70778F99" w14:textId="2CEC67F4" w:rsidR="005C24E1" w:rsidRDefault="005C24E1" w:rsidP="005C24E1">
      <w:pPr>
        <w:pStyle w:val="FootnoteText"/>
        <w:jc w:val="left"/>
      </w:pPr>
      <w:r>
        <w:rPr>
          <w:rStyle w:val="FootnoteReference"/>
        </w:rPr>
        <w:footnoteRef/>
      </w:r>
      <w:r>
        <w:t xml:space="preserve"> </w:t>
      </w:r>
      <w:r w:rsidR="00160B69">
        <w:rPr>
          <w:i/>
        </w:rPr>
        <w:t>Id.</w:t>
      </w:r>
      <w:r w:rsidR="00160B69">
        <w:t xml:space="preserve"> </w:t>
      </w:r>
      <w:r>
        <w:t>at 4-5.</w:t>
      </w:r>
    </w:p>
  </w:footnote>
  <w:footnote w:id="26">
    <w:p w14:paraId="35CCD060" w14:textId="77777777" w:rsidR="005C24E1" w:rsidRDefault="005C24E1" w:rsidP="005C24E1">
      <w:pPr>
        <w:pStyle w:val="FootnoteText"/>
        <w:jc w:val="left"/>
      </w:pPr>
      <w:r>
        <w:rPr>
          <w:rStyle w:val="FootnoteReference"/>
        </w:rPr>
        <w:footnoteRef/>
      </w:r>
      <w:r>
        <w:t xml:space="preserve"> Petition at 3.</w:t>
      </w:r>
    </w:p>
  </w:footnote>
  <w:footnote w:id="27">
    <w:p w14:paraId="0D62CD04" w14:textId="77777777" w:rsidR="005C24E1" w:rsidRDefault="005C24E1" w:rsidP="005C24E1">
      <w:pPr>
        <w:pStyle w:val="FootnoteText"/>
      </w:pPr>
      <w:r>
        <w:rPr>
          <w:rStyle w:val="FootnoteReference"/>
        </w:rPr>
        <w:footnoteRef/>
      </w:r>
      <w:r>
        <w:t xml:space="preserve"> The BLAST infrastructure, including the upgrade from circuit switching technology to IP-switching, enables higher data rates for fixed internet access into homes as well as the mobile LTE ASTCA is deploying.</w:t>
      </w:r>
    </w:p>
  </w:footnote>
  <w:footnote w:id="28">
    <w:p w14:paraId="225FD9A3" w14:textId="77777777" w:rsidR="005C24E1" w:rsidRPr="007351CD" w:rsidRDefault="005C24E1" w:rsidP="005C24E1">
      <w:pPr>
        <w:pStyle w:val="FootnoteText"/>
        <w:jc w:val="left"/>
        <w:rPr>
          <w:i/>
        </w:rPr>
      </w:pPr>
      <w:r>
        <w:rPr>
          <w:rStyle w:val="FootnoteReference"/>
        </w:rPr>
        <w:footnoteRef/>
      </w:r>
      <w:r>
        <w:t xml:space="preserve"> Supplement at 4.</w:t>
      </w:r>
    </w:p>
  </w:footnote>
  <w:footnote w:id="29">
    <w:p w14:paraId="522D0B1F" w14:textId="77777777" w:rsidR="005C24E1" w:rsidRPr="00294D99" w:rsidRDefault="005C24E1" w:rsidP="005C24E1">
      <w:pPr>
        <w:pStyle w:val="FootnoteText"/>
        <w:jc w:val="left"/>
        <w:rPr>
          <w:i/>
        </w:rPr>
      </w:pPr>
      <w:r>
        <w:rPr>
          <w:rStyle w:val="FootnoteReference"/>
        </w:rPr>
        <w:footnoteRef/>
      </w:r>
      <w:r>
        <w:t xml:space="preserve"> </w:t>
      </w:r>
      <w:r w:rsidRPr="00F85D7C">
        <w:rPr>
          <w:i/>
        </w:rPr>
        <w:t xml:space="preserve">See </w:t>
      </w:r>
      <w:r>
        <w:t xml:space="preserve">Petition at 4; Supplement at 7.  ASTCA also notes that there are no zoning or permitting issues associated with the LTE deployment, and that no new towers of construction will be required.  </w:t>
      </w:r>
      <w:r>
        <w:rPr>
          <w:i/>
        </w:rPr>
        <w:t>Id.</w:t>
      </w:r>
    </w:p>
  </w:footnote>
  <w:footnote w:id="30">
    <w:p w14:paraId="251073FD" w14:textId="77777777" w:rsidR="005C24E1" w:rsidRDefault="005C24E1" w:rsidP="005C24E1">
      <w:pPr>
        <w:pStyle w:val="FootnoteText"/>
        <w:jc w:val="left"/>
      </w:pPr>
      <w:r>
        <w:rPr>
          <w:rStyle w:val="FootnoteReference"/>
        </w:rPr>
        <w:footnoteRef/>
      </w:r>
      <w:r>
        <w:t xml:space="preserve"> </w:t>
      </w:r>
      <w:r w:rsidRPr="007351CD">
        <w:rPr>
          <w:i/>
        </w:rPr>
        <w:t xml:space="preserve">See </w:t>
      </w:r>
      <w:r>
        <w:t>Supplement at 4.</w:t>
      </w:r>
    </w:p>
  </w:footnote>
  <w:footnote w:id="31">
    <w:p w14:paraId="033E6E95" w14:textId="77777777" w:rsidR="005C24E1" w:rsidRPr="001F0824" w:rsidRDefault="005C24E1" w:rsidP="005C24E1">
      <w:pPr>
        <w:pStyle w:val="FootnoteText"/>
        <w:rPr>
          <w:i/>
        </w:rPr>
      </w:pPr>
      <w:r>
        <w:rPr>
          <w:rStyle w:val="FootnoteReference"/>
        </w:rPr>
        <w:footnoteRef/>
      </w:r>
      <w:r>
        <w:t xml:space="preserve"> </w:t>
      </w:r>
      <w:r>
        <w:rPr>
          <w:i/>
        </w:rPr>
        <w:t>Id.</w:t>
      </w:r>
    </w:p>
  </w:footnote>
  <w:footnote w:id="32">
    <w:p w14:paraId="553125C9" w14:textId="77777777" w:rsidR="002657B7" w:rsidRDefault="002657B7">
      <w:pPr>
        <w:pStyle w:val="FootnoteText"/>
      </w:pPr>
      <w:r>
        <w:rPr>
          <w:rStyle w:val="FootnoteReference"/>
        </w:rPr>
        <w:footnoteRef/>
      </w:r>
      <w:r>
        <w:t xml:space="preserve"> </w:t>
      </w:r>
      <w:r w:rsidRPr="00157CE0">
        <w:rPr>
          <w:i/>
        </w:rPr>
        <w:t>See WAIT Radio v. FCC</w:t>
      </w:r>
      <w:r w:rsidRPr="00157CE0">
        <w:t xml:space="preserve">, 459 F.2d 1203, 1207 (D.C. Cir. 1972).  </w:t>
      </w:r>
    </w:p>
  </w:footnote>
  <w:footnote w:id="33">
    <w:p w14:paraId="59837AB7" w14:textId="77777777" w:rsidR="002657B7" w:rsidRPr="007A0E4C" w:rsidRDefault="002657B7" w:rsidP="00984CF2">
      <w:pPr>
        <w:pStyle w:val="FootnoteText"/>
      </w:pPr>
      <w:r>
        <w:rPr>
          <w:rStyle w:val="FootnoteReference"/>
        </w:rPr>
        <w:footnoteRef/>
      </w:r>
      <w:r>
        <w:t xml:space="preserve"> </w:t>
      </w:r>
      <w:r>
        <w:rPr>
          <w:i/>
        </w:rPr>
        <w:t xml:space="preserve">Northeast Cellular Telephone Co. v. FCC, </w:t>
      </w:r>
      <w:r>
        <w:t>897 F.2d 1164, 1166 (D.C.Cir. 1990).</w:t>
      </w:r>
    </w:p>
  </w:footnote>
  <w:footnote w:id="34">
    <w:p w14:paraId="2407B17F" w14:textId="77777777" w:rsidR="002657B7" w:rsidRPr="00065067" w:rsidRDefault="002657B7" w:rsidP="00984CF2">
      <w:pPr>
        <w:pStyle w:val="FootnoteText"/>
      </w:pPr>
      <w:r w:rsidRPr="00065067">
        <w:rPr>
          <w:rStyle w:val="FootnoteReference"/>
        </w:rPr>
        <w:footnoteRef/>
      </w:r>
      <w:r w:rsidRPr="00065067">
        <w:t xml:space="preserve"> </w:t>
      </w:r>
      <w:r w:rsidRPr="00065067">
        <w:rPr>
          <w:i/>
        </w:rPr>
        <w:t>WAIT Radio v. FCC</w:t>
      </w:r>
      <w:r w:rsidRPr="00065067">
        <w:t xml:space="preserve">, 418 F.2d 1153, 1159 (D.C. Cir. 1969); </w:t>
      </w:r>
      <w:r w:rsidRPr="00065067">
        <w:rPr>
          <w:i/>
        </w:rPr>
        <w:t>Northeast Cellular</w:t>
      </w:r>
      <w:r w:rsidRPr="00065067">
        <w:t>, 897 F.2d at 1166.</w:t>
      </w:r>
    </w:p>
  </w:footnote>
  <w:footnote w:id="35">
    <w:p w14:paraId="56312802" w14:textId="77777777" w:rsidR="002657B7" w:rsidRPr="009D378D" w:rsidRDefault="002657B7" w:rsidP="00293A29">
      <w:pPr>
        <w:pStyle w:val="FootnoteText"/>
        <w:jc w:val="left"/>
      </w:pPr>
      <w:r>
        <w:rPr>
          <w:rStyle w:val="FootnoteReference"/>
        </w:rPr>
        <w:footnoteRef/>
      </w:r>
      <w:r>
        <w:t xml:space="preserve"> 47 CFR § 1.925(b)(3).</w:t>
      </w:r>
    </w:p>
  </w:footnote>
  <w:footnote w:id="36">
    <w:p w14:paraId="36D8AA85" w14:textId="77777777" w:rsidR="002657B7" w:rsidRDefault="002657B7">
      <w:pPr>
        <w:pStyle w:val="FootnoteText"/>
      </w:pPr>
      <w:r>
        <w:rPr>
          <w:rStyle w:val="FootnoteReference"/>
        </w:rPr>
        <w:footnoteRef/>
      </w:r>
      <w:r>
        <w:t xml:space="preserve"> </w:t>
      </w:r>
      <w:r w:rsidRPr="0008285A">
        <w:rPr>
          <w:i/>
        </w:rPr>
        <w:t>Amendment of the Commission's Rules to Establish New Personal Communications Services</w:t>
      </w:r>
      <w:r w:rsidRPr="0008285A">
        <w:t>, GEN Docket No. 90-314, Memorandum Opinion and Order, 9 FCC Rcd 4957, 5018 (1994)</w:t>
      </w:r>
      <w:r>
        <w:t>.</w:t>
      </w:r>
    </w:p>
  </w:footnote>
  <w:footnote w:id="37">
    <w:p w14:paraId="09DC8042" w14:textId="2890C6C2" w:rsidR="002657B7" w:rsidRDefault="002657B7" w:rsidP="000D775D">
      <w:pPr>
        <w:pStyle w:val="FootnoteText"/>
        <w:jc w:val="left"/>
      </w:pPr>
      <w:r>
        <w:rPr>
          <w:rStyle w:val="FootnoteReference"/>
        </w:rPr>
        <w:footnoteRef/>
      </w:r>
      <w:r>
        <w:t xml:space="preserve"> We note that another service provider, AST Telecom, LLC, which operates as Bluesky, is also in the process of constructing an LTE network on its licensed 700 MHz spectrum.</w:t>
      </w:r>
    </w:p>
  </w:footnote>
  <w:footnote w:id="38">
    <w:p w14:paraId="31128955" w14:textId="77777777" w:rsidR="002657B7" w:rsidRPr="00803CB2" w:rsidRDefault="002657B7" w:rsidP="00984CF2">
      <w:pPr>
        <w:pStyle w:val="FootnoteText"/>
        <w:jc w:val="left"/>
      </w:pPr>
      <w:r w:rsidRPr="007C0267">
        <w:rPr>
          <w:rStyle w:val="FootnoteReference"/>
        </w:rPr>
        <w:footnoteRef/>
      </w:r>
      <w:r w:rsidRPr="007C0267">
        <w:t xml:space="preserve"> </w:t>
      </w:r>
      <w:r w:rsidRPr="007C0267">
        <w:rPr>
          <w:i/>
        </w:rPr>
        <w:t>Connect America Fund; Universal Service Reform – Mobility Fund; Connect America Fund - Alaska Plan</w:t>
      </w:r>
      <w:r w:rsidRPr="007C0267">
        <w:t xml:space="preserve">, Report </w:t>
      </w:r>
      <w:r>
        <w:t>a</w:t>
      </w:r>
      <w:r w:rsidRPr="007C0267">
        <w:t xml:space="preserve">nd Order </w:t>
      </w:r>
      <w:r>
        <w:t>a</w:t>
      </w:r>
      <w:r w:rsidRPr="007C0267">
        <w:t xml:space="preserve">nd Further Notice </w:t>
      </w:r>
      <w:r>
        <w:t>o</w:t>
      </w:r>
      <w:r w:rsidRPr="007C0267">
        <w:t xml:space="preserve">f Proposed Rulemaking, 31 FCC Rcd 10139, 10162, para. 72 (2016) (citing </w:t>
      </w:r>
      <w:r w:rsidRPr="00EE4A2B">
        <w:rPr>
          <w:i/>
          <w:iCs/>
        </w:rPr>
        <w:t>Connect America Fund et al.</w:t>
      </w:r>
      <w:r w:rsidRPr="003316D6">
        <w:t>, Report and Order and Further Notice of Proposed Rulemaking</w:t>
      </w:r>
      <w:r>
        <w:t>, 26 FCC Rcd 17663,</w:t>
      </w:r>
      <w:r w:rsidRPr="00550709">
        <w:t xml:space="preserve"> </w:t>
      </w:r>
      <w:r w:rsidRPr="007C0267">
        <w:t>17829, para. 507</w:t>
      </w:r>
      <w:r w:rsidRPr="003316D6">
        <w:t xml:space="preserve"> (2011), </w:t>
      </w:r>
      <w:r w:rsidRPr="00EE4A2B">
        <w:rPr>
          <w:i/>
          <w:iCs/>
        </w:rPr>
        <w:t>aff’d</w:t>
      </w:r>
      <w:r w:rsidRPr="003316D6">
        <w:t xml:space="preserve"> </w:t>
      </w:r>
      <w:r w:rsidRPr="2EB37278">
        <w:rPr>
          <w:i/>
          <w:iCs/>
        </w:rPr>
        <w:t xml:space="preserve">sub nom. </w:t>
      </w:r>
      <w:r w:rsidRPr="00803CB2">
        <w:rPr>
          <w:i/>
          <w:iCs/>
        </w:rPr>
        <w:t>FCC 11-161</w:t>
      </w:r>
      <w:r w:rsidRPr="00803CB2">
        <w:t>, 753 F.3d 1015 (10th Cir. 2014)).</w:t>
      </w:r>
    </w:p>
  </w:footnote>
  <w:footnote w:id="39">
    <w:p w14:paraId="2F2B53A1" w14:textId="77777777" w:rsidR="002657B7" w:rsidRPr="00803CB2" w:rsidRDefault="002657B7" w:rsidP="0029607D">
      <w:pPr>
        <w:pStyle w:val="FootnoteText"/>
        <w:jc w:val="left"/>
      </w:pPr>
      <w:r w:rsidRPr="00803CB2">
        <w:rPr>
          <w:rStyle w:val="FootnoteReference"/>
        </w:rPr>
        <w:footnoteRef/>
      </w:r>
      <w:r w:rsidRPr="00803CB2">
        <w:t xml:space="preserve"> </w:t>
      </w:r>
      <w:r w:rsidRPr="00803CB2">
        <w:rPr>
          <w:i/>
        </w:rPr>
        <w:t>See</w:t>
      </w:r>
      <w:r w:rsidRPr="00803CB2">
        <w:t xml:space="preserve"> </w:t>
      </w:r>
      <w:r w:rsidRPr="00803CB2">
        <w:rPr>
          <w:i/>
        </w:rPr>
        <w:t>State of Alaska</w:t>
      </w:r>
      <w:r w:rsidRPr="00803CB2">
        <w:t>, Memorandum Opinion and Order, 18 FCC Rcd 16315, 16325 (2003).</w:t>
      </w:r>
    </w:p>
  </w:footnote>
  <w:footnote w:id="40">
    <w:p w14:paraId="2C34017C" w14:textId="77777777" w:rsidR="002657B7" w:rsidRPr="00803CB2" w:rsidRDefault="002657B7" w:rsidP="00EE2D03">
      <w:pPr>
        <w:pStyle w:val="FootnoteText"/>
        <w:jc w:val="left"/>
      </w:pPr>
      <w:r w:rsidRPr="00803CB2">
        <w:rPr>
          <w:rStyle w:val="FootnoteReference"/>
        </w:rPr>
        <w:footnoteRef/>
      </w:r>
      <w:r w:rsidRPr="00803CB2">
        <w:t xml:space="preserve"> </w:t>
      </w:r>
      <w:r w:rsidRPr="00803CB2">
        <w:rPr>
          <w:i/>
        </w:rPr>
        <w:t xml:space="preserve">See, e.g., </w:t>
      </w:r>
      <w:r w:rsidRPr="00803CB2">
        <w:t xml:space="preserve">Letter to Stefan M. Lopatkiewicz, Esq., Counsel for TelAlaska, Inc. from Roger S. Noel, Mobility Division, Wireless Telecommunications Bureau, Letter Order, </w:t>
      </w:r>
      <w:r w:rsidRPr="00803CB2">
        <w:tab/>
        <w:t>24 FCC Rcd 7380 (WTB MD 2009).</w:t>
      </w:r>
    </w:p>
  </w:footnote>
  <w:footnote w:id="41">
    <w:p w14:paraId="6229BC26" w14:textId="045CC41A" w:rsidR="002657B7" w:rsidRDefault="002657B7" w:rsidP="00EE2D03">
      <w:pPr>
        <w:pStyle w:val="FootnoteText"/>
        <w:jc w:val="left"/>
      </w:pPr>
      <w:r w:rsidRPr="00803CB2">
        <w:rPr>
          <w:rStyle w:val="FootnoteReference"/>
        </w:rPr>
        <w:footnoteRef/>
      </w:r>
      <w:r w:rsidRPr="00803CB2">
        <w:t xml:space="preserve"> </w:t>
      </w:r>
      <w:r w:rsidRPr="00803CB2">
        <w:rPr>
          <w:i/>
        </w:rPr>
        <w:t>See</w:t>
      </w:r>
      <w:r w:rsidR="00707E33">
        <w:t>,</w:t>
      </w:r>
      <w:r w:rsidRPr="00803CB2">
        <w:rPr>
          <w:i/>
        </w:rPr>
        <w:t xml:space="preserve"> e.g.</w:t>
      </w:r>
      <w:r w:rsidR="00707E33">
        <w:t>,</w:t>
      </w:r>
      <w:r w:rsidRPr="00803CB2">
        <w:rPr>
          <w:i/>
        </w:rPr>
        <w:t xml:space="preserve"> </w:t>
      </w:r>
      <w:r w:rsidRPr="00803CB2">
        <w:rPr>
          <w:i/>
          <w:szCs w:val="22"/>
        </w:rPr>
        <w:t xml:space="preserve">Petition of ACS Wireless, Inc. for Limited Waiver of </w:t>
      </w:r>
      <w:r w:rsidRPr="00803CB2">
        <w:rPr>
          <w:i/>
        </w:rPr>
        <w:t>Analog Service Rule</w:t>
      </w:r>
      <w:r w:rsidRPr="00803CB2">
        <w:t>, Order, 21 FCC Rcd 14594 (WTB 2006).</w:t>
      </w:r>
    </w:p>
  </w:footnote>
  <w:footnote w:id="42">
    <w:p w14:paraId="7623F04B" w14:textId="437A66F2" w:rsidR="002657B7" w:rsidRDefault="002657B7" w:rsidP="0029607D">
      <w:pPr>
        <w:pStyle w:val="FootnoteText"/>
        <w:jc w:val="left"/>
      </w:pPr>
      <w:r>
        <w:rPr>
          <w:rStyle w:val="FootnoteReference"/>
        </w:rPr>
        <w:footnoteRef/>
      </w:r>
      <w:r>
        <w:t xml:space="preserve"> </w:t>
      </w:r>
      <w:r w:rsidRPr="009E0DF2">
        <w:rPr>
          <w:i/>
        </w:rPr>
        <w:t>See</w:t>
      </w:r>
      <w:r>
        <w:t xml:space="preserve"> Letter to Robert Vitanza, AT&amp;T Services, Inc., from Roger S. Noel, Mobility Division, Wireless Telecommunications Bureau</w:t>
      </w:r>
      <w:r w:rsidRPr="00B04BE2">
        <w:t xml:space="preserve">, </w:t>
      </w:r>
      <w:r>
        <w:t xml:space="preserve">Letter Order, </w:t>
      </w:r>
      <w:r w:rsidRPr="00B04BE2">
        <w:rPr>
          <w:iCs/>
          <w:color w:val="333333"/>
          <w:shd w:val="clear" w:color="auto" w:fill="FFFFFF"/>
        </w:rPr>
        <w:t>32 FCC Rcd 512</w:t>
      </w:r>
      <w:r>
        <w:t>, 516</w:t>
      </w:r>
      <w:r w:rsidRPr="00B04BE2">
        <w:t xml:space="preserve"> (WTB</w:t>
      </w:r>
      <w:r>
        <w:t xml:space="preserve"> MD 2017) (AT&amp;T Waiver Order).</w:t>
      </w:r>
    </w:p>
  </w:footnote>
  <w:footnote w:id="43">
    <w:p w14:paraId="61413E7F" w14:textId="71A4076A" w:rsidR="002657B7" w:rsidRDefault="002657B7">
      <w:pPr>
        <w:pStyle w:val="FootnoteText"/>
      </w:pPr>
      <w:r>
        <w:rPr>
          <w:rStyle w:val="FootnoteReference"/>
        </w:rPr>
        <w:footnoteRef/>
      </w:r>
      <w:r>
        <w:t xml:space="preserve"> </w:t>
      </w:r>
      <w:r w:rsidRPr="00B54FC7">
        <w:rPr>
          <w:i/>
        </w:rPr>
        <w:t xml:space="preserve">See </w:t>
      </w:r>
      <w:r>
        <w:rPr>
          <w:i/>
        </w:rPr>
        <w:t>Auction of Broadband PCS Spectrum Scheduled for May 16, 2007</w:t>
      </w:r>
      <w:r>
        <w:t xml:space="preserve">, Public Notice, 22 FCC Rcd 433, 443-44, paras. 23-30 (WTB 2007); </w:t>
      </w:r>
      <w:r w:rsidRPr="00713819">
        <w:rPr>
          <w:i/>
        </w:rPr>
        <w:t>Auction of AWS-1 and Broadband PCS Licenses Rescheduled for August 13, 2008</w:t>
      </w:r>
      <w:r>
        <w:t xml:space="preserve">, Public Notice, 23 FCC Rcd 7496, 7513-15, paras. 51-60 (WTB 2008). </w:t>
      </w:r>
    </w:p>
  </w:footnote>
  <w:footnote w:id="44">
    <w:p w14:paraId="5BC65C10" w14:textId="77777777" w:rsidR="002657B7" w:rsidRDefault="002657B7" w:rsidP="0006084B">
      <w:pPr>
        <w:pStyle w:val="FootnoteText"/>
        <w:jc w:val="left"/>
      </w:pPr>
      <w:r>
        <w:rPr>
          <w:rStyle w:val="FootnoteReference"/>
        </w:rPr>
        <w:footnoteRef/>
      </w:r>
      <w:r>
        <w:t xml:space="preserve"> Petition at 2; Supplement at 2.</w:t>
      </w:r>
    </w:p>
  </w:footnote>
  <w:footnote w:id="45">
    <w:p w14:paraId="0D0EAEB3" w14:textId="395972A5" w:rsidR="002657B7" w:rsidRDefault="002657B7" w:rsidP="006D7133">
      <w:r>
        <w:rPr>
          <w:rStyle w:val="FootnoteReference"/>
        </w:rPr>
        <w:footnoteRef/>
      </w:r>
      <w:r>
        <w:t xml:space="preserve"> </w:t>
      </w:r>
      <w:r w:rsidRPr="00324C61">
        <w:t>U.S. C</w:t>
      </w:r>
      <w:r>
        <w:t xml:space="preserve">ensus Bureau, 2010 Census Island Areas, </w:t>
      </w:r>
      <w:r w:rsidRPr="00DF72DC">
        <w:rPr>
          <w:i/>
        </w:rPr>
        <w:t>American Samoa, Population Count</w:t>
      </w:r>
      <w:r>
        <w:t xml:space="preserve">, </w:t>
      </w:r>
      <w:hyperlink r:id="rId1" w:history="1">
        <w:r w:rsidR="00E93F24" w:rsidRPr="00624CCE">
          <w:rPr>
            <w:rStyle w:val="Hyperlink"/>
          </w:rPr>
          <w:t>https://www.census.gov/2010census/news/press-kits/island-areas/island-areas.html</w:t>
        </w:r>
      </w:hyperlink>
      <w:r w:rsidR="00E93F24">
        <w:t xml:space="preserve"> </w:t>
      </w:r>
      <w:r w:rsidRPr="00324C61">
        <w:t xml:space="preserve">(last visited </w:t>
      </w:r>
      <w:r w:rsidR="00B10BF2">
        <w:t>August 4</w:t>
      </w:r>
      <w:r w:rsidRPr="00324C61">
        <w:t>, 2017).</w:t>
      </w:r>
    </w:p>
    <w:p w14:paraId="0750CBCB" w14:textId="77777777" w:rsidR="002657B7" w:rsidRDefault="002657B7" w:rsidP="006D7133"/>
  </w:footnote>
  <w:footnote w:id="46">
    <w:p w14:paraId="3DB6B618" w14:textId="357E5308" w:rsidR="002657B7" w:rsidRPr="00DE4B78" w:rsidRDefault="002657B7">
      <w:pPr>
        <w:pStyle w:val="FootnoteText"/>
        <w:rPr>
          <w:i/>
        </w:rPr>
      </w:pPr>
      <w:r>
        <w:rPr>
          <w:rStyle w:val="FootnoteReference"/>
        </w:rPr>
        <w:footnoteRef/>
      </w:r>
      <w:r>
        <w:t xml:space="preserve"> </w:t>
      </w:r>
      <w:r>
        <w:rPr>
          <w:i/>
        </w:rPr>
        <w:t>Id.</w:t>
      </w:r>
    </w:p>
  </w:footnote>
  <w:footnote w:id="47">
    <w:p w14:paraId="63C6C487" w14:textId="77777777" w:rsidR="002657B7" w:rsidRDefault="002657B7" w:rsidP="0075222C">
      <w:pPr>
        <w:pStyle w:val="FootnoteText"/>
        <w:jc w:val="left"/>
      </w:pPr>
      <w:r>
        <w:rPr>
          <w:rStyle w:val="FootnoteReference"/>
        </w:rPr>
        <w:footnoteRef/>
      </w:r>
      <w:r>
        <w:t xml:space="preserve"> Supplement at 2.</w:t>
      </w:r>
    </w:p>
  </w:footnote>
  <w:footnote w:id="48">
    <w:p w14:paraId="3C1F0267" w14:textId="6289711B" w:rsidR="002657B7" w:rsidRDefault="002657B7" w:rsidP="00F22DDE">
      <w:pPr>
        <w:pStyle w:val="FootnoteText"/>
        <w:jc w:val="left"/>
      </w:pPr>
      <w:r>
        <w:rPr>
          <w:rStyle w:val="FootnoteReference"/>
        </w:rPr>
        <w:footnoteRef/>
      </w:r>
      <w:r>
        <w:t xml:space="preserve"> For example, work stoppages at West Coast ports in 2015 delayed cargo shipments to and from American Samoa for weeks.  The shipment delays </w:t>
      </w:r>
      <w:r w:rsidR="00DB0C6E">
        <w:t>in turn slowed installation of</w:t>
      </w:r>
      <w:r>
        <w:t xml:space="preserve"> the</w:t>
      </w:r>
      <w:r w:rsidR="002D6AE9">
        <w:t xml:space="preserve"> BLAST</w:t>
      </w:r>
      <w:r>
        <w:t xml:space="preserve"> fiber optic cables.</w:t>
      </w:r>
    </w:p>
  </w:footnote>
  <w:footnote w:id="49">
    <w:p w14:paraId="7F4E0B74" w14:textId="68B4B8D7" w:rsidR="00350EA3" w:rsidRDefault="002657B7" w:rsidP="00856386">
      <w:pPr>
        <w:pStyle w:val="FootnoteText"/>
        <w:jc w:val="left"/>
      </w:pPr>
      <w:r>
        <w:rPr>
          <w:rStyle w:val="FootnoteReference"/>
        </w:rPr>
        <w:footnoteRef/>
      </w:r>
      <w:r>
        <w:t xml:space="preserve"> Additional shipping issues exist when transporting equipment and supplies to the smaller islands as there is a lack of commercial transport.  Underground Construction, </w:t>
      </w:r>
      <w:r w:rsidRPr="002C13C0">
        <w:rPr>
          <w:i/>
        </w:rPr>
        <w:t>American Samoa Fiber Optic Network</w:t>
      </w:r>
      <w:r>
        <w:t xml:space="preserve">, </w:t>
      </w:r>
      <w:r w:rsidRPr="002C13C0">
        <w:t>December 2015</w:t>
      </w:r>
      <w:r>
        <w:t>,</w:t>
      </w:r>
      <w:r w:rsidRPr="002C13C0">
        <w:t xml:space="preserve"> Vol. 70 No. 12</w:t>
      </w:r>
      <w:r>
        <w:t xml:space="preserve">, </w:t>
      </w:r>
      <w:hyperlink r:id="rId2" w:history="1">
        <w:r w:rsidRPr="00495717">
          <w:rPr>
            <w:rStyle w:val="Hyperlink"/>
          </w:rPr>
          <w:t>https://ucononline.com/2016/01/04/american-samoa-fiber-optic-network/</w:t>
        </w:r>
      </w:hyperlink>
      <w:r>
        <w:t xml:space="preserve"> (last visited </w:t>
      </w:r>
      <w:r w:rsidR="00B10BF2">
        <w:t>August 4</w:t>
      </w:r>
      <w:r w:rsidR="00E93F24">
        <w:t>,</w:t>
      </w:r>
      <w:r>
        <w:t xml:space="preserve"> 2017).  It appears that, although supply ships are scheduled to arrive approximately every two weeks, weather and mechanical problems frequently delay shipments to the islands.  </w:t>
      </w:r>
      <w:r>
        <w:rPr>
          <w:i/>
        </w:rPr>
        <w:t xml:space="preserve">See </w:t>
      </w:r>
      <w:r w:rsidRPr="00C104A0">
        <w:t>Daniel Lin</w:t>
      </w:r>
      <w:r>
        <w:t xml:space="preserve">, </w:t>
      </w:r>
      <w:r w:rsidRPr="00C104A0">
        <w:rPr>
          <w:i/>
        </w:rPr>
        <w:t>How a Pacific Island Changed From Diesel to 100% Solar Power</w:t>
      </w:r>
      <w:r w:rsidR="00350EA3">
        <w:t xml:space="preserve">, National Geographic (Feb. 23, 2017), </w:t>
      </w:r>
      <w:hyperlink r:id="rId3" w:history="1">
        <w:r w:rsidR="00350EA3" w:rsidRPr="00624CCE">
          <w:rPr>
            <w:rStyle w:val="Hyperlink"/>
          </w:rPr>
          <w:t>http://news.nationalgeographic.com/2017/02/tau-american-samoa-solar-power-microgrid-tesla-solarcity/</w:t>
        </w:r>
      </w:hyperlink>
      <w:r w:rsidR="00350EA3">
        <w:t xml:space="preserve">.  </w:t>
      </w:r>
    </w:p>
  </w:footnote>
  <w:footnote w:id="50">
    <w:p w14:paraId="195AE8F5" w14:textId="2AA7C475" w:rsidR="002657B7" w:rsidRDefault="002657B7" w:rsidP="00F22DDE">
      <w:pPr>
        <w:pStyle w:val="FootnoteText"/>
        <w:jc w:val="left"/>
      </w:pPr>
      <w:r>
        <w:rPr>
          <w:rStyle w:val="FootnoteReference"/>
        </w:rPr>
        <w:footnoteRef/>
      </w:r>
      <w:r>
        <w:t xml:space="preserve"> For example, ASTCA has contracted with other telecommunications-related firms to help construct its LTE and fiber optic cable networks.  </w:t>
      </w:r>
      <w:r>
        <w:rPr>
          <w:i/>
        </w:rPr>
        <w:t>See</w:t>
      </w:r>
      <w:r w:rsidR="00FD31C7">
        <w:t>,</w:t>
      </w:r>
      <w:r>
        <w:rPr>
          <w:i/>
        </w:rPr>
        <w:t xml:space="preserve"> e.g.</w:t>
      </w:r>
      <w:r w:rsidR="00FD31C7">
        <w:t>,</w:t>
      </w:r>
      <w:r>
        <w:rPr>
          <w:i/>
        </w:rPr>
        <w:t xml:space="preserve"> </w:t>
      </w:r>
      <w:r>
        <w:t>Supplement at 5;</w:t>
      </w:r>
      <w:r w:rsidRPr="00DE4B78">
        <w:t xml:space="preserve"> </w:t>
      </w:r>
      <w:r>
        <w:t xml:space="preserve">Underground Construction, </w:t>
      </w:r>
      <w:r w:rsidRPr="002C13C0">
        <w:rPr>
          <w:i/>
        </w:rPr>
        <w:t>American Samoa Fiber Optic Network</w:t>
      </w:r>
      <w:r>
        <w:t xml:space="preserve">, </w:t>
      </w:r>
      <w:r w:rsidRPr="002C13C0">
        <w:t>December 2015</w:t>
      </w:r>
      <w:r>
        <w:t>,</w:t>
      </w:r>
      <w:r w:rsidRPr="002C13C0">
        <w:t xml:space="preserve"> Vol. 70 No. 12</w:t>
      </w:r>
      <w:r>
        <w:t xml:space="preserve">, </w:t>
      </w:r>
      <w:hyperlink r:id="rId4" w:history="1">
        <w:r w:rsidRPr="00495717">
          <w:rPr>
            <w:rStyle w:val="Hyperlink"/>
          </w:rPr>
          <w:t>https://ucononline.com/2016/01/04/american-samoa-fiber-optic-network/</w:t>
        </w:r>
      </w:hyperlink>
      <w:r>
        <w:t xml:space="preserve"> (last visited </w:t>
      </w:r>
      <w:r w:rsidR="00B10BF2">
        <w:t>August 4</w:t>
      </w:r>
      <w:r>
        <w:t xml:space="preserve">, 2017).  </w:t>
      </w:r>
    </w:p>
  </w:footnote>
  <w:footnote w:id="51">
    <w:p w14:paraId="22F11728" w14:textId="49CF1956" w:rsidR="002657B7" w:rsidRDefault="002657B7" w:rsidP="00F22DDE">
      <w:pPr>
        <w:pStyle w:val="FootnoteText"/>
        <w:jc w:val="left"/>
      </w:pPr>
      <w:r>
        <w:rPr>
          <w:rStyle w:val="FootnoteReference"/>
        </w:rPr>
        <w:footnoteRef/>
      </w:r>
      <w:r>
        <w:t xml:space="preserve"> Office for Coastal Management, National Oceanic and Atmospheric Administration, American Samoa </w:t>
      </w:r>
      <w:hyperlink r:id="rId5" w:history="1">
        <w:r w:rsidRPr="00495717">
          <w:rPr>
            <w:rStyle w:val="Hyperlink"/>
          </w:rPr>
          <w:t>https://coast.noaa.gov/states/american-samoa.html</w:t>
        </w:r>
      </w:hyperlink>
      <w:r>
        <w:t xml:space="preserve"> (last visited </w:t>
      </w:r>
      <w:r w:rsidR="00B10BF2">
        <w:t>August 4</w:t>
      </w:r>
      <w:r>
        <w:t>, 2017).</w:t>
      </w:r>
    </w:p>
  </w:footnote>
  <w:footnote w:id="52">
    <w:p w14:paraId="4A662C28" w14:textId="43D80BBF" w:rsidR="00642F60" w:rsidRPr="00E93F24" w:rsidRDefault="002657B7" w:rsidP="00CB6478">
      <w:pPr>
        <w:pStyle w:val="FootnoteText"/>
        <w:jc w:val="left"/>
      </w:pPr>
      <w:r>
        <w:rPr>
          <w:rStyle w:val="FootnoteReference"/>
        </w:rPr>
        <w:footnoteRef/>
      </w:r>
      <w:r>
        <w:t xml:space="preserve"> </w:t>
      </w:r>
      <w:r w:rsidR="000130D0">
        <w:t xml:space="preserve">Data regarding access to electricity, including rural access, can be found at: </w:t>
      </w:r>
      <w:r w:rsidR="00E93F24">
        <w:rPr>
          <w:i/>
        </w:rPr>
        <w:t xml:space="preserve"> </w:t>
      </w:r>
      <w:r w:rsidR="00E93F24">
        <w:t xml:space="preserve">Central Intelligence Agency, The World Factbook, </w:t>
      </w:r>
      <w:r w:rsidR="00E93F24" w:rsidRPr="00E93F24">
        <w:rPr>
          <w:i/>
        </w:rPr>
        <w:t>Australia-Oceania:  American Samoa:  Energy</w:t>
      </w:r>
      <w:r w:rsidR="001E4D4C">
        <w:t>,</w:t>
      </w:r>
      <w:r w:rsidR="00E93F24">
        <w:t xml:space="preserve"> </w:t>
      </w:r>
      <w:hyperlink r:id="rId6" w:history="1">
        <w:r w:rsidR="00E93F24" w:rsidRPr="00624CCE">
          <w:rPr>
            <w:rStyle w:val="Hyperlink"/>
          </w:rPr>
          <w:t>https://www.cia.gov/library/publications/the-world-factbook/geos/aq.html</w:t>
        </w:r>
      </w:hyperlink>
      <w:r w:rsidR="00E93F24">
        <w:t xml:space="preserve"> (last visited </w:t>
      </w:r>
      <w:r w:rsidR="00B10BF2">
        <w:t>August 4</w:t>
      </w:r>
      <w:r w:rsidR="00E93F24">
        <w:t>, 2017)</w:t>
      </w:r>
      <w:r w:rsidR="00642F60">
        <w:t xml:space="preserve">; The World Bank, </w:t>
      </w:r>
      <w:r w:rsidR="00BC6354" w:rsidRPr="00BC6354">
        <w:t>Sustainable Energy for All</w:t>
      </w:r>
      <w:r w:rsidR="00642F60">
        <w:t xml:space="preserve">: Access to Electricity, American Samoa, </w:t>
      </w:r>
      <w:hyperlink r:id="rId7" w:history="1">
        <w:r w:rsidR="00642F60" w:rsidRPr="00F42E86">
          <w:rPr>
            <w:rStyle w:val="Hyperlink"/>
          </w:rPr>
          <w:t>http://data.worldbank.org/indicator/EG.ELC.ACCS.ZS?locations=AS</w:t>
        </w:r>
      </w:hyperlink>
      <w:r w:rsidR="00642F60">
        <w:t xml:space="preserve"> (last visited </w:t>
      </w:r>
      <w:r w:rsidR="00B10BF2">
        <w:t>August 4</w:t>
      </w:r>
      <w:r w:rsidR="00642F60">
        <w:t>, 2017).</w:t>
      </w:r>
    </w:p>
  </w:footnote>
  <w:footnote w:id="53">
    <w:p w14:paraId="5B6E4C67" w14:textId="06B1D4B2" w:rsidR="002657B7" w:rsidRDefault="002657B7" w:rsidP="00293A29">
      <w:pPr>
        <w:pStyle w:val="FootnoteText"/>
        <w:jc w:val="left"/>
      </w:pPr>
      <w:r>
        <w:rPr>
          <w:rStyle w:val="FootnoteReference"/>
        </w:rPr>
        <w:footnoteRef/>
      </w:r>
      <w:r>
        <w:t xml:space="preserve"> Supplement at 2</w:t>
      </w:r>
      <w:r w:rsidR="00AD2F2F">
        <w:t>.</w:t>
      </w:r>
    </w:p>
  </w:footnote>
  <w:footnote w:id="54">
    <w:p w14:paraId="3175F1B2" w14:textId="139ACB98" w:rsidR="002657B7" w:rsidRDefault="002657B7" w:rsidP="001F7110">
      <w:pPr>
        <w:pStyle w:val="FootnoteText"/>
        <w:jc w:val="left"/>
      </w:pPr>
      <w:r>
        <w:rPr>
          <w:rStyle w:val="FootnoteReference"/>
        </w:rPr>
        <w:footnoteRef/>
      </w:r>
      <w:r>
        <w:t xml:space="preserve"> </w:t>
      </w:r>
      <w:r w:rsidRPr="001F7110">
        <w:t>National Park Service, National P</w:t>
      </w:r>
      <w:r>
        <w:t xml:space="preserve">ark of American Samoa, </w:t>
      </w:r>
      <w:r>
        <w:rPr>
          <w:i/>
        </w:rPr>
        <w:t xml:space="preserve">Weather, </w:t>
      </w:r>
      <w:hyperlink r:id="rId8" w:history="1">
        <w:r w:rsidR="002D6AE9" w:rsidRPr="00624CCE">
          <w:rPr>
            <w:rStyle w:val="Hyperlink"/>
          </w:rPr>
          <w:t>https://www.nps.gov/npsa/planyourvisit/weather.htm</w:t>
        </w:r>
      </w:hyperlink>
      <w:r>
        <w:t xml:space="preserve"> (last visited </w:t>
      </w:r>
      <w:r w:rsidR="00B10BF2">
        <w:t>August 4</w:t>
      </w:r>
      <w:r>
        <w:t xml:space="preserve">, 2017); U.S. Energy Information Administration, </w:t>
      </w:r>
      <w:r w:rsidRPr="00AD061F">
        <w:rPr>
          <w:i/>
        </w:rPr>
        <w:t>America Samoa, Territory Profile and Energy Estimates</w:t>
      </w:r>
      <w:r>
        <w:t xml:space="preserve">, </w:t>
      </w:r>
      <w:hyperlink r:id="rId9" w:history="1">
        <w:r w:rsidRPr="007467AD">
          <w:rPr>
            <w:rStyle w:val="Hyperlink"/>
          </w:rPr>
          <w:t>https://www.eia.gov/state/analysis.php?sid=AQ</w:t>
        </w:r>
      </w:hyperlink>
      <w:r>
        <w:t xml:space="preserve"> (last visited </w:t>
      </w:r>
      <w:r w:rsidR="00B10BF2">
        <w:t>August 4</w:t>
      </w:r>
      <w:r>
        <w:t xml:space="preserve">, 2017).  </w:t>
      </w:r>
      <w:r w:rsidRPr="00CA0BF5">
        <w:t xml:space="preserve">Heavy rain showers can occur </w:t>
      </w:r>
      <w:r>
        <w:t>any time of the</w:t>
      </w:r>
      <w:r w:rsidRPr="00CA0BF5">
        <w:t xml:space="preserve"> year and often cause damage such as flooding, landslides, electrical power failures and road damage. </w:t>
      </w:r>
      <w:r>
        <w:t xml:space="preserve"> Food and Agriculture Organization of the United Nations, </w:t>
      </w:r>
      <w:r w:rsidRPr="00AD061F">
        <w:rPr>
          <w:i/>
        </w:rPr>
        <w:t>FAO Workshop – Data Collection for the Pacific Region, American Samoa</w:t>
      </w:r>
      <w:r>
        <w:t xml:space="preserve">, </w:t>
      </w:r>
      <w:hyperlink r:id="rId10" w:history="1">
        <w:r w:rsidRPr="007467AD">
          <w:rPr>
            <w:rStyle w:val="Hyperlink"/>
          </w:rPr>
          <w:t>http://www.fao.org/docrep/006/ad672e/ad672e06.htm</w:t>
        </w:r>
      </w:hyperlink>
      <w:r>
        <w:t xml:space="preserve"> (last visited </w:t>
      </w:r>
      <w:r w:rsidR="00B10BF2">
        <w:t>August 4</w:t>
      </w:r>
      <w:r>
        <w:t>, 2017).  Heavy, continuous rainfall can cause a myriad of problems for any type of construction, such as slowing general earthwork (grading, trenching, or backfilling) associated with a project.</w:t>
      </w:r>
    </w:p>
  </w:footnote>
  <w:footnote w:id="55">
    <w:p w14:paraId="4717AFED" w14:textId="77777777" w:rsidR="002657B7" w:rsidRDefault="002657B7">
      <w:pPr>
        <w:pStyle w:val="FootnoteText"/>
      </w:pPr>
      <w:r>
        <w:rPr>
          <w:rStyle w:val="FootnoteReference"/>
        </w:rPr>
        <w:footnoteRef/>
      </w:r>
      <w:r>
        <w:t xml:space="preserve"> </w:t>
      </w:r>
      <w:r w:rsidRPr="00D72209">
        <w:t>47 U.S.C. § 309(j).</w:t>
      </w:r>
    </w:p>
  </w:footnote>
  <w:footnote w:id="56">
    <w:p w14:paraId="290A5B63" w14:textId="030382F9" w:rsidR="00715413" w:rsidRPr="00F22DDE" w:rsidRDefault="00715413" w:rsidP="00715413">
      <w:pPr>
        <w:pStyle w:val="FootnoteText"/>
        <w:jc w:val="left"/>
      </w:pPr>
      <w:r>
        <w:rPr>
          <w:rStyle w:val="FootnoteReference"/>
        </w:rPr>
        <w:footnoteRef/>
      </w:r>
      <w:r>
        <w:t xml:space="preserve"> </w:t>
      </w:r>
      <w:r w:rsidRPr="00F22DDE">
        <w:t xml:space="preserve">Certain reports have claimed that American Samoa </w:t>
      </w:r>
      <w:r>
        <w:t xml:space="preserve">has </w:t>
      </w:r>
      <w:r w:rsidRPr="00F22DDE">
        <w:t>had the most expensive internet service in the count</w:t>
      </w:r>
      <w:r>
        <w:t>r</w:t>
      </w:r>
      <w:r w:rsidRPr="00F22DDE">
        <w:t xml:space="preserve">y.  </w:t>
      </w:r>
      <w:r w:rsidRPr="00F22DDE">
        <w:rPr>
          <w:i/>
        </w:rPr>
        <w:t>See</w:t>
      </w:r>
      <w:r w:rsidRPr="00F22DDE">
        <w:t xml:space="preserve"> Supplement at 3, citing, Darren Murph, </w:t>
      </w:r>
      <w:r w:rsidRPr="00C46C98">
        <w:rPr>
          <w:i/>
        </w:rPr>
        <w:t>The Most Expensive Internet In America: Fighting To Bring Affordable Broadband To American Samoa</w:t>
      </w:r>
      <w:r>
        <w:t>, Engadget</w:t>
      </w:r>
      <w:r w:rsidR="00350EA3" w:rsidRPr="00160B69">
        <w:t xml:space="preserve"> </w:t>
      </w:r>
      <w:r w:rsidR="00350EA3" w:rsidRPr="00F22DDE">
        <w:t>(</w:t>
      </w:r>
      <w:r w:rsidR="00350EA3">
        <w:t>July 4, 2012),</w:t>
      </w:r>
      <w:r w:rsidR="00935359" w:rsidRPr="00C46C98">
        <w:rPr>
          <w:i/>
        </w:rPr>
        <w:t xml:space="preserve"> </w:t>
      </w:r>
      <w:hyperlink r:id="rId11" w:history="1">
        <w:r w:rsidR="00935359" w:rsidRPr="00A85C00">
          <w:rPr>
            <w:rStyle w:val="Hyperlink"/>
          </w:rPr>
          <w:t>https://www.engadget.com/2012/07/04/most-expensive-internet-in-america-samoa-broadband-interview/</w:t>
        </w:r>
      </w:hyperlink>
      <w:r w:rsidR="00350EA3">
        <w:rPr>
          <w:rStyle w:val="Hyperlink"/>
        </w:rPr>
        <w:t xml:space="preserve"> </w:t>
      </w:r>
      <w:r w:rsidRPr="00F22DDE">
        <w:t xml:space="preserve">; Michael Calabrese et al, </w:t>
      </w:r>
      <w:r w:rsidRPr="00C46C98">
        <w:rPr>
          <w:i/>
        </w:rPr>
        <w:t>The Most Expensive Internet in America</w:t>
      </w:r>
      <w:r w:rsidRPr="00F22DDE">
        <w:t>, SLATE</w:t>
      </w:r>
      <w:r w:rsidR="00935359">
        <w:t xml:space="preserve"> </w:t>
      </w:r>
      <w:r w:rsidR="00350EA3" w:rsidRPr="00F22DDE">
        <w:t>(</w:t>
      </w:r>
      <w:r w:rsidR="00350EA3">
        <w:t>May 24, 2012</w:t>
      </w:r>
      <w:r w:rsidR="00350EA3" w:rsidRPr="00F22DDE">
        <w:t>)</w:t>
      </w:r>
      <w:r w:rsidR="00350EA3">
        <w:t xml:space="preserve">, </w:t>
      </w:r>
      <w:hyperlink r:id="rId12" w:history="1">
        <w:r w:rsidR="00935359" w:rsidRPr="00624CCE">
          <w:rPr>
            <w:rStyle w:val="Hyperlink"/>
          </w:rPr>
          <w:t>http://www.slate.com/blogs/future_tense/2012/05/24/internet_access_and_cost_in_american_samoa_northern_marianas_islands_guam_.html</w:t>
        </w:r>
      </w:hyperlink>
      <w:r w:rsidRPr="00F22DDE">
        <w:t>.</w:t>
      </w:r>
    </w:p>
  </w:footnote>
  <w:footnote w:id="57">
    <w:p w14:paraId="3E46CB7E" w14:textId="7C1AF38B" w:rsidR="002657B7" w:rsidRPr="000D775D" w:rsidRDefault="002657B7">
      <w:pPr>
        <w:pStyle w:val="FootnoteText"/>
        <w:rPr>
          <w:i/>
        </w:rPr>
      </w:pPr>
      <w:r>
        <w:rPr>
          <w:rStyle w:val="FootnoteReference"/>
        </w:rPr>
        <w:footnoteRef/>
      </w:r>
      <w:r>
        <w:t xml:space="preserve"> </w:t>
      </w:r>
      <w:r>
        <w:rPr>
          <w:i/>
        </w:rPr>
        <w:t xml:space="preserve">See </w:t>
      </w:r>
      <w:r>
        <w:t xml:space="preserve">Note 28 </w:t>
      </w:r>
      <w:r>
        <w:rPr>
          <w:i/>
        </w:rPr>
        <w:t>supra.</w:t>
      </w:r>
    </w:p>
  </w:footnote>
  <w:footnote w:id="58">
    <w:p w14:paraId="4D6F81A1" w14:textId="3E069064" w:rsidR="00266379" w:rsidRPr="00351CEF" w:rsidRDefault="00266379" w:rsidP="00266379">
      <w:pPr>
        <w:pStyle w:val="FootnoteText"/>
        <w:jc w:val="left"/>
      </w:pPr>
      <w:r>
        <w:rPr>
          <w:rStyle w:val="FootnoteReference"/>
        </w:rPr>
        <w:footnoteRef/>
      </w:r>
      <w:r>
        <w:t xml:space="preserve"> </w:t>
      </w:r>
      <w:r w:rsidRPr="00351CEF">
        <w:t xml:space="preserve">The Commission has noted that broadband access can be a driver for economic growth.  </w:t>
      </w:r>
      <w:r w:rsidRPr="00351CEF">
        <w:rPr>
          <w:i/>
        </w:rPr>
        <w:t>See Connecting America: The National Broadband Plan</w:t>
      </w:r>
      <w:r w:rsidRPr="00351CEF">
        <w:t xml:space="preserve">, Federal Communications Commission, Washington, DC (March 2010); available at </w:t>
      </w:r>
      <w:hyperlink r:id="rId13" w:history="1">
        <w:r w:rsidR="00935359" w:rsidRPr="00624CCE">
          <w:rPr>
            <w:rStyle w:val="Hyperlink"/>
          </w:rPr>
          <w:t>http://www.broadband.gov/plan</w:t>
        </w:r>
      </w:hyperlink>
      <w:r w:rsidRPr="00351CEF">
        <w:t>.  ASTCA notes that the opportunity for economic growth provided by access to high-speed Internet access is especially important in an “insular location” such as American Samoa where unemployment is high and job opportunities are limited.</w:t>
      </w:r>
      <w:r w:rsidR="00F47047">
        <w:t xml:space="preserve"> </w:t>
      </w:r>
      <w:r w:rsidRPr="00351CEF">
        <w:t xml:space="preserve"> Supplement at 8-9</w:t>
      </w:r>
      <w:r>
        <w:t>.</w:t>
      </w:r>
    </w:p>
  </w:footnote>
  <w:footnote w:id="59">
    <w:p w14:paraId="16B63C0B" w14:textId="77777777" w:rsidR="002657B7" w:rsidRPr="002F73C4" w:rsidRDefault="002657B7" w:rsidP="009369D1">
      <w:pPr>
        <w:pStyle w:val="FootnoteText"/>
      </w:pPr>
      <w:r>
        <w:rPr>
          <w:rStyle w:val="FootnoteReference"/>
        </w:rPr>
        <w:footnoteRef/>
      </w:r>
      <w:r>
        <w:t xml:space="preserve"> </w:t>
      </w:r>
      <w:r>
        <w:rPr>
          <w:i/>
        </w:rPr>
        <w:t xml:space="preserve">See </w:t>
      </w:r>
      <w:r>
        <w:t>Petition at 9.</w:t>
      </w:r>
    </w:p>
  </w:footnote>
  <w:footnote w:id="60">
    <w:p w14:paraId="393EFD65" w14:textId="77777777" w:rsidR="002657B7" w:rsidRDefault="002657B7">
      <w:pPr>
        <w:pStyle w:val="FootnoteText"/>
      </w:pPr>
      <w:r>
        <w:rPr>
          <w:rStyle w:val="FootnoteReference"/>
        </w:rPr>
        <w:footnoteRef/>
      </w:r>
      <w:r>
        <w:t xml:space="preserve"> 47 CFR § 1.925(b)(3)(ii).</w:t>
      </w:r>
    </w:p>
  </w:footnote>
  <w:footnote w:id="61">
    <w:p w14:paraId="4E0012B8" w14:textId="7713FD17" w:rsidR="002657B7" w:rsidRPr="00A04B90" w:rsidRDefault="002657B7" w:rsidP="004806C7">
      <w:pPr>
        <w:pStyle w:val="FootnoteText"/>
        <w:jc w:val="left"/>
      </w:pPr>
      <w:r>
        <w:rPr>
          <w:rStyle w:val="FootnoteReference"/>
        </w:rPr>
        <w:footnoteRef/>
      </w:r>
      <w:r>
        <w:t xml:space="preserve"> </w:t>
      </w:r>
      <w:r w:rsidRPr="000042CF">
        <w:rPr>
          <w:i/>
        </w:rPr>
        <w:t xml:space="preserve">See, e.g. </w:t>
      </w:r>
      <w:r w:rsidRPr="00EB6A67">
        <w:rPr>
          <w:i/>
        </w:rPr>
        <w:t>TelAlaska</w:t>
      </w:r>
      <w:r>
        <w:t xml:space="preserve">, 24 FCC Rcd at 7384 n.30; </w:t>
      </w:r>
      <w:r w:rsidRPr="00EB6A67">
        <w:rPr>
          <w:i/>
        </w:rPr>
        <w:t>Redwood Wireless Minnesota, L.L.C. and Redwood Wireless Wisconsin, L.L.C. Request for a Waiver and Extension of the Broadband PCS Construction Requirements</w:t>
      </w:r>
      <w:r w:rsidRPr="000042CF">
        <w:t>, Order, 17 FCC Rcd 22416</w:t>
      </w:r>
      <w:r>
        <w:t>, 22419-23, paras. 6-13</w:t>
      </w:r>
      <w:r w:rsidRPr="000042CF">
        <w:t xml:space="preserve"> (WTB 2002); Letter to Delaney M. DiStefano, Esq., from Kelly Quinn, Deputy Chief, Auctions and Industry Analysis Division, Wireless Telecommunications Bureau, FCC, 17 FCC Rcd 10418</w:t>
      </w:r>
      <w:r>
        <w:t>, 10422</w:t>
      </w:r>
      <w:r w:rsidRPr="000042CF">
        <w:t xml:space="preserve"> (WTB </w:t>
      </w:r>
      <w:r>
        <w:t xml:space="preserve">AIAD </w:t>
      </w:r>
      <w:r w:rsidRPr="000042CF">
        <w:t>2002)</w:t>
      </w:r>
      <w:r>
        <w:t>.</w:t>
      </w:r>
    </w:p>
  </w:footnote>
  <w:footnote w:id="62">
    <w:p w14:paraId="408BD1AD" w14:textId="77777777" w:rsidR="002657B7" w:rsidRDefault="002657B7" w:rsidP="005D1D17">
      <w:pPr>
        <w:pStyle w:val="FootnoteText"/>
        <w:jc w:val="left"/>
      </w:pPr>
      <w:r>
        <w:rPr>
          <w:rStyle w:val="FootnoteReference"/>
        </w:rPr>
        <w:footnoteRef/>
      </w:r>
      <w:r>
        <w:t xml:space="preserve"> </w:t>
      </w:r>
      <w:r>
        <w:rPr>
          <w:i/>
        </w:rPr>
        <w:t xml:space="preserve">See </w:t>
      </w:r>
      <w:r>
        <w:t>Supplement at 5-6.</w:t>
      </w:r>
    </w:p>
  </w:footnote>
  <w:footnote w:id="63">
    <w:p w14:paraId="4EF7A659" w14:textId="77777777" w:rsidR="002657B7" w:rsidRPr="001E3BBD" w:rsidRDefault="002657B7" w:rsidP="005D1D17">
      <w:pPr>
        <w:pStyle w:val="FootnoteText"/>
        <w:jc w:val="left"/>
        <w:rPr>
          <w:i/>
        </w:rPr>
      </w:pPr>
      <w:r>
        <w:rPr>
          <w:rStyle w:val="FootnoteReference"/>
        </w:rPr>
        <w:footnoteRef/>
      </w:r>
      <w:r>
        <w:t xml:space="preserve"> </w:t>
      </w:r>
      <w:r w:rsidRPr="001E3BBD">
        <w:rPr>
          <w:i/>
        </w:rPr>
        <w:t>Id.</w:t>
      </w:r>
    </w:p>
  </w:footnote>
  <w:footnote w:id="64">
    <w:p w14:paraId="0DB58FA2" w14:textId="77777777" w:rsidR="002657B7" w:rsidRDefault="002657B7" w:rsidP="00A04B90">
      <w:pPr>
        <w:pStyle w:val="FootnoteText"/>
        <w:jc w:val="left"/>
      </w:pPr>
      <w:r>
        <w:rPr>
          <w:rStyle w:val="FootnoteReference"/>
        </w:rPr>
        <w:footnoteRef/>
      </w:r>
      <w:r>
        <w:t xml:space="preserve"> We note that this waiver applies only to the interim deadline for ASTCA’s A Block license, Call Sign WQNF700, and does not affect the final construction deadline for that license.  Therefore, ASTCA must demonstrate that it is providing coverage sufficient to serve at least two-thirds of the population applicable to Call Sign WQNF700 by January 24,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76C8" w14:textId="77777777" w:rsidR="002F3C06" w:rsidRDefault="002F3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708D" w14:textId="77777777" w:rsidR="002657B7" w:rsidRPr="00751F41" w:rsidRDefault="002657B7">
    <w:pPr>
      <w:pStyle w:val="Header"/>
      <w:rPr>
        <w:sz w:val="22"/>
        <w:szCs w:val="22"/>
      </w:rPr>
    </w:pPr>
    <w:r w:rsidRPr="00751F41">
      <w:rPr>
        <w:sz w:val="22"/>
        <w:szCs w:val="22"/>
      </w:rPr>
      <w:t>Mr. Alex Sene</w:t>
    </w:r>
  </w:p>
  <w:p w14:paraId="06319F3A" w14:textId="44A7A396" w:rsidR="002657B7" w:rsidRPr="00751F41" w:rsidRDefault="002657B7">
    <w:pPr>
      <w:pStyle w:val="Header"/>
      <w:rPr>
        <w:sz w:val="22"/>
        <w:szCs w:val="22"/>
      </w:rPr>
    </w:pPr>
    <w:r w:rsidRPr="00751F41">
      <w:rPr>
        <w:sz w:val="22"/>
        <w:szCs w:val="22"/>
      </w:rPr>
      <w:t xml:space="preserve">Page </w:t>
    </w:r>
    <w:r w:rsidRPr="00751F41">
      <w:rPr>
        <w:sz w:val="22"/>
        <w:szCs w:val="22"/>
      </w:rPr>
      <w:fldChar w:fldCharType="begin"/>
    </w:r>
    <w:r w:rsidRPr="00751F41">
      <w:rPr>
        <w:sz w:val="22"/>
        <w:szCs w:val="22"/>
      </w:rPr>
      <w:instrText xml:space="preserve"> PAGE   \* MERGEFORMAT </w:instrText>
    </w:r>
    <w:r w:rsidRPr="00751F41">
      <w:rPr>
        <w:sz w:val="22"/>
        <w:szCs w:val="22"/>
      </w:rPr>
      <w:fldChar w:fldCharType="separate"/>
    </w:r>
    <w:r w:rsidR="000A004A">
      <w:rPr>
        <w:noProof/>
        <w:sz w:val="22"/>
        <w:szCs w:val="22"/>
      </w:rPr>
      <w:t>2</w:t>
    </w:r>
    <w:r w:rsidRPr="00751F41">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C7AD" w14:textId="77777777" w:rsidR="002657B7" w:rsidRDefault="000A004A">
    <w:pPr>
      <w:pStyle w:val="Header"/>
      <w:tabs>
        <w:tab w:val="clear" w:pos="4320"/>
        <w:tab w:val="clear" w:pos="8640"/>
      </w:tabs>
      <w:spacing w:before="360" w:line="228" w:lineRule="auto"/>
      <w:jc w:val="center"/>
    </w:pPr>
    <w:r>
      <w:rPr>
        <w:rFonts w:ascii="CG Times (W1)" w:hAnsi="CG Times (W1)"/>
        <w:sz w:val="28"/>
      </w:rPr>
      <w:pict w14:anchorId="3D850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49" DrawAspect="Content" ObjectID="_1563605006" r:id="rId2"/>
      </w:pict>
    </w:r>
    <w:r w:rsidR="002657B7">
      <w:rPr>
        <w:rFonts w:ascii="CG Times (W1)" w:hAnsi="CG Times (W1)"/>
        <w:sz w:val="28"/>
      </w:rPr>
      <w:t>Federal Communications Commission</w:t>
    </w:r>
  </w:p>
  <w:p w14:paraId="4A2E0459" w14:textId="77777777" w:rsidR="002657B7" w:rsidRDefault="002657B7">
    <w:pPr>
      <w:jc w:val="center"/>
    </w:pPr>
    <w:r>
      <w:rPr>
        <w:rFonts w:ascii="CG Times (W1)" w:hAnsi="CG Times (W1)"/>
        <w:sz w:val="28"/>
      </w:rPr>
      <w:t>Washington, D.C. 20554</w:t>
    </w:r>
  </w:p>
  <w:p w14:paraId="6269B5A1" w14:textId="77777777" w:rsidR="002657B7" w:rsidRDefault="002657B7">
    <w:pPr>
      <w:pStyle w:val="Header"/>
      <w:tabs>
        <w:tab w:val="clear" w:pos="4320"/>
      </w:tabs>
      <w:jc w:val="center"/>
      <w:rPr>
        <w:sz w:val="22"/>
      </w:rPr>
    </w:pPr>
  </w:p>
  <w:p w14:paraId="0C69BF87" w14:textId="2E758543" w:rsidR="002657B7" w:rsidRPr="00E30660" w:rsidRDefault="00B10BF2" w:rsidP="008209C9">
    <w:pPr>
      <w:pStyle w:val="Header"/>
      <w:tabs>
        <w:tab w:val="clear" w:pos="4320"/>
      </w:tabs>
      <w:jc w:val="center"/>
      <w:rPr>
        <w:sz w:val="22"/>
        <w:szCs w:val="22"/>
      </w:rPr>
    </w:pPr>
    <w:r>
      <w:rPr>
        <w:sz w:val="22"/>
        <w:szCs w:val="22"/>
      </w:rPr>
      <w:t xml:space="preserve">August </w:t>
    </w:r>
    <w:r w:rsidR="00EC66BF">
      <w:rPr>
        <w:sz w:val="22"/>
        <w:szCs w:val="22"/>
      </w:rPr>
      <w:t>7</w:t>
    </w:r>
    <w:r w:rsidR="002657B7">
      <w:rPr>
        <w:sz w:val="22"/>
        <w:szCs w:val="22"/>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1E8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1BE"/>
    <w:multiLevelType w:val="hybridMultilevel"/>
    <w:tmpl w:val="A26C8556"/>
    <w:lvl w:ilvl="0" w:tplc="BF8CFF98">
      <w:start w:val="1"/>
      <w:numFmt w:val="decimal"/>
      <w:lvlText w:val="%1."/>
      <w:lvlJc w:val="left"/>
      <w:pPr>
        <w:ind w:left="1080" w:hanging="360"/>
      </w:pPr>
      <w:rPr>
        <w:rFonts w:hint="default"/>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832D9"/>
    <w:multiLevelType w:val="hybridMultilevel"/>
    <w:tmpl w:val="CD34C8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65C3375"/>
    <w:multiLevelType w:val="hybridMultilevel"/>
    <w:tmpl w:val="BA8C11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C862C21"/>
    <w:multiLevelType w:val="hybridMultilevel"/>
    <w:tmpl w:val="A03A7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17119"/>
    <w:multiLevelType w:val="hybridMultilevel"/>
    <w:tmpl w:val="1D62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87405"/>
    <w:multiLevelType w:val="hybridMultilevel"/>
    <w:tmpl w:val="6136D1E8"/>
    <w:lvl w:ilvl="0" w:tplc="14D4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697756"/>
    <w:multiLevelType w:val="hybridMultilevel"/>
    <w:tmpl w:val="2DB28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27631"/>
    <w:multiLevelType w:val="hybridMultilevel"/>
    <w:tmpl w:val="8990039E"/>
    <w:lvl w:ilvl="0" w:tplc="23A855D0">
      <w:start w:val="1"/>
      <w:numFmt w:val="upperRoma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132869"/>
    <w:multiLevelType w:val="hybridMultilevel"/>
    <w:tmpl w:val="0C6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90F030C"/>
    <w:multiLevelType w:val="hybridMultilevel"/>
    <w:tmpl w:val="3EEA1F16"/>
    <w:lvl w:ilvl="0" w:tplc="04090001">
      <w:start w:val="1"/>
      <w:numFmt w:val="bullet"/>
      <w:lvlText w:val=""/>
      <w:lvlJc w:val="left"/>
      <w:pPr>
        <w:ind w:left="3804" w:hanging="360"/>
      </w:pPr>
      <w:rPr>
        <w:rFonts w:ascii="Symbol" w:hAnsi="Symbol" w:hint="default"/>
      </w:rPr>
    </w:lvl>
    <w:lvl w:ilvl="1" w:tplc="04090003" w:tentative="1">
      <w:start w:val="1"/>
      <w:numFmt w:val="bullet"/>
      <w:lvlText w:val="o"/>
      <w:lvlJc w:val="left"/>
      <w:pPr>
        <w:ind w:left="4524" w:hanging="360"/>
      </w:pPr>
      <w:rPr>
        <w:rFonts w:ascii="Courier New" w:hAnsi="Courier New" w:cs="Courier New" w:hint="default"/>
      </w:rPr>
    </w:lvl>
    <w:lvl w:ilvl="2" w:tplc="04090005" w:tentative="1">
      <w:start w:val="1"/>
      <w:numFmt w:val="bullet"/>
      <w:lvlText w:val=""/>
      <w:lvlJc w:val="left"/>
      <w:pPr>
        <w:ind w:left="5244" w:hanging="360"/>
      </w:pPr>
      <w:rPr>
        <w:rFonts w:ascii="Wingdings" w:hAnsi="Wingdings" w:hint="default"/>
      </w:rPr>
    </w:lvl>
    <w:lvl w:ilvl="3" w:tplc="04090001" w:tentative="1">
      <w:start w:val="1"/>
      <w:numFmt w:val="bullet"/>
      <w:lvlText w:val=""/>
      <w:lvlJc w:val="left"/>
      <w:pPr>
        <w:ind w:left="5964" w:hanging="360"/>
      </w:pPr>
      <w:rPr>
        <w:rFonts w:ascii="Symbol" w:hAnsi="Symbol" w:hint="default"/>
      </w:rPr>
    </w:lvl>
    <w:lvl w:ilvl="4" w:tplc="04090003" w:tentative="1">
      <w:start w:val="1"/>
      <w:numFmt w:val="bullet"/>
      <w:lvlText w:val="o"/>
      <w:lvlJc w:val="left"/>
      <w:pPr>
        <w:ind w:left="6684" w:hanging="360"/>
      </w:pPr>
      <w:rPr>
        <w:rFonts w:ascii="Courier New" w:hAnsi="Courier New" w:cs="Courier New" w:hint="default"/>
      </w:rPr>
    </w:lvl>
    <w:lvl w:ilvl="5" w:tplc="04090005" w:tentative="1">
      <w:start w:val="1"/>
      <w:numFmt w:val="bullet"/>
      <w:lvlText w:val=""/>
      <w:lvlJc w:val="left"/>
      <w:pPr>
        <w:ind w:left="7404" w:hanging="360"/>
      </w:pPr>
      <w:rPr>
        <w:rFonts w:ascii="Wingdings" w:hAnsi="Wingdings" w:hint="default"/>
      </w:rPr>
    </w:lvl>
    <w:lvl w:ilvl="6" w:tplc="04090001" w:tentative="1">
      <w:start w:val="1"/>
      <w:numFmt w:val="bullet"/>
      <w:lvlText w:val=""/>
      <w:lvlJc w:val="left"/>
      <w:pPr>
        <w:ind w:left="8124" w:hanging="360"/>
      </w:pPr>
      <w:rPr>
        <w:rFonts w:ascii="Symbol" w:hAnsi="Symbol" w:hint="default"/>
      </w:rPr>
    </w:lvl>
    <w:lvl w:ilvl="7" w:tplc="04090003" w:tentative="1">
      <w:start w:val="1"/>
      <w:numFmt w:val="bullet"/>
      <w:lvlText w:val="o"/>
      <w:lvlJc w:val="left"/>
      <w:pPr>
        <w:ind w:left="8844" w:hanging="360"/>
      </w:pPr>
      <w:rPr>
        <w:rFonts w:ascii="Courier New" w:hAnsi="Courier New" w:cs="Courier New" w:hint="default"/>
      </w:rPr>
    </w:lvl>
    <w:lvl w:ilvl="8" w:tplc="04090005" w:tentative="1">
      <w:start w:val="1"/>
      <w:numFmt w:val="bullet"/>
      <w:lvlText w:val=""/>
      <w:lvlJc w:val="left"/>
      <w:pPr>
        <w:ind w:left="9564" w:hanging="360"/>
      </w:pPr>
      <w:rPr>
        <w:rFonts w:ascii="Wingdings" w:hAnsi="Wingdings" w:hint="default"/>
      </w:rPr>
    </w:lvl>
  </w:abstractNum>
  <w:abstractNum w:abstractNumId="14">
    <w:nsid w:val="519504DA"/>
    <w:multiLevelType w:val="hybridMultilevel"/>
    <w:tmpl w:val="D4066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906B5E"/>
    <w:multiLevelType w:val="hybridMultilevel"/>
    <w:tmpl w:val="6114B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21744"/>
    <w:multiLevelType w:val="hybridMultilevel"/>
    <w:tmpl w:val="83E2067C"/>
    <w:lvl w:ilvl="0" w:tplc="2D28D3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8503F"/>
    <w:multiLevelType w:val="hybridMultilevel"/>
    <w:tmpl w:val="9F5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F62D7"/>
    <w:multiLevelType w:val="hybridMultilevel"/>
    <w:tmpl w:val="2554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21">
    <w:nsid w:val="6E6A18E2"/>
    <w:multiLevelType w:val="hybridMultilevel"/>
    <w:tmpl w:val="519411CA"/>
    <w:lvl w:ilvl="0" w:tplc="04090011">
      <w:start w:val="1"/>
      <w:numFmt w:val="decimal"/>
      <w:lvlText w:val="%1)"/>
      <w:lvlJc w:val="left"/>
      <w:pPr>
        <w:ind w:left="720" w:hanging="360"/>
      </w:pPr>
      <w:rPr>
        <w:rFonts w:hint="default"/>
      </w:rPr>
    </w:lvl>
    <w:lvl w:ilvl="1" w:tplc="C7C8B6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7A4217E0"/>
    <w:multiLevelType w:val="hybridMultilevel"/>
    <w:tmpl w:val="12F0BDE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E9E5D62">
      <w:start w:val="5"/>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44365"/>
    <w:multiLevelType w:val="hybridMultilevel"/>
    <w:tmpl w:val="682CD08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2"/>
  </w:num>
  <w:num w:numId="2">
    <w:abstractNumId w:val="20"/>
  </w:num>
  <w:num w:numId="3">
    <w:abstractNumId w:val="8"/>
  </w:num>
  <w:num w:numId="4">
    <w:abstractNumId w:val="1"/>
  </w:num>
  <w:num w:numId="5">
    <w:abstractNumId w:val="23"/>
  </w:num>
  <w:num w:numId="6">
    <w:abstractNumId w:val="17"/>
  </w:num>
  <w:num w:numId="7">
    <w:abstractNumId w:val="10"/>
  </w:num>
  <w:num w:numId="8">
    <w:abstractNumId w:val="9"/>
  </w:num>
  <w:num w:numId="9">
    <w:abstractNumId w:val="15"/>
  </w:num>
  <w:num w:numId="10">
    <w:abstractNumId w:val="22"/>
  </w:num>
  <w:num w:numId="11">
    <w:abstractNumId w:val="0"/>
  </w:num>
  <w:num w:numId="12">
    <w:abstractNumId w:val="11"/>
  </w:num>
  <w:num w:numId="13">
    <w:abstractNumId w:val="20"/>
    <w:lvlOverride w:ilvl="0">
      <w:startOverride w:val="1"/>
    </w:lvlOverride>
  </w:num>
  <w:num w:numId="14">
    <w:abstractNumId w:val="20"/>
    <w:lvlOverride w:ilvl="0">
      <w:startOverride w:val="1"/>
    </w:lvlOverride>
  </w:num>
  <w:num w:numId="15">
    <w:abstractNumId w:val="13"/>
  </w:num>
  <w:num w:numId="16">
    <w:abstractNumId w:val="3"/>
  </w:num>
  <w:num w:numId="17">
    <w:abstractNumId w:val="20"/>
    <w:lvlOverride w:ilvl="0">
      <w:startOverride w:val="1"/>
    </w:lvlOverride>
  </w:num>
  <w:num w:numId="18">
    <w:abstractNumId w:val="24"/>
  </w:num>
  <w:num w:numId="19">
    <w:abstractNumId w:val="4"/>
  </w:num>
  <w:num w:numId="20">
    <w:abstractNumId w:val="14"/>
  </w:num>
  <w:num w:numId="21">
    <w:abstractNumId w:val="21"/>
  </w:num>
  <w:num w:numId="22">
    <w:abstractNumId w:val="17"/>
    <w:lvlOverride w:ilvl="0">
      <w:startOverride w:val="1"/>
    </w:lvlOverride>
  </w:num>
  <w:num w:numId="23">
    <w:abstractNumId w:val="6"/>
  </w:num>
  <w:num w:numId="24">
    <w:abstractNumId w:val="7"/>
  </w:num>
  <w:num w:numId="25">
    <w:abstractNumId w:val="17"/>
  </w:num>
  <w:num w:numId="26">
    <w:abstractNumId w:val="16"/>
  </w:num>
  <w:num w:numId="27">
    <w:abstractNumId w:val="19"/>
  </w:num>
  <w:num w:numId="28">
    <w:abstractNumId w:val="18"/>
  </w:num>
  <w:num w:numId="29">
    <w:abstractNumId w:val="5"/>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0"/>
    <w:rsid w:val="0000048C"/>
    <w:rsid w:val="00002580"/>
    <w:rsid w:val="00002CCE"/>
    <w:rsid w:val="00003D43"/>
    <w:rsid w:val="000042CF"/>
    <w:rsid w:val="00005933"/>
    <w:rsid w:val="0000632A"/>
    <w:rsid w:val="00006772"/>
    <w:rsid w:val="0001053F"/>
    <w:rsid w:val="0001094C"/>
    <w:rsid w:val="00011C6F"/>
    <w:rsid w:val="000125C3"/>
    <w:rsid w:val="00012C45"/>
    <w:rsid w:val="000130D0"/>
    <w:rsid w:val="000138F4"/>
    <w:rsid w:val="00013918"/>
    <w:rsid w:val="00013F9F"/>
    <w:rsid w:val="000146BB"/>
    <w:rsid w:val="00017E13"/>
    <w:rsid w:val="00023B40"/>
    <w:rsid w:val="0002591F"/>
    <w:rsid w:val="00025934"/>
    <w:rsid w:val="0002600A"/>
    <w:rsid w:val="000260BC"/>
    <w:rsid w:val="00026578"/>
    <w:rsid w:val="00026E1E"/>
    <w:rsid w:val="00026F5C"/>
    <w:rsid w:val="00030CA6"/>
    <w:rsid w:val="0003195B"/>
    <w:rsid w:val="00034CE8"/>
    <w:rsid w:val="00036B88"/>
    <w:rsid w:val="00041330"/>
    <w:rsid w:val="00041B05"/>
    <w:rsid w:val="0004204F"/>
    <w:rsid w:val="00042459"/>
    <w:rsid w:val="000452D2"/>
    <w:rsid w:val="000452EE"/>
    <w:rsid w:val="0004611E"/>
    <w:rsid w:val="0005021D"/>
    <w:rsid w:val="00051384"/>
    <w:rsid w:val="00056F09"/>
    <w:rsid w:val="0006084B"/>
    <w:rsid w:val="000608D7"/>
    <w:rsid w:val="00060EC8"/>
    <w:rsid w:val="00061439"/>
    <w:rsid w:val="00061839"/>
    <w:rsid w:val="00062102"/>
    <w:rsid w:val="00062F82"/>
    <w:rsid w:val="0006328F"/>
    <w:rsid w:val="000636BA"/>
    <w:rsid w:val="00064641"/>
    <w:rsid w:val="00064A8C"/>
    <w:rsid w:val="00066572"/>
    <w:rsid w:val="00070C15"/>
    <w:rsid w:val="00072C7E"/>
    <w:rsid w:val="00073298"/>
    <w:rsid w:val="00074B13"/>
    <w:rsid w:val="000750D7"/>
    <w:rsid w:val="0008285A"/>
    <w:rsid w:val="0008642E"/>
    <w:rsid w:val="00087415"/>
    <w:rsid w:val="00087ED6"/>
    <w:rsid w:val="00092305"/>
    <w:rsid w:val="0009264D"/>
    <w:rsid w:val="0009275E"/>
    <w:rsid w:val="00092CEE"/>
    <w:rsid w:val="00093FF8"/>
    <w:rsid w:val="00096245"/>
    <w:rsid w:val="00097FAE"/>
    <w:rsid w:val="000A004A"/>
    <w:rsid w:val="000A103D"/>
    <w:rsid w:val="000A226C"/>
    <w:rsid w:val="000A3DEB"/>
    <w:rsid w:val="000A71A7"/>
    <w:rsid w:val="000A7780"/>
    <w:rsid w:val="000A7CFC"/>
    <w:rsid w:val="000B0F2B"/>
    <w:rsid w:val="000B1338"/>
    <w:rsid w:val="000B15D2"/>
    <w:rsid w:val="000B5543"/>
    <w:rsid w:val="000C1A57"/>
    <w:rsid w:val="000C6B9F"/>
    <w:rsid w:val="000C784D"/>
    <w:rsid w:val="000C7ED8"/>
    <w:rsid w:val="000D2130"/>
    <w:rsid w:val="000D3878"/>
    <w:rsid w:val="000D3B12"/>
    <w:rsid w:val="000D3CC1"/>
    <w:rsid w:val="000D4955"/>
    <w:rsid w:val="000D6823"/>
    <w:rsid w:val="000D775D"/>
    <w:rsid w:val="000D77BB"/>
    <w:rsid w:val="000E0E57"/>
    <w:rsid w:val="000E19B2"/>
    <w:rsid w:val="000E2ECC"/>
    <w:rsid w:val="000E38C0"/>
    <w:rsid w:val="000E476C"/>
    <w:rsid w:val="000E6913"/>
    <w:rsid w:val="000E7DF6"/>
    <w:rsid w:val="000F174A"/>
    <w:rsid w:val="000F5F63"/>
    <w:rsid w:val="000F6051"/>
    <w:rsid w:val="000F6384"/>
    <w:rsid w:val="0010176E"/>
    <w:rsid w:val="001029E5"/>
    <w:rsid w:val="001046BE"/>
    <w:rsid w:val="001053D7"/>
    <w:rsid w:val="00107536"/>
    <w:rsid w:val="00107F66"/>
    <w:rsid w:val="001106C3"/>
    <w:rsid w:val="00110891"/>
    <w:rsid w:val="00111D23"/>
    <w:rsid w:val="00111F73"/>
    <w:rsid w:val="001131F8"/>
    <w:rsid w:val="00114232"/>
    <w:rsid w:val="00114D52"/>
    <w:rsid w:val="001173B4"/>
    <w:rsid w:val="0011755A"/>
    <w:rsid w:val="00117F7B"/>
    <w:rsid w:val="00122A7F"/>
    <w:rsid w:val="00123A32"/>
    <w:rsid w:val="00123C1F"/>
    <w:rsid w:val="001241ED"/>
    <w:rsid w:val="00125E52"/>
    <w:rsid w:val="00130C1D"/>
    <w:rsid w:val="001329CF"/>
    <w:rsid w:val="00132EB1"/>
    <w:rsid w:val="00133120"/>
    <w:rsid w:val="00136E96"/>
    <w:rsid w:val="001401F1"/>
    <w:rsid w:val="00141240"/>
    <w:rsid w:val="0014309E"/>
    <w:rsid w:val="00145F6D"/>
    <w:rsid w:val="001515FF"/>
    <w:rsid w:val="0015198A"/>
    <w:rsid w:val="00151DC7"/>
    <w:rsid w:val="00153847"/>
    <w:rsid w:val="00153D8F"/>
    <w:rsid w:val="00157CE0"/>
    <w:rsid w:val="00160B69"/>
    <w:rsid w:val="001630B3"/>
    <w:rsid w:val="00163241"/>
    <w:rsid w:val="00163B86"/>
    <w:rsid w:val="00163F4C"/>
    <w:rsid w:val="00171B22"/>
    <w:rsid w:val="00174747"/>
    <w:rsid w:val="00174FF7"/>
    <w:rsid w:val="00175DC4"/>
    <w:rsid w:val="001775F4"/>
    <w:rsid w:val="00177D42"/>
    <w:rsid w:val="001809C1"/>
    <w:rsid w:val="00181AEF"/>
    <w:rsid w:val="001826B8"/>
    <w:rsid w:val="00183C24"/>
    <w:rsid w:val="00184748"/>
    <w:rsid w:val="00184BA9"/>
    <w:rsid w:val="00186026"/>
    <w:rsid w:val="0018604E"/>
    <w:rsid w:val="00186348"/>
    <w:rsid w:val="001912CA"/>
    <w:rsid w:val="0019284B"/>
    <w:rsid w:val="001939D8"/>
    <w:rsid w:val="001944AD"/>
    <w:rsid w:val="0019699F"/>
    <w:rsid w:val="00197FC4"/>
    <w:rsid w:val="001A0595"/>
    <w:rsid w:val="001A0EAE"/>
    <w:rsid w:val="001A339C"/>
    <w:rsid w:val="001A3FC4"/>
    <w:rsid w:val="001A4411"/>
    <w:rsid w:val="001A4807"/>
    <w:rsid w:val="001A51BC"/>
    <w:rsid w:val="001A54A0"/>
    <w:rsid w:val="001B0338"/>
    <w:rsid w:val="001B06EC"/>
    <w:rsid w:val="001B0F95"/>
    <w:rsid w:val="001B16C5"/>
    <w:rsid w:val="001B25A9"/>
    <w:rsid w:val="001B5909"/>
    <w:rsid w:val="001B6C20"/>
    <w:rsid w:val="001C1065"/>
    <w:rsid w:val="001C2778"/>
    <w:rsid w:val="001C4564"/>
    <w:rsid w:val="001C7C16"/>
    <w:rsid w:val="001D0EB3"/>
    <w:rsid w:val="001D1B0C"/>
    <w:rsid w:val="001D2F58"/>
    <w:rsid w:val="001D4ADD"/>
    <w:rsid w:val="001D4B1E"/>
    <w:rsid w:val="001D4BB5"/>
    <w:rsid w:val="001D4BE4"/>
    <w:rsid w:val="001D51AC"/>
    <w:rsid w:val="001D57F5"/>
    <w:rsid w:val="001D64B7"/>
    <w:rsid w:val="001D6B85"/>
    <w:rsid w:val="001D6EEA"/>
    <w:rsid w:val="001E01B0"/>
    <w:rsid w:val="001E0BCA"/>
    <w:rsid w:val="001E10A7"/>
    <w:rsid w:val="001E2AE9"/>
    <w:rsid w:val="001E3730"/>
    <w:rsid w:val="001E3BBD"/>
    <w:rsid w:val="001E47E5"/>
    <w:rsid w:val="001E4D4C"/>
    <w:rsid w:val="001E68D7"/>
    <w:rsid w:val="001E6943"/>
    <w:rsid w:val="001E7E2C"/>
    <w:rsid w:val="001F0824"/>
    <w:rsid w:val="001F27E4"/>
    <w:rsid w:val="001F2FFD"/>
    <w:rsid w:val="001F4B62"/>
    <w:rsid w:val="001F60A6"/>
    <w:rsid w:val="001F7110"/>
    <w:rsid w:val="00200384"/>
    <w:rsid w:val="00201358"/>
    <w:rsid w:val="00201391"/>
    <w:rsid w:val="00201D0F"/>
    <w:rsid w:val="002030D7"/>
    <w:rsid w:val="002031EF"/>
    <w:rsid w:val="00204AA4"/>
    <w:rsid w:val="0020562B"/>
    <w:rsid w:val="002129AA"/>
    <w:rsid w:val="00212E1C"/>
    <w:rsid w:val="002140E4"/>
    <w:rsid w:val="00214350"/>
    <w:rsid w:val="00216E6D"/>
    <w:rsid w:val="002210B5"/>
    <w:rsid w:val="00221161"/>
    <w:rsid w:val="002235EF"/>
    <w:rsid w:val="00225C22"/>
    <w:rsid w:val="00232271"/>
    <w:rsid w:val="00232F09"/>
    <w:rsid w:val="0023396B"/>
    <w:rsid w:val="00234823"/>
    <w:rsid w:val="002413B1"/>
    <w:rsid w:val="002416FE"/>
    <w:rsid w:val="00244CCE"/>
    <w:rsid w:val="00245BB0"/>
    <w:rsid w:val="00246A64"/>
    <w:rsid w:val="002510BF"/>
    <w:rsid w:val="00254584"/>
    <w:rsid w:val="00254B49"/>
    <w:rsid w:val="00261362"/>
    <w:rsid w:val="00261AC1"/>
    <w:rsid w:val="00263D67"/>
    <w:rsid w:val="00263DE2"/>
    <w:rsid w:val="0026454F"/>
    <w:rsid w:val="002654F8"/>
    <w:rsid w:val="00265679"/>
    <w:rsid w:val="002657B7"/>
    <w:rsid w:val="00266379"/>
    <w:rsid w:val="00266E66"/>
    <w:rsid w:val="0026780E"/>
    <w:rsid w:val="00267B72"/>
    <w:rsid w:val="002807F9"/>
    <w:rsid w:val="00280BA7"/>
    <w:rsid w:val="0028174B"/>
    <w:rsid w:val="00283583"/>
    <w:rsid w:val="00284859"/>
    <w:rsid w:val="00284B2B"/>
    <w:rsid w:val="00285AAD"/>
    <w:rsid w:val="00293318"/>
    <w:rsid w:val="00293A29"/>
    <w:rsid w:val="0029423B"/>
    <w:rsid w:val="00294D99"/>
    <w:rsid w:val="0029607D"/>
    <w:rsid w:val="00297A80"/>
    <w:rsid w:val="00297DF2"/>
    <w:rsid w:val="002A23D2"/>
    <w:rsid w:val="002A43EE"/>
    <w:rsid w:val="002A4B6D"/>
    <w:rsid w:val="002A5ACA"/>
    <w:rsid w:val="002A5B86"/>
    <w:rsid w:val="002B02FB"/>
    <w:rsid w:val="002B0946"/>
    <w:rsid w:val="002B0A19"/>
    <w:rsid w:val="002B2660"/>
    <w:rsid w:val="002B27E4"/>
    <w:rsid w:val="002B2CD5"/>
    <w:rsid w:val="002B2FBE"/>
    <w:rsid w:val="002B3D84"/>
    <w:rsid w:val="002B47F9"/>
    <w:rsid w:val="002B52CA"/>
    <w:rsid w:val="002B5667"/>
    <w:rsid w:val="002B64FB"/>
    <w:rsid w:val="002C133A"/>
    <w:rsid w:val="002C13C0"/>
    <w:rsid w:val="002C1FFD"/>
    <w:rsid w:val="002C24AF"/>
    <w:rsid w:val="002C4419"/>
    <w:rsid w:val="002C4A40"/>
    <w:rsid w:val="002C4AF0"/>
    <w:rsid w:val="002C4C11"/>
    <w:rsid w:val="002C60AC"/>
    <w:rsid w:val="002C6A1F"/>
    <w:rsid w:val="002C6C0A"/>
    <w:rsid w:val="002C770F"/>
    <w:rsid w:val="002C7AEB"/>
    <w:rsid w:val="002D025F"/>
    <w:rsid w:val="002D06A3"/>
    <w:rsid w:val="002D0829"/>
    <w:rsid w:val="002D0D24"/>
    <w:rsid w:val="002D3C7F"/>
    <w:rsid w:val="002D4BE0"/>
    <w:rsid w:val="002D56AA"/>
    <w:rsid w:val="002D5D09"/>
    <w:rsid w:val="002D6995"/>
    <w:rsid w:val="002D6AE9"/>
    <w:rsid w:val="002D70DC"/>
    <w:rsid w:val="002D7C7C"/>
    <w:rsid w:val="002D7FBC"/>
    <w:rsid w:val="002E217E"/>
    <w:rsid w:val="002E2C82"/>
    <w:rsid w:val="002E5E14"/>
    <w:rsid w:val="002E765C"/>
    <w:rsid w:val="002E7905"/>
    <w:rsid w:val="002E7BB8"/>
    <w:rsid w:val="002F1942"/>
    <w:rsid w:val="002F2AA8"/>
    <w:rsid w:val="002F3013"/>
    <w:rsid w:val="002F3C06"/>
    <w:rsid w:val="002F3D9A"/>
    <w:rsid w:val="002F49D2"/>
    <w:rsid w:val="002F4C13"/>
    <w:rsid w:val="002F5945"/>
    <w:rsid w:val="002F73C4"/>
    <w:rsid w:val="002F7497"/>
    <w:rsid w:val="00300652"/>
    <w:rsid w:val="00302A57"/>
    <w:rsid w:val="00303BEA"/>
    <w:rsid w:val="00304071"/>
    <w:rsid w:val="003047DC"/>
    <w:rsid w:val="00304DEF"/>
    <w:rsid w:val="003074B4"/>
    <w:rsid w:val="00307983"/>
    <w:rsid w:val="00310530"/>
    <w:rsid w:val="00311A8A"/>
    <w:rsid w:val="003126C2"/>
    <w:rsid w:val="003126EC"/>
    <w:rsid w:val="003127C7"/>
    <w:rsid w:val="003131A9"/>
    <w:rsid w:val="0031611E"/>
    <w:rsid w:val="00317203"/>
    <w:rsid w:val="00317D3E"/>
    <w:rsid w:val="0032058C"/>
    <w:rsid w:val="00321082"/>
    <w:rsid w:val="003213B6"/>
    <w:rsid w:val="00321E44"/>
    <w:rsid w:val="00321E84"/>
    <w:rsid w:val="00323F63"/>
    <w:rsid w:val="003242BD"/>
    <w:rsid w:val="00325614"/>
    <w:rsid w:val="003258A7"/>
    <w:rsid w:val="0032644D"/>
    <w:rsid w:val="00330D8E"/>
    <w:rsid w:val="003348FF"/>
    <w:rsid w:val="00335DC1"/>
    <w:rsid w:val="00335EAB"/>
    <w:rsid w:val="00336B71"/>
    <w:rsid w:val="0033709E"/>
    <w:rsid w:val="00340C15"/>
    <w:rsid w:val="00342422"/>
    <w:rsid w:val="00342BF0"/>
    <w:rsid w:val="003435C6"/>
    <w:rsid w:val="003440AE"/>
    <w:rsid w:val="00345B13"/>
    <w:rsid w:val="00346AE2"/>
    <w:rsid w:val="003477B7"/>
    <w:rsid w:val="00350EA3"/>
    <w:rsid w:val="00351099"/>
    <w:rsid w:val="00351805"/>
    <w:rsid w:val="00351CEF"/>
    <w:rsid w:val="00353C67"/>
    <w:rsid w:val="003543C9"/>
    <w:rsid w:val="00355284"/>
    <w:rsid w:val="00357847"/>
    <w:rsid w:val="00357EEA"/>
    <w:rsid w:val="003611C5"/>
    <w:rsid w:val="00361351"/>
    <w:rsid w:val="00361845"/>
    <w:rsid w:val="00361D8A"/>
    <w:rsid w:val="00365897"/>
    <w:rsid w:val="0036636B"/>
    <w:rsid w:val="003719DA"/>
    <w:rsid w:val="0037240E"/>
    <w:rsid w:val="0037328F"/>
    <w:rsid w:val="003740A3"/>
    <w:rsid w:val="00374727"/>
    <w:rsid w:val="0037553B"/>
    <w:rsid w:val="003757D0"/>
    <w:rsid w:val="003758E4"/>
    <w:rsid w:val="003759B8"/>
    <w:rsid w:val="00380ABC"/>
    <w:rsid w:val="00381024"/>
    <w:rsid w:val="00381840"/>
    <w:rsid w:val="00382BBF"/>
    <w:rsid w:val="0038393A"/>
    <w:rsid w:val="00384F03"/>
    <w:rsid w:val="00385EE7"/>
    <w:rsid w:val="00387F0D"/>
    <w:rsid w:val="00390427"/>
    <w:rsid w:val="00391377"/>
    <w:rsid w:val="00391383"/>
    <w:rsid w:val="00393587"/>
    <w:rsid w:val="003940E5"/>
    <w:rsid w:val="0039654B"/>
    <w:rsid w:val="003A0183"/>
    <w:rsid w:val="003A0E06"/>
    <w:rsid w:val="003A4837"/>
    <w:rsid w:val="003A64C2"/>
    <w:rsid w:val="003A6589"/>
    <w:rsid w:val="003A7ED6"/>
    <w:rsid w:val="003B0B7C"/>
    <w:rsid w:val="003B270A"/>
    <w:rsid w:val="003B3D58"/>
    <w:rsid w:val="003B4176"/>
    <w:rsid w:val="003B52D1"/>
    <w:rsid w:val="003C0DA8"/>
    <w:rsid w:val="003C2A05"/>
    <w:rsid w:val="003C4F22"/>
    <w:rsid w:val="003C5244"/>
    <w:rsid w:val="003C75F0"/>
    <w:rsid w:val="003D1881"/>
    <w:rsid w:val="003D3BA2"/>
    <w:rsid w:val="003D4295"/>
    <w:rsid w:val="003D4821"/>
    <w:rsid w:val="003D56DE"/>
    <w:rsid w:val="003D7050"/>
    <w:rsid w:val="003D765C"/>
    <w:rsid w:val="003E1A36"/>
    <w:rsid w:val="003E336D"/>
    <w:rsid w:val="003E34CF"/>
    <w:rsid w:val="003E39CA"/>
    <w:rsid w:val="003E6A98"/>
    <w:rsid w:val="003F043A"/>
    <w:rsid w:val="003F0554"/>
    <w:rsid w:val="003F06AF"/>
    <w:rsid w:val="003F1631"/>
    <w:rsid w:val="003F1C17"/>
    <w:rsid w:val="003F2075"/>
    <w:rsid w:val="003F5485"/>
    <w:rsid w:val="003F692B"/>
    <w:rsid w:val="003F7CD0"/>
    <w:rsid w:val="00401C04"/>
    <w:rsid w:val="004028BD"/>
    <w:rsid w:val="00404C7A"/>
    <w:rsid w:val="00405017"/>
    <w:rsid w:val="00407EAD"/>
    <w:rsid w:val="00410E68"/>
    <w:rsid w:val="0041111E"/>
    <w:rsid w:val="004129AF"/>
    <w:rsid w:val="00413448"/>
    <w:rsid w:val="00414247"/>
    <w:rsid w:val="0041486C"/>
    <w:rsid w:val="00415AA7"/>
    <w:rsid w:val="0041617B"/>
    <w:rsid w:val="004162B3"/>
    <w:rsid w:val="00416F3C"/>
    <w:rsid w:val="00417B6A"/>
    <w:rsid w:val="00417D15"/>
    <w:rsid w:val="00422493"/>
    <w:rsid w:val="00422672"/>
    <w:rsid w:val="00423A64"/>
    <w:rsid w:val="004240FD"/>
    <w:rsid w:val="00424237"/>
    <w:rsid w:val="00424AB2"/>
    <w:rsid w:val="00424FA9"/>
    <w:rsid w:val="00427C49"/>
    <w:rsid w:val="00430567"/>
    <w:rsid w:val="00431778"/>
    <w:rsid w:val="004317F4"/>
    <w:rsid w:val="0043468E"/>
    <w:rsid w:val="0043588F"/>
    <w:rsid w:val="004401CF"/>
    <w:rsid w:val="00441271"/>
    <w:rsid w:val="00442FB4"/>
    <w:rsid w:val="004437BE"/>
    <w:rsid w:val="004442B2"/>
    <w:rsid w:val="00445669"/>
    <w:rsid w:val="00447CAB"/>
    <w:rsid w:val="0045253C"/>
    <w:rsid w:val="00452E8C"/>
    <w:rsid w:val="00454F54"/>
    <w:rsid w:val="00456B6D"/>
    <w:rsid w:val="00456D17"/>
    <w:rsid w:val="00456E69"/>
    <w:rsid w:val="00457124"/>
    <w:rsid w:val="0046153F"/>
    <w:rsid w:val="004623E3"/>
    <w:rsid w:val="00465C8A"/>
    <w:rsid w:val="00466939"/>
    <w:rsid w:val="00467CED"/>
    <w:rsid w:val="004701D2"/>
    <w:rsid w:val="00472405"/>
    <w:rsid w:val="00472F1E"/>
    <w:rsid w:val="004742F2"/>
    <w:rsid w:val="00475CFF"/>
    <w:rsid w:val="00476046"/>
    <w:rsid w:val="0047681A"/>
    <w:rsid w:val="004773A8"/>
    <w:rsid w:val="00477997"/>
    <w:rsid w:val="00477B35"/>
    <w:rsid w:val="00477F14"/>
    <w:rsid w:val="00477F23"/>
    <w:rsid w:val="004806C7"/>
    <w:rsid w:val="004834A5"/>
    <w:rsid w:val="0048383F"/>
    <w:rsid w:val="0048516E"/>
    <w:rsid w:val="00486D76"/>
    <w:rsid w:val="00494C7E"/>
    <w:rsid w:val="004971FF"/>
    <w:rsid w:val="004A0A9D"/>
    <w:rsid w:val="004A20E9"/>
    <w:rsid w:val="004A2648"/>
    <w:rsid w:val="004A2A1D"/>
    <w:rsid w:val="004A333C"/>
    <w:rsid w:val="004A38EA"/>
    <w:rsid w:val="004A3EE0"/>
    <w:rsid w:val="004A58F5"/>
    <w:rsid w:val="004A5A72"/>
    <w:rsid w:val="004A6EBA"/>
    <w:rsid w:val="004A7422"/>
    <w:rsid w:val="004A77EA"/>
    <w:rsid w:val="004B1671"/>
    <w:rsid w:val="004B4B05"/>
    <w:rsid w:val="004B5648"/>
    <w:rsid w:val="004B59ED"/>
    <w:rsid w:val="004B5C21"/>
    <w:rsid w:val="004B67E3"/>
    <w:rsid w:val="004C0236"/>
    <w:rsid w:val="004C3376"/>
    <w:rsid w:val="004C3E83"/>
    <w:rsid w:val="004C6BA3"/>
    <w:rsid w:val="004C6C3E"/>
    <w:rsid w:val="004C7355"/>
    <w:rsid w:val="004C7412"/>
    <w:rsid w:val="004D0ECD"/>
    <w:rsid w:val="004D5504"/>
    <w:rsid w:val="004D6235"/>
    <w:rsid w:val="004E2094"/>
    <w:rsid w:val="004E2FB2"/>
    <w:rsid w:val="004E34E4"/>
    <w:rsid w:val="004E44D8"/>
    <w:rsid w:val="004E4F0F"/>
    <w:rsid w:val="004E6E89"/>
    <w:rsid w:val="004E7D0D"/>
    <w:rsid w:val="004F17BE"/>
    <w:rsid w:val="004F1BCD"/>
    <w:rsid w:val="005006D2"/>
    <w:rsid w:val="00501272"/>
    <w:rsid w:val="00501B85"/>
    <w:rsid w:val="00504BF9"/>
    <w:rsid w:val="00504D6E"/>
    <w:rsid w:val="00506354"/>
    <w:rsid w:val="00506C46"/>
    <w:rsid w:val="00506EE8"/>
    <w:rsid w:val="00507227"/>
    <w:rsid w:val="005076E0"/>
    <w:rsid w:val="00507AC6"/>
    <w:rsid w:val="005106A1"/>
    <w:rsid w:val="00512F15"/>
    <w:rsid w:val="00513738"/>
    <w:rsid w:val="0051420F"/>
    <w:rsid w:val="00515193"/>
    <w:rsid w:val="00515E74"/>
    <w:rsid w:val="0052084B"/>
    <w:rsid w:val="0052103D"/>
    <w:rsid w:val="00521B96"/>
    <w:rsid w:val="005258B2"/>
    <w:rsid w:val="00526B2A"/>
    <w:rsid w:val="00531AEB"/>
    <w:rsid w:val="00531FB3"/>
    <w:rsid w:val="00532752"/>
    <w:rsid w:val="00532D1A"/>
    <w:rsid w:val="00534B3C"/>
    <w:rsid w:val="00535CFB"/>
    <w:rsid w:val="00537734"/>
    <w:rsid w:val="00537E35"/>
    <w:rsid w:val="00541648"/>
    <w:rsid w:val="00542013"/>
    <w:rsid w:val="00542427"/>
    <w:rsid w:val="005424B6"/>
    <w:rsid w:val="00542D12"/>
    <w:rsid w:val="00542E98"/>
    <w:rsid w:val="00543128"/>
    <w:rsid w:val="0054389E"/>
    <w:rsid w:val="00544398"/>
    <w:rsid w:val="005461C1"/>
    <w:rsid w:val="00547409"/>
    <w:rsid w:val="00550CDC"/>
    <w:rsid w:val="005513D7"/>
    <w:rsid w:val="00551805"/>
    <w:rsid w:val="00551C28"/>
    <w:rsid w:val="00552754"/>
    <w:rsid w:val="005555A1"/>
    <w:rsid w:val="00557E22"/>
    <w:rsid w:val="00560ECA"/>
    <w:rsid w:val="005611E7"/>
    <w:rsid w:val="00562264"/>
    <w:rsid w:val="00563C7B"/>
    <w:rsid w:val="005640FE"/>
    <w:rsid w:val="005648C4"/>
    <w:rsid w:val="00564DCF"/>
    <w:rsid w:val="00565DFF"/>
    <w:rsid w:val="00565E89"/>
    <w:rsid w:val="005714A8"/>
    <w:rsid w:val="00571E16"/>
    <w:rsid w:val="00573D76"/>
    <w:rsid w:val="005756B4"/>
    <w:rsid w:val="00576969"/>
    <w:rsid w:val="00580004"/>
    <w:rsid w:val="00580240"/>
    <w:rsid w:val="005821A1"/>
    <w:rsid w:val="005836AE"/>
    <w:rsid w:val="005851D7"/>
    <w:rsid w:val="00585CDC"/>
    <w:rsid w:val="00585F6B"/>
    <w:rsid w:val="00587B27"/>
    <w:rsid w:val="00587E03"/>
    <w:rsid w:val="005907F7"/>
    <w:rsid w:val="00592171"/>
    <w:rsid w:val="0059363D"/>
    <w:rsid w:val="00593E4C"/>
    <w:rsid w:val="005965FF"/>
    <w:rsid w:val="00596FF6"/>
    <w:rsid w:val="00597AE7"/>
    <w:rsid w:val="005A0D1B"/>
    <w:rsid w:val="005A10F4"/>
    <w:rsid w:val="005A11F4"/>
    <w:rsid w:val="005A26DB"/>
    <w:rsid w:val="005A5B6C"/>
    <w:rsid w:val="005A6E8E"/>
    <w:rsid w:val="005A78CC"/>
    <w:rsid w:val="005B053E"/>
    <w:rsid w:val="005B336B"/>
    <w:rsid w:val="005B419C"/>
    <w:rsid w:val="005B5584"/>
    <w:rsid w:val="005B788F"/>
    <w:rsid w:val="005C24E1"/>
    <w:rsid w:val="005C2651"/>
    <w:rsid w:val="005C2BBA"/>
    <w:rsid w:val="005C4869"/>
    <w:rsid w:val="005C52C4"/>
    <w:rsid w:val="005C57C7"/>
    <w:rsid w:val="005C57E7"/>
    <w:rsid w:val="005C6128"/>
    <w:rsid w:val="005C653D"/>
    <w:rsid w:val="005C7362"/>
    <w:rsid w:val="005C7503"/>
    <w:rsid w:val="005D1D17"/>
    <w:rsid w:val="005D2A1A"/>
    <w:rsid w:val="005D3989"/>
    <w:rsid w:val="005D698C"/>
    <w:rsid w:val="005D6C7E"/>
    <w:rsid w:val="005D70C0"/>
    <w:rsid w:val="005E23A7"/>
    <w:rsid w:val="005E38F9"/>
    <w:rsid w:val="005E3D41"/>
    <w:rsid w:val="005E4989"/>
    <w:rsid w:val="005E5E41"/>
    <w:rsid w:val="005E73D3"/>
    <w:rsid w:val="005E76F1"/>
    <w:rsid w:val="005F0407"/>
    <w:rsid w:val="005F07F7"/>
    <w:rsid w:val="005F19D3"/>
    <w:rsid w:val="005F1AEE"/>
    <w:rsid w:val="005F250E"/>
    <w:rsid w:val="005F40FE"/>
    <w:rsid w:val="005F4C06"/>
    <w:rsid w:val="005F5194"/>
    <w:rsid w:val="005F7CB3"/>
    <w:rsid w:val="00600409"/>
    <w:rsid w:val="0060275E"/>
    <w:rsid w:val="00602871"/>
    <w:rsid w:val="006034E8"/>
    <w:rsid w:val="0060377A"/>
    <w:rsid w:val="00605248"/>
    <w:rsid w:val="006119E0"/>
    <w:rsid w:val="0061394C"/>
    <w:rsid w:val="00614894"/>
    <w:rsid w:val="00615327"/>
    <w:rsid w:val="00616A63"/>
    <w:rsid w:val="006173B7"/>
    <w:rsid w:val="00617462"/>
    <w:rsid w:val="006204F3"/>
    <w:rsid w:val="00620AAE"/>
    <w:rsid w:val="00623246"/>
    <w:rsid w:val="00623566"/>
    <w:rsid w:val="0062432D"/>
    <w:rsid w:val="00624D2A"/>
    <w:rsid w:val="00624EA1"/>
    <w:rsid w:val="006262F6"/>
    <w:rsid w:val="0063104F"/>
    <w:rsid w:val="0063317B"/>
    <w:rsid w:val="0063322A"/>
    <w:rsid w:val="00633588"/>
    <w:rsid w:val="00635B3B"/>
    <w:rsid w:val="00636013"/>
    <w:rsid w:val="00641360"/>
    <w:rsid w:val="00641E6C"/>
    <w:rsid w:val="00642F60"/>
    <w:rsid w:val="00644679"/>
    <w:rsid w:val="00645DB6"/>
    <w:rsid w:val="00647315"/>
    <w:rsid w:val="0064745F"/>
    <w:rsid w:val="0065043C"/>
    <w:rsid w:val="00650475"/>
    <w:rsid w:val="00650E82"/>
    <w:rsid w:val="00650F9C"/>
    <w:rsid w:val="0065296D"/>
    <w:rsid w:val="006530DF"/>
    <w:rsid w:val="006546DF"/>
    <w:rsid w:val="0065500E"/>
    <w:rsid w:val="00655DAF"/>
    <w:rsid w:val="00660FBF"/>
    <w:rsid w:val="00661ACA"/>
    <w:rsid w:val="006634B3"/>
    <w:rsid w:val="00665FAE"/>
    <w:rsid w:val="00667535"/>
    <w:rsid w:val="00667C58"/>
    <w:rsid w:val="006726A5"/>
    <w:rsid w:val="00673C5E"/>
    <w:rsid w:val="006746F3"/>
    <w:rsid w:val="0067482D"/>
    <w:rsid w:val="00674ACE"/>
    <w:rsid w:val="00676390"/>
    <w:rsid w:val="0067680D"/>
    <w:rsid w:val="00682013"/>
    <w:rsid w:val="0068291B"/>
    <w:rsid w:val="006839E5"/>
    <w:rsid w:val="00683F77"/>
    <w:rsid w:val="00685090"/>
    <w:rsid w:val="00686AEB"/>
    <w:rsid w:val="00686BB6"/>
    <w:rsid w:val="00690812"/>
    <w:rsid w:val="00692DA7"/>
    <w:rsid w:val="00692F69"/>
    <w:rsid w:val="00693FEA"/>
    <w:rsid w:val="00695A7E"/>
    <w:rsid w:val="00695DEE"/>
    <w:rsid w:val="006973EA"/>
    <w:rsid w:val="006A0191"/>
    <w:rsid w:val="006A17D1"/>
    <w:rsid w:val="006A2609"/>
    <w:rsid w:val="006A5B26"/>
    <w:rsid w:val="006A7E12"/>
    <w:rsid w:val="006B0B75"/>
    <w:rsid w:val="006B2D3D"/>
    <w:rsid w:val="006B4F12"/>
    <w:rsid w:val="006B559D"/>
    <w:rsid w:val="006B5BDA"/>
    <w:rsid w:val="006B700D"/>
    <w:rsid w:val="006B7677"/>
    <w:rsid w:val="006C364F"/>
    <w:rsid w:val="006C536E"/>
    <w:rsid w:val="006C5CF3"/>
    <w:rsid w:val="006C6FCD"/>
    <w:rsid w:val="006D0482"/>
    <w:rsid w:val="006D310E"/>
    <w:rsid w:val="006D4123"/>
    <w:rsid w:val="006D4D01"/>
    <w:rsid w:val="006D6BB2"/>
    <w:rsid w:val="006D7133"/>
    <w:rsid w:val="006D72E9"/>
    <w:rsid w:val="006E12A1"/>
    <w:rsid w:val="006E2067"/>
    <w:rsid w:val="006E292A"/>
    <w:rsid w:val="006E2944"/>
    <w:rsid w:val="006E434F"/>
    <w:rsid w:val="006E4A58"/>
    <w:rsid w:val="006E5B36"/>
    <w:rsid w:val="006E6505"/>
    <w:rsid w:val="006F0EB5"/>
    <w:rsid w:val="006F157B"/>
    <w:rsid w:val="006F2DD0"/>
    <w:rsid w:val="006F6C31"/>
    <w:rsid w:val="006F6C59"/>
    <w:rsid w:val="006F77B8"/>
    <w:rsid w:val="006F7FE3"/>
    <w:rsid w:val="00701E03"/>
    <w:rsid w:val="00701E73"/>
    <w:rsid w:val="00702A2E"/>
    <w:rsid w:val="007038EE"/>
    <w:rsid w:val="00704CCB"/>
    <w:rsid w:val="00706093"/>
    <w:rsid w:val="00706965"/>
    <w:rsid w:val="0070745C"/>
    <w:rsid w:val="00707E33"/>
    <w:rsid w:val="007135E8"/>
    <w:rsid w:val="00713819"/>
    <w:rsid w:val="00715413"/>
    <w:rsid w:val="007154AA"/>
    <w:rsid w:val="007156F0"/>
    <w:rsid w:val="007172D8"/>
    <w:rsid w:val="007176D5"/>
    <w:rsid w:val="007226D1"/>
    <w:rsid w:val="00723095"/>
    <w:rsid w:val="00723952"/>
    <w:rsid w:val="00725709"/>
    <w:rsid w:val="00726147"/>
    <w:rsid w:val="007278D0"/>
    <w:rsid w:val="00727DDD"/>
    <w:rsid w:val="00727DF3"/>
    <w:rsid w:val="00730663"/>
    <w:rsid w:val="00730902"/>
    <w:rsid w:val="007310EE"/>
    <w:rsid w:val="00732396"/>
    <w:rsid w:val="007330F6"/>
    <w:rsid w:val="007351CD"/>
    <w:rsid w:val="007356C5"/>
    <w:rsid w:val="00736199"/>
    <w:rsid w:val="00737D36"/>
    <w:rsid w:val="00740A69"/>
    <w:rsid w:val="00740D22"/>
    <w:rsid w:val="00742646"/>
    <w:rsid w:val="0074274F"/>
    <w:rsid w:val="0074431B"/>
    <w:rsid w:val="00744493"/>
    <w:rsid w:val="00744A07"/>
    <w:rsid w:val="00744F4C"/>
    <w:rsid w:val="00750A05"/>
    <w:rsid w:val="00751F41"/>
    <w:rsid w:val="0075222C"/>
    <w:rsid w:val="00754225"/>
    <w:rsid w:val="00754A69"/>
    <w:rsid w:val="00754CFF"/>
    <w:rsid w:val="00756879"/>
    <w:rsid w:val="00761C74"/>
    <w:rsid w:val="007634C2"/>
    <w:rsid w:val="00764F84"/>
    <w:rsid w:val="00765417"/>
    <w:rsid w:val="00765B92"/>
    <w:rsid w:val="007675D9"/>
    <w:rsid w:val="007710F5"/>
    <w:rsid w:val="00772263"/>
    <w:rsid w:val="007739E9"/>
    <w:rsid w:val="007744F7"/>
    <w:rsid w:val="0077494B"/>
    <w:rsid w:val="00775B01"/>
    <w:rsid w:val="007770F1"/>
    <w:rsid w:val="007770F6"/>
    <w:rsid w:val="00782D6F"/>
    <w:rsid w:val="00783859"/>
    <w:rsid w:val="00784E16"/>
    <w:rsid w:val="00786EEF"/>
    <w:rsid w:val="00791876"/>
    <w:rsid w:val="00791EA6"/>
    <w:rsid w:val="0079332C"/>
    <w:rsid w:val="007962C3"/>
    <w:rsid w:val="007A0E4C"/>
    <w:rsid w:val="007A0FE3"/>
    <w:rsid w:val="007A153B"/>
    <w:rsid w:val="007A2214"/>
    <w:rsid w:val="007A2BC5"/>
    <w:rsid w:val="007A4485"/>
    <w:rsid w:val="007A6807"/>
    <w:rsid w:val="007A6AC2"/>
    <w:rsid w:val="007A74B1"/>
    <w:rsid w:val="007B09B5"/>
    <w:rsid w:val="007B1024"/>
    <w:rsid w:val="007B3637"/>
    <w:rsid w:val="007B5F6C"/>
    <w:rsid w:val="007B6854"/>
    <w:rsid w:val="007B6B11"/>
    <w:rsid w:val="007C0D20"/>
    <w:rsid w:val="007C44F1"/>
    <w:rsid w:val="007C6B44"/>
    <w:rsid w:val="007C7475"/>
    <w:rsid w:val="007D0922"/>
    <w:rsid w:val="007D1AAE"/>
    <w:rsid w:val="007D4353"/>
    <w:rsid w:val="007D4689"/>
    <w:rsid w:val="007D629B"/>
    <w:rsid w:val="007D6C9D"/>
    <w:rsid w:val="007E009B"/>
    <w:rsid w:val="007E1610"/>
    <w:rsid w:val="007E167B"/>
    <w:rsid w:val="007E6655"/>
    <w:rsid w:val="007E7E42"/>
    <w:rsid w:val="007F0561"/>
    <w:rsid w:val="007F202F"/>
    <w:rsid w:val="007F2059"/>
    <w:rsid w:val="007F6ADB"/>
    <w:rsid w:val="007F6D1B"/>
    <w:rsid w:val="007F74E6"/>
    <w:rsid w:val="00800AB7"/>
    <w:rsid w:val="00800D7B"/>
    <w:rsid w:val="00801038"/>
    <w:rsid w:val="00801410"/>
    <w:rsid w:val="0080264F"/>
    <w:rsid w:val="00803B20"/>
    <w:rsid w:val="00803B31"/>
    <w:rsid w:val="00803CB2"/>
    <w:rsid w:val="00804FE5"/>
    <w:rsid w:val="00805530"/>
    <w:rsid w:val="008067DC"/>
    <w:rsid w:val="0080724E"/>
    <w:rsid w:val="0081000C"/>
    <w:rsid w:val="00811084"/>
    <w:rsid w:val="00811FF8"/>
    <w:rsid w:val="00812D0B"/>
    <w:rsid w:val="00813CF5"/>
    <w:rsid w:val="00814503"/>
    <w:rsid w:val="00820989"/>
    <w:rsid w:val="008209AA"/>
    <w:rsid w:val="008209C9"/>
    <w:rsid w:val="008219A9"/>
    <w:rsid w:val="008219CC"/>
    <w:rsid w:val="00822288"/>
    <w:rsid w:val="00822E1A"/>
    <w:rsid w:val="00822F64"/>
    <w:rsid w:val="00824806"/>
    <w:rsid w:val="00826169"/>
    <w:rsid w:val="00826BB1"/>
    <w:rsid w:val="00826C2F"/>
    <w:rsid w:val="00826E9A"/>
    <w:rsid w:val="008331B4"/>
    <w:rsid w:val="00833653"/>
    <w:rsid w:val="00833D9D"/>
    <w:rsid w:val="0083775E"/>
    <w:rsid w:val="00841567"/>
    <w:rsid w:val="0084346C"/>
    <w:rsid w:val="00845193"/>
    <w:rsid w:val="008453D1"/>
    <w:rsid w:val="00846E74"/>
    <w:rsid w:val="00850EF9"/>
    <w:rsid w:val="00851D06"/>
    <w:rsid w:val="00851F10"/>
    <w:rsid w:val="0085336F"/>
    <w:rsid w:val="00853532"/>
    <w:rsid w:val="00855F8E"/>
    <w:rsid w:val="00856386"/>
    <w:rsid w:val="00856996"/>
    <w:rsid w:val="00857691"/>
    <w:rsid w:val="008579A1"/>
    <w:rsid w:val="00857F5E"/>
    <w:rsid w:val="00860DF9"/>
    <w:rsid w:val="00860EF8"/>
    <w:rsid w:val="00860F55"/>
    <w:rsid w:val="00862478"/>
    <w:rsid w:val="00862B1B"/>
    <w:rsid w:val="00863105"/>
    <w:rsid w:val="00864321"/>
    <w:rsid w:val="00864E97"/>
    <w:rsid w:val="00864EB2"/>
    <w:rsid w:val="00866747"/>
    <w:rsid w:val="00867436"/>
    <w:rsid w:val="0086767B"/>
    <w:rsid w:val="00867E3E"/>
    <w:rsid w:val="00873CA2"/>
    <w:rsid w:val="00874F35"/>
    <w:rsid w:val="00875EB9"/>
    <w:rsid w:val="00876D26"/>
    <w:rsid w:val="0088152B"/>
    <w:rsid w:val="008816DD"/>
    <w:rsid w:val="00882321"/>
    <w:rsid w:val="00882A7E"/>
    <w:rsid w:val="00882AA9"/>
    <w:rsid w:val="00883922"/>
    <w:rsid w:val="0088483C"/>
    <w:rsid w:val="00884BEA"/>
    <w:rsid w:val="00885AE8"/>
    <w:rsid w:val="00885C0C"/>
    <w:rsid w:val="0088690C"/>
    <w:rsid w:val="0088729F"/>
    <w:rsid w:val="00887A79"/>
    <w:rsid w:val="008901DC"/>
    <w:rsid w:val="008906FE"/>
    <w:rsid w:val="0089121D"/>
    <w:rsid w:val="008949E1"/>
    <w:rsid w:val="00894CAA"/>
    <w:rsid w:val="00895F84"/>
    <w:rsid w:val="00896441"/>
    <w:rsid w:val="00896A18"/>
    <w:rsid w:val="00897962"/>
    <w:rsid w:val="008A2598"/>
    <w:rsid w:val="008A2765"/>
    <w:rsid w:val="008A73DA"/>
    <w:rsid w:val="008B03C8"/>
    <w:rsid w:val="008B2984"/>
    <w:rsid w:val="008B3C37"/>
    <w:rsid w:val="008B57E6"/>
    <w:rsid w:val="008B5D69"/>
    <w:rsid w:val="008B7F9F"/>
    <w:rsid w:val="008C1EAF"/>
    <w:rsid w:val="008C1ED0"/>
    <w:rsid w:val="008C3209"/>
    <w:rsid w:val="008C36DE"/>
    <w:rsid w:val="008C37C7"/>
    <w:rsid w:val="008C3AEF"/>
    <w:rsid w:val="008C3FEA"/>
    <w:rsid w:val="008C4EB3"/>
    <w:rsid w:val="008C57B9"/>
    <w:rsid w:val="008C598F"/>
    <w:rsid w:val="008D0564"/>
    <w:rsid w:val="008D05C3"/>
    <w:rsid w:val="008D110B"/>
    <w:rsid w:val="008D505F"/>
    <w:rsid w:val="008D666C"/>
    <w:rsid w:val="008D6AC3"/>
    <w:rsid w:val="008E27DF"/>
    <w:rsid w:val="008E4367"/>
    <w:rsid w:val="008E4961"/>
    <w:rsid w:val="008E4C07"/>
    <w:rsid w:val="008E5596"/>
    <w:rsid w:val="008E7D12"/>
    <w:rsid w:val="008F07EE"/>
    <w:rsid w:val="008F0AA9"/>
    <w:rsid w:val="008F2009"/>
    <w:rsid w:val="008F2C26"/>
    <w:rsid w:val="008F3E68"/>
    <w:rsid w:val="008F4883"/>
    <w:rsid w:val="008F61F1"/>
    <w:rsid w:val="008F6B7A"/>
    <w:rsid w:val="00900333"/>
    <w:rsid w:val="009006B9"/>
    <w:rsid w:val="00900C38"/>
    <w:rsid w:val="009012A1"/>
    <w:rsid w:val="00902F12"/>
    <w:rsid w:val="00903F7F"/>
    <w:rsid w:val="00905CB4"/>
    <w:rsid w:val="009107FE"/>
    <w:rsid w:val="00910BB3"/>
    <w:rsid w:val="00912827"/>
    <w:rsid w:val="00914A1D"/>
    <w:rsid w:val="00914ECC"/>
    <w:rsid w:val="00915CBA"/>
    <w:rsid w:val="0092045F"/>
    <w:rsid w:val="00921201"/>
    <w:rsid w:val="0092364C"/>
    <w:rsid w:val="00924084"/>
    <w:rsid w:val="009260DC"/>
    <w:rsid w:val="00926E8C"/>
    <w:rsid w:val="0093005A"/>
    <w:rsid w:val="00930E2F"/>
    <w:rsid w:val="00931017"/>
    <w:rsid w:val="00931FC7"/>
    <w:rsid w:val="00932F2D"/>
    <w:rsid w:val="00934BC8"/>
    <w:rsid w:val="00935359"/>
    <w:rsid w:val="009369D1"/>
    <w:rsid w:val="00940AD9"/>
    <w:rsid w:val="00940BE2"/>
    <w:rsid w:val="00941673"/>
    <w:rsid w:val="00941BBB"/>
    <w:rsid w:val="00942884"/>
    <w:rsid w:val="00943407"/>
    <w:rsid w:val="00943E45"/>
    <w:rsid w:val="009441BE"/>
    <w:rsid w:val="00944C9E"/>
    <w:rsid w:val="00946180"/>
    <w:rsid w:val="00947279"/>
    <w:rsid w:val="00950AE9"/>
    <w:rsid w:val="00951559"/>
    <w:rsid w:val="00953062"/>
    <w:rsid w:val="009548E5"/>
    <w:rsid w:val="00956476"/>
    <w:rsid w:val="0095777F"/>
    <w:rsid w:val="00960185"/>
    <w:rsid w:val="0096178F"/>
    <w:rsid w:val="009630AA"/>
    <w:rsid w:val="009657D2"/>
    <w:rsid w:val="00965CB3"/>
    <w:rsid w:val="00971579"/>
    <w:rsid w:val="0097267C"/>
    <w:rsid w:val="0097373B"/>
    <w:rsid w:val="00975298"/>
    <w:rsid w:val="009753FC"/>
    <w:rsid w:val="0097573B"/>
    <w:rsid w:val="009779B3"/>
    <w:rsid w:val="0098008A"/>
    <w:rsid w:val="00980427"/>
    <w:rsid w:val="00984CF2"/>
    <w:rsid w:val="00985ADB"/>
    <w:rsid w:val="009862C7"/>
    <w:rsid w:val="009870B9"/>
    <w:rsid w:val="00990D00"/>
    <w:rsid w:val="009925C9"/>
    <w:rsid w:val="00995772"/>
    <w:rsid w:val="009959ED"/>
    <w:rsid w:val="00996E53"/>
    <w:rsid w:val="00996FD1"/>
    <w:rsid w:val="009A01B1"/>
    <w:rsid w:val="009A06D0"/>
    <w:rsid w:val="009A4684"/>
    <w:rsid w:val="009A513C"/>
    <w:rsid w:val="009B06BC"/>
    <w:rsid w:val="009B2183"/>
    <w:rsid w:val="009B3C31"/>
    <w:rsid w:val="009B3FC5"/>
    <w:rsid w:val="009B6FB4"/>
    <w:rsid w:val="009B7317"/>
    <w:rsid w:val="009B7998"/>
    <w:rsid w:val="009B7E6F"/>
    <w:rsid w:val="009C1F82"/>
    <w:rsid w:val="009C274C"/>
    <w:rsid w:val="009C35D9"/>
    <w:rsid w:val="009C43A9"/>
    <w:rsid w:val="009C5276"/>
    <w:rsid w:val="009C5574"/>
    <w:rsid w:val="009C6155"/>
    <w:rsid w:val="009C6503"/>
    <w:rsid w:val="009C6DDA"/>
    <w:rsid w:val="009D0211"/>
    <w:rsid w:val="009D0410"/>
    <w:rsid w:val="009D07C4"/>
    <w:rsid w:val="009D121B"/>
    <w:rsid w:val="009D209B"/>
    <w:rsid w:val="009D2F26"/>
    <w:rsid w:val="009D334F"/>
    <w:rsid w:val="009D672C"/>
    <w:rsid w:val="009D67AA"/>
    <w:rsid w:val="009D72E0"/>
    <w:rsid w:val="009D76F5"/>
    <w:rsid w:val="009E040D"/>
    <w:rsid w:val="009E08CA"/>
    <w:rsid w:val="009E0DF2"/>
    <w:rsid w:val="009E2341"/>
    <w:rsid w:val="009E2E50"/>
    <w:rsid w:val="009E397A"/>
    <w:rsid w:val="009E5277"/>
    <w:rsid w:val="009F0433"/>
    <w:rsid w:val="009F068F"/>
    <w:rsid w:val="009F4B89"/>
    <w:rsid w:val="009F5404"/>
    <w:rsid w:val="00A00CC8"/>
    <w:rsid w:val="00A01F63"/>
    <w:rsid w:val="00A03F09"/>
    <w:rsid w:val="00A04006"/>
    <w:rsid w:val="00A04B90"/>
    <w:rsid w:val="00A05925"/>
    <w:rsid w:val="00A06E06"/>
    <w:rsid w:val="00A10BA8"/>
    <w:rsid w:val="00A13F8C"/>
    <w:rsid w:val="00A141BA"/>
    <w:rsid w:val="00A14D9B"/>
    <w:rsid w:val="00A17991"/>
    <w:rsid w:val="00A17EE8"/>
    <w:rsid w:val="00A204BB"/>
    <w:rsid w:val="00A204D7"/>
    <w:rsid w:val="00A21EC2"/>
    <w:rsid w:val="00A22496"/>
    <w:rsid w:val="00A228F3"/>
    <w:rsid w:val="00A232C9"/>
    <w:rsid w:val="00A24470"/>
    <w:rsid w:val="00A25BCD"/>
    <w:rsid w:val="00A26668"/>
    <w:rsid w:val="00A31081"/>
    <w:rsid w:val="00A316C7"/>
    <w:rsid w:val="00A32EE3"/>
    <w:rsid w:val="00A353A4"/>
    <w:rsid w:val="00A3655A"/>
    <w:rsid w:val="00A3673C"/>
    <w:rsid w:val="00A408E9"/>
    <w:rsid w:val="00A41510"/>
    <w:rsid w:val="00A42D77"/>
    <w:rsid w:val="00A43A61"/>
    <w:rsid w:val="00A44D91"/>
    <w:rsid w:val="00A454C2"/>
    <w:rsid w:val="00A46AAA"/>
    <w:rsid w:val="00A47247"/>
    <w:rsid w:val="00A52F77"/>
    <w:rsid w:val="00A5427B"/>
    <w:rsid w:val="00A54303"/>
    <w:rsid w:val="00A544CE"/>
    <w:rsid w:val="00A55147"/>
    <w:rsid w:val="00A56211"/>
    <w:rsid w:val="00A57DE2"/>
    <w:rsid w:val="00A64D0C"/>
    <w:rsid w:val="00A66B8A"/>
    <w:rsid w:val="00A715BF"/>
    <w:rsid w:val="00A716B6"/>
    <w:rsid w:val="00A729C2"/>
    <w:rsid w:val="00A74DD5"/>
    <w:rsid w:val="00A76D8C"/>
    <w:rsid w:val="00A77695"/>
    <w:rsid w:val="00A827AE"/>
    <w:rsid w:val="00A829A2"/>
    <w:rsid w:val="00A82D19"/>
    <w:rsid w:val="00A84936"/>
    <w:rsid w:val="00A850C9"/>
    <w:rsid w:val="00A85324"/>
    <w:rsid w:val="00A872AA"/>
    <w:rsid w:val="00A9117E"/>
    <w:rsid w:val="00A9128C"/>
    <w:rsid w:val="00A917FA"/>
    <w:rsid w:val="00A95C67"/>
    <w:rsid w:val="00A9678B"/>
    <w:rsid w:val="00A96873"/>
    <w:rsid w:val="00AA4585"/>
    <w:rsid w:val="00AA4B17"/>
    <w:rsid w:val="00AA60F0"/>
    <w:rsid w:val="00AB1B2A"/>
    <w:rsid w:val="00AB3336"/>
    <w:rsid w:val="00AB68AE"/>
    <w:rsid w:val="00AB6E87"/>
    <w:rsid w:val="00AC0A14"/>
    <w:rsid w:val="00AC2F5A"/>
    <w:rsid w:val="00AC37D9"/>
    <w:rsid w:val="00AC4C27"/>
    <w:rsid w:val="00AC7C45"/>
    <w:rsid w:val="00AD017C"/>
    <w:rsid w:val="00AD18AA"/>
    <w:rsid w:val="00AD216F"/>
    <w:rsid w:val="00AD2F2F"/>
    <w:rsid w:val="00AD40C9"/>
    <w:rsid w:val="00AD74E9"/>
    <w:rsid w:val="00AE02E4"/>
    <w:rsid w:val="00AE049B"/>
    <w:rsid w:val="00AE2F56"/>
    <w:rsid w:val="00AE5740"/>
    <w:rsid w:val="00AE7F2C"/>
    <w:rsid w:val="00AF0BFC"/>
    <w:rsid w:val="00AF1B1C"/>
    <w:rsid w:val="00AF24D2"/>
    <w:rsid w:val="00AF2DB7"/>
    <w:rsid w:val="00AF4859"/>
    <w:rsid w:val="00AF55B7"/>
    <w:rsid w:val="00AF5CFE"/>
    <w:rsid w:val="00AF6534"/>
    <w:rsid w:val="00B0002D"/>
    <w:rsid w:val="00B01500"/>
    <w:rsid w:val="00B03FD5"/>
    <w:rsid w:val="00B0403F"/>
    <w:rsid w:val="00B04BE2"/>
    <w:rsid w:val="00B05756"/>
    <w:rsid w:val="00B06EC5"/>
    <w:rsid w:val="00B106E8"/>
    <w:rsid w:val="00B10BF2"/>
    <w:rsid w:val="00B12E70"/>
    <w:rsid w:val="00B13C5C"/>
    <w:rsid w:val="00B16519"/>
    <w:rsid w:val="00B1732D"/>
    <w:rsid w:val="00B21212"/>
    <w:rsid w:val="00B215DF"/>
    <w:rsid w:val="00B23CD0"/>
    <w:rsid w:val="00B2544D"/>
    <w:rsid w:val="00B26585"/>
    <w:rsid w:val="00B27855"/>
    <w:rsid w:val="00B3027D"/>
    <w:rsid w:val="00B31688"/>
    <w:rsid w:val="00B31D43"/>
    <w:rsid w:val="00B33C0A"/>
    <w:rsid w:val="00B35F96"/>
    <w:rsid w:val="00B37AEB"/>
    <w:rsid w:val="00B41D2B"/>
    <w:rsid w:val="00B41F72"/>
    <w:rsid w:val="00B449A5"/>
    <w:rsid w:val="00B4632E"/>
    <w:rsid w:val="00B479E7"/>
    <w:rsid w:val="00B47B82"/>
    <w:rsid w:val="00B51D7E"/>
    <w:rsid w:val="00B5248B"/>
    <w:rsid w:val="00B53215"/>
    <w:rsid w:val="00B53BE2"/>
    <w:rsid w:val="00B53EFC"/>
    <w:rsid w:val="00B55395"/>
    <w:rsid w:val="00B56B99"/>
    <w:rsid w:val="00B578BC"/>
    <w:rsid w:val="00B60E48"/>
    <w:rsid w:val="00B610A0"/>
    <w:rsid w:val="00B63727"/>
    <w:rsid w:val="00B645D2"/>
    <w:rsid w:val="00B64C36"/>
    <w:rsid w:val="00B651ED"/>
    <w:rsid w:val="00B65684"/>
    <w:rsid w:val="00B65748"/>
    <w:rsid w:val="00B657A1"/>
    <w:rsid w:val="00B661B9"/>
    <w:rsid w:val="00B70500"/>
    <w:rsid w:val="00B71077"/>
    <w:rsid w:val="00B71256"/>
    <w:rsid w:val="00B716C4"/>
    <w:rsid w:val="00B719D6"/>
    <w:rsid w:val="00B730C3"/>
    <w:rsid w:val="00B73673"/>
    <w:rsid w:val="00B747C3"/>
    <w:rsid w:val="00B751E6"/>
    <w:rsid w:val="00B75CF4"/>
    <w:rsid w:val="00B7614E"/>
    <w:rsid w:val="00B76B39"/>
    <w:rsid w:val="00B8075C"/>
    <w:rsid w:val="00B812A0"/>
    <w:rsid w:val="00B81650"/>
    <w:rsid w:val="00B8226F"/>
    <w:rsid w:val="00B82A94"/>
    <w:rsid w:val="00B84FE1"/>
    <w:rsid w:val="00B867B3"/>
    <w:rsid w:val="00B86D8D"/>
    <w:rsid w:val="00B86E06"/>
    <w:rsid w:val="00B90827"/>
    <w:rsid w:val="00B966AD"/>
    <w:rsid w:val="00B96C48"/>
    <w:rsid w:val="00B97ADE"/>
    <w:rsid w:val="00BA0BE4"/>
    <w:rsid w:val="00BA1D97"/>
    <w:rsid w:val="00BA3171"/>
    <w:rsid w:val="00BA4198"/>
    <w:rsid w:val="00BA5B8E"/>
    <w:rsid w:val="00BA5BF7"/>
    <w:rsid w:val="00BA6AB9"/>
    <w:rsid w:val="00BA7B0C"/>
    <w:rsid w:val="00BB1C7A"/>
    <w:rsid w:val="00BB2A9E"/>
    <w:rsid w:val="00BB2ED5"/>
    <w:rsid w:val="00BB3916"/>
    <w:rsid w:val="00BB4DA4"/>
    <w:rsid w:val="00BB4E53"/>
    <w:rsid w:val="00BB4F5C"/>
    <w:rsid w:val="00BB73C9"/>
    <w:rsid w:val="00BB7E3F"/>
    <w:rsid w:val="00BC1AEF"/>
    <w:rsid w:val="00BC2A38"/>
    <w:rsid w:val="00BC326C"/>
    <w:rsid w:val="00BC32BD"/>
    <w:rsid w:val="00BC32F9"/>
    <w:rsid w:val="00BC6354"/>
    <w:rsid w:val="00BC63DE"/>
    <w:rsid w:val="00BC7A93"/>
    <w:rsid w:val="00BD00E2"/>
    <w:rsid w:val="00BD20E8"/>
    <w:rsid w:val="00BD21B8"/>
    <w:rsid w:val="00BD2618"/>
    <w:rsid w:val="00BD3DAE"/>
    <w:rsid w:val="00BD434A"/>
    <w:rsid w:val="00BD6389"/>
    <w:rsid w:val="00BD76DF"/>
    <w:rsid w:val="00BD7FDE"/>
    <w:rsid w:val="00BE0EE5"/>
    <w:rsid w:val="00BE4410"/>
    <w:rsid w:val="00BE4991"/>
    <w:rsid w:val="00BE606D"/>
    <w:rsid w:val="00BE657A"/>
    <w:rsid w:val="00BE68F4"/>
    <w:rsid w:val="00BE69F2"/>
    <w:rsid w:val="00BE7238"/>
    <w:rsid w:val="00BE7D5C"/>
    <w:rsid w:val="00BF19AB"/>
    <w:rsid w:val="00BF2BF4"/>
    <w:rsid w:val="00BF2C6B"/>
    <w:rsid w:val="00BF3F1C"/>
    <w:rsid w:val="00BF637F"/>
    <w:rsid w:val="00C014E2"/>
    <w:rsid w:val="00C01B71"/>
    <w:rsid w:val="00C01F5D"/>
    <w:rsid w:val="00C03FC9"/>
    <w:rsid w:val="00C05E87"/>
    <w:rsid w:val="00C07909"/>
    <w:rsid w:val="00C100C7"/>
    <w:rsid w:val="00C110DC"/>
    <w:rsid w:val="00C1118A"/>
    <w:rsid w:val="00C12BD0"/>
    <w:rsid w:val="00C13185"/>
    <w:rsid w:val="00C13781"/>
    <w:rsid w:val="00C143BA"/>
    <w:rsid w:val="00C14C97"/>
    <w:rsid w:val="00C14CEA"/>
    <w:rsid w:val="00C16292"/>
    <w:rsid w:val="00C17A3D"/>
    <w:rsid w:val="00C22544"/>
    <w:rsid w:val="00C22A74"/>
    <w:rsid w:val="00C24B66"/>
    <w:rsid w:val="00C24BC6"/>
    <w:rsid w:val="00C2515A"/>
    <w:rsid w:val="00C26282"/>
    <w:rsid w:val="00C269B8"/>
    <w:rsid w:val="00C272A4"/>
    <w:rsid w:val="00C3090B"/>
    <w:rsid w:val="00C32624"/>
    <w:rsid w:val="00C34987"/>
    <w:rsid w:val="00C35608"/>
    <w:rsid w:val="00C41B68"/>
    <w:rsid w:val="00C42C79"/>
    <w:rsid w:val="00C44543"/>
    <w:rsid w:val="00C452F1"/>
    <w:rsid w:val="00C45E44"/>
    <w:rsid w:val="00C46A71"/>
    <w:rsid w:val="00C46C98"/>
    <w:rsid w:val="00C53597"/>
    <w:rsid w:val="00C53A5F"/>
    <w:rsid w:val="00C5427C"/>
    <w:rsid w:val="00C548B9"/>
    <w:rsid w:val="00C56882"/>
    <w:rsid w:val="00C613AF"/>
    <w:rsid w:val="00C6148A"/>
    <w:rsid w:val="00C700EB"/>
    <w:rsid w:val="00C705A2"/>
    <w:rsid w:val="00C70C79"/>
    <w:rsid w:val="00C714D9"/>
    <w:rsid w:val="00C72154"/>
    <w:rsid w:val="00C735E7"/>
    <w:rsid w:val="00C736D0"/>
    <w:rsid w:val="00C75E6F"/>
    <w:rsid w:val="00C766D4"/>
    <w:rsid w:val="00C76B14"/>
    <w:rsid w:val="00C8033E"/>
    <w:rsid w:val="00C8071D"/>
    <w:rsid w:val="00C80CE6"/>
    <w:rsid w:val="00C821E0"/>
    <w:rsid w:val="00C86E76"/>
    <w:rsid w:val="00C90BA0"/>
    <w:rsid w:val="00C92ECC"/>
    <w:rsid w:val="00C92F28"/>
    <w:rsid w:val="00C96CCA"/>
    <w:rsid w:val="00C9711A"/>
    <w:rsid w:val="00CA0150"/>
    <w:rsid w:val="00CA3404"/>
    <w:rsid w:val="00CA39F9"/>
    <w:rsid w:val="00CA559C"/>
    <w:rsid w:val="00CA56E4"/>
    <w:rsid w:val="00CA6C16"/>
    <w:rsid w:val="00CA7369"/>
    <w:rsid w:val="00CB0666"/>
    <w:rsid w:val="00CB0B7D"/>
    <w:rsid w:val="00CB2F25"/>
    <w:rsid w:val="00CB3AD9"/>
    <w:rsid w:val="00CB4231"/>
    <w:rsid w:val="00CB451F"/>
    <w:rsid w:val="00CB6478"/>
    <w:rsid w:val="00CB64AD"/>
    <w:rsid w:val="00CB6AD6"/>
    <w:rsid w:val="00CC0573"/>
    <w:rsid w:val="00CC4674"/>
    <w:rsid w:val="00CC5143"/>
    <w:rsid w:val="00CC5957"/>
    <w:rsid w:val="00CD0FE9"/>
    <w:rsid w:val="00CD508F"/>
    <w:rsid w:val="00CD53A1"/>
    <w:rsid w:val="00CD578A"/>
    <w:rsid w:val="00CD7529"/>
    <w:rsid w:val="00CD7548"/>
    <w:rsid w:val="00CE5163"/>
    <w:rsid w:val="00CE5682"/>
    <w:rsid w:val="00CE709D"/>
    <w:rsid w:val="00CE75D7"/>
    <w:rsid w:val="00CE7ACF"/>
    <w:rsid w:val="00CF0B3B"/>
    <w:rsid w:val="00CF1AA7"/>
    <w:rsid w:val="00CF1E8E"/>
    <w:rsid w:val="00CF2949"/>
    <w:rsid w:val="00CF2B5E"/>
    <w:rsid w:val="00CF3812"/>
    <w:rsid w:val="00CF3DEF"/>
    <w:rsid w:val="00CF59C3"/>
    <w:rsid w:val="00CF5F60"/>
    <w:rsid w:val="00D00CC3"/>
    <w:rsid w:val="00D0151B"/>
    <w:rsid w:val="00D01B65"/>
    <w:rsid w:val="00D04F5D"/>
    <w:rsid w:val="00D06272"/>
    <w:rsid w:val="00D064CE"/>
    <w:rsid w:val="00D10332"/>
    <w:rsid w:val="00D1165B"/>
    <w:rsid w:val="00D11831"/>
    <w:rsid w:val="00D12BD9"/>
    <w:rsid w:val="00D140E7"/>
    <w:rsid w:val="00D149E7"/>
    <w:rsid w:val="00D16FF9"/>
    <w:rsid w:val="00D1782F"/>
    <w:rsid w:val="00D17CC0"/>
    <w:rsid w:val="00D20372"/>
    <w:rsid w:val="00D21100"/>
    <w:rsid w:val="00D21344"/>
    <w:rsid w:val="00D222F0"/>
    <w:rsid w:val="00D23508"/>
    <w:rsid w:val="00D252C8"/>
    <w:rsid w:val="00D262F9"/>
    <w:rsid w:val="00D26881"/>
    <w:rsid w:val="00D30377"/>
    <w:rsid w:val="00D3119C"/>
    <w:rsid w:val="00D32509"/>
    <w:rsid w:val="00D3366A"/>
    <w:rsid w:val="00D342A4"/>
    <w:rsid w:val="00D3432A"/>
    <w:rsid w:val="00D34EEF"/>
    <w:rsid w:val="00D35D7E"/>
    <w:rsid w:val="00D35DF9"/>
    <w:rsid w:val="00D4248F"/>
    <w:rsid w:val="00D42A94"/>
    <w:rsid w:val="00D42C08"/>
    <w:rsid w:val="00D43CA2"/>
    <w:rsid w:val="00D43E32"/>
    <w:rsid w:val="00D4411D"/>
    <w:rsid w:val="00D45054"/>
    <w:rsid w:val="00D453C8"/>
    <w:rsid w:val="00D4568E"/>
    <w:rsid w:val="00D45918"/>
    <w:rsid w:val="00D47925"/>
    <w:rsid w:val="00D506F7"/>
    <w:rsid w:val="00D5186D"/>
    <w:rsid w:val="00D51C19"/>
    <w:rsid w:val="00D51D5D"/>
    <w:rsid w:val="00D52FAE"/>
    <w:rsid w:val="00D5371C"/>
    <w:rsid w:val="00D53A66"/>
    <w:rsid w:val="00D55E08"/>
    <w:rsid w:val="00D60613"/>
    <w:rsid w:val="00D60CA5"/>
    <w:rsid w:val="00D65A92"/>
    <w:rsid w:val="00D679F8"/>
    <w:rsid w:val="00D72209"/>
    <w:rsid w:val="00D727BA"/>
    <w:rsid w:val="00D74D24"/>
    <w:rsid w:val="00D7506C"/>
    <w:rsid w:val="00D806DE"/>
    <w:rsid w:val="00D8073A"/>
    <w:rsid w:val="00D80761"/>
    <w:rsid w:val="00D80F4F"/>
    <w:rsid w:val="00D81CC3"/>
    <w:rsid w:val="00D82B64"/>
    <w:rsid w:val="00D82F63"/>
    <w:rsid w:val="00D854A8"/>
    <w:rsid w:val="00D85BC2"/>
    <w:rsid w:val="00D92953"/>
    <w:rsid w:val="00D92CFD"/>
    <w:rsid w:val="00D93505"/>
    <w:rsid w:val="00D943AD"/>
    <w:rsid w:val="00D9530F"/>
    <w:rsid w:val="00D95612"/>
    <w:rsid w:val="00D95647"/>
    <w:rsid w:val="00D963A8"/>
    <w:rsid w:val="00D9697F"/>
    <w:rsid w:val="00DA1B0D"/>
    <w:rsid w:val="00DA1ED4"/>
    <w:rsid w:val="00DA3A21"/>
    <w:rsid w:val="00DA65E0"/>
    <w:rsid w:val="00DA6E08"/>
    <w:rsid w:val="00DA6FE7"/>
    <w:rsid w:val="00DB0C6E"/>
    <w:rsid w:val="00DB1F8C"/>
    <w:rsid w:val="00DB205E"/>
    <w:rsid w:val="00DB3A58"/>
    <w:rsid w:val="00DB4966"/>
    <w:rsid w:val="00DC0D78"/>
    <w:rsid w:val="00DC2A55"/>
    <w:rsid w:val="00DC337A"/>
    <w:rsid w:val="00DC3CFA"/>
    <w:rsid w:val="00DC4587"/>
    <w:rsid w:val="00DC531E"/>
    <w:rsid w:val="00DC539D"/>
    <w:rsid w:val="00DC62F1"/>
    <w:rsid w:val="00DC65AF"/>
    <w:rsid w:val="00DC69CA"/>
    <w:rsid w:val="00DC6E4C"/>
    <w:rsid w:val="00DC758E"/>
    <w:rsid w:val="00DD02FC"/>
    <w:rsid w:val="00DD06B2"/>
    <w:rsid w:val="00DD176A"/>
    <w:rsid w:val="00DD1DD1"/>
    <w:rsid w:val="00DD1F26"/>
    <w:rsid w:val="00DD3544"/>
    <w:rsid w:val="00DD3A13"/>
    <w:rsid w:val="00DE09C7"/>
    <w:rsid w:val="00DE131B"/>
    <w:rsid w:val="00DE213B"/>
    <w:rsid w:val="00DE240A"/>
    <w:rsid w:val="00DE26A5"/>
    <w:rsid w:val="00DE358C"/>
    <w:rsid w:val="00DE4A9A"/>
    <w:rsid w:val="00DE4B78"/>
    <w:rsid w:val="00DE6A6D"/>
    <w:rsid w:val="00DE6D8D"/>
    <w:rsid w:val="00DE75A7"/>
    <w:rsid w:val="00DF341D"/>
    <w:rsid w:val="00DF47B6"/>
    <w:rsid w:val="00DF5635"/>
    <w:rsid w:val="00DF5D61"/>
    <w:rsid w:val="00DF5DAC"/>
    <w:rsid w:val="00DF6308"/>
    <w:rsid w:val="00DF6EA1"/>
    <w:rsid w:val="00E00638"/>
    <w:rsid w:val="00E013A2"/>
    <w:rsid w:val="00E016A9"/>
    <w:rsid w:val="00E01B85"/>
    <w:rsid w:val="00E02481"/>
    <w:rsid w:val="00E04F0F"/>
    <w:rsid w:val="00E05BE8"/>
    <w:rsid w:val="00E06407"/>
    <w:rsid w:val="00E06C88"/>
    <w:rsid w:val="00E07E5C"/>
    <w:rsid w:val="00E11D09"/>
    <w:rsid w:val="00E12743"/>
    <w:rsid w:val="00E12A80"/>
    <w:rsid w:val="00E1354A"/>
    <w:rsid w:val="00E1535E"/>
    <w:rsid w:val="00E15A70"/>
    <w:rsid w:val="00E2054C"/>
    <w:rsid w:val="00E22900"/>
    <w:rsid w:val="00E22A82"/>
    <w:rsid w:val="00E22E88"/>
    <w:rsid w:val="00E235BC"/>
    <w:rsid w:val="00E30660"/>
    <w:rsid w:val="00E312CE"/>
    <w:rsid w:val="00E3195A"/>
    <w:rsid w:val="00E31EB2"/>
    <w:rsid w:val="00E33364"/>
    <w:rsid w:val="00E3512A"/>
    <w:rsid w:val="00E36633"/>
    <w:rsid w:val="00E37224"/>
    <w:rsid w:val="00E37E6F"/>
    <w:rsid w:val="00E441C0"/>
    <w:rsid w:val="00E463A4"/>
    <w:rsid w:val="00E4692D"/>
    <w:rsid w:val="00E46BDC"/>
    <w:rsid w:val="00E47AE5"/>
    <w:rsid w:val="00E508AD"/>
    <w:rsid w:val="00E515D8"/>
    <w:rsid w:val="00E53795"/>
    <w:rsid w:val="00E53B96"/>
    <w:rsid w:val="00E54A81"/>
    <w:rsid w:val="00E57512"/>
    <w:rsid w:val="00E612E4"/>
    <w:rsid w:val="00E61933"/>
    <w:rsid w:val="00E61BA3"/>
    <w:rsid w:val="00E6416A"/>
    <w:rsid w:val="00E647C7"/>
    <w:rsid w:val="00E65564"/>
    <w:rsid w:val="00E657BD"/>
    <w:rsid w:val="00E66369"/>
    <w:rsid w:val="00E667A4"/>
    <w:rsid w:val="00E67347"/>
    <w:rsid w:val="00E70583"/>
    <w:rsid w:val="00E706A6"/>
    <w:rsid w:val="00E70B1B"/>
    <w:rsid w:val="00E72C49"/>
    <w:rsid w:val="00E730CA"/>
    <w:rsid w:val="00E74BB7"/>
    <w:rsid w:val="00E765F3"/>
    <w:rsid w:val="00E77201"/>
    <w:rsid w:val="00E826BA"/>
    <w:rsid w:val="00E82B07"/>
    <w:rsid w:val="00E83FF6"/>
    <w:rsid w:val="00E85D41"/>
    <w:rsid w:val="00E87C84"/>
    <w:rsid w:val="00E87D2E"/>
    <w:rsid w:val="00E90EC4"/>
    <w:rsid w:val="00E92ADE"/>
    <w:rsid w:val="00E92F95"/>
    <w:rsid w:val="00E930A3"/>
    <w:rsid w:val="00E93592"/>
    <w:rsid w:val="00E93CED"/>
    <w:rsid w:val="00E93F24"/>
    <w:rsid w:val="00E9472D"/>
    <w:rsid w:val="00E96619"/>
    <w:rsid w:val="00E96CEE"/>
    <w:rsid w:val="00E97BF6"/>
    <w:rsid w:val="00EA002F"/>
    <w:rsid w:val="00EA02AC"/>
    <w:rsid w:val="00EA0561"/>
    <w:rsid w:val="00EA1A5B"/>
    <w:rsid w:val="00EA2A69"/>
    <w:rsid w:val="00EA439A"/>
    <w:rsid w:val="00EA450A"/>
    <w:rsid w:val="00EA4963"/>
    <w:rsid w:val="00EA500A"/>
    <w:rsid w:val="00EA587D"/>
    <w:rsid w:val="00EA7350"/>
    <w:rsid w:val="00EA7AA1"/>
    <w:rsid w:val="00EB0CAA"/>
    <w:rsid w:val="00EB2195"/>
    <w:rsid w:val="00EB43BF"/>
    <w:rsid w:val="00EB47AD"/>
    <w:rsid w:val="00EB59D7"/>
    <w:rsid w:val="00EB5A62"/>
    <w:rsid w:val="00EB5E1E"/>
    <w:rsid w:val="00EB6A67"/>
    <w:rsid w:val="00EB734D"/>
    <w:rsid w:val="00EC1189"/>
    <w:rsid w:val="00EC12D7"/>
    <w:rsid w:val="00EC2C5F"/>
    <w:rsid w:val="00EC2FBD"/>
    <w:rsid w:val="00EC35D5"/>
    <w:rsid w:val="00EC3CCE"/>
    <w:rsid w:val="00EC40B1"/>
    <w:rsid w:val="00EC66BF"/>
    <w:rsid w:val="00EC75A0"/>
    <w:rsid w:val="00ED1D13"/>
    <w:rsid w:val="00ED7CEA"/>
    <w:rsid w:val="00ED7F8F"/>
    <w:rsid w:val="00EE1617"/>
    <w:rsid w:val="00EE1E10"/>
    <w:rsid w:val="00EE29D1"/>
    <w:rsid w:val="00EE2D03"/>
    <w:rsid w:val="00EE3E1E"/>
    <w:rsid w:val="00EE6E0F"/>
    <w:rsid w:val="00EE6F85"/>
    <w:rsid w:val="00EF14A7"/>
    <w:rsid w:val="00EF172A"/>
    <w:rsid w:val="00EF1CAA"/>
    <w:rsid w:val="00EF7279"/>
    <w:rsid w:val="00EF7F4D"/>
    <w:rsid w:val="00F01AAC"/>
    <w:rsid w:val="00F03E24"/>
    <w:rsid w:val="00F056B6"/>
    <w:rsid w:val="00F06453"/>
    <w:rsid w:val="00F06769"/>
    <w:rsid w:val="00F10BC0"/>
    <w:rsid w:val="00F10C90"/>
    <w:rsid w:val="00F11ACC"/>
    <w:rsid w:val="00F11AF7"/>
    <w:rsid w:val="00F13F3C"/>
    <w:rsid w:val="00F149D9"/>
    <w:rsid w:val="00F15CD3"/>
    <w:rsid w:val="00F15FF7"/>
    <w:rsid w:val="00F22DDE"/>
    <w:rsid w:val="00F25EC4"/>
    <w:rsid w:val="00F27992"/>
    <w:rsid w:val="00F30BB1"/>
    <w:rsid w:val="00F317BB"/>
    <w:rsid w:val="00F31F46"/>
    <w:rsid w:val="00F32C3D"/>
    <w:rsid w:val="00F3341A"/>
    <w:rsid w:val="00F33E48"/>
    <w:rsid w:val="00F352C2"/>
    <w:rsid w:val="00F35FEF"/>
    <w:rsid w:val="00F36650"/>
    <w:rsid w:val="00F36863"/>
    <w:rsid w:val="00F40198"/>
    <w:rsid w:val="00F42191"/>
    <w:rsid w:val="00F448AD"/>
    <w:rsid w:val="00F452BB"/>
    <w:rsid w:val="00F45E3E"/>
    <w:rsid w:val="00F46892"/>
    <w:rsid w:val="00F47047"/>
    <w:rsid w:val="00F47928"/>
    <w:rsid w:val="00F50154"/>
    <w:rsid w:val="00F53591"/>
    <w:rsid w:val="00F542DE"/>
    <w:rsid w:val="00F54BAB"/>
    <w:rsid w:val="00F56D88"/>
    <w:rsid w:val="00F6122A"/>
    <w:rsid w:val="00F6367B"/>
    <w:rsid w:val="00F7045C"/>
    <w:rsid w:val="00F71B48"/>
    <w:rsid w:val="00F71C66"/>
    <w:rsid w:val="00F71DEF"/>
    <w:rsid w:val="00F72957"/>
    <w:rsid w:val="00F732AC"/>
    <w:rsid w:val="00F732F3"/>
    <w:rsid w:val="00F7390B"/>
    <w:rsid w:val="00F74BE1"/>
    <w:rsid w:val="00F76839"/>
    <w:rsid w:val="00F77252"/>
    <w:rsid w:val="00F77750"/>
    <w:rsid w:val="00F81504"/>
    <w:rsid w:val="00F81BC1"/>
    <w:rsid w:val="00F85452"/>
    <w:rsid w:val="00F85A71"/>
    <w:rsid w:val="00F85D7C"/>
    <w:rsid w:val="00F91619"/>
    <w:rsid w:val="00F9202B"/>
    <w:rsid w:val="00F926E4"/>
    <w:rsid w:val="00F92DE0"/>
    <w:rsid w:val="00F94EB1"/>
    <w:rsid w:val="00F95332"/>
    <w:rsid w:val="00F95EFB"/>
    <w:rsid w:val="00F976E1"/>
    <w:rsid w:val="00FA1A40"/>
    <w:rsid w:val="00FA2B0D"/>
    <w:rsid w:val="00FA493A"/>
    <w:rsid w:val="00FA57FF"/>
    <w:rsid w:val="00FA6DD8"/>
    <w:rsid w:val="00FA72C9"/>
    <w:rsid w:val="00FA7763"/>
    <w:rsid w:val="00FA7D81"/>
    <w:rsid w:val="00FB0285"/>
    <w:rsid w:val="00FB0BB8"/>
    <w:rsid w:val="00FB20EA"/>
    <w:rsid w:val="00FB3804"/>
    <w:rsid w:val="00FB3C8F"/>
    <w:rsid w:val="00FB4619"/>
    <w:rsid w:val="00FB5876"/>
    <w:rsid w:val="00FB618B"/>
    <w:rsid w:val="00FB7698"/>
    <w:rsid w:val="00FB7AD6"/>
    <w:rsid w:val="00FC11C4"/>
    <w:rsid w:val="00FC4826"/>
    <w:rsid w:val="00FC4B60"/>
    <w:rsid w:val="00FD31C7"/>
    <w:rsid w:val="00FD5A32"/>
    <w:rsid w:val="00FD5B26"/>
    <w:rsid w:val="00FD5D26"/>
    <w:rsid w:val="00FD6946"/>
    <w:rsid w:val="00FD6C74"/>
    <w:rsid w:val="00FE0185"/>
    <w:rsid w:val="00FE26EF"/>
    <w:rsid w:val="00FE2DDD"/>
    <w:rsid w:val="00FE3357"/>
    <w:rsid w:val="00FE4AA4"/>
    <w:rsid w:val="00FE5810"/>
    <w:rsid w:val="00FF23DD"/>
    <w:rsid w:val="00FF6F8F"/>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7B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FB618B"/>
    <w:pPr>
      <w:widowControl w:val="0"/>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iPriority w:val="99"/>
    <w:unhideWhenUsed/>
    <w:rsid w:val="006D310E"/>
  </w:style>
  <w:style w:type="character" w:customStyle="1" w:styleId="CommentTextChar">
    <w:name w:val="Comment Text Char"/>
    <w:basedOn w:val="DefaultParagraphFont"/>
    <w:link w:val="CommentText"/>
    <w:uiPriority w:val="99"/>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FB618B"/>
    <w:pPr>
      <w:widowControl w:val="0"/>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iPriority w:val="99"/>
    <w:unhideWhenUsed/>
    <w:rsid w:val="006D310E"/>
  </w:style>
  <w:style w:type="character" w:customStyle="1" w:styleId="CommentTextChar">
    <w:name w:val="Comment Text Char"/>
    <w:basedOn w:val="DefaultParagraphFont"/>
    <w:link w:val="CommentText"/>
    <w:uiPriority w:val="99"/>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59">
      <w:bodyDiv w:val="1"/>
      <w:marLeft w:val="0"/>
      <w:marRight w:val="0"/>
      <w:marTop w:val="0"/>
      <w:marBottom w:val="0"/>
      <w:divBdr>
        <w:top w:val="none" w:sz="0" w:space="0" w:color="auto"/>
        <w:left w:val="none" w:sz="0" w:space="0" w:color="auto"/>
        <w:bottom w:val="none" w:sz="0" w:space="0" w:color="auto"/>
        <w:right w:val="none" w:sz="0" w:space="0" w:color="auto"/>
      </w:divBdr>
    </w:div>
    <w:div w:id="59134546">
      <w:bodyDiv w:val="1"/>
      <w:marLeft w:val="0"/>
      <w:marRight w:val="0"/>
      <w:marTop w:val="0"/>
      <w:marBottom w:val="0"/>
      <w:divBdr>
        <w:top w:val="none" w:sz="0" w:space="0" w:color="auto"/>
        <w:left w:val="none" w:sz="0" w:space="0" w:color="auto"/>
        <w:bottom w:val="none" w:sz="0" w:space="0" w:color="auto"/>
        <w:right w:val="none" w:sz="0" w:space="0" w:color="auto"/>
      </w:divBdr>
    </w:div>
    <w:div w:id="216166470">
      <w:bodyDiv w:val="1"/>
      <w:marLeft w:val="0"/>
      <w:marRight w:val="0"/>
      <w:marTop w:val="0"/>
      <w:marBottom w:val="0"/>
      <w:divBdr>
        <w:top w:val="none" w:sz="0" w:space="0" w:color="auto"/>
        <w:left w:val="none" w:sz="0" w:space="0" w:color="auto"/>
        <w:bottom w:val="none" w:sz="0" w:space="0" w:color="auto"/>
        <w:right w:val="none" w:sz="0" w:space="0" w:color="auto"/>
      </w:divBdr>
    </w:div>
    <w:div w:id="356076876">
      <w:bodyDiv w:val="1"/>
      <w:marLeft w:val="0"/>
      <w:marRight w:val="0"/>
      <w:marTop w:val="0"/>
      <w:marBottom w:val="0"/>
      <w:divBdr>
        <w:top w:val="none" w:sz="0" w:space="0" w:color="auto"/>
        <w:left w:val="none" w:sz="0" w:space="0" w:color="auto"/>
        <w:bottom w:val="none" w:sz="0" w:space="0" w:color="auto"/>
        <w:right w:val="none" w:sz="0" w:space="0" w:color="auto"/>
      </w:divBdr>
    </w:div>
    <w:div w:id="570040342">
      <w:bodyDiv w:val="1"/>
      <w:marLeft w:val="0"/>
      <w:marRight w:val="0"/>
      <w:marTop w:val="0"/>
      <w:marBottom w:val="0"/>
      <w:divBdr>
        <w:top w:val="none" w:sz="0" w:space="0" w:color="auto"/>
        <w:left w:val="none" w:sz="0" w:space="0" w:color="auto"/>
        <w:bottom w:val="none" w:sz="0" w:space="0" w:color="auto"/>
        <w:right w:val="none" w:sz="0" w:space="0" w:color="auto"/>
      </w:divBdr>
    </w:div>
    <w:div w:id="695541014">
      <w:bodyDiv w:val="1"/>
      <w:marLeft w:val="0"/>
      <w:marRight w:val="0"/>
      <w:marTop w:val="0"/>
      <w:marBottom w:val="0"/>
      <w:divBdr>
        <w:top w:val="none" w:sz="0" w:space="0" w:color="auto"/>
        <w:left w:val="none" w:sz="0" w:space="0" w:color="auto"/>
        <w:bottom w:val="none" w:sz="0" w:space="0" w:color="auto"/>
        <w:right w:val="none" w:sz="0" w:space="0" w:color="auto"/>
      </w:divBdr>
    </w:div>
    <w:div w:id="698167576">
      <w:bodyDiv w:val="1"/>
      <w:marLeft w:val="0"/>
      <w:marRight w:val="0"/>
      <w:marTop w:val="0"/>
      <w:marBottom w:val="0"/>
      <w:divBdr>
        <w:top w:val="none" w:sz="0" w:space="0" w:color="auto"/>
        <w:left w:val="none" w:sz="0" w:space="0" w:color="auto"/>
        <w:bottom w:val="none" w:sz="0" w:space="0" w:color="auto"/>
        <w:right w:val="none" w:sz="0" w:space="0" w:color="auto"/>
      </w:divBdr>
    </w:div>
    <w:div w:id="1353263505">
      <w:bodyDiv w:val="1"/>
      <w:marLeft w:val="0"/>
      <w:marRight w:val="0"/>
      <w:marTop w:val="0"/>
      <w:marBottom w:val="0"/>
      <w:divBdr>
        <w:top w:val="none" w:sz="0" w:space="0" w:color="auto"/>
        <w:left w:val="none" w:sz="0" w:space="0" w:color="auto"/>
        <w:bottom w:val="none" w:sz="0" w:space="0" w:color="auto"/>
        <w:right w:val="none" w:sz="0" w:space="0" w:color="auto"/>
      </w:divBdr>
    </w:div>
    <w:div w:id="1424643114">
      <w:bodyDiv w:val="1"/>
      <w:marLeft w:val="0"/>
      <w:marRight w:val="0"/>
      <w:marTop w:val="0"/>
      <w:marBottom w:val="0"/>
      <w:divBdr>
        <w:top w:val="none" w:sz="0" w:space="0" w:color="auto"/>
        <w:left w:val="none" w:sz="0" w:space="0" w:color="auto"/>
        <w:bottom w:val="none" w:sz="0" w:space="0" w:color="auto"/>
        <w:right w:val="none" w:sz="0" w:space="0" w:color="auto"/>
      </w:divBdr>
    </w:div>
    <w:div w:id="1527669188">
      <w:bodyDiv w:val="1"/>
      <w:marLeft w:val="0"/>
      <w:marRight w:val="0"/>
      <w:marTop w:val="0"/>
      <w:marBottom w:val="0"/>
      <w:divBdr>
        <w:top w:val="none" w:sz="0" w:space="0" w:color="auto"/>
        <w:left w:val="none" w:sz="0" w:space="0" w:color="auto"/>
        <w:bottom w:val="none" w:sz="0" w:space="0" w:color="auto"/>
        <w:right w:val="none" w:sz="0" w:space="0" w:color="auto"/>
      </w:divBdr>
    </w:div>
    <w:div w:id="1709333493">
      <w:bodyDiv w:val="1"/>
      <w:marLeft w:val="0"/>
      <w:marRight w:val="0"/>
      <w:marTop w:val="0"/>
      <w:marBottom w:val="0"/>
      <w:divBdr>
        <w:top w:val="none" w:sz="0" w:space="0" w:color="auto"/>
        <w:left w:val="none" w:sz="0" w:space="0" w:color="auto"/>
        <w:bottom w:val="none" w:sz="0" w:space="0" w:color="auto"/>
        <w:right w:val="none" w:sz="0" w:space="0" w:color="auto"/>
      </w:divBdr>
    </w:div>
    <w:div w:id="1757556095">
      <w:bodyDiv w:val="1"/>
      <w:marLeft w:val="0"/>
      <w:marRight w:val="0"/>
      <w:marTop w:val="0"/>
      <w:marBottom w:val="0"/>
      <w:divBdr>
        <w:top w:val="none" w:sz="0" w:space="0" w:color="auto"/>
        <w:left w:val="none" w:sz="0" w:space="0" w:color="auto"/>
        <w:bottom w:val="none" w:sz="0" w:space="0" w:color="auto"/>
        <w:right w:val="none" w:sz="0" w:space="0" w:color="auto"/>
      </w:divBdr>
    </w:div>
    <w:div w:id="1820683926">
      <w:bodyDiv w:val="1"/>
      <w:marLeft w:val="0"/>
      <w:marRight w:val="0"/>
      <w:marTop w:val="0"/>
      <w:marBottom w:val="0"/>
      <w:divBdr>
        <w:top w:val="none" w:sz="0" w:space="0" w:color="auto"/>
        <w:left w:val="none" w:sz="0" w:space="0" w:color="auto"/>
        <w:bottom w:val="none" w:sz="0" w:space="0" w:color="auto"/>
        <w:right w:val="none" w:sz="0" w:space="0" w:color="auto"/>
      </w:divBdr>
    </w:div>
    <w:div w:id="1868518836">
      <w:bodyDiv w:val="1"/>
      <w:marLeft w:val="0"/>
      <w:marRight w:val="0"/>
      <w:marTop w:val="0"/>
      <w:marBottom w:val="0"/>
      <w:divBdr>
        <w:top w:val="none" w:sz="0" w:space="0" w:color="auto"/>
        <w:left w:val="none" w:sz="0" w:space="0" w:color="auto"/>
        <w:bottom w:val="none" w:sz="0" w:space="0" w:color="auto"/>
        <w:right w:val="none" w:sz="0" w:space="0" w:color="auto"/>
      </w:divBdr>
    </w:div>
    <w:div w:id="1931087654">
      <w:bodyDiv w:val="1"/>
      <w:marLeft w:val="0"/>
      <w:marRight w:val="0"/>
      <w:marTop w:val="0"/>
      <w:marBottom w:val="0"/>
      <w:divBdr>
        <w:top w:val="none" w:sz="0" w:space="0" w:color="auto"/>
        <w:left w:val="none" w:sz="0" w:space="0" w:color="auto"/>
        <w:bottom w:val="none" w:sz="0" w:space="0" w:color="auto"/>
        <w:right w:val="none" w:sz="0" w:space="0" w:color="auto"/>
      </w:divBdr>
    </w:div>
    <w:div w:id="1951430568">
      <w:bodyDiv w:val="1"/>
      <w:marLeft w:val="0"/>
      <w:marRight w:val="0"/>
      <w:marTop w:val="0"/>
      <w:marBottom w:val="0"/>
      <w:divBdr>
        <w:top w:val="none" w:sz="0" w:space="0" w:color="auto"/>
        <w:left w:val="none" w:sz="0" w:space="0" w:color="auto"/>
        <w:bottom w:val="none" w:sz="0" w:space="0" w:color="auto"/>
        <w:right w:val="none" w:sz="0" w:space="0" w:color="auto"/>
      </w:divBdr>
    </w:div>
    <w:div w:id="2001040696">
      <w:bodyDiv w:val="1"/>
      <w:marLeft w:val="0"/>
      <w:marRight w:val="0"/>
      <w:marTop w:val="0"/>
      <w:marBottom w:val="0"/>
      <w:divBdr>
        <w:top w:val="none" w:sz="0" w:space="0" w:color="auto"/>
        <w:left w:val="none" w:sz="0" w:space="0" w:color="auto"/>
        <w:bottom w:val="none" w:sz="0" w:space="0" w:color="auto"/>
        <w:right w:val="none" w:sz="0" w:space="0" w:color="auto"/>
      </w:divBdr>
    </w:div>
    <w:div w:id="21444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ps.gov/npsa/planyourvisit/weather.htm" TargetMode="External"/><Relationship Id="rId13" Type="http://schemas.openxmlformats.org/officeDocument/2006/relationships/hyperlink" Target="http://www.broadband.gov/plan" TargetMode="External"/><Relationship Id="rId3" Type="http://schemas.openxmlformats.org/officeDocument/2006/relationships/hyperlink" Target="http://news.nationalgeographic.com/2017/02/tau-american-samoa-solar-power-microgrid-tesla-solarcity/" TargetMode="External"/><Relationship Id="rId7" Type="http://schemas.openxmlformats.org/officeDocument/2006/relationships/hyperlink" Target="http://data.worldbank.org/indicator/EG.ELC.ACCS.ZS?locations=AS" TargetMode="External"/><Relationship Id="rId12" Type="http://schemas.openxmlformats.org/officeDocument/2006/relationships/hyperlink" Target="http://www.slate.com/blogs/future_tense/2012/05/24/internet_access_and_cost_in_american_samoa_northern_marianas_islands_guam_.html" TargetMode="External"/><Relationship Id="rId2" Type="http://schemas.openxmlformats.org/officeDocument/2006/relationships/hyperlink" Target="https://ucononline.com/2016/01/04/american-samoa-fiber-optic-network/" TargetMode="External"/><Relationship Id="rId1" Type="http://schemas.openxmlformats.org/officeDocument/2006/relationships/hyperlink" Target="https://www.census.gov/2010census/news/press-kits/island-areas/island-areas.html" TargetMode="External"/><Relationship Id="rId6" Type="http://schemas.openxmlformats.org/officeDocument/2006/relationships/hyperlink" Target="https://www.cia.gov/library/publications/the-world-factbook/geos/aq.html" TargetMode="External"/><Relationship Id="rId11" Type="http://schemas.openxmlformats.org/officeDocument/2006/relationships/hyperlink" Target="https://www.engadget.com/2012/07/04/most-expensive-internet-in-america-samoa-broadband-interview/" TargetMode="External"/><Relationship Id="rId5" Type="http://schemas.openxmlformats.org/officeDocument/2006/relationships/hyperlink" Target="https://coast.noaa.gov/states/american-samoa.html" TargetMode="External"/><Relationship Id="rId10" Type="http://schemas.openxmlformats.org/officeDocument/2006/relationships/hyperlink" Target="http://www.fao.org/docrep/006/ad672e/ad672e06.htm" TargetMode="External"/><Relationship Id="rId4" Type="http://schemas.openxmlformats.org/officeDocument/2006/relationships/hyperlink" Target="https://ucononline.com/2016/01/04/american-samoa-fiber-optic-network/" TargetMode="External"/><Relationship Id="rId9" Type="http://schemas.openxmlformats.org/officeDocument/2006/relationships/hyperlink" Target="https://www.eia.gov/state/analysis.php?sid=AQ"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2733</Words>
  <Characters>15443</Characters>
  <Application>Microsoft Office Word</Application>
  <DocSecurity>0</DocSecurity>
  <Lines>228</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2017-08-07T13:57:00Z</dcterms:created>
  <dcterms:modified xsi:type="dcterms:W3CDTF">2017-08-07T13:57:00Z</dcterms:modified>
  <cp:category> </cp:category>
  <cp:contentStatus> </cp:contentStatus>
</cp:coreProperties>
</file>