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ACB82" w14:textId="77777777" w:rsidR="005C7B0B" w:rsidRDefault="005C7B0B" w:rsidP="005C7B0B">
      <w:pPr>
        <w:ind w:left="6480" w:firstLine="720"/>
        <w:rPr>
          <w:sz w:val="22"/>
          <w:szCs w:val="22"/>
        </w:rPr>
      </w:pPr>
      <w:bookmarkStart w:id="0" w:name="_GoBack"/>
      <w:bookmarkEnd w:id="0"/>
    </w:p>
    <w:p w14:paraId="5B6DE815" w14:textId="77777777" w:rsidR="005C7B0B" w:rsidRDefault="005C7B0B" w:rsidP="005C7B0B">
      <w:pPr>
        <w:ind w:left="6480" w:firstLine="720"/>
        <w:rPr>
          <w:sz w:val="22"/>
          <w:szCs w:val="22"/>
        </w:rPr>
      </w:pPr>
    </w:p>
    <w:p w14:paraId="226D4DC4" w14:textId="77C41DB8" w:rsidR="005C7B0B" w:rsidRPr="00D90D75" w:rsidRDefault="00DD0C7F" w:rsidP="005C7B0B">
      <w:pPr>
        <w:autoSpaceDE w:val="0"/>
        <w:autoSpaceDN w:val="0"/>
        <w:adjustRightInd w:val="0"/>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90D75">
        <w:rPr>
          <w:b/>
          <w:sz w:val="22"/>
          <w:szCs w:val="22"/>
        </w:rPr>
        <w:t>DA 17-</w:t>
      </w:r>
      <w:r w:rsidR="00C86E0B" w:rsidRPr="00D90D75">
        <w:rPr>
          <w:b/>
          <w:sz w:val="22"/>
          <w:szCs w:val="22"/>
        </w:rPr>
        <w:t>576</w:t>
      </w:r>
    </w:p>
    <w:p w14:paraId="564D0D67" w14:textId="2FD8B4C0" w:rsidR="00DD0C7F" w:rsidRDefault="00D90D75" w:rsidP="005C7B0B">
      <w:pPr>
        <w:autoSpaceDE w:val="0"/>
        <w:autoSpaceDN w:val="0"/>
        <w:adjustRightInd w:val="0"/>
        <w:rPr>
          <w:sz w:val="22"/>
          <w:szCs w:val="22"/>
        </w:rPr>
      </w:pPr>
      <w:r w:rsidRPr="00D90D75">
        <w:rPr>
          <w:b/>
          <w:sz w:val="22"/>
          <w:szCs w:val="22"/>
        </w:rPr>
        <w:tab/>
      </w:r>
      <w:r w:rsidRPr="00D90D75">
        <w:rPr>
          <w:b/>
          <w:sz w:val="22"/>
          <w:szCs w:val="22"/>
        </w:rPr>
        <w:tab/>
      </w:r>
      <w:r w:rsidRPr="00D90D75">
        <w:rPr>
          <w:b/>
          <w:sz w:val="22"/>
          <w:szCs w:val="22"/>
        </w:rPr>
        <w:tab/>
      </w:r>
      <w:r w:rsidRPr="00D90D75">
        <w:rPr>
          <w:b/>
          <w:sz w:val="22"/>
          <w:szCs w:val="22"/>
        </w:rPr>
        <w:tab/>
      </w:r>
      <w:r w:rsidRPr="00D90D75">
        <w:rPr>
          <w:b/>
          <w:sz w:val="22"/>
          <w:szCs w:val="22"/>
        </w:rPr>
        <w:tab/>
      </w:r>
      <w:r w:rsidRPr="00D90D75">
        <w:rPr>
          <w:b/>
          <w:sz w:val="22"/>
          <w:szCs w:val="22"/>
        </w:rPr>
        <w:tab/>
      </w:r>
      <w:r w:rsidRPr="00D90D75">
        <w:rPr>
          <w:b/>
          <w:sz w:val="22"/>
          <w:szCs w:val="22"/>
        </w:rPr>
        <w:tab/>
      </w:r>
      <w:r w:rsidRPr="00D90D75">
        <w:rPr>
          <w:b/>
          <w:sz w:val="22"/>
          <w:szCs w:val="22"/>
        </w:rPr>
        <w:tab/>
      </w:r>
      <w:r w:rsidRPr="00D90D75">
        <w:rPr>
          <w:b/>
          <w:sz w:val="22"/>
          <w:szCs w:val="22"/>
        </w:rPr>
        <w:tab/>
        <w:t>Released: June 14, 2017</w:t>
      </w:r>
    </w:p>
    <w:p w14:paraId="59555C57" w14:textId="77777777" w:rsidR="00D90D75" w:rsidRPr="005C7B0B" w:rsidRDefault="00D90D75" w:rsidP="005C7B0B">
      <w:pPr>
        <w:autoSpaceDE w:val="0"/>
        <w:autoSpaceDN w:val="0"/>
        <w:adjustRightInd w:val="0"/>
        <w:rPr>
          <w:sz w:val="22"/>
          <w:szCs w:val="22"/>
        </w:rPr>
      </w:pPr>
    </w:p>
    <w:p w14:paraId="650800E8" w14:textId="77777777" w:rsidR="00DD0C7F" w:rsidRDefault="00DD0C7F" w:rsidP="005C7B0B">
      <w:pPr>
        <w:rPr>
          <w:sz w:val="22"/>
          <w:szCs w:val="22"/>
        </w:rPr>
      </w:pPr>
      <w:r>
        <w:rPr>
          <w:sz w:val="22"/>
          <w:szCs w:val="22"/>
        </w:rPr>
        <w:t>KRCA Licensee LLC</w:t>
      </w:r>
    </w:p>
    <w:p w14:paraId="7F17B1F9" w14:textId="77777777" w:rsidR="00DD0C7F" w:rsidRDefault="00DD0C7F" w:rsidP="005C7B0B">
      <w:pPr>
        <w:rPr>
          <w:sz w:val="22"/>
          <w:szCs w:val="22"/>
        </w:rPr>
      </w:pPr>
      <w:r>
        <w:rPr>
          <w:sz w:val="22"/>
          <w:szCs w:val="22"/>
        </w:rPr>
        <w:t>c/o Kathleen Kirby, Esq.</w:t>
      </w:r>
    </w:p>
    <w:p w14:paraId="4B139AA9" w14:textId="77777777" w:rsidR="00DD0C7F" w:rsidRDefault="00DD0C7F" w:rsidP="005C7B0B">
      <w:pPr>
        <w:rPr>
          <w:sz w:val="22"/>
          <w:szCs w:val="22"/>
        </w:rPr>
      </w:pPr>
      <w:r>
        <w:rPr>
          <w:sz w:val="22"/>
          <w:szCs w:val="22"/>
        </w:rPr>
        <w:t>Wiley Rein LLP</w:t>
      </w:r>
    </w:p>
    <w:p w14:paraId="4A213350" w14:textId="77777777" w:rsidR="00DD0C7F" w:rsidRDefault="00DD0C7F" w:rsidP="005C7B0B">
      <w:pPr>
        <w:rPr>
          <w:sz w:val="22"/>
          <w:szCs w:val="22"/>
        </w:rPr>
      </w:pPr>
      <w:r>
        <w:rPr>
          <w:sz w:val="22"/>
          <w:szCs w:val="22"/>
        </w:rPr>
        <w:t>1776 K Street, N.W.</w:t>
      </w:r>
    </w:p>
    <w:p w14:paraId="76BA6FCE" w14:textId="77777777" w:rsidR="00DD0C7F" w:rsidRDefault="00DD0C7F" w:rsidP="005C7B0B">
      <w:pPr>
        <w:rPr>
          <w:sz w:val="22"/>
          <w:szCs w:val="22"/>
        </w:rPr>
      </w:pPr>
      <w:r>
        <w:rPr>
          <w:sz w:val="22"/>
          <w:szCs w:val="22"/>
        </w:rPr>
        <w:t>Washington, DC 20006</w:t>
      </w:r>
    </w:p>
    <w:p w14:paraId="696039AE" w14:textId="77777777" w:rsidR="0008068E" w:rsidRDefault="005C7B0B" w:rsidP="005C7B0B">
      <w:pPr>
        <w:keepNext/>
        <w:tabs>
          <w:tab w:val="left" w:pos="4590"/>
          <w:tab w:val="left" w:pos="4770"/>
        </w:tabs>
        <w:ind w:left="5040" w:hanging="720"/>
        <w:outlineLvl w:val="0"/>
        <w:rPr>
          <w:sz w:val="22"/>
          <w:szCs w:val="22"/>
        </w:rPr>
      </w:pPr>
      <w:r w:rsidRPr="005C7B0B">
        <w:rPr>
          <w:sz w:val="22"/>
          <w:szCs w:val="22"/>
        </w:rPr>
        <w:tab/>
      </w:r>
    </w:p>
    <w:p w14:paraId="2B91AE31" w14:textId="77777777" w:rsidR="005C7B0B" w:rsidRPr="005C7B0B" w:rsidRDefault="0008068E" w:rsidP="005C7B0B">
      <w:pPr>
        <w:keepNext/>
        <w:tabs>
          <w:tab w:val="left" w:pos="4590"/>
          <w:tab w:val="left" w:pos="4770"/>
        </w:tabs>
        <w:ind w:left="5040" w:hanging="720"/>
        <w:outlineLvl w:val="0"/>
        <w:rPr>
          <w:sz w:val="22"/>
          <w:szCs w:val="22"/>
        </w:rPr>
      </w:pPr>
      <w:r>
        <w:rPr>
          <w:sz w:val="22"/>
          <w:szCs w:val="22"/>
        </w:rPr>
        <w:tab/>
      </w:r>
      <w:r w:rsidR="005C7B0B" w:rsidRPr="005C7B0B">
        <w:rPr>
          <w:sz w:val="22"/>
          <w:szCs w:val="22"/>
        </w:rPr>
        <w:t>Re:</w:t>
      </w:r>
      <w:r w:rsidR="005C7B0B" w:rsidRPr="005C7B0B">
        <w:rPr>
          <w:sz w:val="22"/>
          <w:szCs w:val="22"/>
        </w:rPr>
        <w:tab/>
      </w:r>
      <w:r>
        <w:rPr>
          <w:sz w:val="22"/>
          <w:szCs w:val="22"/>
        </w:rPr>
        <w:t>KRCA(DT), Riverside, CA</w:t>
      </w:r>
    </w:p>
    <w:p w14:paraId="0ED44972" w14:textId="77777777" w:rsidR="005C7B0B" w:rsidRPr="005C7B0B" w:rsidRDefault="005C7B0B" w:rsidP="005C7B0B">
      <w:pPr>
        <w:keepNext/>
        <w:tabs>
          <w:tab w:val="left" w:pos="4590"/>
          <w:tab w:val="left" w:pos="4770"/>
        </w:tabs>
        <w:ind w:left="5040" w:hanging="720"/>
        <w:outlineLvl w:val="0"/>
        <w:rPr>
          <w:sz w:val="22"/>
          <w:szCs w:val="22"/>
        </w:rPr>
      </w:pPr>
      <w:r w:rsidRPr="005C7B0B">
        <w:rPr>
          <w:sz w:val="22"/>
          <w:szCs w:val="22"/>
        </w:rPr>
        <w:tab/>
      </w:r>
      <w:r w:rsidRPr="005C7B0B">
        <w:rPr>
          <w:sz w:val="22"/>
          <w:szCs w:val="22"/>
        </w:rPr>
        <w:tab/>
      </w:r>
      <w:r w:rsidRPr="005C7B0B">
        <w:rPr>
          <w:sz w:val="22"/>
          <w:szCs w:val="22"/>
        </w:rPr>
        <w:tab/>
        <w:t>Facility ID</w:t>
      </w:r>
      <w:r w:rsidR="005E0723">
        <w:rPr>
          <w:sz w:val="22"/>
          <w:szCs w:val="22"/>
        </w:rPr>
        <w:t>:</w:t>
      </w:r>
      <w:r w:rsidRPr="005C7B0B">
        <w:rPr>
          <w:sz w:val="22"/>
          <w:szCs w:val="22"/>
        </w:rPr>
        <w:t xml:space="preserve"> 22</w:t>
      </w:r>
      <w:r w:rsidR="0008068E">
        <w:rPr>
          <w:sz w:val="22"/>
          <w:szCs w:val="22"/>
        </w:rPr>
        <w:t>161</w:t>
      </w:r>
      <w:r w:rsidRPr="005C7B0B">
        <w:rPr>
          <w:sz w:val="22"/>
          <w:szCs w:val="22"/>
        </w:rPr>
        <w:t xml:space="preserve"> </w:t>
      </w:r>
    </w:p>
    <w:p w14:paraId="0112645F" w14:textId="77777777" w:rsidR="005C7B0B" w:rsidRPr="005C7B0B" w:rsidRDefault="005C7B0B" w:rsidP="005C7B0B">
      <w:pPr>
        <w:keepNext/>
        <w:tabs>
          <w:tab w:val="left" w:pos="4590"/>
          <w:tab w:val="left" w:pos="4770"/>
        </w:tabs>
        <w:ind w:left="5040" w:hanging="720"/>
        <w:outlineLvl w:val="0"/>
        <w:rPr>
          <w:sz w:val="22"/>
          <w:szCs w:val="22"/>
        </w:rPr>
      </w:pPr>
      <w:r w:rsidRPr="005C7B0B">
        <w:rPr>
          <w:sz w:val="22"/>
          <w:szCs w:val="22"/>
        </w:rPr>
        <w:tab/>
      </w:r>
      <w:r w:rsidRPr="005C7B0B">
        <w:rPr>
          <w:sz w:val="22"/>
          <w:szCs w:val="22"/>
        </w:rPr>
        <w:tab/>
      </w:r>
      <w:r w:rsidRPr="005C7B0B">
        <w:rPr>
          <w:sz w:val="22"/>
          <w:szCs w:val="22"/>
        </w:rPr>
        <w:tab/>
        <w:t xml:space="preserve">File No. </w:t>
      </w:r>
      <w:r w:rsidR="0008068E">
        <w:rPr>
          <w:sz w:val="22"/>
          <w:szCs w:val="22"/>
        </w:rPr>
        <w:t>BTCCDT-20170427ABJ</w:t>
      </w:r>
    </w:p>
    <w:p w14:paraId="39A14EB4" w14:textId="77777777" w:rsidR="005C7B0B" w:rsidRPr="005C7B0B" w:rsidRDefault="005C7B0B" w:rsidP="005C7B0B">
      <w:pPr>
        <w:tabs>
          <w:tab w:val="left" w:pos="4590"/>
          <w:tab w:val="left" w:pos="4770"/>
        </w:tabs>
        <w:ind w:left="4320"/>
        <w:rPr>
          <w:sz w:val="22"/>
          <w:szCs w:val="22"/>
        </w:rPr>
      </w:pPr>
      <w:r w:rsidRPr="005C7B0B">
        <w:rPr>
          <w:sz w:val="22"/>
          <w:szCs w:val="22"/>
        </w:rPr>
        <w:t xml:space="preserve">   </w:t>
      </w:r>
    </w:p>
    <w:p w14:paraId="7C552016" w14:textId="77777777" w:rsidR="005C7B0B" w:rsidRPr="005C7B0B" w:rsidRDefault="005C7B0B" w:rsidP="005C7B0B">
      <w:pPr>
        <w:spacing w:after="240"/>
        <w:rPr>
          <w:sz w:val="22"/>
          <w:szCs w:val="22"/>
        </w:rPr>
      </w:pPr>
      <w:r w:rsidRPr="005C7B0B">
        <w:rPr>
          <w:sz w:val="22"/>
          <w:szCs w:val="22"/>
        </w:rPr>
        <w:t>Dear Licensee:</w:t>
      </w:r>
    </w:p>
    <w:p w14:paraId="68BCE958" w14:textId="278347A7" w:rsidR="005C7B0B" w:rsidRPr="005C7B0B" w:rsidRDefault="0008068E" w:rsidP="008C0487">
      <w:pPr>
        <w:spacing w:after="240"/>
        <w:ind w:firstLine="720"/>
        <w:jc w:val="both"/>
        <w:rPr>
          <w:sz w:val="22"/>
          <w:szCs w:val="22"/>
        </w:rPr>
      </w:pPr>
      <w:r>
        <w:rPr>
          <w:rFonts w:eastAsia="Calibri"/>
          <w:sz w:val="22"/>
          <w:szCs w:val="22"/>
        </w:rPr>
        <w:t>KRCA License</w:t>
      </w:r>
      <w:r w:rsidR="00F37CE2">
        <w:rPr>
          <w:rFonts w:eastAsia="Calibri"/>
          <w:sz w:val="22"/>
          <w:szCs w:val="22"/>
        </w:rPr>
        <w:t>e LLC</w:t>
      </w:r>
      <w:r w:rsidR="00A05AE9">
        <w:rPr>
          <w:rFonts w:eastAsia="Calibri"/>
          <w:sz w:val="22"/>
          <w:szCs w:val="22"/>
        </w:rPr>
        <w:t xml:space="preserve"> (KRCA)</w:t>
      </w:r>
      <w:r w:rsidR="008C0487">
        <w:rPr>
          <w:rFonts w:eastAsia="Calibri"/>
          <w:sz w:val="22"/>
          <w:szCs w:val="22"/>
        </w:rPr>
        <w:t xml:space="preserve"> is the</w:t>
      </w:r>
      <w:r w:rsidR="00F37CE2">
        <w:rPr>
          <w:rFonts w:eastAsia="Calibri"/>
          <w:sz w:val="22"/>
          <w:szCs w:val="22"/>
        </w:rPr>
        <w:t xml:space="preserve"> licensee of </w:t>
      </w:r>
      <w:r w:rsidR="00A2785C">
        <w:rPr>
          <w:rFonts w:eastAsia="Calibri"/>
          <w:sz w:val="22"/>
          <w:szCs w:val="22"/>
        </w:rPr>
        <w:t xml:space="preserve">several </w:t>
      </w:r>
      <w:r w:rsidR="00F37CE2">
        <w:rPr>
          <w:rFonts w:eastAsia="Calibri"/>
          <w:sz w:val="22"/>
          <w:szCs w:val="22"/>
        </w:rPr>
        <w:t>stations</w:t>
      </w:r>
      <w:r w:rsidR="00A2785C">
        <w:rPr>
          <w:rFonts w:eastAsia="Calibri"/>
          <w:sz w:val="22"/>
          <w:szCs w:val="22"/>
        </w:rPr>
        <w:t>,</w:t>
      </w:r>
      <w:r w:rsidR="00F37CE2">
        <w:rPr>
          <w:rFonts w:eastAsia="Calibri"/>
          <w:sz w:val="22"/>
          <w:szCs w:val="22"/>
        </w:rPr>
        <w:t xml:space="preserve"> including KRCA(DT), Riverside, California.  KRCA</w:t>
      </w:r>
      <w:r w:rsidR="008C0487">
        <w:rPr>
          <w:rFonts w:eastAsia="Calibri"/>
          <w:sz w:val="22"/>
          <w:szCs w:val="22"/>
        </w:rPr>
        <w:t xml:space="preserve"> has pending a </w:t>
      </w:r>
      <w:r w:rsidR="008C0487">
        <w:rPr>
          <w:rFonts w:eastAsia="Calibri"/>
          <w:i/>
          <w:sz w:val="22"/>
          <w:szCs w:val="22"/>
        </w:rPr>
        <w:t xml:space="preserve">pro forma </w:t>
      </w:r>
      <w:r w:rsidR="008C0487">
        <w:rPr>
          <w:rFonts w:eastAsia="Calibri"/>
          <w:sz w:val="22"/>
          <w:szCs w:val="22"/>
        </w:rPr>
        <w:t xml:space="preserve">transfer of control.  On March 29, 2017, the </w:t>
      </w:r>
      <w:r w:rsidR="00F37CE2">
        <w:rPr>
          <w:rFonts w:eastAsia="Calibri"/>
          <w:i/>
          <w:sz w:val="22"/>
          <w:szCs w:val="22"/>
        </w:rPr>
        <w:t>Financial Procedures Public Notice</w:t>
      </w:r>
      <w:r w:rsidR="008C0487">
        <w:rPr>
          <w:rFonts w:eastAsia="Calibri"/>
          <w:i/>
          <w:sz w:val="22"/>
          <w:szCs w:val="22"/>
        </w:rPr>
        <w:t xml:space="preserve"> </w:t>
      </w:r>
      <w:r w:rsidR="008C0487">
        <w:rPr>
          <w:rFonts w:eastAsia="Calibri"/>
          <w:sz w:val="22"/>
          <w:szCs w:val="22"/>
        </w:rPr>
        <w:t>stated</w:t>
      </w:r>
      <w:r w:rsidR="00F37CE2">
        <w:rPr>
          <w:rFonts w:eastAsia="Calibri"/>
          <w:sz w:val="22"/>
          <w:szCs w:val="22"/>
        </w:rPr>
        <w:t>:</w:t>
      </w:r>
      <w:r w:rsidR="00F37CE2">
        <w:rPr>
          <w:rFonts w:eastAsia="Calibri"/>
          <w:i/>
          <w:sz w:val="22"/>
          <w:szCs w:val="22"/>
        </w:rPr>
        <w:t xml:space="preserve"> </w:t>
      </w:r>
    </w:p>
    <w:p w14:paraId="3250D0D4" w14:textId="45B64A81" w:rsidR="00F37CE2" w:rsidRDefault="00F37CE2" w:rsidP="00F37CE2">
      <w:pPr>
        <w:autoSpaceDE w:val="0"/>
        <w:autoSpaceDN w:val="0"/>
        <w:adjustRightInd w:val="0"/>
        <w:spacing w:after="240"/>
        <w:ind w:left="720" w:right="720"/>
        <w:jc w:val="both"/>
        <w:rPr>
          <w:rFonts w:eastAsia="Calibri"/>
          <w:sz w:val="22"/>
          <w:szCs w:val="22"/>
        </w:rPr>
      </w:pPr>
      <w:r w:rsidRPr="00F37CE2">
        <w:rPr>
          <w:rFonts w:eastAsia="Calibri"/>
          <w:sz w:val="22"/>
          <w:szCs w:val="22"/>
        </w:rPr>
        <w:t xml:space="preserve">The Media Bureau intends to process and may grant applications to assign or transfer stations with winning bids. </w:t>
      </w:r>
      <w:r w:rsidR="00B50F36">
        <w:rPr>
          <w:rFonts w:eastAsia="Calibri"/>
          <w:sz w:val="22"/>
          <w:szCs w:val="22"/>
        </w:rPr>
        <w:t xml:space="preserve"> </w:t>
      </w:r>
      <w:r w:rsidRPr="00F37CE2">
        <w:rPr>
          <w:rFonts w:eastAsia="Calibri"/>
          <w:sz w:val="22"/>
          <w:szCs w:val="22"/>
        </w:rPr>
        <w:t>However, to safeguard the integrity of the incentive auction process and reduce the risk of error or fraud, a transaction involving a station with a winning bid may not be consummated until after the U.S. Treasury has disbursed the station's incentive payment.</w:t>
      </w:r>
      <w:r>
        <w:rPr>
          <w:rStyle w:val="FootnoteReference"/>
          <w:rFonts w:eastAsia="Calibri"/>
          <w:sz w:val="22"/>
          <w:szCs w:val="22"/>
        </w:rPr>
        <w:footnoteReference w:id="1"/>
      </w:r>
    </w:p>
    <w:p w14:paraId="61681228" w14:textId="29723F56" w:rsidR="00A05AE9" w:rsidRDefault="00A05AE9" w:rsidP="005C2BE7">
      <w:pPr>
        <w:spacing w:after="240"/>
        <w:ind w:firstLine="720"/>
        <w:jc w:val="both"/>
        <w:rPr>
          <w:sz w:val="22"/>
          <w:szCs w:val="22"/>
        </w:rPr>
      </w:pPr>
      <w:r>
        <w:rPr>
          <w:sz w:val="22"/>
          <w:szCs w:val="22"/>
        </w:rPr>
        <w:t xml:space="preserve">KRCA has requested </w:t>
      </w:r>
      <w:r w:rsidR="005524AA">
        <w:rPr>
          <w:sz w:val="22"/>
          <w:szCs w:val="22"/>
        </w:rPr>
        <w:t xml:space="preserve">to consummate a </w:t>
      </w:r>
      <w:r w:rsidR="008C0487">
        <w:rPr>
          <w:i/>
          <w:sz w:val="22"/>
          <w:szCs w:val="22"/>
        </w:rPr>
        <w:t xml:space="preserve">pro forma </w:t>
      </w:r>
      <w:r w:rsidR="005524AA">
        <w:rPr>
          <w:sz w:val="22"/>
          <w:szCs w:val="22"/>
        </w:rPr>
        <w:t xml:space="preserve">intra-corporate reorganization </w:t>
      </w:r>
      <w:r>
        <w:rPr>
          <w:sz w:val="22"/>
          <w:szCs w:val="22"/>
        </w:rPr>
        <w:t xml:space="preserve">prior to disbursement of the incentive payment.  According to KRCA, “[t]he underlying transaction for which [approval is </w:t>
      </w:r>
      <w:r w:rsidR="00AA04DA">
        <w:rPr>
          <w:sz w:val="22"/>
          <w:szCs w:val="22"/>
        </w:rPr>
        <w:t>sought</w:t>
      </w:r>
      <w:r>
        <w:rPr>
          <w:sz w:val="22"/>
          <w:szCs w:val="22"/>
        </w:rPr>
        <w:t>] is extremely time sensitive and tied to the maturity of certain notes and a new bond offering.”</w:t>
      </w:r>
      <w:r w:rsidR="005C2BE7">
        <w:rPr>
          <w:rStyle w:val="FootnoteReference"/>
          <w:sz w:val="22"/>
          <w:szCs w:val="22"/>
        </w:rPr>
        <w:footnoteReference w:id="2"/>
      </w:r>
      <w:r>
        <w:rPr>
          <w:sz w:val="22"/>
          <w:szCs w:val="22"/>
        </w:rPr>
        <w:t xml:space="preserve">  KRCA further </w:t>
      </w:r>
      <w:r w:rsidR="009857D2">
        <w:rPr>
          <w:sz w:val="22"/>
          <w:szCs w:val="22"/>
        </w:rPr>
        <w:t xml:space="preserve">asserts that the proposed transaction is purely </w:t>
      </w:r>
      <w:r w:rsidR="009857D2" w:rsidRPr="009857D2">
        <w:rPr>
          <w:i/>
          <w:sz w:val="22"/>
          <w:szCs w:val="22"/>
        </w:rPr>
        <w:t>pro forma</w:t>
      </w:r>
      <w:r w:rsidR="009857D2">
        <w:rPr>
          <w:sz w:val="22"/>
          <w:szCs w:val="22"/>
        </w:rPr>
        <w:t xml:space="preserve"> in nature, </w:t>
      </w:r>
      <w:r>
        <w:rPr>
          <w:sz w:val="22"/>
          <w:szCs w:val="22"/>
        </w:rPr>
        <w:t>stat</w:t>
      </w:r>
      <w:r w:rsidR="009857D2">
        <w:rPr>
          <w:sz w:val="22"/>
          <w:szCs w:val="22"/>
        </w:rPr>
        <w:t>ing</w:t>
      </w:r>
      <w:r w:rsidR="007F38F9">
        <w:rPr>
          <w:sz w:val="22"/>
          <w:szCs w:val="22"/>
        </w:rPr>
        <w:t>:</w:t>
      </w:r>
      <w:r>
        <w:rPr>
          <w:sz w:val="22"/>
          <w:szCs w:val="22"/>
        </w:rPr>
        <w:t xml:space="preserve"> that the application “simply seeks FCC consent to the insertion of a newly created intermediary company</w:t>
      </w:r>
      <w:r w:rsidR="009857D2">
        <w:rPr>
          <w:sz w:val="22"/>
          <w:szCs w:val="22"/>
        </w:rPr>
        <w:t>;</w:t>
      </w:r>
      <w:r>
        <w:rPr>
          <w:sz w:val="22"/>
          <w:szCs w:val="22"/>
        </w:rPr>
        <w:t>”</w:t>
      </w:r>
      <w:r w:rsidR="005C2BE7">
        <w:rPr>
          <w:rStyle w:val="FootnoteReference"/>
          <w:sz w:val="22"/>
          <w:szCs w:val="22"/>
        </w:rPr>
        <w:footnoteReference w:id="3"/>
      </w:r>
      <w:r w:rsidR="009857D2">
        <w:rPr>
          <w:sz w:val="22"/>
          <w:szCs w:val="22"/>
        </w:rPr>
        <w:t xml:space="preserve"> </w:t>
      </w:r>
      <w:r>
        <w:rPr>
          <w:sz w:val="22"/>
          <w:szCs w:val="22"/>
        </w:rPr>
        <w:t>that, upon consummation, “the license identified in the Closing and Channel Reassignment Public Notice will still legally hold the license for KRCA</w:t>
      </w:r>
      <w:r w:rsidR="009857D2">
        <w:rPr>
          <w:sz w:val="22"/>
          <w:szCs w:val="22"/>
        </w:rPr>
        <w:t>;</w:t>
      </w:r>
      <w:r>
        <w:rPr>
          <w:sz w:val="22"/>
          <w:szCs w:val="22"/>
        </w:rPr>
        <w:t>” and that “no FRN, bank account, or other payment instructions provided by LBI to the FCC in connection with KRCA(TV)’s winning bid will change.”</w:t>
      </w:r>
      <w:r w:rsidR="008C0487">
        <w:rPr>
          <w:rStyle w:val="FootnoteReference"/>
          <w:sz w:val="22"/>
          <w:szCs w:val="22"/>
        </w:rPr>
        <w:footnoteReference w:id="4"/>
      </w:r>
      <w:r>
        <w:rPr>
          <w:sz w:val="22"/>
          <w:szCs w:val="22"/>
        </w:rPr>
        <w:t xml:space="preserve">  </w:t>
      </w:r>
      <w:r w:rsidR="00BD3C0F" w:rsidRPr="00BD3C0F">
        <w:rPr>
          <w:sz w:val="22"/>
          <w:szCs w:val="22"/>
        </w:rPr>
        <w:t xml:space="preserve">  </w:t>
      </w:r>
    </w:p>
    <w:p w14:paraId="708D6AC2" w14:textId="22439CC7" w:rsidR="00534D46" w:rsidRDefault="00EC4884" w:rsidP="005C2BE7">
      <w:pPr>
        <w:spacing w:after="240"/>
        <w:ind w:firstLine="720"/>
        <w:jc w:val="both"/>
        <w:rPr>
          <w:sz w:val="22"/>
          <w:szCs w:val="22"/>
        </w:rPr>
      </w:pPr>
      <w:r>
        <w:rPr>
          <w:sz w:val="22"/>
          <w:szCs w:val="22"/>
        </w:rPr>
        <w:lastRenderedPageBreak/>
        <w:t>C</w:t>
      </w:r>
      <w:r w:rsidR="00534D46">
        <w:rPr>
          <w:sz w:val="22"/>
          <w:szCs w:val="22"/>
        </w:rPr>
        <w:t xml:space="preserve">ounsel for the licensee has </w:t>
      </w:r>
      <w:r w:rsidR="007F38F9">
        <w:rPr>
          <w:sz w:val="22"/>
          <w:szCs w:val="22"/>
        </w:rPr>
        <w:t xml:space="preserve">also </w:t>
      </w:r>
      <w:r w:rsidR="00534D46">
        <w:rPr>
          <w:sz w:val="22"/>
          <w:szCs w:val="22"/>
        </w:rPr>
        <w:t xml:space="preserve">represented to the Commission that consummation of the </w:t>
      </w:r>
      <w:r w:rsidR="00534D46">
        <w:rPr>
          <w:i/>
          <w:sz w:val="22"/>
          <w:szCs w:val="22"/>
        </w:rPr>
        <w:t xml:space="preserve">pro forma </w:t>
      </w:r>
      <w:r w:rsidR="00534D46">
        <w:rPr>
          <w:sz w:val="22"/>
          <w:szCs w:val="22"/>
        </w:rPr>
        <w:t>transfer will have:</w:t>
      </w:r>
    </w:p>
    <w:p w14:paraId="7C4599B2" w14:textId="098F55E9" w:rsidR="00534D46" w:rsidRDefault="00534D46" w:rsidP="00AF51BE">
      <w:pPr>
        <w:autoSpaceDE w:val="0"/>
        <w:autoSpaceDN w:val="0"/>
        <w:adjustRightInd w:val="0"/>
        <w:spacing w:after="240"/>
        <w:ind w:left="720" w:right="720"/>
        <w:jc w:val="both"/>
        <w:rPr>
          <w:sz w:val="22"/>
          <w:szCs w:val="22"/>
        </w:rPr>
      </w:pPr>
      <w:r>
        <w:rPr>
          <w:sz w:val="22"/>
          <w:szCs w:val="22"/>
        </w:rPr>
        <w:t>no effect whatsoever on the rights or interests of any of LBI’s equity or debt holders as they pertain to auction proceeds…</w:t>
      </w:r>
      <w:r w:rsidR="007F38F9">
        <w:rPr>
          <w:sz w:val="22"/>
          <w:szCs w:val="22"/>
        </w:rPr>
        <w:t xml:space="preserve">.  </w:t>
      </w:r>
      <w:r>
        <w:rPr>
          <w:sz w:val="22"/>
          <w:szCs w:val="22"/>
        </w:rPr>
        <w:t>The Holdings creditors will not and cannot benefit from any of the auction proceeds payable to KRCA License as the result of KRCA(TV)’s winning bid.  To the extent any of the auction proceeds are used to pay down debt, they would be expended to pay down secured debt of LBI Media, not to pay down the debt of Holdings or Intermediate Holdings.  In fact</w:t>
      </w:r>
      <w:r w:rsidR="007F38F9">
        <w:rPr>
          <w:sz w:val="22"/>
          <w:szCs w:val="22"/>
        </w:rPr>
        <w:t xml:space="preserve">, </w:t>
      </w:r>
      <w:r>
        <w:rPr>
          <w:sz w:val="22"/>
          <w:szCs w:val="22"/>
        </w:rPr>
        <w:t>…there are covenants in the debt instruments of LBI Media that require the auction proceeds to be reinvested at LBI Media or its “restricted subsidiaries” or to repay indebtedness of LBI Media and prohibit the payment of “restricted payments,” which would include distributions by LBI Media to Holdings or Intermediate Holdings or investments by LBI Media in Holdings or Intermediate Holdings (the attachments are provided as examples – all three of LBI Media’s debt instruments include  similar prohibitions).</w:t>
      </w:r>
      <w:r>
        <w:rPr>
          <w:rStyle w:val="FootnoteReference"/>
          <w:sz w:val="22"/>
          <w:szCs w:val="22"/>
        </w:rPr>
        <w:footnoteReference w:id="5"/>
      </w:r>
    </w:p>
    <w:p w14:paraId="1526405F" w14:textId="16E247BA" w:rsidR="00534D46" w:rsidRPr="00534D46" w:rsidRDefault="00AF51BE" w:rsidP="00AF51BE">
      <w:pPr>
        <w:autoSpaceDE w:val="0"/>
        <w:autoSpaceDN w:val="0"/>
        <w:adjustRightInd w:val="0"/>
        <w:spacing w:after="240"/>
        <w:jc w:val="both"/>
        <w:rPr>
          <w:sz w:val="22"/>
          <w:szCs w:val="22"/>
        </w:rPr>
      </w:pPr>
      <w:r>
        <w:rPr>
          <w:sz w:val="22"/>
          <w:szCs w:val="22"/>
        </w:rPr>
        <w:t xml:space="preserve">Counsel provided the relevant </w:t>
      </w:r>
      <w:r w:rsidR="001A4E8D">
        <w:rPr>
          <w:sz w:val="22"/>
          <w:szCs w:val="22"/>
        </w:rPr>
        <w:t xml:space="preserve">portions of one of the debt instruments </w:t>
      </w:r>
      <w:r>
        <w:rPr>
          <w:sz w:val="22"/>
          <w:szCs w:val="22"/>
        </w:rPr>
        <w:t>reflecting the elements described</w:t>
      </w:r>
      <w:r w:rsidR="001A4E8D">
        <w:rPr>
          <w:sz w:val="22"/>
          <w:szCs w:val="22"/>
        </w:rPr>
        <w:t xml:space="preserve"> in the language cited above</w:t>
      </w:r>
      <w:r>
        <w:rPr>
          <w:sz w:val="22"/>
          <w:szCs w:val="22"/>
        </w:rPr>
        <w:t>.</w:t>
      </w:r>
      <w:r w:rsidR="005524AA">
        <w:rPr>
          <w:rStyle w:val="FootnoteReference"/>
          <w:sz w:val="22"/>
          <w:szCs w:val="22"/>
        </w:rPr>
        <w:footnoteReference w:id="6"/>
      </w:r>
    </w:p>
    <w:p w14:paraId="778035FB" w14:textId="60BCB71B" w:rsidR="00BD3C0F" w:rsidRDefault="00BD3C0F" w:rsidP="005C7B0B">
      <w:pPr>
        <w:autoSpaceDE w:val="0"/>
        <w:autoSpaceDN w:val="0"/>
        <w:adjustRightInd w:val="0"/>
        <w:spacing w:after="240"/>
        <w:ind w:firstLine="720"/>
        <w:jc w:val="both"/>
        <w:rPr>
          <w:sz w:val="22"/>
          <w:szCs w:val="22"/>
        </w:rPr>
      </w:pPr>
      <w:r>
        <w:rPr>
          <w:sz w:val="22"/>
          <w:szCs w:val="22"/>
        </w:rPr>
        <w:t>Under the circumstances presented here, namely the time-sensitive nature of maturing notes</w:t>
      </w:r>
      <w:r w:rsidR="00AF51BE">
        <w:rPr>
          <w:sz w:val="22"/>
          <w:szCs w:val="22"/>
        </w:rPr>
        <w:t xml:space="preserve">; </w:t>
      </w:r>
      <w:r w:rsidR="00AA04DA">
        <w:rPr>
          <w:sz w:val="22"/>
          <w:szCs w:val="22"/>
        </w:rPr>
        <w:t>KRCA</w:t>
      </w:r>
      <w:r w:rsidR="00A2785C">
        <w:rPr>
          <w:sz w:val="22"/>
          <w:szCs w:val="22"/>
        </w:rPr>
        <w:t>’s representation</w:t>
      </w:r>
      <w:r w:rsidR="00AA04DA">
        <w:rPr>
          <w:sz w:val="22"/>
          <w:szCs w:val="22"/>
        </w:rPr>
        <w:t xml:space="preserve"> that the </w:t>
      </w:r>
      <w:r w:rsidR="00AA04DA" w:rsidRPr="00AA04DA">
        <w:rPr>
          <w:i/>
          <w:sz w:val="22"/>
          <w:szCs w:val="22"/>
        </w:rPr>
        <w:t>pro forma</w:t>
      </w:r>
      <w:r w:rsidR="00AA04DA">
        <w:rPr>
          <w:sz w:val="22"/>
          <w:szCs w:val="22"/>
        </w:rPr>
        <w:t xml:space="preserve"> transaction will have </w:t>
      </w:r>
      <w:r w:rsidR="00AA04DA" w:rsidRPr="00AA04DA">
        <w:rPr>
          <w:sz w:val="22"/>
          <w:szCs w:val="22"/>
        </w:rPr>
        <w:t>no effect whatsoever on the rights or interests of any of LBI’s equity or debt holders as they pertain to auction proceeds</w:t>
      </w:r>
      <w:r w:rsidR="00AA04DA">
        <w:rPr>
          <w:sz w:val="22"/>
          <w:szCs w:val="22"/>
        </w:rPr>
        <w:t xml:space="preserve"> in combination with </w:t>
      </w:r>
      <w:r>
        <w:rPr>
          <w:sz w:val="22"/>
          <w:szCs w:val="22"/>
        </w:rPr>
        <w:t>the fact that the name of the winning bidder, the FRN, and bank account information will not change</w:t>
      </w:r>
      <w:r w:rsidR="00AF51BE">
        <w:rPr>
          <w:sz w:val="22"/>
          <w:szCs w:val="22"/>
        </w:rPr>
        <w:t xml:space="preserve">; as well as the nature of the transaction, </w:t>
      </w:r>
      <w:r>
        <w:rPr>
          <w:sz w:val="22"/>
          <w:szCs w:val="22"/>
        </w:rPr>
        <w:t xml:space="preserve">we </w:t>
      </w:r>
      <w:r w:rsidR="003B651E">
        <w:rPr>
          <w:sz w:val="22"/>
          <w:szCs w:val="22"/>
        </w:rPr>
        <w:t xml:space="preserve">will </w:t>
      </w:r>
      <w:r w:rsidR="005B46B7">
        <w:rPr>
          <w:sz w:val="22"/>
          <w:szCs w:val="22"/>
        </w:rPr>
        <w:t>allow</w:t>
      </w:r>
      <w:r>
        <w:rPr>
          <w:sz w:val="22"/>
          <w:szCs w:val="22"/>
        </w:rPr>
        <w:t xml:space="preserve"> consummation prior to disbursement of auction proceeds in this particular circumstance.  We note, however, that our </w:t>
      </w:r>
      <w:r w:rsidR="005B46B7">
        <w:rPr>
          <w:sz w:val="22"/>
          <w:szCs w:val="22"/>
        </w:rPr>
        <w:t xml:space="preserve">decision </w:t>
      </w:r>
      <w:r>
        <w:rPr>
          <w:sz w:val="22"/>
          <w:szCs w:val="22"/>
        </w:rPr>
        <w:t>is limite</w:t>
      </w:r>
      <w:r w:rsidR="00476AF3">
        <w:rPr>
          <w:sz w:val="22"/>
          <w:szCs w:val="22"/>
        </w:rPr>
        <w:t>d to</w:t>
      </w:r>
      <w:r w:rsidR="001A4E8D">
        <w:rPr>
          <w:sz w:val="22"/>
          <w:szCs w:val="22"/>
        </w:rPr>
        <w:t xml:space="preserve"> the</w:t>
      </w:r>
      <w:r w:rsidR="00476AF3">
        <w:rPr>
          <w:sz w:val="22"/>
          <w:szCs w:val="22"/>
        </w:rPr>
        <w:t xml:space="preserve"> specific facts </w:t>
      </w:r>
      <w:r w:rsidR="005B46B7">
        <w:rPr>
          <w:sz w:val="22"/>
          <w:szCs w:val="22"/>
        </w:rPr>
        <w:t xml:space="preserve">and special circumstances </w:t>
      </w:r>
      <w:r w:rsidR="00476AF3">
        <w:rPr>
          <w:sz w:val="22"/>
          <w:szCs w:val="22"/>
        </w:rPr>
        <w:t>before us.</w:t>
      </w:r>
    </w:p>
    <w:p w14:paraId="0CA3C43D" w14:textId="77777777" w:rsidR="002B26D4" w:rsidRDefault="002B26D4" w:rsidP="005C7B0B">
      <w:pPr>
        <w:autoSpaceDE w:val="0"/>
        <w:autoSpaceDN w:val="0"/>
        <w:adjustRightInd w:val="0"/>
        <w:spacing w:after="240"/>
        <w:ind w:firstLine="720"/>
        <w:jc w:val="both"/>
        <w:rPr>
          <w:sz w:val="22"/>
          <w:szCs w:val="22"/>
        </w:rPr>
      </w:pPr>
    </w:p>
    <w:p w14:paraId="01AC1AED" w14:textId="77777777" w:rsidR="002B26D4" w:rsidRDefault="002B26D4" w:rsidP="005C7B0B">
      <w:pPr>
        <w:autoSpaceDE w:val="0"/>
        <w:autoSpaceDN w:val="0"/>
        <w:adjustRightInd w:val="0"/>
        <w:spacing w:after="240"/>
        <w:ind w:firstLine="720"/>
        <w:jc w:val="both"/>
        <w:rPr>
          <w:sz w:val="22"/>
          <w:szCs w:val="22"/>
        </w:rPr>
      </w:pPr>
    </w:p>
    <w:p w14:paraId="4291A381" w14:textId="77777777" w:rsidR="002B26D4" w:rsidRDefault="002B26D4" w:rsidP="005C7B0B">
      <w:pPr>
        <w:autoSpaceDE w:val="0"/>
        <w:autoSpaceDN w:val="0"/>
        <w:adjustRightInd w:val="0"/>
        <w:spacing w:after="240"/>
        <w:ind w:firstLine="720"/>
        <w:jc w:val="both"/>
        <w:rPr>
          <w:sz w:val="22"/>
          <w:szCs w:val="22"/>
        </w:rPr>
      </w:pPr>
    </w:p>
    <w:p w14:paraId="683A688D" w14:textId="77777777" w:rsidR="002B26D4" w:rsidRDefault="002B26D4" w:rsidP="005C7B0B">
      <w:pPr>
        <w:autoSpaceDE w:val="0"/>
        <w:autoSpaceDN w:val="0"/>
        <w:adjustRightInd w:val="0"/>
        <w:spacing w:after="240"/>
        <w:ind w:firstLine="720"/>
        <w:jc w:val="both"/>
        <w:rPr>
          <w:sz w:val="22"/>
          <w:szCs w:val="22"/>
        </w:rPr>
      </w:pPr>
    </w:p>
    <w:p w14:paraId="23C9CE27" w14:textId="77777777" w:rsidR="002B26D4" w:rsidRDefault="002B26D4" w:rsidP="005C7B0B">
      <w:pPr>
        <w:autoSpaceDE w:val="0"/>
        <w:autoSpaceDN w:val="0"/>
        <w:adjustRightInd w:val="0"/>
        <w:spacing w:after="240"/>
        <w:ind w:firstLine="720"/>
        <w:jc w:val="both"/>
        <w:rPr>
          <w:sz w:val="22"/>
          <w:szCs w:val="22"/>
        </w:rPr>
      </w:pPr>
    </w:p>
    <w:p w14:paraId="0FF67B59" w14:textId="77777777" w:rsidR="002B26D4" w:rsidRDefault="002B26D4" w:rsidP="005C7B0B">
      <w:pPr>
        <w:autoSpaceDE w:val="0"/>
        <w:autoSpaceDN w:val="0"/>
        <w:adjustRightInd w:val="0"/>
        <w:spacing w:after="240"/>
        <w:ind w:firstLine="720"/>
        <w:jc w:val="both"/>
        <w:rPr>
          <w:sz w:val="22"/>
          <w:szCs w:val="22"/>
        </w:rPr>
      </w:pPr>
    </w:p>
    <w:p w14:paraId="7DE6BC40" w14:textId="42C97062" w:rsidR="00476AF3" w:rsidRPr="00476AF3" w:rsidRDefault="00476AF3" w:rsidP="00476AF3">
      <w:pPr>
        <w:autoSpaceDE w:val="0"/>
        <w:autoSpaceDN w:val="0"/>
        <w:adjustRightInd w:val="0"/>
        <w:spacing w:after="240"/>
        <w:jc w:val="both"/>
        <w:rPr>
          <w:sz w:val="22"/>
          <w:szCs w:val="22"/>
        </w:rPr>
      </w:pPr>
      <w:r>
        <w:rPr>
          <w:sz w:val="22"/>
          <w:szCs w:val="22"/>
        </w:rPr>
        <w:tab/>
        <w:t xml:space="preserve">Based on the foregoing, we </w:t>
      </w:r>
      <w:r w:rsidR="005B46B7">
        <w:rPr>
          <w:sz w:val="22"/>
          <w:szCs w:val="22"/>
        </w:rPr>
        <w:t>allow</w:t>
      </w:r>
      <w:r>
        <w:rPr>
          <w:sz w:val="22"/>
          <w:szCs w:val="22"/>
        </w:rPr>
        <w:t xml:space="preserve"> consummation prior to disbursement of auction proceeds</w:t>
      </w:r>
      <w:r w:rsidR="00826CE5">
        <w:rPr>
          <w:sz w:val="22"/>
          <w:szCs w:val="22"/>
        </w:rPr>
        <w:t xml:space="preserve"> in this case</w:t>
      </w:r>
      <w:r>
        <w:rPr>
          <w:sz w:val="22"/>
          <w:szCs w:val="22"/>
        </w:rPr>
        <w:t xml:space="preserve">.  We further grant the application seeking the </w:t>
      </w:r>
      <w:r>
        <w:rPr>
          <w:i/>
          <w:sz w:val="22"/>
          <w:szCs w:val="22"/>
        </w:rPr>
        <w:t xml:space="preserve">pro forma </w:t>
      </w:r>
      <w:r>
        <w:rPr>
          <w:sz w:val="22"/>
          <w:szCs w:val="22"/>
        </w:rPr>
        <w:t xml:space="preserve">transfer of control of KRCA Licensee LLC, </w:t>
      </w:r>
      <w:r w:rsidR="00DD0C7F">
        <w:rPr>
          <w:sz w:val="22"/>
          <w:szCs w:val="22"/>
        </w:rPr>
        <w:t xml:space="preserve">File No. </w:t>
      </w:r>
      <w:r w:rsidR="00DD0C7F" w:rsidRPr="00DD0C7F">
        <w:rPr>
          <w:sz w:val="22"/>
          <w:szCs w:val="22"/>
        </w:rPr>
        <w:t>BTCCDT-20170427ABJ</w:t>
      </w:r>
      <w:r w:rsidR="00AF51BE">
        <w:rPr>
          <w:sz w:val="22"/>
          <w:szCs w:val="22"/>
        </w:rPr>
        <w:t>.</w:t>
      </w:r>
    </w:p>
    <w:p w14:paraId="17D0E8ED" w14:textId="77777777" w:rsidR="005C7B0B" w:rsidRPr="005C7B0B" w:rsidRDefault="005C7B0B" w:rsidP="005C7B0B">
      <w:pPr>
        <w:rPr>
          <w:sz w:val="22"/>
          <w:szCs w:val="22"/>
        </w:rPr>
      </w:pPr>
      <w:r w:rsidRPr="005C7B0B">
        <w:rPr>
          <w:sz w:val="22"/>
          <w:szCs w:val="22"/>
        </w:rPr>
        <w:tab/>
      </w:r>
      <w:r w:rsidRPr="005C7B0B">
        <w:rPr>
          <w:sz w:val="22"/>
          <w:szCs w:val="22"/>
        </w:rPr>
        <w:tab/>
      </w:r>
      <w:r w:rsidRPr="005C7B0B">
        <w:rPr>
          <w:sz w:val="22"/>
          <w:szCs w:val="22"/>
        </w:rPr>
        <w:tab/>
      </w:r>
      <w:r w:rsidRPr="005C7B0B">
        <w:rPr>
          <w:sz w:val="22"/>
          <w:szCs w:val="22"/>
        </w:rPr>
        <w:tab/>
      </w:r>
      <w:r w:rsidRPr="005C7B0B">
        <w:rPr>
          <w:sz w:val="22"/>
          <w:szCs w:val="22"/>
        </w:rPr>
        <w:tab/>
      </w:r>
    </w:p>
    <w:p w14:paraId="4484815F" w14:textId="77777777" w:rsidR="005C7B0B" w:rsidRPr="005C7B0B" w:rsidRDefault="005C7B0B" w:rsidP="005C7B0B">
      <w:pPr>
        <w:ind w:left="4320" w:firstLine="720"/>
        <w:rPr>
          <w:sz w:val="22"/>
          <w:szCs w:val="22"/>
        </w:rPr>
      </w:pPr>
      <w:r w:rsidRPr="005C7B0B">
        <w:rPr>
          <w:sz w:val="22"/>
          <w:szCs w:val="22"/>
        </w:rPr>
        <w:lastRenderedPageBreak/>
        <w:t>Sincerely,</w:t>
      </w:r>
    </w:p>
    <w:p w14:paraId="2A63F8F9" w14:textId="77777777" w:rsidR="005C7B0B" w:rsidRPr="005C7B0B" w:rsidRDefault="005C7B0B" w:rsidP="005C7B0B">
      <w:pPr>
        <w:rPr>
          <w:sz w:val="22"/>
          <w:szCs w:val="22"/>
        </w:rPr>
      </w:pPr>
    </w:p>
    <w:p w14:paraId="58532BAB" w14:textId="77777777" w:rsidR="005C7B0B" w:rsidRPr="005C7B0B" w:rsidRDefault="005C7B0B" w:rsidP="005C7B0B">
      <w:pPr>
        <w:rPr>
          <w:sz w:val="22"/>
          <w:szCs w:val="22"/>
        </w:rPr>
      </w:pPr>
      <w:r w:rsidRPr="005C7B0B">
        <w:rPr>
          <w:sz w:val="22"/>
          <w:szCs w:val="22"/>
        </w:rPr>
        <w:tab/>
      </w:r>
      <w:r w:rsidRPr="005C7B0B">
        <w:rPr>
          <w:sz w:val="22"/>
          <w:szCs w:val="22"/>
        </w:rPr>
        <w:tab/>
      </w:r>
      <w:r w:rsidRPr="005C7B0B">
        <w:rPr>
          <w:sz w:val="22"/>
          <w:szCs w:val="22"/>
        </w:rPr>
        <w:tab/>
      </w:r>
      <w:r w:rsidRPr="005C7B0B">
        <w:rPr>
          <w:sz w:val="22"/>
          <w:szCs w:val="22"/>
        </w:rPr>
        <w:tab/>
      </w:r>
      <w:r w:rsidRPr="005C7B0B">
        <w:rPr>
          <w:sz w:val="22"/>
          <w:szCs w:val="22"/>
        </w:rPr>
        <w:tab/>
      </w:r>
      <w:r w:rsidRPr="005C7B0B">
        <w:rPr>
          <w:sz w:val="22"/>
          <w:szCs w:val="22"/>
        </w:rPr>
        <w:tab/>
      </w:r>
    </w:p>
    <w:p w14:paraId="09BF1657" w14:textId="77777777" w:rsidR="002B26D4" w:rsidRDefault="005C7B0B" w:rsidP="005C7B0B">
      <w:pPr>
        <w:rPr>
          <w:sz w:val="22"/>
          <w:szCs w:val="22"/>
        </w:rPr>
      </w:pPr>
      <w:r w:rsidRPr="005C7B0B">
        <w:rPr>
          <w:sz w:val="22"/>
          <w:szCs w:val="22"/>
        </w:rPr>
        <w:tab/>
      </w:r>
      <w:r w:rsidRPr="005C7B0B">
        <w:rPr>
          <w:sz w:val="22"/>
          <w:szCs w:val="22"/>
        </w:rPr>
        <w:tab/>
      </w:r>
      <w:r w:rsidRPr="005C7B0B">
        <w:rPr>
          <w:sz w:val="22"/>
          <w:szCs w:val="22"/>
        </w:rPr>
        <w:tab/>
      </w:r>
      <w:r w:rsidRPr="005C7B0B">
        <w:rPr>
          <w:sz w:val="22"/>
          <w:szCs w:val="22"/>
        </w:rPr>
        <w:tab/>
      </w:r>
      <w:r w:rsidRPr="005C7B0B">
        <w:rPr>
          <w:sz w:val="22"/>
          <w:szCs w:val="22"/>
        </w:rPr>
        <w:tab/>
      </w:r>
      <w:r w:rsidRPr="005C7B0B">
        <w:rPr>
          <w:sz w:val="22"/>
          <w:szCs w:val="22"/>
        </w:rPr>
        <w:tab/>
      </w:r>
      <w:r w:rsidRPr="005C7B0B">
        <w:rPr>
          <w:sz w:val="22"/>
          <w:szCs w:val="22"/>
        </w:rPr>
        <w:tab/>
      </w:r>
    </w:p>
    <w:p w14:paraId="02C8CB92" w14:textId="77777777" w:rsidR="005C7B0B" w:rsidRPr="005C7B0B" w:rsidRDefault="008A331F" w:rsidP="002B26D4">
      <w:pPr>
        <w:ind w:left="4320" w:firstLine="720"/>
        <w:rPr>
          <w:sz w:val="22"/>
          <w:szCs w:val="22"/>
        </w:rPr>
      </w:pPr>
      <w:r>
        <w:rPr>
          <w:sz w:val="22"/>
          <w:szCs w:val="22"/>
        </w:rPr>
        <w:t>Barbara A. Kreisman</w:t>
      </w:r>
    </w:p>
    <w:p w14:paraId="6C3649D9" w14:textId="77777777" w:rsidR="005C7B0B" w:rsidRPr="005C7B0B" w:rsidRDefault="005C7B0B" w:rsidP="005C7B0B">
      <w:pPr>
        <w:rPr>
          <w:sz w:val="22"/>
          <w:szCs w:val="22"/>
        </w:rPr>
      </w:pPr>
      <w:r w:rsidRPr="005C7B0B">
        <w:rPr>
          <w:sz w:val="22"/>
          <w:szCs w:val="22"/>
        </w:rPr>
        <w:tab/>
      </w:r>
      <w:r w:rsidRPr="005C7B0B">
        <w:rPr>
          <w:sz w:val="22"/>
          <w:szCs w:val="22"/>
        </w:rPr>
        <w:tab/>
      </w:r>
      <w:r w:rsidRPr="005C7B0B">
        <w:rPr>
          <w:sz w:val="22"/>
          <w:szCs w:val="22"/>
        </w:rPr>
        <w:tab/>
      </w:r>
      <w:r w:rsidRPr="005C7B0B">
        <w:rPr>
          <w:sz w:val="22"/>
          <w:szCs w:val="22"/>
        </w:rPr>
        <w:tab/>
      </w:r>
      <w:r w:rsidRPr="005C7B0B">
        <w:rPr>
          <w:sz w:val="22"/>
          <w:szCs w:val="22"/>
        </w:rPr>
        <w:tab/>
      </w:r>
      <w:r w:rsidRPr="005C7B0B">
        <w:rPr>
          <w:sz w:val="22"/>
          <w:szCs w:val="22"/>
        </w:rPr>
        <w:tab/>
      </w:r>
      <w:r w:rsidRPr="005C7B0B">
        <w:rPr>
          <w:sz w:val="22"/>
          <w:szCs w:val="22"/>
        </w:rPr>
        <w:tab/>
        <w:t>Chief, Video Division</w:t>
      </w:r>
    </w:p>
    <w:p w14:paraId="79BBF14F" w14:textId="77777777" w:rsidR="005C7B0B" w:rsidRDefault="005C7B0B" w:rsidP="002B26D4">
      <w:pPr>
        <w:ind w:left="4320" w:firstLine="720"/>
        <w:rPr>
          <w:sz w:val="22"/>
          <w:szCs w:val="22"/>
        </w:rPr>
      </w:pPr>
      <w:r w:rsidRPr="005C7B0B">
        <w:rPr>
          <w:sz w:val="22"/>
          <w:szCs w:val="22"/>
        </w:rPr>
        <w:t>Media Bureau</w:t>
      </w:r>
    </w:p>
    <w:p w14:paraId="3A254E9F" w14:textId="77777777" w:rsidR="002B26D4" w:rsidRDefault="002B26D4" w:rsidP="002B26D4">
      <w:pPr>
        <w:ind w:left="4320" w:firstLine="720"/>
        <w:rPr>
          <w:sz w:val="22"/>
          <w:szCs w:val="22"/>
        </w:rPr>
      </w:pPr>
    </w:p>
    <w:p w14:paraId="44460B65" w14:textId="77777777" w:rsidR="002B26D4" w:rsidRDefault="002B26D4" w:rsidP="002B26D4">
      <w:pPr>
        <w:ind w:left="4320" w:firstLine="720"/>
        <w:rPr>
          <w:sz w:val="22"/>
          <w:szCs w:val="22"/>
        </w:rPr>
      </w:pPr>
    </w:p>
    <w:p w14:paraId="4E2FEF2B" w14:textId="77777777" w:rsidR="002B26D4" w:rsidRDefault="002B26D4" w:rsidP="002B26D4">
      <w:pPr>
        <w:ind w:left="4320" w:firstLine="720"/>
        <w:rPr>
          <w:sz w:val="22"/>
          <w:szCs w:val="22"/>
        </w:rPr>
      </w:pPr>
    </w:p>
    <w:p w14:paraId="1FF7176B" w14:textId="77777777" w:rsidR="002B26D4" w:rsidRDefault="002B26D4" w:rsidP="002B26D4">
      <w:pPr>
        <w:ind w:left="4320" w:firstLine="720"/>
        <w:rPr>
          <w:sz w:val="22"/>
          <w:szCs w:val="22"/>
        </w:rPr>
      </w:pPr>
      <w:r>
        <w:rPr>
          <w:sz w:val="22"/>
          <w:szCs w:val="22"/>
        </w:rPr>
        <w:t>Kathleen Heuer</w:t>
      </w:r>
    </w:p>
    <w:p w14:paraId="654A32B2" w14:textId="77777777" w:rsidR="002B26D4" w:rsidRDefault="002B26D4" w:rsidP="002B26D4">
      <w:pPr>
        <w:ind w:left="4320" w:firstLine="720"/>
        <w:rPr>
          <w:sz w:val="22"/>
          <w:szCs w:val="22"/>
        </w:rPr>
      </w:pPr>
      <w:r>
        <w:rPr>
          <w:sz w:val="22"/>
          <w:szCs w:val="22"/>
        </w:rPr>
        <w:t>Chief Financial Officer</w:t>
      </w:r>
    </w:p>
    <w:p w14:paraId="6A87B3CC" w14:textId="77777777" w:rsidR="002B26D4" w:rsidRPr="002B26D4" w:rsidRDefault="002B26D4" w:rsidP="002B26D4">
      <w:pPr>
        <w:ind w:left="4320" w:firstLine="720"/>
        <w:rPr>
          <w:sz w:val="22"/>
          <w:szCs w:val="22"/>
        </w:rPr>
      </w:pPr>
      <w:r>
        <w:rPr>
          <w:sz w:val="22"/>
          <w:szCs w:val="22"/>
        </w:rPr>
        <w:t>Office of Managing Director</w:t>
      </w:r>
    </w:p>
    <w:p w14:paraId="730990D8" w14:textId="77777777" w:rsidR="00204CE3" w:rsidRPr="00204CE3" w:rsidRDefault="00204CE3">
      <w:pPr>
        <w:rPr>
          <w:sz w:val="22"/>
          <w:szCs w:val="22"/>
        </w:rPr>
      </w:pPr>
    </w:p>
    <w:sectPr w:rsidR="00204CE3" w:rsidRPr="00204CE3">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908F5" w14:textId="77777777" w:rsidR="005C7B0B" w:rsidRDefault="005C7B0B">
      <w:r>
        <w:separator/>
      </w:r>
    </w:p>
  </w:endnote>
  <w:endnote w:type="continuationSeparator" w:id="0">
    <w:p w14:paraId="15872033" w14:textId="77777777" w:rsidR="005C7B0B" w:rsidRDefault="005C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4D7C0" w14:textId="77777777" w:rsidR="00B222C9" w:rsidRDefault="00B22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B121C" w14:textId="38F12B80" w:rsidR="005C7B0B" w:rsidRDefault="005C7B0B">
    <w:pPr>
      <w:pStyle w:val="Footer"/>
      <w:jc w:val="center"/>
    </w:pPr>
    <w:r>
      <w:fldChar w:fldCharType="begin"/>
    </w:r>
    <w:r>
      <w:instrText xml:space="preserve"> PAGE   \* MERGEFORMAT </w:instrText>
    </w:r>
    <w:r>
      <w:fldChar w:fldCharType="separate"/>
    </w:r>
    <w:r w:rsidR="00470FB3">
      <w:rPr>
        <w:noProof/>
      </w:rPr>
      <w:t>2</w:t>
    </w:r>
    <w:r>
      <w:rPr>
        <w:noProof/>
      </w:rPr>
      <w:fldChar w:fldCharType="end"/>
    </w:r>
  </w:p>
  <w:p w14:paraId="43C2648F" w14:textId="77777777" w:rsidR="005C7B0B" w:rsidRDefault="005C7B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0CDA3" w14:textId="77777777" w:rsidR="00B222C9" w:rsidRDefault="00B22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C06F9" w14:textId="77777777" w:rsidR="005C7B0B" w:rsidRDefault="005C7B0B">
      <w:r>
        <w:separator/>
      </w:r>
    </w:p>
  </w:footnote>
  <w:footnote w:type="continuationSeparator" w:id="0">
    <w:p w14:paraId="1755E09C" w14:textId="77777777" w:rsidR="005C7B0B" w:rsidRDefault="005C7B0B">
      <w:r>
        <w:continuationSeparator/>
      </w:r>
    </w:p>
  </w:footnote>
  <w:footnote w:id="1">
    <w:p w14:paraId="1CAFD534" w14:textId="5CF740C5" w:rsidR="00F37CE2" w:rsidRPr="008A331F" w:rsidRDefault="00F37CE2" w:rsidP="005C2BE7">
      <w:pPr>
        <w:pStyle w:val="FootnoteText"/>
        <w:spacing w:after="120"/>
      </w:pPr>
      <w:r>
        <w:rPr>
          <w:rStyle w:val="FootnoteReference"/>
        </w:rPr>
        <w:footnoteRef/>
      </w:r>
      <w:r>
        <w:t xml:space="preserve"> </w:t>
      </w:r>
      <w:r w:rsidR="008A331F">
        <w:rPr>
          <w:i/>
        </w:rPr>
        <w:t xml:space="preserve">Procedures for Submitting Financial Information Required for the Disbursement of Incentive Payments and Reimbursement Payments After the Incentive Auction Closes, </w:t>
      </w:r>
      <w:r w:rsidR="008A331F">
        <w:t>Public Notice, DA 17-282, n. 19 (GN, AU, and MB March 29, 2017) (</w:t>
      </w:r>
      <w:r w:rsidR="008A331F">
        <w:rPr>
          <w:i/>
        </w:rPr>
        <w:t>Incentive Auction Financial Procedures Public Notice</w:t>
      </w:r>
      <w:r w:rsidR="008A331F">
        <w:t xml:space="preserve">).  </w:t>
      </w:r>
      <w:r w:rsidR="008A331F" w:rsidRPr="008A331F">
        <w:rPr>
          <w:i/>
        </w:rPr>
        <w:t>See, also, Expanding the Economic and Innovation Opportunities of Spectrum Through Incentive Auctions</w:t>
      </w:r>
      <w:r w:rsidR="008A331F" w:rsidRPr="008A331F">
        <w:t>, Report and Order, 29 FCC Rcd 6567, 6787 para. 538 (2014)</w:t>
      </w:r>
      <w:r w:rsidR="005C2BE7">
        <w:t>.</w:t>
      </w:r>
    </w:p>
  </w:footnote>
  <w:footnote w:id="2">
    <w:p w14:paraId="54D4E606" w14:textId="018B6D93" w:rsidR="005C2BE7" w:rsidRDefault="005C2BE7" w:rsidP="005C2BE7">
      <w:pPr>
        <w:pStyle w:val="FootnoteText"/>
        <w:spacing w:after="120"/>
      </w:pPr>
      <w:r>
        <w:rPr>
          <w:rStyle w:val="FootnoteReference"/>
        </w:rPr>
        <w:footnoteRef/>
      </w:r>
      <w:r>
        <w:t xml:space="preserve"> </w:t>
      </w:r>
      <w:r w:rsidRPr="005C2BE7">
        <w:t>FCC File No. BTCCDT - 20170427ABJ, Exhibit 1.</w:t>
      </w:r>
    </w:p>
  </w:footnote>
  <w:footnote w:id="3">
    <w:p w14:paraId="0EAE16E2" w14:textId="0E9B2231" w:rsidR="005C2BE7" w:rsidRDefault="005C2BE7">
      <w:pPr>
        <w:pStyle w:val="FootnoteText"/>
      </w:pPr>
      <w:r>
        <w:rPr>
          <w:rStyle w:val="FootnoteReference"/>
        </w:rPr>
        <w:footnoteRef/>
      </w:r>
      <w:r>
        <w:t xml:space="preserve"> </w:t>
      </w:r>
      <w:r w:rsidRPr="002B4AD2">
        <w:rPr>
          <w:i/>
        </w:rPr>
        <w:t>Id.</w:t>
      </w:r>
    </w:p>
  </w:footnote>
  <w:footnote w:id="4">
    <w:p w14:paraId="2092E3F0" w14:textId="00ABF49B" w:rsidR="008C0487" w:rsidRDefault="008C0487" w:rsidP="00AF51BE">
      <w:pPr>
        <w:pStyle w:val="FootnoteText"/>
        <w:spacing w:after="120"/>
      </w:pPr>
      <w:r>
        <w:rPr>
          <w:rStyle w:val="FootnoteReference"/>
        </w:rPr>
        <w:footnoteRef/>
      </w:r>
      <w:r w:rsidR="00534D46">
        <w:t xml:space="preserve"> </w:t>
      </w:r>
      <w:r w:rsidR="005C2BE7" w:rsidRPr="002B4AD2">
        <w:rPr>
          <w:i/>
        </w:rPr>
        <w:t>Id.</w:t>
      </w:r>
      <w:r w:rsidR="005C2BE7">
        <w:t xml:space="preserve"> </w:t>
      </w:r>
    </w:p>
  </w:footnote>
  <w:footnote w:id="5">
    <w:p w14:paraId="3E3F42EF" w14:textId="44E936D1" w:rsidR="00534D46" w:rsidRDefault="00534D46" w:rsidP="005C2BE7">
      <w:pPr>
        <w:pStyle w:val="FootnoteText"/>
        <w:spacing w:after="120"/>
      </w:pPr>
      <w:r>
        <w:rPr>
          <w:rStyle w:val="FootnoteReference"/>
        </w:rPr>
        <w:footnoteRef/>
      </w:r>
      <w:r>
        <w:t xml:space="preserve"> </w:t>
      </w:r>
      <w:r w:rsidR="00AF51BE">
        <w:t xml:space="preserve">June 8, 2017, Letter from Kathleen Kirby to Jean Kiddoo, Chair, and Hillary DeNigro, Deputy </w:t>
      </w:r>
      <w:r w:rsidR="002B4AD2">
        <w:t>Chair</w:t>
      </w:r>
      <w:r w:rsidR="00AF51BE">
        <w:t>, Incentive Auction Task Force, at 3.</w:t>
      </w:r>
    </w:p>
  </w:footnote>
  <w:footnote w:id="6">
    <w:p w14:paraId="1BF78F03" w14:textId="41E8DA40" w:rsidR="005524AA" w:rsidRDefault="005524AA">
      <w:pPr>
        <w:pStyle w:val="FootnoteText"/>
      </w:pPr>
      <w:r>
        <w:rPr>
          <w:rStyle w:val="FootnoteReference"/>
        </w:rPr>
        <w:footnoteRef/>
      </w:r>
      <w:r>
        <w:t xml:space="preserve"> June 8, 2017, Letter from Kathleen Kirby to Jean Kiddoo, Chair, and Hillary DeNigro, Deputy </w:t>
      </w:r>
      <w:r w:rsidR="002B4AD2">
        <w:t>Chair</w:t>
      </w:r>
      <w:r>
        <w:t>, Incentive Auction Task Force, at Exhibit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79002" w14:textId="77777777" w:rsidR="00B222C9" w:rsidRDefault="00B222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B6847" w14:textId="77777777" w:rsidR="00B222C9" w:rsidRDefault="00B222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09A07" w14:textId="77777777" w:rsidR="002B54DB" w:rsidRDefault="00470FB3">
    <w:pPr>
      <w:pStyle w:val="Header"/>
      <w:tabs>
        <w:tab w:val="clear" w:pos="4320"/>
        <w:tab w:val="clear" w:pos="8640"/>
      </w:tabs>
      <w:spacing w:before="360" w:line="228" w:lineRule="auto"/>
      <w:jc w:val="center"/>
    </w:pPr>
    <w:r>
      <w:rPr>
        <w:rFonts w:ascii="CG Times (W1)" w:hAnsi="CG Times (W1)"/>
        <w:sz w:val="28"/>
      </w:rPr>
      <w:pict w14:anchorId="5DAEF9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558941839" r:id="rId2"/>
      </w:pict>
    </w:r>
    <w:r w:rsidR="002B54DB">
      <w:rPr>
        <w:rFonts w:ascii="CG Times (W1)" w:hAnsi="CG Times (W1)"/>
        <w:sz w:val="28"/>
      </w:rPr>
      <w:t>Federal Communications Commission</w:t>
    </w:r>
  </w:p>
  <w:p w14:paraId="77F1E44B" w14:textId="77777777" w:rsidR="002B54DB" w:rsidRDefault="002B54DB">
    <w:pPr>
      <w:jc w:val="center"/>
    </w:pPr>
    <w:r>
      <w:rPr>
        <w:rFonts w:ascii="CG Times (W1)" w:hAnsi="CG Times (W1)"/>
        <w:sz w:val="28"/>
      </w:rPr>
      <w:t>Washington, D.C. 20554</w:t>
    </w:r>
  </w:p>
  <w:p w14:paraId="15D004B7" w14:textId="77777777" w:rsidR="002B54DB" w:rsidRDefault="002B54DB">
    <w:pPr>
      <w:pStyle w:val="Header"/>
      <w:tabs>
        <w:tab w:val="clear" w:pos="4320"/>
      </w:tabs>
      <w:jc w:val="center"/>
      <w:rPr>
        <w:sz w:val="22"/>
      </w:rPr>
    </w:pPr>
  </w:p>
  <w:p w14:paraId="68519082" w14:textId="77777777" w:rsidR="002B54DB" w:rsidRDefault="002B54DB">
    <w:pPr>
      <w:pStyle w:val="Header"/>
      <w:tabs>
        <w:tab w:val="clear" w:pos="4320"/>
      </w:tabs>
      <w:jc w:val="center"/>
      <w:rPr>
        <w:sz w:val="22"/>
      </w:rPr>
    </w:pPr>
  </w:p>
  <w:p w14:paraId="1C21B5A1" w14:textId="01AE0DC4" w:rsidR="002B54DB" w:rsidRDefault="002B54DB">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470FB3">
      <w:rPr>
        <w:noProof/>
        <w:sz w:val="24"/>
      </w:rPr>
      <w:t>June 14, 2017</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0B"/>
    <w:rsid w:val="0008068E"/>
    <w:rsid w:val="000C6A99"/>
    <w:rsid w:val="00196AD3"/>
    <w:rsid w:val="001A4E8D"/>
    <w:rsid w:val="001B695B"/>
    <w:rsid w:val="00204CE3"/>
    <w:rsid w:val="00243E1A"/>
    <w:rsid w:val="002549A3"/>
    <w:rsid w:val="0029758E"/>
    <w:rsid w:val="002B26D4"/>
    <w:rsid w:val="002B4AD2"/>
    <w:rsid w:val="002B54DB"/>
    <w:rsid w:val="003A768C"/>
    <w:rsid w:val="003B651E"/>
    <w:rsid w:val="00437FCB"/>
    <w:rsid w:val="00470FB3"/>
    <w:rsid w:val="00476AF3"/>
    <w:rsid w:val="004D3B53"/>
    <w:rsid w:val="00534D46"/>
    <w:rsid w:val="005524AA"/>
    <w:rsid w:val="005B46B7"/>
    <w:rsid w:val="005C2BE7"/>
    <w:rsid w:val="005C7B0B"/>
    <w:rsid w:val="005E0723"/>
    <w:rsid w:val="006900A9"/>
    <w:rsid w:val="007113FE"/>
    <w:rsid w:val="007659CC"/>
    <w:rsid w:val="007E6F6B"/>
    <w:rsid w:val="007F1BA9"/>
    <w:rsid w:val="007F38F9"/>
    <w:rsid w:val="00826CE5"/>
    <w:rsid w:val="0086740E"/>
    <w:rsid w:val="008A331F"/>
    <w:rsid w:val="008C0487"/>
    <w:rsid w:val="009857D2"/>
    <w:rsid w:val="009874EA"/>
    <w:rsid w:val="00A05AE9"/>
    <w:rsid w:val="00A2785C"/>
    <w:rsid w:val="00AA04DA"/>
    <w:rsid w:val="00AF51BE"/>
    <w:rsid w:val="00B222C9"/>
    <w:rsid w:val="00B50F36"/>
    <w:rsid w:val="00BD3C0F"/>
    <w:rsid w:val="00C86E0B"/>
    <w:rsid w:val="00D1244E"/>
    <w:rsid w:val="00D90D75"/>
    <w:rsid w:val="00DD0C7F"/>
    <w:rsid w:val="00E50468"/>
    <w:rsid w:val="00EC4884"/>
    <w:rsid w:val="00F3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08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1,Footnote Text Char Char,Footnote Text Char2 Char Char1,Footnote Text Char1 Char Char Char,Footnote Text Char Char Char Char Char,Footnote Text Char1 Char Char Char Char Char,Footnote Text Char1 Char Char"/>
    <w:basedOn w:val="Normal"/>
    <w:link w:val="FootnoteTextChar"/>
    <w:semiHidden/>
    <w:rsid w:val="005C7B0B"/>
  </w:style>
  <w:style w:type="character" w:customStyle="1" w:styleId="FootnoteTextChar">
    <w:name w:val="Footnote Text Char"/>
    <w:aliases w:val="Footnote Text Char1 Char,Footnote Text Char Char Char,Footnote Text Char2 Char Char1 Char,Footnote Text Char1 Char Char Char Char,Footnote Text Char Char Char Char Char Char,Footnote Text Char1 Char Char Char Char Char Char"/>
    <w:basedOn w:val="DefaultParagraphFont"/>
    <w:link w:val="FootnoteText"/>
    <w:semiHidden/>
    <w:rsid w:val="005C7B0B"/>
  </w:style>
  <w:style w:type="character" w:styleId="FootnoteReference">
    <w:name w:val="footnote reference"/>
    <w:semiHidden/>
    <w:rsid w:val="005C7B0B"/>
    <w:rPr>
      <w:vertAlign w:val="superscript"/>
    </w:rPr>
  </w:style>
  <w:style w:type="character" w:customStyle="1" w:styleId="FooterChar">
    <w:name w:val="Footer Char"/>
    <w:link w:val="Footer"/>
    <w:uiPriority w:val="99"/>
    <w:rsid w:val="005C7B0B"/>
  </w:style>
  <w:style w:type="paragraph" w:styleId="BalloonText">
    <w:name w:val="Balloon Text"/>
    <w:basedOn w:val="Normal"/>
    <w:link w:val="BalloonTextChar"/>
    <w:uiPriority w:val="99"/>
    <w:semiHidden/>
    <w:unhideWhenUsed/>
    <w:rsid w:val="007659CC"/>
    <w:rPr>
      <w:rFonts w:ascii="Tahoma" w:hAnsi="Tahoma" w:cs="Tahoma"/>
      <w:sz w:val="16"/>
      <w:szCs w:val="16"/>
    </w:rPr>
  </w:style>
  <w:style w:type="character" w:customStyle="1" w:styleId="BalloonTextChar">
    <w:name w:val="Balloon Text Char"/>
    <w:basedOn w:val="DefaultParagraphFont"/>
    <w:link w:val="BalloonText"/>
    <w:uiPriority w:val="99"/>
    <w:semiHidden/>
    <w:rsid w:val="007659CC"/>
    <w:rPr>
      <w:rFonts w:ascii="Tahoma" w:hAnsi="Tahoma" w:cs="Tahoma"/>
      <w:sz w:val="16"/>
      <w:szCs w:val="16"/>
    </w:rPr>
  </w:style>
  <w:style w:type="character" w:styleId="CommentReference">
    <w:name w:val="annotation reference"/>
    <w:basedOn w:val="DefaultParagraphFont"/>
    <w:uiPriority w:val="99"/>
    <w:semiHidden/>
    <w:unhideWhenUsed/>
    <w:rsid w:val="007113FE"/>
    <w:rPr>
      <w:sz w:val="16"/>
      <w:szCs w:val="16"/>
    </w:rPr>
  </w:style>
  <w:style w:type="paragraph" w:styleId="CommentText">
    <w:name w:val="annotation text"/>
    <w:basedOn w:val="Normal"/>
    <w:link w:val="CommentTextChar"/>
    <w:uiPriority w:val="99"/>
    <w:semiHidden/>
    <w:unhideWhenUsed/>
    <w:rsid w:val="007113FE"/>
  </w:style>
  <w:style w:type="character" w:customStyle="1" w:styleId="CommentTextChar">
    <w:name w:val="Comment Text Char"/>
    <w:basedOn w:val="DefaultParagraphFont"/>
    <w:link w:val="CommentText"/>
    <w:uiPriority w:val="99"/>
    <w:semiHidden/>
    <w:rsid w:val="007113FE"/>
  </w:style>
  <w:style w:type="paragraph" w:styleId="CommentSubject">
    <w:name w:val="annotation subject"/>
    <w:basedOn w:val="CommentText"/>
    <w:next w:val="CommentText"/>
    <w:link w:val="CommentSubjectChar"/>
    <w:uiPriority w:val="99"/>
    <w:semiHidden/>
    <w:unhideWhenUsed/>
    <w:rsid w:val="007113FE"/>
    <w:rPr>
      <w:b/>
      <w:bCs/>
    </w:rPr>
  </w:style>
  <w:style w:type="character" w:customStyle="1" w:styleId="CommentSubjectChar">
    <w:name w:val="Comment Subject Char"/>
    <w:basedOn w:val="CommentTextChar"/>
    <w:link w:val="CommentSubject"/>
    <w:uiPriority w:val="99"/>
    <w:semiHidden/>
    <w:rsid w:val="007113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1,Footnote Text Char Char,Footnote Text Char2 Char Char1,Footnote Text Char1 Char Char Char,Footnote Text Char Char Char Char Char,Footnote Text Char1 Char Char Char Char Char,Footnote Text Char1 Char Char"/>
    <w:basedOn w:val="Normal"/>
    <w:link w:val="FootnoteTextChar"/>
    <w:semiHidden/>
    <w:rsid w:val="005C7B0B"/>
  </w:style>
  <w:style w:type="character" w:customStyle="1" w:styleId="FootnoteTextChar">
    <w:name w:val="Footnote Text Char"/>
    <w:aliases w:val="Footnote Text Char1 Char,Footnote Text Char Char Char,Footnote Text Char2 Char Char1 Char,Footnote Text Char1 Char Char Char Char,Footnote Text Char Char Char Char Char Char,Footnote Text Char1 Char Char Char Char Char Char"/>
    <w:basedOn w:val="DefaultParagraphFont"/>
    <w:link w:val="FootnoteText"/>
    <w:semiHidden/>
    <w:rsid w:val="005C7B0B"/>
  </w:style>
  <w:style w:type="character" w:styleId="FootnoteReference">
    <w:name w:val="footnote reference"/>
    <w:semiHidden/>
    <w:rsid w:val="005C7B0B"/>
    <w:rPr>
      <w:vertAlign w:val="superscript"/>
    </w:rPr>
  </w:style>
  <w:style w:type="character" w:customStyle="1" w:styleId="FooterChar">
    <w:name w:val="Footer Char"/>
    <w:link w:val="Footer"/>
    <w:uiPriority w:val="99"/>
    <w:rsid w:val="005C7B0B"/>
  </w:style>
  <w:style w:type="paragraph" w:styleId="BalloonText">
    <w:name w:val="Balloon Text"/>
    <w:basedOn w:val="Normal"/>
    <w:link w:val="BalloonTextChar"/>
    <w:uiPriority w:val="99"/>
    <w:semiHidden/>
    <w:unhideWhenUsed/>
    <w:rsid w:val="007659CC"/>
    <w:rPr>
      <w:rFonts w:ascii="Tahoma" w:hAnsi="Tahoma" w:cs="Tahoma"/>
      <w:sz w:val="16"/>
      <w:szCs w:val="16"/>
    </w:rPr>
  </w:style>
  <w:style w:type="character" w:customStyle="1" w:styleId="BalloonTextChar">
    <w:name w:val="Balloon Text Char"/>
    <w:basedOn w:val="DefaultParagraphFont"/>
    <w:link w:val="BalloonText"/>
    <w:uiPriority w:val="99"/>
    <w:semiHidden/>
    <w:rsid w:val="007659CC"/>
    <w:rPr>
      <w:rFonts w:ascii="Tahoma" w:hAnsi="Tahoma" w:cs="Tahoma"/>
      <w:sz w:val="16"/>
      <w:szCs w:val="16"/>
    </w:rPr>
  </w:style>
  <w:style w:type="character" w:styleId="CommentReference">
    <w:name w:val="annotation reference"/>
    <w:basedOn w:val="DefaultParagraphFont"/>
    <w:uiPriority w:val="99"/>
    <w:semiHidden/>
    <w:unhideWhenUsed/>
    <w:rsid w:val="007113FE"/>
    <w:rPr>
      <w:sz w:val="16"/>
      <w:szCs w:val="16"/>
    </w:rPr>
  </w:style>
  <w:style w:type="paragraph" w:styleId="CommentText">
    <w:name w:val="annotation text"/>
    <w:basedOn w:val="Normal"/>
    <w:link w:val="CommentTextChar"/>
    <w:uiPriority w:val="99"/>
    <w:semiHidden/>
    <w:unhideWhenUsed/>
    <w:rsid w:val="007113FE"/>
  </w:style>
  <w:style w:type="character" w:customStyle="1" w:styleId="CommentTextChar">
    <w:name w:val="Comment Text Char"/>
    <w:basedOn w:val="DefaultParagraphFont"/>
    <w:link w:val="CommentText"/>
    <w:uiPriority w:val="99"/>
    <w:semiHidden/>
    <w:rsid w:val="007113FE"/>
  </w:style>
  <w:style w:type="paragraph" w:styleId="CommentSubject">
    <w:name w:val="annotation subject"/>
    <w:basedOn w:val="CommentText"/>
    <w:next w:val="CommentText"/>
    <w:link w:val="CommentSubjectChar"/>
    <w:uiPriority w:val="99"/>
    <w:semiHidden/>
    <w:unhideWhenUsed/>
    <w:rsid w:val="007113FE"/>
    <w:rPr>
      <w:b/>
      <w:bCs/>
    </w:rPr>
  </w:style>
  <w:style w:type="character" w:customStyle="1" w:styleId="CommentSubjectChar">
    <w:name w:val="Comment Subject Char"/>
    <w:basedOn w:val="CommentTextChar"/>
    <w:link w:val="CommentSubject"/>
    <w:uiPriority w:val="99"/>
    <w:semiHidden/>
    <w:rsid w:val="007113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607</Words>
  <Characters>3257</Characters>
  <Application>Microsoft Office Word</Application>
  <DocSecurity>0</DocSecurity>
  <Lines>78</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2017-06-14T13:53:00Z</cp:lastPrinted>
  <dcterms:created xsi:type="dcterms:W3CDTF">2017-06-14T14:37:00Z</dcterms:created>
  <dcterms:modified xsi:type="dcterms:W3CDTF">2017-06-14T14:37:00Z</dcterms:modified>
  <cp:category> </cp:category>
  <cp:contentStatus> </cp:contentStatus>
</cp:coreProperties>
</file>