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6B" w:rsidRDefault="00F821EB" w:rsidP="00AB2259">
      <w:pPr>
        <w:jc w:val="center"/>
        <w:rPr>
          <w:b/>
        </w:rPr>
      </w:pPr>
      <w:bookmarkStart w:id="0" w:name="_GoBack"/>
      <w:bookmarkEnd w:id="0"/>
      <w:r>
        <w:rPr>
          <w:b/>
        </w:rPr>
        <w:t xml:space="preserve"> </w:t>
      </w:r>
      <w:r w:rsidR="00D1486B">
        <w:rPr>
          <w:b/>
        </w:rPr>
        <w:t>Before the</w:t>
      </w:r>
    </w:p>
    <w:p w:rsidR="00D1486B" w:rsidRDefault="00D1486B" w:rsidP="00AB2259">
      <w:pPr>
        <w:jc w:val="center"/>
        <w:rPr>
          <w:b/>
        </w:rPr>
      </w:pPr>
      <w:r>
        <w:rPr>
          <w:b/>
        </w:rPr>
        <w:t>Federal Communications Commission</w:t>
      </w:r>
    </w:p>
    <w:p w:rsidR="00D1486B" w:rsidRDefault="00D1486B" w:rsidP="00AB2259">
      <w:pPr>
        <w:jc w:val="center"/>
      </w:pPr>
      <w:r>
        <w:rPr>
          <w:b/>
        </w:rPr>
        <w:t>Washington, D.C. 20554</w:t>
      </w:r>
    </w:p>
    <w:p w:rsidR="00D1486B" w:rsidRDefault="00D1486B" w:rsidP="00FB2F06"/>
    <w:tbl>
      <w:tblPr>
        <w:tblW w:w="9685" w:type="dxa"/>
        <w:tblLayout w:type="fixed"/>
        <w:tblLook w:val="0000" w:firstRow="0" w:lastRow="0" w:firstColumn="0" w:lastColumn="0" w:noHBand="0" w:noVBand="0"/>
      </w:tblPr>
      <w:tblGrid>
        <w:gridCol w:w="4716"/>
        <w:gridCol w:w="723"/>
        <w:gridCol w:w="4246"/>
      </w:tblGrid>
      <w:tr w:rsidR="00D1486B">
        <w:trPr>
          <w:trHeight w:val="1353"/>
        </w:trPr>
        <w:tc>
          <w:tcPr>
            <w:tcW w:w="4716" w:type="dxa"/>
          </w:tcPr>
          <w:p w:rsidR="00DD7962" w:rsidRDefault="00DD7962" w:rsidP="00FB2F06">
            <w:pPr>
              <w:ind w:right="-18"/>
            </w:pPr>
          </w:p>
          <w:p w:rsidR="00D1486B" w:rsidRDefault="00D1486B" w:rsidP="00FB2F06">
            <w:pPr>
              <w:ind w:right="-18"/>
            </w:pPr>
            <w:r>
              <w:t>In the Matter of:</w:t>
            </w:r>
          </w:p>
          <w:p w:rsidR="00D1486B" w:rsidRDefault="00D1486B" w:rsidP="00FB2F06">
            <w:pPr>
              <w:ind w:right="-18"/>
            </w:pPr>
          </w:p>
          <w:p w:rsidR="006B6EE4" w:rsidRDefault="006B6EE4" w:rsidP="00FB2F06">
            <w:pPr>
              <w:ind w:right="-18"/>
            </w:pPr>
            <w:r>
              <w:t>I Square Media, LLC</w:t>
            </w:r>
          </w:p>
          <w:p w:rsidR="006B6EE4" w:rsidRDefault="006B6EE4" w:rsidP="00FB2F06">
            <w:pPr>
              <w:ind w:right="-18"/>
            </w:pPr>
          </w:p>
          <w:p w:rsidR="00692037" w:rsidRDefault="006B6EE4" w:rsidP="00FB2F06">
            <w:pPr>
              <w:ind w:right="-18"/>
            </w:pPr>
            <w:r>
              <w:t>Application for Assignment of License</w:t>
            </w:r>
            <w:r w:rsidR="00B6349B">
              <w:t>s</w:t>
            </w:r>
            <w:r>
              <w:t xml:space="preserve"> for: </w:t>
            </w:r>
          </w:p>
          <w:p w:rsidR="00D1486B" w:rsidRDefault="006B6EE4" w:rsidP="00FB2F06">
            <w:pPr>
              <w:ind w:right="-18"/>
            </w:pPr>
            <w:r>
              <w:t>KMYA-DT, Camden, Arkansas</w:t>
            </w:r>
          </w:p>
          <w:p w:rsidR="00692037" w:rsidRDefault="006B6EE4" w:rsidP="00FB2F06">
            <w:pPr>
              <w:ind w:right="-18"/>
            </w:pPr>
            <w:r>
              <w:t>KMYA-LP, Sheridan, Arkansas</w:t>
            </w:r>
          </w:p>
          <w:p w:rsidR="006B6EE4" w:rsidRDefault="006B6EE4" w:rsidP="00FB2F06">
            <w:pPr>
              <w:ind w:right="-18"/>
            </w:pPr>
          </w:p>
        </w:tc>
        <w:tc>
          <w:tcPr>
            <w:tcW w:w="723" w:type="dxa"/>
          </w:tcPr>
          <w:p w:rsidR="00D1486B" w:rsidRDefault="00D1486B" w:rsidP="00FB2F06">
            <w:pPr>
              <w:rPr>
                <w:b/>
              </w:rPr>
            </w:pPr>
            <w:r>
              <w:rPr>
                <w:b/>
              </w:rPr>
              <w:t>)</w:t>
            </w:r>
          </w:p>
          <w:p w:rsidR="00D1486B" w:rsidRDefault="00D1486B" w:rsidP="00FB2F06">
            <w:pPr>
              <w:rPr>
                <w:b/>
              </w:rPr>
            </w:pPr>
            <w:r>
              <w:rPr>
                <w:b/>
              </w:rPr>
              <w:t>)</w:t>
            </w:r>
          </w:p>
          <w:p w:rsidR="00D1486B" w:rsidRDefault="00D1486B" w:rsidP="00FB2F06">
            <w:pPr>
              <w:rPr>
                <w:b/>
              </w:rPr>
            </w:pPr>
            <w:r>
              <w:rPr>
                <w:b/>
              </w:rPr>
              <w:t>)</w:t>
            </w:r>
          </w:p>
          <w:p w:rsidR="00D1486B" w:rsidRDefault="00D1486B" w:rsidP="00FB2F06">
            <w:pPr>
              <w:rPr>
                <w:b/>
              </w:rPr>
            </w:pPr>
            <w:r>
              <w:rPr>
                <w:b/>
              </w:rPr>
              <w:t>)</w:t>
            </w:r>
          </w:p>
          <w:p w:rsidR="00D1486B" w:rsidRDefault="00D1486B" w:rsidP="00FB2F06">
            <w:pPr>
              <w:rPr>
                <w:b/>
              </w:rPr>
            </w:pPr>
            <w:r>
              <w:rPr>
                <w:b/>
              </w:rPr>
              <w:t>)</w:t>
            </w:r>
          </w:p>
          <w:p w:rsidR="006B6EE4" w:rsidRDefault="006B6EE4" w:rsidP="00FB2F06">
            <w:pPr>
              <w:rPr>
                <w:b/>
              </w:rPr>
            </w:pPr>
            <w:r>
              <w:rPr>
                <w:b/>
              </w:rPr>
              <w:t>)</w:t>
            </w:r>
          </w:p>
          <w:p w:rsidR="00D1486B" w:rsidRDefault="00D1486B" w:rsidP="00FB2F06">
            <w:pPr>
              <w:rPr>
                <w:b/>
              </w:rPr>
            </w:pPr>
            <w:r>
              <w:rPr>
                <w:b/>
              </w:rPr>
              <w:t>)</w:t>
            </w:r>
          </w:p>
          <w:p w:rsidR="00692037" w:rsidRDefault="00692037" w:rsidP="00FB2F06">
            <w:pPr>
              <w:rPr>
                <w:b/>
              </w:rPr>
            </w:pPr>
            <w:r>
              <w:rPr>
                <w:b/>
              </w:rPr>
              <w:t>)</w:t>
            </w:r>
          </w:p>
          <w:p w:rsidR="00692037" w:rsidRDefault="00692037" w:rsidP="00FB2F06">
            <w:pPr>
              <w:rPr>
                <w:b/>
              </w:rPr>
            </w:pPr>
            <w:r>
              <w:rPr>
                <w:b/>
              </w:rPr>
              <w:t>)</w:t>
            </w:r>
          </w:p>
          <w:p w:rsidR="00692037" w:rsidRDefault="00692037" w:rsidP="00FB2F06">
            <w:pPr>
              <w:rPr>
                <w:b/>
              </w:rPr>
            </w:pPr>
          </w:p>
        </w:tc>
        <w:tc>
          <w:tcPr>
            <w:tcW w:w="4246" w:type="dxa"/>
          </w:tcPr>
          <w:p w:rsidR="00692037" w:rsidRDefault="00692037" w:rsidP="00FB2F06"/>
          <w:p w:rsidR="00692037" w:rsidRDefault="00692037" w:rsidP="00FB2F06"/>
          <w:p w:rsidR="00692037" w:rsidRDefault="00692037" w:rsidP="00FB2F06"/>
          <w:p w:rsidR="00692037" w:rsidRDefault="00692037" w:rsidP="00FB2F06"/>
          <w:p w:rsidR="00DD7962" w:rsidRDefault="00DD7962" w:rsidP="00FB2F06"/>
          <w:p w:rsidR="00D1486B" w:rsidRDefault="00692037" w:rsidP="00FB2F06">
            <w:r>
              <w:t>File No. BALCDT-201601</w:t>
            </w:r>
            <w:r w:rsidR="00A01A9B">
              <w:t>08AAQ</w:t>
            </w:r>
          </w:p>
          <w:p w:rsidR="00DD7962" w:rsidRDefault="00DD7962" w:rsidP="00FB2F06">
            <w:pPr>
              <w:ind w:right="-18"/>
            </w:pPr>
            <w:r>
              <w:t>Facility No. 86534</w:t>
            </w:r>
          </w:p>
          <w:p w:rsidR="00DD7962" w:rsidRDefault="00DD7962" w:rsidP="00FB2F06">
            <w:pPr>
              <w:ind w:right="-18"/>
            </w:pPr>
            <w:r>
              <w:t>Facility No. 24263</w:t>
            </w:r>
          </w:p>
          <w:p w:rsidR="00D1486B" w:rsidRDefault="00D1486B" w:rsidP="00FB2F06"/>
        </w:tc>
      </w:tr>
    </w:tbl>
    <w:p w:rsidR="00D1486B" w:rsidRDefault="00D1486B" w:rsidP="00AB2259">
      <w:pPr>
        <w:spacing w:before="240"/>
        <w:jc w:val="center"/>
        <w:rPr>
          <w:b/>
        </w:rPr>
      </w:pPr>
      <w:r>
        <w:rPr>
          <w:b/>
          <w:spacing w:val="-2"/>
        </w:rPr>
        <w:t>MEMORANDUM OPINION AND ORDER</w:t>
      </w:r>
    </w:p>
    <w:p w:rsidR="00D1486B" w:rsidRDefault="00D1486B" w:rsidP="00FB2F06"/>
    <w:p w:rsidR="00DE2E7C" w:rsidRDefault="00DE2E7C" w:rsidP="00FB2F06"/>
    <w:p w:rsidR="00D1486B" w:rsidRDefault="00D1486B" w:rsidP="00FB2F06">
      <w:pPr>
        <w:tabs>
          <w:tab w:val="left" w:pos="5760"/>
        </w:tabs>
        <w:rPr>
          <w:b/>
        </w:rPr>
      </w:pPr>
      <w:r>
        <w:rPr>
          <w:b/>
        </w:rPr>
        <w:t xml:space="preserve">Adopted:  </w:t>
      </w:r>
      <w:r w:rsidR="00E61465">
        <w:rPr>
          <w:b/>
        </w:rPr>
        <w:t>June 21, 2017</w:t>
      </w:r>
      <w:r>
        <w:rPr>
          <w:b/>
        </w:rPr>
        <w:tab/>
        <w:t xml:space="preserve">Released:  </w:t>
      </w:r>
      <w:r w:rsidR="00E61465">
        <w:rPr>
          <w:b/>
        </w:rPr>
        <w:t>June 21, 2017</w:t>
      </w:r>
    </w:p>
    <w:p w:rsidR="00DE2E7C" w:rsidRDefault="00DE2E7C" w:rsidP="00FB2F06">
      <w:pPr>
        <w:tabs>
          <w:tab w:val="left" w:pos="5760"/>
        </w:tabs>
        <w:rPr>
          <w:b/>
        </w:rPr>
      </w:pPr>
    </w:p>
    <w:p w:rsidR="00D1486B" w:rsidRDefault="00D1486B" w:rsidP="00FB2F06">
      <w:pPr>
        <w:tabs>
          <w:tab w:val="left" w:pos="5760"/>
        </w:tabs>
        <w:rPr>
          <w:spacing w:val="-2"/>
        </w:rPr>
      </w:pPr>
      <w:r>
        <w:t>By the Chief, Video Division, Media Bureau</w:t>
      </w:r>
      <w:r>
        <w:rPr>
          <w:spacing w:val="-2"/>
        </w:rPr>
        <w:t>:</w:t>
      </w:r>
    </w:p>
    <w:p w:rsidR="00DE2E7C" w:rsidRDefault="00DE2E7C" w:rsidP="00FB2F06">
      <w:pPr>
        <w:tabs>
          <w:tab w:val="left" w:pos="5760"/>
        </w:tabs>
        <w:rPr>
          <w:spacing w:val="-2"/>
        </w:rPr>
      </w:pPr>
    </w:p>
    <w:p w:rsidR="00D1486B" w:rsidRDefault="00D1486B" w:rsidP="00FB2F06">
      <w:pPr>
        <w:tabs>
          <w:tab w:val="left" w:pos="5760"/>
        </w:tabs>
        <w:rPr>
          <w:b/>
          <w:spacing w:val="-2"/>
        </w:rPr>
      </w:pPr>
      <w:r>
        <w:rPr>
          <w:b/>
          <w:spacing w:val="-2"/>
        </w:rPr>
        <w:t>I.     INTRODUCTION</w:t>
      </w:r>
    </w:p>
    <w:p w:rsidR="00D1486B" w:rsidRDefault="00D1486B" w:rsidP="00FB2F06">
      <w:pPr>
        <w:tabs>
          <w:tab w:val="left" w:pos="5760"/>
        </w:tabs>
        <w:rPr>
          <w:spacing w:val="-2"/>
        </w:rPr>
      </w:pPr>
    </w:p>
    <w:p w:rsidR="00F45C3A" w:rsidRDefault="00C219B1" w:rsidP="00A34FB5">
      <w:pPr>
        <w:pStyle w:val="ParaNum"/>
        <w:numPr>
          <w:ilvl w:val="0"/>
          <w:numId w:val="34"/>
        </w:numPr>
        <w:tabs>
          <w:tab w:val="left" w:pos="720"/>
        </w:tabs>
        <w:spacing w:after="240"/>
        <w:ind w:left="0" w:firstLine="720"/>
        <w:jc w:val="left"/>
        <w:rPr>
          <w:szCs w:val="22"/>
        </w:rPr>
      </w:pPr>
      <w:r w:rsidRPr="00F45C3A">
        <w:rPr>
          <w:szCs w:val="22"/>
        </w:rPr>
        <w:t>The Video Division has before it a Petition to Deny, Dismiss, or Hold in Abeyance</w:t>
      </w:r>
      <w:r w:rsidR="00FA1F3E" w:rsidRPr="00F45C3A">
        <w:rPr>
          <w:szCs w:val="22"/>
        </w:rPr>
        <w:t xml:space="preserve"> (Petition)</w:t>
      </w:r>
      <w:r w:rsidRPr="00F45C3A">
        <w:rPr>
          <w:szCs w:val="22"/>
        </w:rPr>
        <w:t>, filed by Marshall Media, LLC (Marshall Media), against the above referenced Application for</w:t>
      </w:r>
      <w:r w:rsidR="00FA1F3E" w:rsidRPr="00F45C3A">
        <w:rPr>
          <w:szCs w:val="22"/>
        </w:rPr>
        <w:t xml:space="preserve"> Assignment of Licenses</w:t>
      </w:r>
      <w:r w:rsidR="00C33951">
        <w:rPr>
          <w:szCs w:val="22"/>
        </w:rPr>
        <w:t>,</w:t>
      </w:r>
      <w:r w:rsidR="00FA1F3E" w:rsidRPr="00F45C3A">
        <w:rPr>
          <w:szCs w:val="22"/>
        </w:rPr>
        <w:t xml:space="preserve"> filed by</w:t>
      </w:r>
      <w:r w:rsidRPr="00F45C3A">
        <w:rPr>
          <w:szCs w:val="22"/>
        </w:rPr>
        <w:t xml:space="preserve"> I Square Media, LLC (I-Square)</w:t>
      </w:r>
      <w:r w:rsidR="00C33951">
        <w:rPr>
          <w:szCs w:val="22"/>
        </w:rPr>
        <w:t>,</w:t>
      </w:r>
      <w:r w:rsidR="00FA1F3E" w:rsidRPr="00F45C3A">
        <w:rPr>
          <w:szCs w:val="22"/>
        </w:rPr>
        <w:t xml:space="preserve"> seeking Commission consent to assign the licenses </w:t>
      </w:r>
      <w:r w:rsidRPr="00F45C3A">
        <w:rPr>
          <w:szCs w:val="22"/>
        </w:rPr>
        <w:t>of KMYA-DT, Camden, Arkansas, a</w:t>
      </w:r>
      <w:r w:rsidR="00FA1F3E" w:rsidRPr="00F45C3A">
        <w:rPr>
          <w:szCs w:val="22"/>
        </w:rPr>
        <w:t>nd KMYA-LP, Sheridan, Arkansas, to</w:t>
      </w:r>
      <w:r w:rsidRPr="00F45C3A">
        <w:rPr>
          <w:szCs w:val="22"/>
        </w:rPr>
        <w:t xml:space="preserve"> LR Telecasting, LLC (LRT).</w:t>
      </w:r>
      <w:r>
        <w:rPr>
          <w:rStyle w:val="FootnoteReference"/>
          <w:szCs w:val="22"/>
        </w:rPr>
        <w:footnoteReference w:id="2"/>
      </w:r>
      <w:r w:rsidR="00267B3F" w:rsidRPr="00F45C3A">
        <w:rPr>
          <w:szCs w:val="22"/>
        </w:rPr>
        <w:t xml:space="preserve"> </w:t>
      </w:r>
      <w:r w:rsidR="002966F9" w:rsidRPr="00F45C3A">
        <w:rPr>
          <w:szCs w:val="22"/>
        </w:rPr>
        <w:t xml:space="preserve"> </w:t>
      </w:r>
      <w:r w:rsidR="00F45C3A">
        <w:rPr>
          <w:szCs w:val="22"/>
        </w:rPr>
        <w:t>For the reasons set forth below, the Video Division dismisses Marshall Media’s Petition, and denies the substantive arguments contained therein.</w:t>
      </w:r>
    </w:p>
    <w:p w:rsidR="00D04C86" w:rsidRPr="00F45C3A" w:rsidRDefault="00D04C86" w:rsidP="00336495">
      <w:pPr>
        <w:pStyle w:val="ParaNum"/>
        <w:numPr>
          <w:ilvl w:val="0"/>
          <w:numId w:val="0"/>
        </w:numPr>
        <w:spacing w:after="240"/>
        <w:jc w:val="left"/>
        <w:rPr>
          <w:b/>
          <w:szCs w:val="22"/>
        </w:rPr>
      </w:pPr>
      <w:r w:rsidRPr="00F45C3A">
        <w:rPr>
          <w:b/>
          <w:szCs w:val="22"/>
        </w:rPr>
        <w:t>II.     BACKGROUND</w:t>
      </w:r>
    </w:p>
    <w:p w:rsidR="00246C5B" w:rsidRDefault="003B7E30" w:rsidP="00A34FB5">
      <w:pPr>
        <w:pStyle w:val="ParaNum"/>
        <w:numPr>
          <w:ilvl w:val="0"/>
          <w:numId w:val="0"/>
        </w:numPr>
        <w:spacing w:after="240"/>
        <w:ind w:firstLine="720"/>
        <w:jc w:val="left"/>
        <w:rPr>
          <w:szCs w:val="22"/>
        </w:rPr>
      </w:pPr>
      <w:r>
        <w:t>2,</w:t>
      </w:r>
      <w:r>
        <w:tab/>
      </w:r>
      <w:r w:rsidR="00391E02">
        <w:t>On June 3, 2014</w:t>
      </w:r>
      <w:r w:rsidR="00306904">
        <w:t xml:space="preserve">, </w:t>
      </w:r>
      <w:r w:rsidR="00B42216">
        <w:rPr>
          <w:szCs w:val="22"/>
        </w:rPr>
        <w:t>KMYA, LLC (KMYA), the former licensee,</w:t>
      </w:r>
      <w:r w:rsidR="00306904">
        <w:t xml:space="preserve"> filed an Application for Assignment of Licenses</w:t>
      </w:r>
      <w:r w:rsidR="005D58AA">
        <w:t xml:space="preserve"> (2014 Application)</w:t>
      </w:r>
      <w:r w:rsidR="00246C5B">
        <w:t xml:space="preserve"> to assign the </w:t>
      </w:r>
      <w:r w:rsidR="000835EA">
        <w:t>s</w:t>
      </w:r>
      <w:r w:rsidR="00246C5B">
        <w:t>tations to I-Square</w:t>
      </w:r>
      <w:r w:rsidR="00391E02">
        <w:t>.</w:t>
      </w:r>
      <w:r w:rsidR="00306904">
        <w:t xml:space="preserve"> </w:t>
      </w:r>
      <w:r w:rsidR="0095129D">
        <w:t xml:space="preserve"> </w:t>
      </w:r>
      <w:r w:rsidR="00B37407">
        <w:t>The Commission granted the</w:t>
      </w:r>
      <w:r w:rsidR="000835EA">
        <w:t xml:space="preserve"> application, and the sale</w:t>
      </w:r>
      <w:r w:rsidR="000C2DCA">
        <w:t xml:space="preserve"> was consummated on September 18</w:t>
      </w:r>
      <w:r w:rsidR="00B37407">
        <w:t>, 2014.</w:t>
      </w:r>
      <w:r w:rsidR="00CB64D7">
        <w:rPr>
          <w:rStyle w:val="FootnoteReference"/>
        </w:rPr>
        <w:footnoteReference w:id="3"/>
      </w:r>
      <w:r w:rsidR="00297A77">
        <w:rPr>
          <w:szCs w:val="22"/>
        </w:rPr>
        <w:t xml:space="preserve"> </w:t>
      </w:r>
      <w:r w:rsidR="0095129D">
        <w:rPr>
          <w:szCs w:val="22"/>
        </w:rPr>
        <w:t xml:space="preserve"> </w:t>
      </w:r>
      <w:r w:rsidR="00297A77" w:rsidRPr="00297A77">
        <w:rPr>
          <w:szCs w:val="22"/>
        </w:rPr>
        <w:t xml:space="preserve">In </w:t>
      </w:r>
      <w:r w:rsidR="008E3FF8" w:rsidRPr="00297A77">
        <w:rPr>
          <w:szCs w:val="22"/>
        </w:rPr>
        <w:t xml:space="preserve">2015, I-Square began negotiations with </w:t>
      </w:r>
      <w:r w:rsidR="009F7D0B">
        <w:rPr>
          <w:szCs w:val="22"/>
        </w:rPr>
        <w:t>LRT</w:t>
      </w:r>
      <w:r w:rsidR="008E3FF8" w:rsidRPr="00297A77">
        <w:rPr>
          <w:szCs w:val="22"/>
        </w:rPr>
        <w:t xml:space="preserve">, and in January 2016, “entered into a binding Letter of Intent” for the sale of the </w:t>
      </w:r>
      <w:r w:rsidR="008E3FF8" w:rsidRPr="00297A77">
        <w:rPr>
          <w:szCs w:val="22"/>
        </w:rPr>
        <w:lastRenderedPageBreak/>
        <w:t>Stations.</w:t>
      </w:r>
      <w:r w:rsidR="008E3FF8">
        <w:rPr>
          <w:rStyle w:val="FootnoteReference"/>
          <w:szCs w:val="22"/>
        </w:rPr>
        <w:footnoteReference w:id="4"/>
      </w:r>
      <w:r w:rsidR="008E3FF8" w:rsidRPr="00297A77">
        <w:rPr>
          <w:szCs w:val="22"/>
        </w:rPr>
        <w:t xml:space="preserve"> </w:t>
      </w:r>
      <w:r w:rsidR="0095129D">
        <w:rPr>
          <w:szCs w:val="22"/>
        </w:rPr>
        <w:t xml:space="preserve"> </w:t>
      </w:r>
      <w:r w:rsidR="00D63EC9" w:rsidRPr="00297A77">
        <w:rPr>
          <w:szCs w:val="22"/>
        </w:rPr>
        <w:t xml:space="preserve">Subsequently, </w:t>
      </w:r>
      <w:r w:rsidR="00A01A9B" w:rsidRPr="00297A77">
        <w:rPr>
          <w:szCs w:val="22"/>
        </w:rPr>
        <w:t>I-Square and LRT jointly file</w:t>
      </w:r>
      <w:r w:rsidR="00D63EC9" w:rsidRPr="00297A77">
        <w:rPr>
          <w:szCs w:val="22"/>
        </w:rPr>
        <w:t>d the above-captioned</w:t>
      </w:r>
      <w:r w:rsidR="005D5C0E">
        <w:rPr>
          <w:szCs w:val="22"/>
        </w:rPr>
        <w:t xml:space="preserve"> Application for A</w:t>
      </w:r>
      <w:r w:rsidR="00A01A9B" w:rsidRPr="00297A77">
        <w:rPr>
          <w:szCs w:val="22"/>
        </w:rPr>
        <w:t>ssignment</w:t>
      </w:r>
      <w:r w:rsidR="005D5C0E">
        <w:rPr>
          <w:szCs w:val="22"/>
        </w:rPr>
        <w:t xml:space="preserve"> of Licenses (2016 Application)</w:t>
      </w:r>
      <w:r w:rsidR="00A01A9B" w:rsidRPr="00297A77">
        <w:rPr>
          <w:szCs w:val="22"/>
        </w:rPr>
        <w:t>, which the Commission accepted for filing on January 11, 2016.</w:t>
      </w:r>
      <w:r w:rsidR="00A01A9B">
        <w:rPr>
          <w:rStyle w:val="FootnoteReference"/>
          <w:szCs w:val="22"/>
        </w:rPr>
        <w:footnoteReference w:id="5"/>
      </w:r>
      <w:r w:rsidR="00A01A9B" w:rsidRPr="00297A77">
        <w:rPr>
          <w:szCs w:val="22"/>
        </w:rPr>
        <w:t xml:space="preserve"> </w:t>
      </w:r>
      <w:r w:rsidR="00297A77">
        <w:rPr>
          <w:szCs w:val="22"/>
        </w:rPr>
        <w:t xml:space="preserve"> </w:t>
      </w:r>
      <w:r w:rsidR="007F775F">
        <w:rPr>
          <w:szCs w:val="22"/>
        </w:rPr>
        <w:t xml:space="preserve"> </w:t>
      </w:r>
    </w:p>
    <w:p w:rsidR="00097FCA" w:rsidRPr="00097FCA" w:rsidRDefault="007D56D4" w:rsidP="00A34FB5">
      <w:pPr>
        <w:pStyle w:val="ParaNum"/>
        <w:numPr>
          <w:ilvl w:val="0"/>
          <w:numId w:val="35"/>
        </w:numPr>
        <w:tabs>
          <w:tab w:val="left" w:pos="1620"/>
        </w:tabs>
        <w:spacing w:after="240"/>
        <w:ind w:left="0" w:firstLine="720"/>
        <w:jc w:val="left"/>
        <w:rPr>
          <w:szCs w:val="22"/>
        </w:rPr>
      </w:pPr>
      <w:r w:rsidRPr="00297A77">
        <w:rPr>
          <w:szCs w:val="22"/>
        </w:rPr>
        <w:t xml:space="preserve">On March 8, 2016, Marshall Media, a 10 percent </w:t>
      </w:r>
      <w:r w:rsidR="006C5452">
        <w:rPr>
          <w:szCs w:val="22"/>
        </w:rPr>
        <w:t>interest holder of</w:t>
      </w:r>
      <w:r w:rsidR="007C5BC5">
        <w:rPr>
          <w:szCs w:val="22"/>
        </w:rPr>
        <w:t xml:space="preserve"> SSN</w:t>
      </w:r>
      <w:r w:rsidR="00093644">
        <w:rPr>
          <w:szCs w:val="22"/>
        </w:rPr>
        <w:t xml:space="preserve"> Funding, LP (SSN)</w:t>
      </w:r>
      <w:r w:rsidR="007C5BC5">
        <w:rPr>
          <w:szCs w:val="22"/>
        </w:rPr>
        <w:t>,</w:t>
      </w:r>
      <w:r w:rsidR="00093644">
        <w:rPr>
          <w:rStyle w:val="FootnoteReference"/>
          <w:szCs w:val="22"/>
        </w:rPr>
        <w:footnoteReference w:id="6"/>
      </w:r>
      <w:r w:rsidR="007C5BC5">
        <w:rPr>
          <w:szCs w:val="22"/>
        </w:rPr>
        <w:t xml:space="preserve"> filed a</w:t>
      </w:r>
      <w:r w:rsidRPr="00297A77">
        <w:rPr>
          <w:szCs w:val="22"/>
        </w:rPr>
        <w:t xml:space="preserve"> </w:t>
      </w:r>
      <w:r w:rsidR="00B42216">
        <w:rPr>
          <w:szCs w:val="22"/>
        </w:rPr>
        <w:t>Petition</w:t>
      </w:r>
      <w:r w:rsidR="007C5BC5">
        <w:rPr>
          <w:szCs w:val="22"/>
        </w:rPr>
        <w:t xml:space="preserve"> to Deny, Dismiss, or Hold in Abeyance (Petition)</w:t>
      </w:r>
      <w:r w:rsidR="0095129D">
        <w:rPr>
          <w:szCs w:val="22"/>
        </w:rPr>
        <w:t>,</w:t>
      </w:r>
      <w:r w:rsidR="007C5BC5">
        <w:rPr>
          <w:szCs w:val="22"/>
        </w:rPr>
        <w:t xml:space="preserve"> </w:t>
      </w:r>
      <w:r w:rsidR="00C962B3">
        <w:rPr>
          <w:szCs w:val="22"/>
        </w:rPr>
        <w:t>requesting the Division to “deny or dismiss”</w:t>
      </w:r>
      <w:r w:rsidR="007C5BC5">
        <w:rPr>
          <w:szCs w:val="22"/>
        </w:rPr>
        <w:t xml:space="preserve"> the 2016 Application </w:t>
      </w:r>
      <w:r w:rsidR="00F70661">
        <w:rPr>
          <w:szCs w:val="22"/>
        </w:rPr>
        <w:t>be</w:t>
      </w:r>
      <w:r w:rsidR="00AF05FF">
        <w:rPr>
          <w:szCs w:val="22"/>
        </w:rPr>
        <w:t>c</w:t>
      </w:r>
      <w:r w:rsidR="00F70661">
        <w:rPr>
          <w:szCs w:val="22"/>
        </w:rPr>
        <w:t>ause</w:t>
      </w:r>
      <w:r w:rsidR="00AF05FF">
        <w:rPr>
          <w:szCs w:val="22"/>
        </w:rPr>
        <w:t xml:space="preserve"> </w:t>
      </w:r>
      <w:r w:rsidR="007C5BC5">
        <w:rPr>
          <w:szCs w:val="22"/>
        </w:rPr>
        <w:t>“</w:t>
      </w:r>
      <w:r w:rsidR="00462CF6">
        <w:rPr>
          <w:szCs w:val="22"/>
        </w:rPr>
        <w:t>[t]he proposed assignment of the Stations, if consum</w:t>
      </w:r>
      <w:r w:rsidR="00A80764">
        <w:rPr>
          <w:szCs w:val="22"/>
        </w:rPr>
        <w:t>mated, [would]</w:t>
      </w:r>
      <w:r w:rsidR="00462CF6">
        <w:rPr>
          <w:szCs w:val="22"/>
        </w:rPr>
        <w:t xml:space="preserve"> result in the </w:t>
      </w:r>
      <w:r w:rsidR="00462CF6" w:rsidRPr="003145AE">
        <w:rPr>
          <w:i/>
          <w:szCs w:val="22"/>
        </w:rPr>
        <w:t>ultra vires</w:t>
      </w:r>
      <w:r w:rsidR="00462CF6">
        <w:rPr>
          <w:szCs w:val="22"/>
        </w:rPr>
        <w:t xml:space="preserve"> assignment of the S</w:t>
      </w:r>
      <w:r w:rsidR="0051018C">
        <w:rPr>
          <w:szCs w:val="22"/>
        </w:rPr>
        <w:t>tations for which [I-Square]</w:t>
      </w:r>
      <w:r w:rsidR="00462CF6">
        <w:rPr>
          <w:szCs w:val="22"/>
        </w:rPr>
        <w:t xml:space="preserve"> has no authority.”</w:t>
      </w:r>
      <w:r w:rsidR="00462CF6">
        <w:rPr>
          <w:rStyle w:val="FootnoteReference"/>
          <w:szCs w:val="22"/>
        </w:rPr>
        <w:footnoteReference w:id="7"/>
      </w:r>
      <w:r w:rsidR="00462CF6">
        <w:rPr>
          <w:szCs w:val="22"/>
        </w:rPr>
        <w:t xml:space="preserve"> </w:t>
      </w:r>
      <w:r w:rsidR="0051018C">
        <w:rPr>
          <w:szCs w:val="22"/>
        </w:rPr>
        <w:t xml:space="preserve"> </w:t>
      </w:r>
      <w:r w:rsidR="00CA7A75">
        <w:rPr>
          <w:szCs w:val="22"/>
        </w:rPr>
        <w:t>Marshall Media claimed</w:t>
      </w:r>
      <w:r w:rsidR="000E257D">
        <w:rPr>
          <w:szCs w:val="22"/>
        </w:rPr>
        <w:t xml:space="preserve"> that</w:t>
      </w:r>
      <w:r w:rsidR="00B410CD">
        <w:rPr>
          <w:szCs w:val="22"/>
        </w:rPr>
        <w:t xml:space="preserve"> </w:t>
      </w:r>
      <w:r w:rsidR="00856500">
        <w:rPr>
          <w:szCs w:val="22"/>
        </w:rPr>
        <w:t xml:space="preserve">“[d]uring the pendency of the </w:t>
      </w:r>
      <w:r w:rsidR="0051018C">
        <w:rPr>
          <w:szCs w:val="22"/>
        </w:rPr>
        <w:t>2014 Application, [I-Square]</w:t>
      </w:r>
      <w:r w:rsidR="00856500">
        <w:rPr>
          <w:szCs w:val="22"/>
        </w:rPr>
        <w:t xml:space="preserve"> entered into a separate agreement with [Rock City Media, LLC (Rock City)], </w:t>
      </w:r>
      <w:r w:rsidR="00856500">
        <w:rPr>
          <w:i/>
          <w:szCs w:val="22"/>
        </w:rPr>
        <w:t>i.e.</w:t>
      </w:r>
      <w:r w:rsidR="003145AE">
        <w:rPr>
          <w:szCs w:val="22"/>
        </w:rPr>
        <w:t>, the [Rock City APA]</w:t>
      </w:r>
      <w:r w:rsidR="00856500">
        <w:rPr>
          <w:szCs w:val="22"/>
        </w:rPr>
        <w:t>”</w:t>
      </w:r>
      <w:r w:rsidR="009E4BEC">
        <w:rPr>
          <w:szCs w:val="22"/>
        </w:rPr>
        <w:t xml:space="preserve"> on May 9, 2014</w:t>
      </w:r>
      <w:r w:rsidR="0095129D">
        <w:rPr>
          <w:szCs w:val="22"/>
        </w:rPr>
        <w:t>.</w:t>
      </w:r>
      <w:r w:rsidR="00856500">
        <w:rPr>
          <w:rStyle w:val="FootnoteReference"/>
          <w:szCs w:val="22"/>
        </w:rPr>
        <w:footnoteReference w:id="8"/>
      </w:r>
      <w:r w:rsidR="00856500">
        <w:rPr>
          <w:szCs w:val="22"/>
        </w:rPr>
        <w:t xml:space="preserve"> </w:t>
      </w:r>
      <w:r w:rsidR="003B7E30">
        <w:rPr>
          <w:szCs w:val="22"/>
        </w:rPr>
        <w:t xml:space="preserve"> </w:t>
      </w:r>
      <w:r w:rsidR="00B410CD">
        <w:t xml:space="preserve">Marshall Media </w:t>
      </w:r>
      <w:r w:rsidR="0095129D">
        <w:t>argues</w:t>
      </w:r>
      <w:r w:rsidR="006A5B00">
        <w:t xml:space="preserve"> </w:t>
      </w:r>
      <w:r w:rsidR="00B410CD">
        <w:t xml:space="preserve">that </w:t>
      </w:r>
      <w:r w:rsidR="003D6EF9">
        <w:t>the Rock City APA was consummated on May 9, 2014,</w:t>
      </w:r>
      <w:r w:rsidR="00D74AD5">
        <w:t xml:space="preserve"> </w:t>
      </w:r>
      <w:r w:rsidR="0095129D">
        <w:t>as</w:t>
      </w:r>
      <w:r w:rsidR="006A5B00">
        <w:t xml:space="preserve"> </w:t>
      </w:r>
      <w:r w:rsidR="003D6EF9">
        <w:t>“evidenced by</w:t>
      </w:r>
      <w:r w:rsidR="00D74AD5">
        <w:t xml:space="preserve"> the f</w:t>
      </w:r>
      <w:r w:rsidR="003D6EF9">
        <w:t>low of [New Market Tax Credit (NMTC)] funds from Arkansas Capital Corporation and</w:t>
      </w:r>
      <w:r w:rsidR="0051018C">
        <w:t xml:space="preserve"> the</w:t>
      </w:r>
      <w:r w:rsidR="00A80764">
        <w:t xml:space="preserve"> Heartland Renaissance Fund</w:t>
      </w:r>
      <w:r w:rsidR="00D74AD5">
        <w:t>.</w:t>
      </w:r>
      <w:r w:rsidR="003D6EF9">
        <w:t>”</w:t>
      </w:r>
      <w:r w:rsidR="003D6EF9">
        <w:rPr>
          <w:rStyle w:val="FootnoteReference"/>
        </w:rPr>
        <w:footnoteReference w:id="9"/>
      </w:r>
      <w:r w:rsidR="00D74AD5">
        <w:t xml:space="preserve"> </w:t>
      </w:r>
      <w:r w:rsidR="000E257D">
        <w:t xml:space="preserve">Marshall Media </w:t>
      </w:r>
      <w:r w:rsidR="00B146DA">
        <w:t xml:space="preserve">also </w:t>
      </w:r>
      <w:r w:rsidR="0095129D">
        <w:t>argues</w:t>
      </w:r>
      <w:r w:rsidR="006A5B00">
        <w:t xml:space="preserve"> </w:t>
      </w:r>
      <w:r w:rsidR="000E257D">
        <w:t xml:space="preserve">that </w:t>
      </w:r>
      <w:r w:rsidR="003D6EF9">
        <w:t>the Arkansas Capital Corporation and Heartland Renaissance Fund would not have released the NMTC funds</w:t>
      </w:r>
      <w:r w:rsidR="00D74AD5">
        <w:t xml:space="preserve"> to I-Square</w:t>
      </w:r>
      <w:r w:rsidR="003D6EF9">
        <w:t xml:space="preserve"> “without </w:t>
      </w:r>
      <w:r w:rsidR="00D74AD5">
        <w:t>[I-Square’s]</w:t>
      </w:r>
      <w:r w:rsidR="003D6EF9">
        <w:t xml:space="preserve"> certification that it sold the Stations to Rock City Media . . . .”</w:t>
      </w:r>
      <w:r w:rsidR="003D6EF9">
        <w:rPr>
          <w:rStyle w:val="FootnoteReference"/>
        </w:rPr>
        <w:footnoteReference w:id="10"/>
      </w:r>
      <w:r w:rsidR="00092C9A">
        <w:t xml:space="preserve"> </w:t>
      </w:r>
      <w:r w:rsidR="000E257D">
        <w:t>Therefore</w:t>
      </w:r>
      <w:r w:rsidR="00092C9A">
        <w:t>,</w:t>
      </w:r>
      <w:r w:rsidR="000E257D">
        <w:t xml:space="preserve"> according to</w:t>
      </w:r>
      <w:r w:rsidR="00092C9A">
        <w:t xml:space="preserve"> </w:t>
      </w:r>
      <w:r w:rsidR="0051018C">
        <w:t>Marshall Media</w:t>
      </w:r>
      <w:r w:rsidR="000E257D">
        <w:t>,</w:t>
      </w:r>
      <w:r w:rsidR="00D74AD5">
        <w:t xml:space="preserve"> the 2016 </w:t>
      </w:r>
      <w:r w:rsidR="00D74AD5">
        <w:rPr>
          <w:szCs w:val="22"/>
        </w:rPr>
        <w:t>Application</w:t>
      </w:r>
      <w:r w:rsidR="00092C9A">
        <w:t xml:space="preserve"> “should be denied or dismissed because </w:t>
      </w:r>
      <w:r w:rsidR="000E257D">
        <w:t>[I-Square]</w:t>
      </w:r>
      <w:r w:rsidR="00092C9A">
        <w:t xml:space="preserve"> does not have the requisite authority to seek [Commission consent] for the assignment of the Stati</w:t>
      </w:r>
      <w:r w:rsidR="000C4741">
        <w:t>ons’ licenses to LR Telecasting.”</w:t>
      </w:r>
      <w:r w:rsidR="00092C9A">
        <w:rPr>
          <w:rStyle w:val="FootnoteReference"/>
        </w:rPr>
        <w:footnoteReference w:id="11"/>
      </w:r>
      <w:r w:rsidR="0051018C">
        <w:t xml:space="preserve"> </w:t>
      </w:r>
      <w:r w:rsidR="000C4741">
        <w:t>Additionally</w:t>
      </w:r>
      <w:r w:rsidR="00BC718E">
        <w:t xml:space="preserve">, </w:t>
      </w:r>
      <w:r w:rsidR="0051018C">
        <w:t xml:space="preserve">Marshall Media </w:t>
      </w:r>
      <w:r w:rsidR="000E257D">
        <w:t>state</w:t>
      </w:r>
      <w:r w:rsidR="0095129D">
        <w:t>s</w:t>
      </w:r>
      <w:r w:rsidR="00092C9A">
        <w:t xml:space="preserve"> that it</w:t>
      </w:r>
      <w:r w:rsidR="000835EA">
        <w:t xml:space="preserve"> is</w:t>
      </w:r>
      <w:r w:rsidR="00092C9A">
        <w:t xml:space="preserve"> “pursuing local action to resolve the disputed ownershi</w:t>
      </w:r>
      <w:r w:rsidR="00094768">
        <w:t>p of the stations</w:t>
      </w:r>
      <w:r w:rsidR="00D20B00">
        <w:t>[,]</w:t>
      </w:r>
      <w:r w:rsidR="00D74AD5">
        <w:t>” and</w:t>
      </w:r>
      <w:r w:rsidR="00092C9A">
        <w:t xml:space="preserve"> “[i]n the event that the Commission does not de</w:t>
      </w:r>
      <w:r w:rsidR="0051018C">
        <w:t>ny or dismiss the [2016 Application]</w:t>
      </w:r>
      <w:r w:rsidR="00D20B00">
        <w:t>[,]”</w:t>
      </w:r>
      <w:r w:rsidR="00092C9A">
        <w:t xml:space="preserve"> </w:t>
      </w:r>
      <w:r w:rsidR="00D20B00">
        <w:t>argue</w:t>
      </w:r>
      <w:r w:rsidR="0095129D">
        <w:t>s</w:t>
      </w:r>
      <w:r w:rsidR="00D20B00">
        <w:t xml:space="preserve"> that “</w:t>
      </w:r>
      <w:r w:rsidR="00092C9A">
        <w:t>the public interest mandates that the Commission</w:t>
      </w:r>
      <w:r w:rsidR="005001BA">
        <w:t xml:space="preserve"> hold the [2016 Application</w:t>
      </w:r>
      <w:r w:rsidR="00092C9A">
        <w:t>] in abeyance while th</w:t>
      </w:r>
      <w:r w:rsidR="00D20B00">
        <w:t>ese serious issues are resolved</w:t>
      </w:r>
      <w:r w:rsidR="00092C9A">
        <w:t>”</w:t>
      </w:r>
      <w:r w:rsidR="00D20B00">
        <w:t xml:space="preserve"> by the state court.</w:t>
      </w:r>
      <w:r w:rsidR="00092C9A">
        <w:rPr>
          <w:rStyle w:val="FootnoteReference"/>
        </w:rPr>
        <w:footnoteReference w:id="12"/>
      </w:r>
    </w:p>
    <w:p w:rsidR="00856500" w:rsidRPr="00185E63" w:rsidRDefault="00097FCA" w:rsidP="00A34FB5">
      <w:pPr>
        <w:pStyle w:val="ParaNum"/>
        <w:numPr>
          <w:ilvl w:val="0"/>
          <w:numId w:val="35"/>
        </w:numPr>
        <w:tabs>
          <w:tab w:val="left" w:pos="1620"/>
        </w:tabs>
        <w:spacing w:after="240"/>
        <w:ind w:left="0" w:firstLine="720"/>
        <w:jc w:val="left"/>
        <w:rPr>
          <w:szCs w:val="22"/>
        </w:rPr>
      </w:pPr>
      <w:r>
        <w:t>O</w:t>
      </w:r>
      <w:r w:rsidR="005001BA">
        <w:t>n March 21</w:t>
      </w:r>
      <w:r>
        <w:t>, 2016, Marshall Media filed a supplement to its Petition (Supplement</w:t>
      </w:r>
      <w:r w:rsidR="00513CD3">
        <w:t xml:space="preserve"> to Petition</w:t>
      </w:r>
      <w:r>
        <w:t xml:space="preserve">) </w:t>
      </w:r>
      <w:r w:rsidR="00C254AD">
        <w:t>submitting</w:t>
      </w:r>
      <w:r w:rsidR="000E257D">
        <w:t xml:space="preserve"> additional</w:t>
      </w:r>
      <w:r>
        <w:t xml:space="preserve"> documents</w:t>
      </w:r>
      <w:r w:rsidR="000E257D">
        <w:rPr>
          <w:rStyle w:val="FootnoteReference"/>
        </w:rPr>
        <w:footnoteReference w:id="13"/>
      </w:r>
      <w:r>
        <w:t xml:space="preserve"> purporting to provide evidence that the Rock City AP</w:t>
      </w:r>
      <w:r w:rsidR="009F7D0B">
        <w:t>A was consummated</w:t>
      </w:r>
      <w:r>
        <w:t xml:space="preserve">. </w:t>
      </w:r>
      <w:r w:rsidR="00117834">
        <w:t>In particular,</w:t>
      </w:r>
      <w:r w:rsidR="006A5B00">
        <w:t xml:space="preserve"> </w:t>
      </w:r>
      <w:r w:rsidR="009F7D0B">
        <w:t>Marshall Media provide</w:t>
      </w:r>
      <w:r w:rsidR="00117834">
        <w:t>s</w:t>
      </w:r>
      <w:r w:rsidR="009F7D0B">
        <w:t xml:space="preserve"> </w:t>
      </w:r>
      <w:r w:rsidR="002A3B56">
        <w:t>the</w:t>
      </w:r>
      <w:r w:rsidR="00A84ECF">
        <w:t xml:space="preserve"> “Written Consent of the Members of I Square Media, L</w:t>
      </w:r>
      <w:r w:rsidR="009F7D0B">
        <w:t>LC,” which Marshall Media claim</w:t>
      </w:r>
      <w:r w:rsidR="00117834">
        <w:t>s</w:t>
      </w:r>
      <w:r w:rsidR="009F7D0B">
        <w:t xml:space="preserve"> </w:t>
      </w:r>
      <w:r w:rsidR="00117834">
        <w:t>is</w:t>
      </w:r>
      <w:r w:rsidR="00A84ECF">
        <w:t xml:space="preserve"> </w:t>
      </w:r>
      <w:r w:rsidR="000835EA">
        <w:t xml:space="preserve">support for </w:t>
      </w:r>
      <w:r w:rsidR="00A84ECF">
        <w:t xml:space="preserve">its “assertion that [I-Square] received funds to assign the Stations’ assets and FCC Licenses to Rock City Media . . . .” Marshall Media </w:t>
      </w:r>
      <w:r w:rsidR="009F7D0B">
        <w:t xml:space="preserve">also </w:t>
      </w:r>
      <w:r w:rsidR="00A84ECF">
        <w:t>provide</w:t>
      </w:r>
      <w:r w:rsidR="00117834">
        <w:t>s</w:t>
      </w:r>
      <w:r w:rsidR="00A84ECF">
        <w:t xml:space="preserve"> an Opinion Letter from Williams &amp; Anderson PLC, </w:t>
      </w:r>
      <w:r w:rsidR="00513CD3">
        <w:t>a firm serving as “special Arkansas counsel” to both I-Square and Rock City.</w:t>
      </w:r>
      <w:r w:rsidR="00513CD3">
        <w:rPr>
          <w:rStyle w:val="FootnoteReference"/>
        </w:rPr>
        <w:footnoteReference w:id="14"/>
      </w:r>
      <w:r w:rsidR="00513CD3">
        <w:t xml:space="preserve"> Marshall Media claim</w:t>
      </w:r>
      <w:r w:rsidR="00117834">
        <w:t>s</w:t>
      </w:r>
      <w:r w:rsidR="00513CD3">
        <w:t xml:space="preserve"> that the Opinion Letter “</w:t>
      </w:r>
      <w:r w:rsidR="006A5B00">
        <w:t>[</w:t>
      </w:r>
      <w:r w:rsidR="00513CD3">
        <w:t>provide</w:t>
      </w:r>
      <w:r w:rsidR="00117834">
        <w:t>s</w:t>
      </w:r>
      <w:r w:rsidR="009F7D0B">
        <w:t>]</w:t>
      </w:r>
      <w:r w:rsidR="00513CD3">
        <w:t xml:space="preserve"> additional confirmation that [I-Square] received compensation for selling the Stations’ assets and FCC authorizations to [Rock City</w:t>
      </w:r>
      <w:r w:rsidR="00031A99">
        <w:t>]</w:t>
      </w:r>
      <w:r w:rsidR="00C65E82">
        <w:t xml:space="preserve"> . . . .</w:t>
      </w:r>
      <w:r w:rsidR="00513CD3">
        <w:t>”</w:t>
      </w:r>
      <w:r w:rsidR="00513CD3">
        <w:rPr>
          <w:rStyle w:val="FootnoteReference"/>
        </w:rPr>
        <w:footnoteReference w:id="15"/>
      </w:r>
      <w:r w:rsidR="00513CD3" w:rsidRPr="00185E63">
        <w:rPr>
          <w:szCs w:val="22"/>
        </w:rPr>
        <w:t xml:space="preserve"> </w:t>
      </w:r>
      <w:r w:rsidR="005001BA">
        <w:t>Marshall Media filed</w:t>
      </w:r>
      <w:r w:rsidR="00513CD3">
        <w:t xml:space="preserve"> an additional</w:t>
      </w:r>
      <w:r w:rsidR="005001BA">
        <w:t xml:space="preserve"> supplem</w:t>
      </w:r>
      <w:r w:rsidR="00513CD3">
        <w:t>ent</w:t>
      </w:r>
      <w:r w:rsidR="005001BA">
        <w:t xml:space="preserve"> to its Petition </w:t>
      </w:r>
      <w:r w:rsidR="00513CD3">
        <w:lastRenderedPageBreak/>
        <w:t xml:space="preserve">(Further Supplement to Petition) </w:t>
      </w:r>
      <w:r w:rsidR="00ED4862" w:rsidRPr="00185E63">
        <w:rPr>
          <w:szCs w:val="22"/>
        </w:rPr>
        <w:t xml:space="preserve">on March </w:t>
      </w:r>
      <w:r w:rsidR="00ED4862">
        <w:t>28, 2017</w:t>
      </w:r>
      <w:r w:rsidR="009F7D0B">
        <w:t>, providing</w:t>
      </w:r>
      <w:r w:rsidR="00513CD3">
        <w:t xml:space="preserve"> </w:t>
      </w:r>
      <w:r w:rsidR="004A7BEF">
        <w:t>a</w:t>
      </w:r>
      <w:r w:rsidR="00ED4862">
        <w:t xml:space="preserve"> </w:t>
      </w:r>
      <w:r w:rsidR="00513CD3">
        <w:t>“Complaint filed in the Circuit Court of Pulaski County, Arkansas, by [Rock City], [Marshall Media], Skylar Media,</w:t>
      </w:r>
      <w:r w:rsidR="00E83113">
        <w:t xml:space="preserve"> LLC, Hogan Family Lim</w:t>
      </w:r>
      <w:r w:rsidR="00513CD3">
        <w:t>ited Partnership[,] and Linda Harding regarding the matters referenced in the Petition and [Supplement to Petition].”</w:t>
      </w:r>
      <w:r w:rsidR="00513CD3">
        <w:rPr>
          <w:rStyle w:val="FootnoteReference"/>
        </w:rPr>
        <w:footnoteReference w:id="16"/>
      </w:r>
      <w:r w:rsidR="005001BA">
        <w:t xml:space="preserve"> </w:t>
      </w:r>
    </w:p>
    <w:p w:rsidR="0077723D" w:rsidRDefault="00D20B00" w:rsidP="00A34FB5">
      <w:pPr>
        <w:pStyle w:val="ParaNum"/>
        <w:numPr>
          <w:ilvl w:val="0"/>
          <w:numId w:val="35"/>
        </w:numPr>
        <w:tabs>
          <w:tab w:val="left" w:pos="1620"/>
        </w:tabs>
        <w:spacing w:after="240"/>
        <w:ind w:left="0" w:firstLine="720"/>
        <w:jc w:val="left"/>
      </w:pPr>
      <w:r>
        <w:rPr>
          <w:szCs w:val="22"/>
        </w:rPr>
        <w:t xml:space="preserve">On April 4, 2016, </w:t>
      </w:r>
      <w:r w:rsidR="005001BA">
        <w:rPr>
          <w:szCs w:val="22"/>
        </w:rPr>
        <w:t xml:space="preserve">I-Square filed an </w:t>
      </w:r>
      <w:r w:rsidR="0010675A">
        <w:t xml:space="preserve">Opposition </w:t>
      </w:r>
      <w:r w:rsidR="00751AA9">
        <w:t xml:space="preserve">to </w:t>
      </w:r>
      <w:r w:rsidR="00BF6C48">
        <w:t>Marshall Media’s</w:t>
      </w:r>
      <w:r w:rsidR="00751AA9">
        <w:t xml:space="preserve"> Petition</w:t>
      </w:r>
      <w:r w:rsidR="00272D3F">
        <w:t xml:space="preserve"> </w:t>
      </w:r>
      <w:r w:rsidR="00A27AAE">
        <w:t>(Opposition)</w:t>
      </w:r>
      <w:r w:rsidR="00950BD7">
        <w:t>. As an initial matter,</w:t>
      </w:r>
      <w:r w:rsidR="00ED4862">
        <w:t xml:space="preserve"> I-Square contest</w:t>
      </w:r>
      <w:r w:rsidR="00117834">
        <w:t>s</w:t>
      </w:r>
      <w:r w:rsidR="00ED4862">
        <w:t xml:space="preserve"> Marshall Media’s Petition on procedural grounds.</w:t>
      </w:r>
      <w:r w:rsidR="00272D3F">
        <w:rPr>
          <w:rStyle w:val="FootnoteReference"/>
        </w:rPr>
        <w:footnoteReference w:id="17"/>
      </w:r>
      <w:r w:rsidR="00272D3F">
        <w:t xml:space="preserve"> </w:t>
      </w:r>
      <w:r w:rsidR="000C4BE0">
        <w:t xml:space="preserve"> </w:t>
      </w:r>
      <w:r w:rsidR="007353F9">
        <w:t>I-Square claim</w:t>
      </w:r>
      <w:r w:rsidR="00031A99">
        <w:t>s</w:t>
      </w:r>
      <w:r w:rsidR="007353F9">
        <w:t xml:space="preserve"> that</w:t>
      </w:r>
      <w:r w:rsidR="0011007A">
        <w:t xml:space="preserve"> </w:t>
      </w:r>
      <w:r w:rsidR="00481239">
        <w:t xml:space="preserve">the documents Marshall Media </w:t>
      </w:r>
      <w:r w:rsidR="0011007A">
        <w:t xml:space="preserve">provided in its Petition and subsequent supplements </w:t>
      </w:r>
      <w:r w:rsidR="00481239">
        <w:t xml:space="preserve">“certainly </w:t>
      </w:r>
      <w:r w:rsidR="002A3B56">
        <w:t>[could not]</w:t>
      </w:r>
      <w:r w:rsidR="00481239">
        <w:t xml:space="preserve"> stand as direct evidence that the clos</w:t>
      </w:r>
      <w:r w:rsidR="002A3B56">
        <w:t>ing that [Marshall Media] claim[ed]</w:t>
      </w:r>
      <w:r w:rsidR="00481239">
        <w:t xml:space="preserve"> occurred between [I-Square] and Rock City actually did occur on May 9, 2014, or any other date.”</w:t>
      </w:r>
      <w:r w:rsidR="00481239">
        <w:rPr>
          <w:rStyle w:val="FootnoteReference"/>
        </w:rPr>
        <w:footnoteReference w:id="18"/>
      </w:r>
      <w:r w:rsidR="0011007A">
        <w:t xml:space="preserve"> </w:t>
      </w:r>
      <w:r w:rsidR="007353F9">
        <w:t>To support this claim</w:t>
      </w:r>
      <w:r w:rsidR="00BE035B">
        <w:t>, I-Square provided the affidavit of Dr. Ladly Abraham</w:t>
      </w:r>
      <w:r w:rsidR="00CF4160">
        <w:t xml:space="preserve">. </w:t>
      </w:r>
      <w:r w:rsidR="00B123C2">
        <w:t>Dr. Abraham</w:t>
      </w:r>
      <w:r w:rsidR="00D10DEE">
        <w:t xml:space="preserve"> state</w:t>
      </w:r>
      <w:r w:rsidR="00031A99">
        <w:t>s</w:t>
      </w:r>
      <w:r w:rsidR="00D10DEE">
        <w:t xml:space="preserve"> that</w:t>
      </w:r>
      <w:r w:rsidR="00BE035B">
        <w:t xml:space="preserve"> “[t]he Rock City APA presented somewhat of a peculiar situation</w:t>
      </w:r>
      <w:r w:rsidR="001049F4">
        <w:t xml:space="preserve"> </w:t>
      </w:r>
      <w:r w:rsidR="00BE035B">
        <w:t>because when it was executed, [I-Square]</w:t>
      </w:r>
      <w:r w:rsidR="00180AAD">
        <w:t xml:space="preserve"> had not yet acquired the approval from the FCC to become the licensee of the Stations</w:t>
      </w:r>
      <w:r w:rsidR="001049F4">
        <w:t xml:space="preserve">, </w:t>
      </w:r>
      <w:r w:rsidR="00D10DEE">
        <w:t>and thus did not yet own them</w:t>
      </w:r>
      <w:r w:rsidR="002A3B56">
        <w:t>[,]</w:t>
      </w:r>
      <w:r w:rsidR="00180AAD">
        <w:t>”</w:t>
      </w:r>
      <w:r w:rsidR="000C4741">
        <w:t xml:space="preserve"> </w:t>
      </w:r>
      <w:r w:rsidR="00D10DEE">
        <w:t>and that it was his</w:t>
      </w:r>
      <w:r w:rsidR="00D5661E">
        <w:t xml:space="preserve"> “understanding that if the transaction between [I-Square] and Rock City were to proceed, it would only become effective and binding after [I-Square] had obtained FCC approval for its acquisition of the Station licenses.”</w:t>
      </w:r>
      <w:r w:rsidR="00D5661E">
        <w:rPr>
          <w:rStyle w:val="FootnoteReference"/>
        </w:rPr>
        <w:footnoteReference w:id="19"/>
      </w:r>
      <w:r w:rsidR="00D5661E">
        <w:t xml:space="preserve"> </w:t>
      </w:r>
      <w:r w:rsidR="00D10DEE">
        <w:t xml:space="preserve">Furthermore, </w:t>
      </w:r>
      <w:r w:rsidR="00950BD7">
        <w:t>“</w:t>
      </w:r>
      <w:r w:rsidR="00C37553">
        <w:t>[a]</w:t>
      </w:r>
      <w:r w:rsidR="00950BD7">
        <w:t>s far as [Dr. Abraham was</w:t>
      </w:r>
      <w:r w:rsidR="00B410CD">
        <w:t>]</w:t>
      </w:r>
      <w:r w:rsidR="00D5661E">
        <w:t xml:space="preserve"> personally aware, after May 9, 2014, </w:t>
      </w:r>
      <w:r w:rsidR="00932BE2">
        <w:t>nothing</w:t>
      </w:r>
      <w:r w:rsidR="00D5661E">
        <w:t xml:space="preserve"> further happened wi</w:t>
      </w:r>
      <w:r w:rsidR="00AE29A7">
        <w:t>th</w:t>
      </w:r>
      <w:r w:rsidR="00D10DEE">
        <w:t xml:space="preserve"> respect to the Rock City APA</w:t>
      </w:r>
      <w:r w:rsidR="002A3B56">
        <w:t>[,]</w:t>
      </w:r>
      <w:r w:rsidR="00D5661E">
        <w:t>”</w:t>
      </w:r>
      <w:r w:rsidR="00D5661E">
        <w:rPr>
          <w:rStyle w:val="FootnoteReference"/>
        </w:rPr>
        <w:footnoteReference w:id="20"/>
      </w:r>
      <w:r w:rsidR="00AE29A7">
        <w:t xml:space="preserve"> </w:t>
      </w:r>
      <w:r w:rsidR="00D10DEE">
        <w:t>and</w:t>
      </w:r>
      <w:r w:rsidR="002F44A9">
        <w:t xml:space="preserve"> “many weeks and months went by after May 9, 2014 without Rock City taking any actual steps to perform its contractual promises that were required to close on th</w:t>
      </w:r>
      <w:r w:rsidR="00D10DEE">
        <w:t>e sale of the [Rock City APA].</w:t>
      </w:r>
      <w:r w:rsidR="002F44A9">
        <w:t>”</w:t>
      </w:r>
      <w:r w:rsidR="002F44A9">
        <w:rPr>
          <w:rStyle w:val="FootnoteReference"/>
        </w:rPr>
        <w:footnoteReference w:id="21"/>
      </w:r>
      <w:r w:rsidR="001049F4">
        <w:t xml:space="preserve"> </w:t>
      </w:r>
      <w:r w:rsidR="00D10DEE">
        <w:t>According to Dr. Abraham,</w:t>
      </w:r>
      <w:r w:rsidR="00AE29A7">
        <w:t xml:space="preserve"> “[t]he members of Rebe</w:t>
      </w:r>
      <w:r w:rsidR="00C37553">
        <w:t>l Media (</w:t>
      </w:r>
      <w:r w:rsidR="00AE29A7">
        <w:t>and therefore I Square itself) came to believe in good faith that Rock City had either abandoned any interest in proceeding with the purchase of the KMYA/I Square assets, or lacked the financial means and ability to fulfill its obligations under the Rock City APA.”</w:t>
      </w:r>
      <w:r w:rsidR="00AE29A7">
        <w:rPr>
          <w:rStyle w:val="FootnoteReference"/>
        </w:rPr>
        <w:footnoteReference w:id="22"/>
      </w:r>
      <w:r w:rsidR="002F44A9">
        <w:t xml:space="preserve"> </w:t>
      </w:r>
      <w:r w:rsidR="00D10DEE">
        <w:t>I-Square</w:t>
      </w:r>
      <w:r w:rsidR="00F8308B">
        <w:t xml:space="preserve"> </w:t>
      </w:r>
      <w:r w:rsidR="00C37553">
        <w:t xml:space="preserve">also </w:t>
      </w:r>
      <w:r w:rsidR="00F8308B">
        <w:t>argued</w:t>
      </w:r>
      <w:r w:rsidR="00CC4454">
        <w:t xml:space="preserve"> </w:t>
      </w:r>
      <w:r w:rsidR="00BC718E">
        <w:t xml:space="preserve">that Marshall Media’s Petition should be dismissed because </w:t>
      </w:r>
      <w:r w:rsidR="00031A99">
        <w:t xml:space="preserve">it </w:t>
      </w:r>
      <w:r w:rsidR="00CC4454">
        <w:t>failed</w:t>
      </w:r>
      <w:r w:rsidR="000D564D">
        <w:t xml:space="preserve"> “to contain specific allegations of fact sufficient to show that granting the [2016 Application] would be </w:t>
      </w:r>
      <w:r w:rsidR="000D564D" w:rsidRPr="00155B51">
        <w:rPr>
          <w:i/>
        </w:rPr>
        <w:t>prima facie</w:t>
      </w:r>
      <w:r w:rsidR="000D564D">
        <w:t xml:space="preserve"> inconsistent with the public interest</w:t>
      </w:r>
      <w:r w:rsidR="00031A99">
        <w:t>,</w:t>
      </w:r>
      <w:r w:rsidR="000D564D">
        <w:t>”</w:t>
      </w:r>
      <w:r w:rsidR="000D564D">
        <w:rPr>
          <w:rStyle w:val="FootnoteReference"/>
        </w:rPr>
        <w:footnoteReference w:id="23"/>
      </w:r>
      <w:r w:rsidR="00CC4454">
        <w:t xml:space="preserve"> </w:t>
      </w:r>
      <w:r w:rsidR="00031A99">
        <w:t>and “</w:t>
      </w:r>
      <w:r w:rsidR="00637878">
        <w:t>that the few shreds of ‘evidence’ presented by [Marshall Media] do not raise a substantial and material question of fact justifying further inquiry.”</w:t>
      </w:r>
      <w:r w:rsidR="00637878">
        <w:rPr>
          <w:rStyle w:val="FootnoteReference"/>
        </w:rPr>
        <w:footnoteReference w:id="24"/>
      </w:r>
    </w:p>
    <w:p w:rsidR="00591856" w:rsidRDefault="0077723D" w:rsidP="00A34FB5">
      <w:pPr>
        <w:pStyle w:val="ParaNum"/>
        <w:numPr>
          <w:ilvl w:val="0"/>
          <w:numId w:val="35"/>
        </w:numPr>
        <w:tabs>
          <w:tab w:val="left" w:pos="1620"/>
        </w:tabs>
        <w:spacing w:after="240"/>
        <w:ind w:left="0" w:firstLine="720"/>
        <w:jc w:val="left"/>
      </w:pPr>
      <w:r>
        <w:t>On April 15, 2016, Marshall Media filed a Reply to I-Square’s Opposition</w:t>
      </w:r>
      <w:r w:rsidR="00290A56">
        <w:t xml:space="preserve"> (Reply)</w:t>
      </w:r>
      <w:r w:rsidR="00185E63">
        <w:t xml:space="preserve">, </w:t>
      </w:r>
      <w:r w:rsidR="00F24535">
        <w:t>claim</w:t>
      </w:r>
      <w:r w:rsidR="00185E63">
        <w:t>ing</w:t>
      </w:r>
      <w:r w:rsidR="00F24535">
        <w:t xml:space="preserve"> that “Dr. Abraham’s argument that [I-Square] had acted in good faith by assuming that [Rock C</w:t>
      </w:r>
      <w:r w:rsidR="000835EA">
        <w:t>ity] had abandoned its interest</w:t>
      </w:r>
      <w:r w:rsidR="00F24535">
        <w:t xml:space="preserve"> in the Rock City APA must summarily be reject</w:t>
      </w:r>
      <w:r w:rsidR="00591856">
        <w:t>ed by the Commission.</w:t>
      </w:r>
      <w:r w:rsidR="00F24535">
        <w:t>”</w:t>
      </w:r>
      <w:r w:rsidR="00F24535">
        <w:rPr>
          <w:rStyle w:val="FootnoteReference"/>
        </w:rPr>
        <w:footnoteReference w:id="25"/>
      </w:r>
      <w:r w:rsidR="00591856">
        <w:t xml:space="preserve"> According to Marshall Media,</w:t>
      </w:r>
      <w:r w:rsidR="00290A56">
        <w:t xml:space="preserve"> </w:t>
      </w:r>
      <w:r w:rsidR="00D27A00">
        <w:t xml:space="preserve">“[I-Square] </w:t>
      </w:r>
      <w:r w:rsidR="00F24535">
        <w:t>and [Rock City] were under substantial control by the same three individuals</w:t>
      </w:r>
      <w:r w:rsidR="00E177D1">
        <w:t>[:]</w:t>
      </w:r>
      <w:r w:rsidR="00F24535">
        <w:t xml:space="preserve"> (i) Sashwat Goyal, (ii) Mangar</w:t>
      </w:r>
      <w:r w:rsidR="00591856">
        <w:t>aju Ch</w:t>
      </w:r>
      <w:r w:rsidR="00E177D1">
        <w:t>akka[,] and (iii) Ladly Abraham[;]</w:t>
      </w:r>
      <w:r w:rsidR="00591856">
        <w:t xml:space="preserve"> and [that] these three individuals merely needed to discuss amongst themselves whether they would proceed to submit the applications in the name of </w:t>
      </w:r>
      <w:r w:rsidR="00595AF8">
        <w:t>[</w:t>
      </w:r>
      <w:r w:rsidR="00591856">
        <w:t>Rock City</w:t>
      </w:r>
      <w:r w:rsidR="00595AF8">
        <w:t>]</w:t>
      </w:r>
      <w:r w:rsidR="00591856">
        <w:t>, as required under the Rock City APA</w:t>
      </w:r>
      <w:r w:rsidR="00D27A00">
        <w:t>.”</w:t>
      </w:r>
      <w:r w:rsidR="00D27A00">
        <w:rPr>
          <w:rStyle w:val="FootnoteReference"/>
        </w:rPr>
        <w:footnoteReference w:id="26"/>
      </w:r>
      <w:r w:rsidR="00290A56">
        <w:t xml:space="preserve"> </w:t>
      </w:r>
      <w:r w:rsidR="00D27A00">
        <w:t xml:space="preserve"> </w:t>
      </w:r>
      <w:r w:rsidR="00294DD4">
        <w:t>Second</w:t>
      </w:r>
      <w:r w:rsidR="00E177D1">
        <w:t>,</w:t>
      </w:r>
      <w:r w:rsidR="00B17EB4">
        <w:t xml:space="preserve"> Marshall Media claim</w:t>
      </w:r>
      <w:r w:rsidR="00031A99">
        <w:t>s</w:t>
      </w:r>
      <w:r w:rsidR="00B17EB4">
        <w:t xml:space="preserve"> that</w:t>
      </w:r>
      <w:r w:rsidR="00E177D1">
        <w:t xml:space="preserve"> I-Square’s Opposition failed to provide “any reasonable justification for the Commission to ignore the plain evidenc</w:t>
      </w:r>
      <w:r w:rsidR="00785691">
        <w:t>e that the [NMTC]</w:t>
      </w:r>
      <w:r w:rsidR="00E177D1">
        <w:t xml:space="preserve"> funding was provided to [I-Square] for the sale [</w:t>
      </w:r>
      <w:r w:rsidR="002A0C36">
        <w:t>of] the Stations to [Rock City]</w:t>
      </w:r>
      <w:r w:rsidR="00294DD4">
        <w:t>.</w:t>
      </w:r>
      <w:r w:rsidR="00E177D1">
        <w:t>”</w:t>
      </w:r>
      <w:r w:rsidR="00E177D1">
        <w:rPr>
          <w:rStyle w:val="FootnoteReference"/>
        </w:rPr>
        <w:footnoteReference w:id="27"/>
      </w:r>
      <w:r w:rsidR="002A0C36">
        <w:t xml:space="preserve"> </w:t>
      </w:r>
      <w:r w:rsidR="00185E63">
        <w:t>Marshall Media argues</w:t>
      </w:r>
      <w:r w:rsidR="00C37553">
        <w:t xml:space="preserve"> that</w:t>
      </w:r>
      <w:r w:rsidR="00294DD4">
        <w:t xml:space="preserve"> </w:t>
      </w:r>
      <w:r w:rsidR="002A0C36">
        <w:t>“even if one ignores the Funds Memorandum</w:t>
      </w:r>
      <w:r w:rsidR="00731661">
        <w:t xml:space="preserve"> . . .</w:t>
      </w:r>
      <w:r w:rsidR="00C37553">
        <w:t xml:space="preserve"> </w:t>
      </w:r>
      <w:r w:rsidR="00731661">
        <w:t>,” which details</w:t>
      </w:r>
      <w:r w:rsidR="00C37553">
        <w:t xml:space="preserve"> the NMTC flow of funds</w:t>
      </w:r>
      <w:r w:rsidR="00731661">
        <w:t xml:space="preserve"> to I-Square</w:t>
      </w:r>
      <w:r w:rsidR="002A0C36">
        <w:t xml:space="preserve">, </w:t>
      </w:r>
      <w:r w:rsidR="00731661">
        <w:t>“</w:t>
      </w:r>
      <w:r w:rsidR="002A0C36">
        <w:t>and even if one accepts the rather odd assertion by [I-Square] that the ‘Written Consent of the Members of I Square Media, LLC,’</w:t>
      </w:r>
      <w:r w:rsidR="002A0C36">
        <w:rPr>
          <w:rStyle w:val="FootnoteReference"/>
        </w:rPr>
        <w:footnoteReference w:id="28"/>
      </w:r>
      <w:r w:rsidR="002A0C36">
        <w:t xml:space="preserve"> </w:t>
      </w:r>
      <w:r w:rsidR="00731661">
        <w:t>was executed ‘only in anticipation of concurrent closings for a number of transactions’</w:t>
      </w:r>
      <w:r w:rsidR="00731661">
        <w:rPr>
          <w:rStyle w:val="FootnoteReference"/>
        </w:rPr>
        <w:footnoteReference w:id="29"/>
      </w:r>
      <w:r w:rsidR="00731661">
        <w:t xml:space="preserve"> </w:t>
      </w:r>
      <w:r w:rsidR="002A0C36">
        <w:t>(which I-Square asserts did not occur), then [I-Square] must still confront the fact that</w:t>
      </w:r>
      <w:r w:rsidR="00731661">
        <w:t xml:space="preserve"> [</w:t>
      </w:r>
      <w:r w:rsidR="00731661">
        <w:rPr>
          <w:i/>
        </w:rPr>
        <w:t>sic</w:t>
      </w:r>
      <w:r w:rsidR="00731661">
        <w:t>]</w:t>
      </w:r>
      <w:r w:rsidR="002A0C36">
        <w:t xml:space="preserve"> the May 9, 2014 Opinion Letter prepared by William &amp; Anderson PLC (Option Letter).”</w:t>
      </w:r>
      <w:r w:rsidR="002A0C36">
        <w:rPr>
          <w:rStyle w:val="FootnoteReference"/>
        </w:rPr>
        <w:footnoteReference w:id="30"/>
      </w:r>
      <w:r w:rsidR="00C37553">
        <w:t xml:space="preserve"> Marshall Media </w:t>
      </w:r>
      <w:r w:rsidR="00031A99">
        <w:t>asserts</w:t>
      </w:r>
      <w:r w:rsidR="006A5B00">
        <w:t xml:space="preserve"> </w:t>
      </w:r>
      <w:r w:rsidR="00294DD4">
        <w:t>that the Opinion Letter “resolves any doubt that all of the events occurring on May 9, 2014, involving [SSN], [Rock City], and [I-</w:t>
      </w:r>
      <w:r w:rsidR="00731661">
        <w:t xml:space="preserve">Square], were directly tied to </w:t>
      </w:r>
      <w:r w:rsidR="00294DD4">
        <w:t>the execution of the Rock City APA.”</w:t>
      </w:r>
      <w:r w:rsidR="00294DD4">
        <w:rPr>
          <w:rStyle w:val="FootnoteReference"/>
        </w:rPr>
        <w:footnoteReference w:id="31"/>
      </w:r>
      <w:r w:rsidR="00731661">
        <w:t xml:space="preserve"> </w:t>
      </w:r>
      <w:r w:rsidR="00294DD4">
        <w:t xml:space="preserve">Marshall Media </w:t>
      </w:r>
      <w:r w:rsidR="00C37553">
        <w:t xml:space="preserve">also </w:t>
      </w:r>
      <w:r w:rsidR="00031A99">
        <w:t>asserts</w:t>
      </w:r>
      <w:r w:rsidR="006A5B00">
        <w:t xml:space="preserve"> </w:t>
      </w:r>
      <w:r w:rsidR="00731661">
        <w:t xml:space="preserve">that </w:t>
      </w:r>
      <w:r w:rsidR="00294DD4">
        <w:t xml:space="preserve">it “has provided clear and convincing evidence establishing that the proposed sale of the Stations to [LRT] </w:t>
      </w:r>
      <w:r w:rsidR="00031A99">
        <w:t>[is</w:t>
      </w:r>
      <w:r w:rsidR="00294DD4">
        <w:t>] no</w:t>
      </w:r>
      <w:r w:rsidR="00731661">
        <w:t>t in the public interest[,]</w:t>
      </w:r>
      <w:r w:rsidR="00294DD4">
        <w:t>”</w:t>
      </w:r>
      <w:r w:rsidR="00C43D19">
        <w:t xml:space="preserve"> </w:t>
      </w:r>
      <w:r w:rsidR="00731661">
        <w:t>and that “</w:t>
      </w:r>
      <w:r w:rsidR="00C43D19">
        <w:t>there are substantial and material questions associated with the actions taken by the controlling members of both [I-Square and Rock City].”</w:t>
      </w:r>
      <w:r w:rsidR="00C43D19">
        <w:rPr>
          <w:rStyle w:val="FootnoteReference"/>
        </w:rPr>
        <w:footnoteReference w:id="32"/>
      </w:r>
    </w:p>
    <w:p w:rsidR="00FE6463" w:rsidRDefault="007F62DE" w:rsidP="00A34FB5">
      <w:pPr>
        <w:pStyle w:val="ParaNum"/>
        <w:numPr>
          <w:ilvl w:val="0"/>
          <w:numId w:val="35"/>
        </w:numPr>
        <w:tabs>
          <w:tab w:val="left" w:pos="1620"/>
        </w:tabs>
        <w:spacing w:after="240"/>
        <w:ind w:left="0" w:firstLine="720"/>
        <w:jc w:val="left"/>
      </w:pPr>
      <w:r>
        <w:t>On November 3, 2016, LRT submitted Comments (LRT Comment) “</w:t>
      </w:r>
      <w:r w:rsidR="00D270C5">
        <w:t>urg[ing</w:t>
      </w:r>
      <w:r w:rsidR="00D75647">
        <w:t>] the [Division]</w:t>
      </w:r>
      <w:r>
        <w:t xml:space="preserve"> to dismiss the </w:t>
      </w:r>
      <w:r w:rsidR="00C37553">
        <w:t>Marshall Media</w:t>
      </w:r>
      <w:r w:rsidR="00C43D19">
        <w:t xml:space="preserve"> </w:t>
      </w:r>
      <w:r>
        <w:t>[P]etition and grant the assignment applications.”</w:t>
      </w:r>
      <w:r>
        <w:rPr>
          <w:rStyle w:val="FootnoteReference"/>
        </w:rPr>
        <w:footnoteReference w:id="33"/>
      </w:r>
      <w:r w:rsidR="00DF28CB">
        <w:t xml:space="preserve"> According to LRT, </w:t>
      </w:r>
      <w:r w:rsidR="005E686C">
        <w:t xml:space="preserve">the Division may deny or dismiss the Petition on jurisdictional grounds because the Commission </w:t>
      </w:r>
      <w:r w:rsidR="00D07EA9">
        <w:t xml:space="preserve">does not have </w:t>
      </w:r>
      <w:r w:rsidR="00D75647">
        <w:t>the power to “</w:t>
      </w:r>
      <w:r w:rsidR="00D67C3B">
        <w:t>ascribe</w:t>
      </w:r>
      <w:r w:rsidR="00C43D19">
        <w:t xml:space="preserve"> to a</w:t>
      </w:r>
      <w:r w:rsidR="00D75647">
        <w:t xml:space="preserve"> contract the legal status ‘enforceable under state law.’</w:t>
      </w:r>
      <w:r w:rsidR="00D67C3B">
        <w:t>”</w:t>
      </w:r>
      <w:r w:rsidR="00D75647">
        <w:rPr>
          <w:rStyle w:val="FootnoteReference"/>
        </w:rPr>
        <w:footnoteReference w:id="34"/>
      </w:r>
      <w:r w:rsidR="00D75647">
        <w:t xml:space="preserve"> </w:t>
      </w:r>
      <w:r w:rsidR="005E686C">
        <w:t>Furthermore, LRT asserts that “proper use of Section 309(d)’s analytical structure allows for swift and efficient FCC action deny</w:t>
      </w:r>
      <w:r w:rsidR="007E2FDB">
        <w:t>ing</w:t>
      </w:r>
      <w:r w:rsidR="005E686C">
        <w:t xml:space="preserve"> the Petition.”</w:t>
      </w:r>
      <w:r w:rsidR="005E686C">
        <w:rPr>
          <w:rStyle w:val="FootnoteReference"/>
        </w:rPr>
        <w:footnoteReference w:id="35"/>
      </w:r>
      <w:r w:rsidR="005E686C">
        <w:t xml:space="preserve"> </w:t>
      </w:r>
      <w:r w:rsidR="00D75647">
        <w:t>Additionally, LRT cla</w:t>
      </w:r>
      <w:r w:rsidR="009C2F3A">
        <w:t>im</w:t>
      </w:r>
      <w:r w:rsidR="00A1501A">
        <w:t>s</w:t>
      </w:r>
      <w:r w:rsidR="009C2F3A">
        <w:t xml:space="preserve"> </w:t>
      </w:r>
      <w:r w:rsidR="00C43D19">
        <w:t>Marshall Media “failed to perfect service upon [I-Square] as required” by the Arkansas Rules of Civil Procedure, and therefore “the case was automatically dismissed, as a m</w:t>
      </w:r>
      <w:r w:rsidR="00F533E8">
        <w:t>atter of law, as against [I-Squ</w:t>
      </w:r>
      <w:r w:rsidR="00C43D19">
        <w:t>are] on July 26, 2016.”</w:t>
      </w:r>
      <w:r w:rsidR="00C43D19">
        <w:rPr>
          <w:rStyle w:val="FootnoteReference"/>
        </w:rPr>
        <w:footnoteReference w:id="36"/>
      </w:r>
      <w:r w:rsidR="00C43D19">
        <w:t xml:space="preserve"> Therefore, as LRT asserts, </w:t>
      </w:r>
      <w:r w:rsidR="009C2F3A">
        <w:t>“Marshall Media’s pleadings no longer present a valid basis for the FCC to defer action on the assignment applications.”</w:t>
      </w:r>
      <w:r w:rsidR="009C2F3A">
        <w:rPr>
          <w:rStyle w:val="FootnoteReference"/>
        </w:rPr>
        <w:footnoteReference w:id="37"/>
      </w:r>
      <w:r w:rsidR="009C2F3A">
        <w:t xml:space="preserve"> </w:t>
      </w:r>
    </w:p>
    <w:p w:rsidR="0010675A" w:rsidRDefault="001F74A2" w:rsidP="00A34FB5">
      <w:pPr>
        <w:pStyle w:val="ParaNum"/>
        <w:numPr>
          <w:ilvl w:val="0"/>
          <w:numId w:val="35"/>
        </w:numPr>
        <w:tabs>
          <w:tab w:val="left" w:pos="1620"/>
        </w:tabs>
        <w:spacing w:after="240"/>
        <w:ind w:left="0" w:firstLine="720"/>
        <w:jc w:val="left"/>
      </w:pPr>
      <w:r>
        <w:t xml:space="preserve">Marshall Media </w:t>
      </w:r>
      <w:r w:rsidR="009C2F3A">
        <w:t xml:space="preserve">filed a </w:t>
      </w:r>
      <w:r w:rsidR="007467C4">
        <w:t>Response</w:t>
      </w:r>
      <w:r w:rsidR="009C2F3A">
        <w:t xml:space="preserve"> to LRT’s comments</w:t>
      </w:r>
      <w:r w:rsidR="007467C4">
        <w:t xml:space="preserve"> (Response</w:t>
      </w:r>
      <w:r w:rsidR="009C2F3A">
        <w:t xml:space="preserve"> to LRT Comment) on November 30, 2016, claiming that because LRT’s “self-titled ‘Comments’ [were] an unauthorized filing, and LRT did not seek leave to submit the filing, the Comments should be stricken from the record.” Addi</w:t>
      </w:r>
      <w:r w:rsidR="002D7225">
        <w:t>tionally, Marshall Media refutes</w:t>
      </w:r>
      <w:r w:rsidR="009C2F3A">
        <w:t xml:space="preserve"> LRT’s “assertion” that “Marshall Media’s </w:t>
      </w:r>
      <w:r w:rsidR="007467C4">
        <w:t>local lawsuit against [I-Square] was dismissed on July 26, 2016</w:t>
      </w:r>
      <w:r w:rsidR="002D7225">
        <w:t>[,]” and provides</w:t>
      </w:r>
      <w:r w:rsidR="007467C4">
        <w:t xml:space="preserve"> “the Docket Report obtained from the Pulaski County Circuit Court” to show otherwise.</w:t>
      </w:r>
      <w:r w:rsidR="007467C4">
        <w:rPr>
          <w:rStyle w:val="FootnoteReference"/>
        </w:rPr>
        <w:footnoteReference w:id="38"/>
      </w:r>
      <w:r w:rsidR="007467C4">
        <w:t xml:space="preserve"> </w:t>
      </w:r>
      <w:r w:rsidR="009C2F3A">
        <w:t xml:space="preserve"> </w:t>
      </w:r>
      <w:r w:rsidR="00CB0908">
        <w:t>On December 7</w:t>
      </w:r>
      <w:r w:rsidR="007467C4">
        <w:t>, 2016, LRT Replied to Marshall Media’s Response (</w:t>
      </w:r>
      <w:r w:rsidR="001E533A">
        <w:t xml:space="preserve">LRT </w:t>
      </w:r>
      <w:r w:rsidR="007467C4">
        <w:t>Reply to Marshall Media Response) stating that “Marsha</w:t>
      </w:r>
      <w:r w:rsidR="00F533E8">
        <w:t>ll Media has wisely refrained f</w:t>
      </w:r>
      <w:r w:rsidR="007467C4">
        <w:t>r</w:t>
      </w:r>
      <w:r w:rsidR="00F533E8">
        <w:t>o</w:t>
      </w:r>
      <w:r w:rsidR="007467C4">
        <w:t>m even attempting to rebut LRT’s explication of Section 309(d)’s analytical structure, or LRT’s application of that structure to the facts of this case.”</w:t>
      </w:r>
      <w:r w:rsidR="007467C4">
        <w:rPr>
          <w:rStyle w:val="FootnoteReference"/>
        </w:rPr>
        <w:footnoteReference w:id="39"/>
      </w:r>
      <w:r w:rsidR="007467C4">
        <w:t xml:space="preserve"> Additionall</w:t>
      </w:r>
      <w:r w:rsidR="00CB0908">
        <w:t>y, LRT presented further arguments pertaining to its claim that Marshall Media failed to perfect service on I-Square pursuant to the Arkansas Rules of Civil Procedure.</w:t>
      </w:r>
      <w:r w:rsidR="00CB0908">
        <w:rPr>
          <w:rStyle w:val="FootnoteReference"/>
        </w:rPr>
        <w:footnoteReference w:id="40"/>
      </w:r>
    </w:p>
    <w:p w:rsidR="00F45C3A" w:rsidRPr="00F45C3A" w:rsidRDefault="00F45C3A" w:rsidP="00A34FB5">
      <w:pPr>
        <w:pStyle w:val="ParaNum"/>
        <w:numPr>
          <w:ilvl w:val="0"/>
          <w:numId w:val="35"/>
        </w:numPr>
        <w:spacing w:after="240"/>
        <w:ind w:left="0" w:firstLine="720"/>
        <w:jc w:val="left"/>
        <w:rPr>
          <w:szCs w:val="22"/>
        </w:rPr>
      </w:pPr>
      <w:r>
        <w:rPr>
          <w:szCs w:val="22"/>
        </w:rPr>
        <w:t xml:space="preserve">With regard to Marshall Media’s Petition, </w:t>
      </w:r>
      <w:r w:rsidRPr="002966F9">
        <w:rPr>
          <w:szCs w:val="22"/>
        </w:rPr>
        <w:t>Section 309(d)(1) of the Communications Act of 1934 (Act), as amended, provides a “party in interest” the opportunity to file a petition to deny an application for the transfer or assignment of a license.</w:t>
      </w:r>
      <w:r>
        <w:rPr>
          <w:rStyle w:val="FootnoteReference"/>
          <w:szCs w:val="22"/>
        </w:rPr>
        <w:footnoteReference w:id="41"/>
      </w:r>
      <w:r w:rsidRPr="002966F9">
        <w:rPr>
          <w:szCs w:val="22"/>
        </w:rPr>
        <w:t xml:space="preserve"> Section 309(d)(1) of the Act also authorizes the Commission to promulgate rules determining the length of time for which a “party in interest” may file a petition to deny.</w:t>
      </w:r>
      <w:r>
        <w:rPr>
          <w:rStyle w:val="FootnoteReference"/>
          <w:szCs w:val="22"/>
        </w:rPr>
        <w:footnoteReference w:id="42"/>
      </w:r>
      <w:r w:rsidRPr="002966F9">
        <w:rPr>
          <w:szCs w:val="22"/>
        </w:rPr>
        <w:t xml:space="preserve"> </w:t>
      </w:r>
      <w:r>
        <w:rPr>
          <w:szCs w:val="22"/>
        </w:rPr>
        <w:t xml:space="preserve">Pursuant to Commission rules (Rules), </w:t>
      </w:r>
      <w:r w:rsidRPr="002966F9">
        <w:rPr>
          <w:szCs w:val="22"/>
        </w:rPr>
        <w:t>a “party in</w:t>
      </w:r>
      <w:r>
        <w:rPr>
          <w:szCs w:val="22"/>
        </w:rPr>
        <w:t xml:space="preserve"> interest” must file</w:t>
      </w:r>
      <w:r w:rsidRPr="002966F9">
        <w:rPr>
          <w:szCs w:val="22"/>
        </w:rPr>
        <w:t xml:space="preserve"> a petition to deny no later than 30 days after the Commission issues</w:t>
      </w:r>
      <w:r>
        <w:rPr>
          <w:szCs w:val="22"/>
        </w:rPr>
        <w:t xml:space="preserve"> </w:t>
      </w:r>
      <w:r w:rsidRPr="002966F9">
        <w:rPr>
          <w:szCs w:val="22"/>
        </w:rPr>
        <w:t>public notice of the acceptance for filing an application for the assignment of a license.</w:t>
      </w:r>
      <w:r>
        <w:rPr>
          <w:rStyle w:val="FootnoteReference"/>
          <w:szCs w:val="22"/>
        </w:rPr>
        <w:footnoteReference w:id="43"/>
      </w:r>
      <w:r w:rsidRPr="002966F9">
        <w:rPr>
          <w:szCs w:val="22"/>
        </w:rPr>
        <w:t xml:space="preserve"> Here, the Commission accepted for filing I-Square’s application to assign the Stations’ licenses to LRT on January 11, 2016,</w:t>
      </w:r>
      <w:r>
        <w:rPr>
          <w:rStyle w:val="FootnoteReference"/>
          <w:szCs w:val="22"/>
        </w:rPr>
        <w:footnoteReference w:id="44"/>
      </w:r>
      <w:r w:rsidRPr="002966F9">
        <w:rPr>
          <w:szCs w:val="22"/>
        </w:rPr>
        <w:t xml:space="preserve"> and issued a public notice on January 13, 2016.</w:t>
      </w:r>
      <w:r>
        <w:rPr>
          <w:rStyle w:val="FootnoteReference"/>
          <w:szCs w:val="22"/>
        </w:rPr>
        <w:footnoteReference w:id="45"/>
      </w:r>
      <w:r w:rsidRPr="002966F9">
        <w:rPr>
          <w:szCs w:val="22"/>
        </w:rPr>
        <w:t xml:space="preserve"> All petitions to deny were due on February 12, 2016. Marshall Media filed its Petition on March 8, 2016, which was 25 days past the filing deadline. Therefore, the Division dismisses Marshall Media’s Petition as being late-filed pursuant to Section 73.3584(a) of the Rules</w:t>
      </w:r>
      <w:r>
        <w:rPr>
          <w:szCs w:val="22"/>
        </w:rPr>
        <w:t>.</w:t>
      </w:r>
      <w:r w:rsidRPr="002966F9">
        <w:rPr>
          <w:szCs w:val="22"/>
        </w:rPr>
        <w:t xml:space="preserve"> However</w:t>
      </w:r>
      <w:r>
        <w:rPr>
          <w:szCs w:val="22"/>
        </w:rPr>
        <w:t>, the Division</w:t>
      </w:r>
      <w:r w:rsidRPr="002966F9">
        <w:rPr>
          <w:szCs w:val="22"/>
        </w:rPr>
        <w:t xml:space="preserve"> address</w:t>
      </w:r>
      <w:r>
        <w:rPr>
          <w:szCs w:val="22"/>
        </w:rPr>
        <w:t>es</w:t>
      </w:r>
      <w:r w:rsidRPr="002966F9">
        <w:rPr>
          <w:szCs w:val="22"/>
        </w:rPr>
        <w:t xml:space="preserve"> Marshall Media’s late-filed Petition as an informal objection pursuant to Section 73.3587 of the Rules.</w:t>
      </w:r>
      <w:r>
        <w:rPr>
          <w:rStyle w:val="FootnoteReference"/>
          <w:szCs w:val="22"/>
        </w:rPr>
        <w:footnoteReference w:id="46"/>
      </w:r>
    </w:p>
    <w:p w:rsidR="002966F9" w:rsidRPr="00FE6463" w:rsidRDefault="00F45C3A" w:rsidP="00A34FB5">
      <w:pPr>
        <w:pStyle w:val="ParaNum"/>
        <w:numPr>
          <w:ilvl w:val="0"/>
          <w:numId w:val="35"/>
        </w:numPr>
        <w:tabs>
          <w:tab w:val="left" w:pos="720"/>
          <w:tab w:val="left" w:pos="2880"/>
          <w:tab w:val="left" w:pos="3600"/>
          <w:tab w:val="left" w:pos="4320"/>
          <w:tab w:val="left" w:pos="5040"/>
          <w:tab w:val="right" w:pos="9360"/>
        </w:tabs>
        <w:spacing w:after="240"/>
        <w:ind w:left="0" w:firstLine="720"/>
        <w:jc w:val="left"/>
      </w:pPr>
      <w:r>
        <w:rPr>
          <w:szCs w:val="22"/>
        </w:rPr>
        <w:t xml:space="preserve">Pursuant to </w:t>
      </w:r>
      <w:r w:rsidR="00B7780E" w:rsidRPr="00743495">
        <w:rPr>
          <w:szCs w:val="22"/>
        </w:rPr>
        <w:t xml:space="preserve">Section </w:t>
      </w:r>
      <w:r w:rsidR="00B7780E">
        <w:rPr>
          <w:szCs w:val="22"/>
        </w:rPr>
        <w:t>309(d)(1) of the Act</w:t>
      </w:r>
      <w:r>
        <w:rPr>
          <w:szCs w:val="22"/>
        </w:rPr>
        <w:t>,</w:t>
      </w:r>
      <w:r w:rsidR="00B7780E" w:rsidRPr="0093049D">
        <w:rPr>
          <w:szCs w:val="22"/>
        </w:rPr>
        <w:t xml:space="preserve"> the Di</w:t>
      </w:r>
      <w:r>
        <w:rPr>
          <w:szCs w:val="22"/>
        </w:rPr>
        <w:t>vision applies</w:t>
      </w:r>
      <w:r w:rsidR="00B7780E">
        <w:rPr>
          <w:szCs w:val="22"/>
        </w:rPr>
        <w:t xml:space="preserve"> a two-part test</w:t>
      </w:r>
      <w:r w:rsidR="00B7780E" w:rsidRPr="0093049D">
        <w:rPr>
          <w:szCs w:val="22"/>
        </w:rPr>
        <w:t xml:space="preserve"> when evaluating an informal objection under the public interest standard.</w:t>
      </w:r>
      <w:bookmarkStart w:id="1" w:name="_Ref482189856"/>
      <w:r w:rsidR="00B7780E">
        <w:rPr>
          <w:rStyle w:val="FootnoteReference"/>
          <w:szCs w:val="22"/>
        </w:rPr>
        <w:footnoteReference w:id="47"/>
      </w:r>
      <w:bookmarkEnd w:id="1"/>
      <w:r w:rsidR="00B7780E" w:rsidRPr="0093049D">
        <w:rPr>
          <w:szCs w:val="22"/>
        </w:rPr>
        <w:t xml:space="preserve"> In part one of the test, the Division must determine whether the informal objection contains specific allegations of fact sufficient to show that granting the application would be </w:t>
      </w:r>
      <w:r w:rsidR="00B7780E" w:rsidRPr="0093049D">
        <w:rPr>
          <w:i/>
          <w:szCs w:val="22"/>
        </w:rPr>
        <w:t>prima facie</w:t>
      </w:r>
      <w:r w:rsidR="00B7780E" w:rsidRPr="0093049D">
        <w:rPr>
          <w:szCs w:val="22"/>
        </w:rPr>
        <w:t xml:space="preserve"> inconsistent with the public interest.</w:t>
      </w:r>
      <w:r w:rsidR="00B7780E">
        <w:rPr>
          <w:rStyle w:val="FootnoteReference"/>
          <w:szCs w:val="22"/>
        </w:rPr>
        <w:footnoteReference w:id="48"/>
      </w:r>
      <w:r w:rsidR="00B7780E" w:rsidRPr="0093049D">
        <w:rPr>
          <w:szCs w:val="22"/>
        </w:rPr>
        <w:t xml:space="preserve"> </w:t>
      </w:r>
      <w:r w:rsidR="00B7780E">
        <w:rPr>
          <w:szCs w:val="22"/>
        </w:rPr>
        <w:t>The Division’s analysis under this part of the test “is much like that performed by a trial judge considering a motion for directed verdict: if all the supporting facts alleged in the [informal objection] were true, could a reasonable factfinder conclude that the ultimate fact in dispute had been established.”</w:t>
      </w:r>
      <w:r w:rsidR="00B7780E">
        <w:rPr>
          <w:rStyle w:val="FootnoteReference"/>
          <w:szCs w:val="22"/>
        </w:rPr>
        <w:footnoteReference w:id="49"/>
      </w:r>
      <w:r w:rsidR="00B7780E">
        <w:rPr>
          <w:szCs w:val="22"/>
        </w:rPr>
        <w:t xml:space="preserve"> </w:t>
      </w:r>
      <w:r w:rsidR="00B7780E" w:rsidRPr="00EB753D">
        <w:rPr>
          <w:szCs w:val="22"/>
        </w:rPr>
        <w:t>If the informal objection satisfies part one of the test, the Division then must determine “whether the totality of the evidence raises a substantial and material question of fact justifying further inquiry.”</w:t>
      </w:r>
      <w:r w:rsidR="00B7780E">
        <w:rPr>
          <w:rStyle w:val="FootnoteReference"/>
          <w:szCs w:val="22"/>
        </w:rPr>
        <w:footnoteReference w:id="50"/>
      </w:r>
      <w:r w:rsidR="00B7780E" w:rsidRPr="00EB753D">
        <w:rPr>
          <w:szCs w:val="22"/>
        </w:rPr>
        <w:t xml:space="preserve"> If the informal objection fails to satisfy both steps, the Division will deny the informal objection if granting the application would otherwise serve the public interest, convenience, and necessity.</w:t>
      </w:r>
      <w:r w:rsidR="00B7780E">
        <w:rPr>
          <w:rStyle w:val="FootnoteReference"/>
          <w:szCs w:val="22"/>
        </w:rPr>
        <w:footnoteReference w:id="51"/>
      </w:r>
      <w:r>
        <w:rPr>
          <w:szCs w:val="22"/>
        </w:rPr>
        <w:t xml:space="preserve"> For the reasons set forth below, the Division denies Marshall Media’s Petition as an informal objection.</w:t>
      </w:r>
    </w:p>
    <w:p w:rsidR="00D60F8B" w:rsidRPr="00152A95" w:rsidRDefault="00D60F8B" w:rsidP="00FB2F06">
      <w:pPr>
        <w:pStyle w:val="ParaNum"/>
        <w:numPr>
          <w:ilvl w:val="0"/>
          <w:numId w:val="0"/>
        </w:numPr>
        <w:spacing w:after="240"/>
        <w:jc w:val="left"/>
        <w:rPr>
          <w:b/>
          <w:szCs w:val="22"/>
        </w:rPr>
      </w:pPr>
      <w:r>
        <w:rPr>
          <w:b/>
          <w:szCs w:val="22"/>
        </w:rPr>
        <w:t>III.     DISCUSSION</w:t>
      </w:r>
    </w:p>
    <w:p w:rsidR="00A34FB5" w:rsidRPr="00A34FB5" w:rsidRDefault="00123188" w:rsidP="00A34FB5">
      <w:pPr>
        <w:pStyle w:val="ParaNum"/>
        <w:numPr>
          <w:ilvl w:val="0"/>
          <w:numId w:val="35"/>
        </w:numPr>
        <w:tabs>
          <w:tab w:val="left" w:pos="720"/>
          <w:tab w:val="left" w:pos="2880"/>
          <w:tab w:val="left" w:pos="3600"/>
          <w:tab w:val="left" w:pos="4320"/>
          <w:tab w:val="left" w:pos="5040"/>
          <w:tab w:val="right" w:pos="9360"/>
        </w:tabs>
        <w:spacing w:after="240"/>
        <w:ind w:left="0" w:firstLine="720"/>
        <w:jc w:val="left"/>
      </w:pPr>
      <w:r>
        <w:t xml:space="preserve">We have reviewed the application before us, and, based on the following analysis, determined that granting the above-referenced Application for Assignment of Licenses, despite the private contractual dispute, would be in the public interest, convenience, and necessity. </w:t>
      </w:r>
      <w:r w:rsidR="00F45C3A">
        <w:t xml:space="preserve">Here, </w:t>
      </w:r>
      <w:r w:rsidR="0060592A" w:rsidRPr="00F45C3A">
        <w:rPr>
          <w:color w:val="000000"/>
          <w:szCs w:val="22"/>
        </w:rPr>
        <w:t xml:space="preserve">Marshall Media’s informal objection fails to meet </w:t>
      </w:r>
      <w:r w:rsidR="00FF0051" w:rsidRPr="00F45C3A">
        <w:rPr>
          <w:color w:val="000000"/>
          <w:szCs w:val="22"/>
        </w:rPr>
        <w:t>part one of the Commission’s t</w:t>
      </w:r>
      <w:r w:rsidR="007E34E9" w:rsidRPr="00F45C3A">
        <w:rPr>
          <w:color w:val="000000"/>
          <w:szCs w:val="22"/>
        </w:rPr>
        <w:t>wo-</w:t>
      </w:r>
      <w:r w:rsidR="00FF0051" w:rsidRPr="00F45C3A">
        <w:rPr>
          <w:color w:val="000000"/>
          <w:szCs w:val="22"/>
        </w:rPr>
        <w:t>part</w:t>
      </w:r>
      <w:r w:rsidR="007E34E9" w:rsidRPr="00F45C3A">
        <w:rPr>
          <w:color w:val="000000"/>
          <w:szCs w:val="22"/>
        </w:rPr>
        <w:t xml:space="preserve"> </w:t>
      </w:r>
      <w:r w:rsidR="00FF0051" w:rsidRPr="00F45C3A">
        <w:rPr>
          <w:color w:val="000000"/>
          <w:szCs w:val="22"/>
        </w:rPr>
        <w:t xml:space="preserve">test because it </w:t>
      </w:r>
      <w:r w:rsidR="00525E36" w:rsidRPr="00F45C3A">
        <w:rPr>
          <w:szCs w:val="22"/>
        </w:rPr>
        <w:t>did not provide the Division</w:t>
      </w:r>
      <w:r w:rsidR="0060592A" w:rsidRPr="00F45C3A">
        <w:rPr>
          <w:szCs w:val="22"/>
        </w:rPr>
        <w:t xml:space="preserve"> with specific allegations of fact sufficient to show that granting the application would be </w:t>
      </w:r>
      <w:r w:rsidR="0060592A" w:rsidRPr="00F45C3A">
        <w:rPr>
          <w:i/>
          <w:szCs w:val="22"/>
        </w:rPr>
        <w:t>prima facie</w:t>
      </w:r>
      <w:r w:rsidR="0060592A" w:rsidRPr="00F45C3A">
        <w:rPr>
          <w:szCs w:val="22"/>
        </w:rPr>
        <w:t xml:space="preserve"> inconsistent with the public interest.</w:t>
      </w:r>
      <w:r w:rsidR="00391191" w:rsidRPr="00F45C3A">
        <w:rPr>
          <w:szCs w:val="22"/>
        </w:rPr>
        <w:t xml:space="preserve"> </w:t>
      </w:r>
      <w:r w:rsidR="007B4F54" w:rsidRPr="00F45C3A">
        <w:rPr>
          <w:szCs w:val="22"/>
        </w:rPr>
        <w:t xml:space="preserve">We acknowledge the complexity of the contractual dispute at issue here.  </w:t>
      </w:r>
      <w:r w:rsidR="00B16E57" w:rsidRPr="00F45C3A">
        <w:rPr>
          <w:szCs w:val="22"/>
        </w:rPr>
        <w:t>In its pleadings</w:t>
      </w:r>
      <w:r w:rsidR="00FB68D0" w:rsidRPr="00F45C3A">
        <w:rPr>
          <w:szCs w:val="22"/>
        </w:rPr>
        <w:t>,</w:t>
      </w:r>
      <w:r w:rsidR="00BC2502" w:rsidRPr="00F45C3A">
        <w:rPr>
          <w:szCs w:val="22"/>
        </w:rPr>
        <w:t xml:space="preserve"> </w:t>
      </w:r>
      <w:r w:rsidR="00FB68D0" w:rsidRPr="00F45C3A">
        <w:rPr>
          <w:szCs w:val="22"/>
        </w:rPr>
        <w:t xml:space="preserve">Marshall Media </w:t>
      </w:r>
      <w:r w:rsidR="006814BD" w:rsidRPr="00F45C3A">
        <w:rPr>
          <w:szCs w:val="22"/>
        </w:rPr>
        <w:t>proffered fact</w:t>
      </w:r>
      <w:r w:rsidR="005E695B" w:rsidRPr="00F45C3A">
        <w:rPr>
          <w:szCs w:val="22"/>
        </w:rPr>
        <w:t>s</w:t>
      </w:r>
      <w:r w:rsidR="006814BD" w:rsidRPr="00F45C3A">
        <w:rPr>
          <w:szCs w:val="22"/>
        </w:rPr>
        <w:t xml:space="preserve"> </w:t>
      </w:r>
      <w:r w:rsidR="001E02C7" w:rsidRPr="00F45C3A">
        <w:rPr>
          <w:szCs w:val="22"/>
        </w:rPr>
        <w:t xml:space="preserve">purporting to show </w:t>
      </w:r>
      <w:r w:rsidR="00525E36" w:rsidRPr="00F45C3A">
        <w:rPr>
          <w:szCs w:val="22"/>
        </w:rPr>
        <w:t>that the Rock City APA was consummated</w:t>
      </w:r>
      <w:r w:rsidR="00085C7D" w:rsidRPr="00F45C3A">
        <w:rPr>
          <w:szCs w:val="22"/>
        </w:rPr>
        <w:t>,</w:t>
      </w:r>
      <w:r w:rsidR="00525E36" w:rsidRPr="00F45C3A">
        <w:rPr>
          <w:szCs w:val="22"/>
        </w:rPr>
        <w:t xml:space="preserve"> and I-Square</w:t>
      </w:r>
      <w:r w:rsidR="005F3F6D" w:rsidRPr="00F45C3A">
        <w:rPr>
          <w:szCs w:val="22"/>
        </w:rPr>
        <w:t>, as a result of the alleged consummation,</w:t>
      </w:r>
      <w:r w:rsidR="00525E36" w:rsidRPr="00F45C3A">
        <w:rPr>
          <w:szCs w:val="22"/>
        </w:rPr>
        <w:t xml:space="preserve"> los</w:t>
      </w:r>
      <w:r w:rsidR="00B16E57" w:rsidRPr="00F45C3A">
        <w:rPr>
          <w:szCs w:val="22"/>
        </w:rPr>
        <w:t>t its</w:t>
      </w:r>
      <w:r w:rsidR="009B39B8" w:rsidRPr="00F45C3A">
        <w:rPr>
          <w:szCs w:val="22"/>
        </w:rPr>
        <w:t xml:space="preserve"> authority to assign the Stations’ licenses to LRT</w:t>
      </w:r>
      <w:r w:rsidR="005F3F6D" w:rsidRPr="00F45C3A">
        <w:rPr>
          <w:szCs w:val="22"/>
        </w:rPr>
        <w:t>.</w:t>
      </w:r>
      <w:r w:rsidR="001E02C7" w:rsidRPr="00F45C3A">
        <w:rPr>
          <w:szCs w:val="22"/>
        </w:rPr>
        <w:t xml:space="preserve"> </w:t>
      </w:r>
      <w:r w:rsidR="00776CE2" w:rsidRPr="00F45C3A">
        <w:rPr>
          <w:szCs w:val="22"/>
        </w:rPr>
        <w:t xml:space="preserve">Based on these allegations of fact, </w:t>
      </w:r>
      <w:r w:rsidR="00730ED0" w:rsidRPr="00F45C3A">
        <w:rPr>
          <w:szCs w:val="22"/>
        </w:rPr>
        <w:t>Marshall Media argued</w:t>
      </w:r>
      <w:r w:rsidR="00776CE2" w:rsidRPr="00F45C3A">
        <w:rPr>
          <w:szCs w:val="22"/>
        </w:rPr>
        <w:t xml:space="preserve"> that the Division</w:t>
      </w:r>
      <w:r w:rsidR="00730ED0" w:rsidRPr="00F45C3A">
        <w:rPr>
          <w:szCs w:val="22"/>
        </w:rPr>
        <w:t xml:space="preserve"> should</w:t>
      </w:r>
      <w:r w:rsidR="00776CE2" w:rsidRPr="00F45C3A">
        <w:rPr>
          <w:szCs w:val="22"/>
        </w:rPr>
        <w:t xml:space="preserve"> “deny or dismiss” the 2016 Application because</w:t>
      </w:r>
      <w:r w:rsidR="001E02C7" w:rsidRPr="00F45C3A">
        <w:rPr>
          <w:szCs w:val="22"/>
        </w:rPr>
        <w:t xml:space="preserve"> the </w:t>
      </w:r>
      <w:r w:rsidR="00776CE2" w:rsidRPr="00F45C3A">
        <w:rPr>
          <w:szCs w:val="22"/>
        </w:rPr>
        <w:t>Division’s</w:t>
      </w:r>
      <w:r w:rsidR="001E02C7" w:rsidRPr="00F45C3A">
        <w:rPr>
          <w:szCs w:val="22"/>
        </w:rPr>
        <w:t xml:space="preserve"> grant of the </w:t>
      </w:r>
      <w:r w:rsidR="00BC6C88" w:rsidRPr="00F45C3A">
        <w:rPr>
          <w:szCs w:val="22"/>
        </w:rPr>
        <w:t>a</w:t>
      </w:r>
      <w:r w:rsidR="001E02C7" w:rsidRPr="00F45C3A">
        <w:rPr>
          <w:szCs w:val="22"/>
        </w:rPr>
        <w:t>pplication would result in the “</w:t>
      </w:r>
      <w:r w:rsidR="001E02C7" w:rsidRPr="00F45C3A">
        <w:rPr>
          <w:i/>
          <w:szCs w:val="22"/>
        </w:rPr>
        <w:t>ultra vires</w:t>
      </w:r>
      <w:r w:rsidR="001E02C7" w:rsidRPr="00F45C3A">
        <w:rPr>
          <w:szCs w:val="22"/>
        </w:rPr>
        <w:t>” assignment of the Stations’ licenses</w:t>
      </w:r>
      <w:r w:rsidR="00776CE2" w:rsidRPr="00F45C3A">
        <w:rPr>
          <w:szCs w:val="22"/>
        </w:rPr>
        <w:t xml:space="preserve">. </w:t>
      </w:r>
    </w:p>
    <w:p w:rsidR="00D341BB" w:rsidRPr="007B4F54" w:rsidRDefault="00DB5F5D" w:rsidP="00A34FB5">
      <w:pPr>
        <w:pStyle w:val="ParaNum"/>
        <w:numPr>
          <w:ilvl w:val="0"/>
          <w:numId w:val="35"/>
        </w:numPr>
        <w:tabs>
          <w:tab w:val="left" w:pos="720"/>
          <w:tab w:val="left" w:pos="2880"/>
          <w:tab w:val="left" w:pos="3600"/>
          <w:tab w:val="left" w:pos="4320"/>
          <w:tab w:val="left" w:pos="5040"/>
          <w:tab w:val="right" w:pos="9360"/>
        </w:tabs>
        <w:spacing w:after="240"/>
        <w:ind w:left="0" w:firstLine="720"/>
        <w:jc w:val="left"/>
      </w:pPr>
      <w:r w:rsidRPr="00F45C3A">
        <w:rPr>
          <w:szCs w:val="22"/>
        </w:rPr>
        <w:t>While it is true that an unauthorize</w:t>
      </w:r>
      <w:r w:rsidR="00923DA2" w:rsidRPr="00F45C3A">
        <w:rPr>
          <w:szCs w:val="22"/>
        </w:rPr>
        <w:t xml:space="preserve">d </w:t>
      </w:r>
      <w:r w:rsidR="00A34FB5">
        <w:rPr>
          <w:szCs w:val="22"/>
        </w:rPr>
        <w:t>transfer of control</w:t>
      </w:r>
      <w:r w:rsidR="00E61465">
        <w:rPr>
          <w:szCs w:val="22"/>
        </w:rPr>
        <w:t xml:space="preserve"> </w:t>
      </w:r>
      <w:r w:rsidR="00923DA2" w:rsidRPr="00F45C3A">
        <w:rPr>
          <w:szCs w:val="22"/>
        </w:rPr>
        <w:t xml:space="preserve">of </w:t>
      </w:r>
      <w:r w:rsidR="00776CE2" w:rsidRPr="00F45C3A">
        <w:rPr>
          <w:szCs w:val="22"/>
        </w:rPr>
        <w:t>an FCC License</w:t>
      </w:r>
      <w:r w:rsidR="00E61465">
        <w:rPr>
          <w:szCs w:val="22"/>
        </w:rPr>
        <w:t xml:space="preserve"> </w:t>
      </w:r>
      <w:r w:rsidR="00A34FB5">
        <w:rPr>
          <w:szCs w:val="22"/>
        </w:rPr>
        <w:t>would result in a potential violation of Section 310(d) of the Act</w:t>
      </w:r>
      <w:r w:rsidRPr="00F45C3A">
        <w:rPr>
          <w:szCs w:val="22"/>
        </w:rPr>
        <w:t>,</w:t>
      </w:r>
      <w:r w:rsidR="00142E65">
        <w:rPr>
          <w:rStyle w:val="FootnoteReference"/>
          <w:szCs w:val="22"/>
        </w:rPr>
        <w:footnoteReference w:id="52"/>
      </w:r>
      <w:r w:rsidRPr="00F45C3A">
        <w:rPr>
          <w:szCs w:val="22"/>
        </w:rPr>
        <w:t xml:space="preserve"> </w:t>
      </w:r>
      <w:r w:rsidR="00776CE2" w:rsidRPr="00F45C3A">
        <w:rPr>
          <w:szCs w:val="22"/>
        </w:rPr>
        <w:t xml:space="preserve">Marshall Media’s </w:t>
      </w:r>
      <w:r w:rsidR="00566804" w:rsidRPr="00F45C3A">
        <w:rPr>
          <w:szCs w:val="22"/>
        </w:rPr>
        <w:t>informal objection</w:t>
      </w:r>
      <w:r w:rsidR="00776CE2" w:rsidRPr="00F45C3A">
        <w:rPr>
          <w:szCs w:val="22"/>
        </w:rPr>
        <w:t xml:space="preserve"> </w:t>
      </w:r>
      <w:r w:rsidR="00BC6C88" w:rsidRPr="00F45C3A">
        <w:rPr>
          <w:szCs w:val="22"/>
        </w:rPr>
        <w:t xml:space="preserve">requires the Division to make a </w:t>
      </w:r>
      <w:r w:rsidR="00BC6C88" w:rsidRPr="00F45C3A">
        <w:rPr>
          <w:i/>
          <w:szCs w:val="22"/>
        </w:rPr>
        <w:t>de facto</w:t>
      </w:r>
      <w:r w:rsidR="00BC6C88" w:rsidRPr="00F45C3A">
        <w:rPr>
          <w:szCs w:val="22"/>
        </w:rPr>
        <w:t xml:space="preserve"> determination, based on Marshall Media’s allegations of fact, whether the Rock City APA was consummated</w:t>
      </w:r>
      <w:r w:rsidR="00A34FB5">
        <w:rPr>
          <w:szCs w:val="22"/>
        </w:rPr>
        <w:t xml:space="preserve">, the </w:t>
      </w:r>
      <w:r w:rsidR="00A34FB5">
        <w:rPr>
          <w:i/>
          <w:szCs w:val="22"/>
        </w:rPr>
        <w:t xml:space="preserve">sine qua non </w:t>
      </w:r>
      <w:r w:rsidR="00A34FB5">
        <w:rPr>
          <w:szCs w:val="22"/>
        </w:rPr>
        <w:t>of whether control was transferred to Rock City</w:t>
      </w:r>
      <w:r w:rsidR="00BC6C88" w:rsidRPr="00F45C3A">
        <w:rPr>
          <w:szCs w:val="22"/>
        </w:rPr>
        <w:t>. Because the “ultimate fact in dispute”</w:t>
      </w:r>
      <w:r w:rsidR="00B47894">
        <w:rPr>
          <w:rStyle w:val="FootnoteReference"/>
          <w:szCs w:val="22"/>
        </w:rPr>
        <w:footnoteReference w:id="53"/>
      </w:r>
      <w:r w:rsidR="00B47894" w:rsidRPr="00F45C3A">
        <w:rPr>
          <w:szCs w:val="22"/>
        </w:rPr>
        <w:t xml:space="preserve"> is contractual in nature, the Division lacks jurisdiction over this matter.</w:t>
      </w:r>
      <w:r w:rsidR="00B47894">
        <w:rPr>
          <w:rStyle w:val="FootnoteReference"/>
          <w:szCs w:val="22"/>
        </w:rPr>
        <w:footnoteReference w:id="54"/>
      </w:r>
      <w:r w:rsidR="00BC6C88" w:rsidRPr="00F45C3A">
        <w:rPr>
          <w:szCs w:val="22"/>
        </w:rPr>
        <w:t xml:space="preserve"> Pursuant to Commission precedent, </w:t>
      </w:r>
      <w:r w:rsidR="00923DA2" w:rsidRPr="00F45C3A">
        <w:rPr>
          <w:szCs w:val="22"/>
        </w:rPr>
        <w:t>the Division will not adjudicate private contractual disputes.</w:t>
      </w:r>
      <w:r w:rsidR="00923DA2" w:rsidRPr="0060592A">
        <w:rPr>
          <w:szCs w:val="22"/>
          <w:vertAlign w:val="superscript"/>
        </w:rPr>
        <w:footnoteReference w:id="55"/>
      </w:r>
      <w:r w:rsidR="00923DA2" w:rsidRPr="00F45C3A">
        <w:rPr>
          <w:szCs w:val="22"/>
        </w:rPr>
        <w:t xml:space="preserve"> Instead, the Division will defer contractual disputes to state and local courts</w:t>
      </w:r>
      <w:r w:rsidR="00BC6C88" w:rsidRPr="00F45C3A">
        <w:rPr>
          <w:szCs w:val="22"/>
        </w:rPr>
        <w:t>.</w:t>
      </w:r>
      <w:r w:rsidR="00BC6C88" w:rsidRPr="0060592A">
        <w:rPr>
          <w:szCs w:val="22"/>
          <w:vertAlign w:val="superscript"/>
        </w:rPr>
        <w:footnoteReference w:id="56"/>
      </w:r>
      <w:r w:rsidR="007B4F54" w:rsidRPr="00F45C3A">
        <w:rPr>
          <w:szCs w:val="22"/>
        </w:rPr>
        <w:t xml:space="preserve">  The Commission is able to effectuate the decision of the court via traditional application </w:t>
      </w:r>
      <w:r w:rsidR="00B7780E" w:rsidRPr="00F45C3A">
        <w:rPr>
          <w:szCs w:val="22"/>
        </w:rPr>
        <w:t xml:space="preserve">and enforcement </w:t>
      </w:r>
      <w:r w:rsidR="007B4F54" w:rsidRPr="00F45C3A">
        <w:rPr>
          <w:szCs w:val="22"/>
        </w:rPr>
        <w:t>processes without disturbing the comity between the FCC and local courts</w:t>
      </w:r>
      <w:r w:rsidR="000835EA" w:rsidRPr="00F45C3A">
        <w:rPr>
          <w:szCs w:val="22"/>
        </w:rPr>
        <w:t>, which are</w:t>
      </w:r>
      <w:r w:rsidR="007B4F54" w:rsidRPr="00F45C3A">
        <w:rPr>
          <w:szCs w:val="22"/>
        </w:rPr>
        <w:t xml:space="preserve"> better equipped to make decisions involving complex contractual disputes.</w:t>
      </w:r>
      <w:r w:rsidR="00BC6C88">
        <w:t xml:space="preserve"> </w:t>
      </w:r>
    </w:p>
    <w:p w:rsidR="00D341BB" w:rsidRPr="00152A95" w:rsidRDefault="00D341BB" w:rsidP="00FB2F06">
      <w:pPr>
        <w:pStyle w:val="ParaNum"/>
        <w:numPr>
          <w:ilvl w:val="0"/>
          <w:numId w:val="0"/>
        </w:numPr>
        <w:spacing w:after="240"/>
        <w:jc w:val="left"/>
        <w:rPr>
          <w:b/>
          <w:szCs w:val="22"/>
        </w:rPr>
      </w:pPr>
      <w:r>
        <w:rPr>
          <w:b/>
          <w:szCs w:val="22"/>
        </w:rPr>
        <w:t>III.     ORDERING CLAUSE</w:t>
      </w:r>
      <w:r w:rsidR="00F14190">
        <w:rPr>
          <w:b/>
          <w:szCs w:val="22"/>
        </w:rPr>
        <w:t>S</w:t>
      </w:r>
    </w:p>
    <w:p w:rsidR="00D341BB" w:rsidRDefault="00D341BB" w:rsidP="00A34FB5">
      <w:pPr>
        <w:pStyle w:val="ParaNum"/>
        <w:numPr>
          <w:ilvl w:val="0"/>
          <w:numId w:val="35"/>
        </w:numPr>
        <w:tabs>
          <w:tab w:val="left" w:pos="720"/>
          <w:tab w:val="left" w:pos="2880"/>
          <w:tab w:val="left" w:pos="3600"/>
          <w:tab w:val="left" w:pos="4320"/>
          <w:tab w:val="left" w:pos="5040"/>
          <w:tab w:val="right" w:pos="9360"/>
        </w:tabs>
        <w:spacing w:after="240"/>
        <w:ind w:left="0" w:firstLine="720"/>
        <w:jc w:val="left"/>
      </w:pPr>
      <w:r>
        <w:rPr>
          <w:szCs w:val="22"/>
        </w:rPr>
        <w:t xml:space="preserve">Accordingly, </w:t>
      </w:r>
      <w:r>
        <w:rPr>
          <w:b/>
          <w:szCs w:val="22"/>
        </w:rPr>
        <w:t>IT IS ORDERED</w:t>
      </w:r>
      <w:r w:rsidR="009B21CE">
        <w:rPr>
          <w:szCs w:val="22"/>
        </w:rPr>
        <w:t>, pursuant to Section 154(i) of the Communications Act of 1934, as amended,</w:t>
      </w:r>
      <w:r w:rsidR="009B21CE">
        <w:rPr>
          <w:rStyle w:val="FootnoteReference"/>
          <w:szCs w:val="22"/>
        </w:rPr>
        <w:footnoteReference w:id="57"/>
      </w:r>
      <w:r w:rsidR="009B21CE">
        <w:rPr>
          <w:szCs w:val="22"/>
        </w:rPr>
        <w:t xml:space="preserve"> and by the authority delegated by Sections 0.61 and 0.283 of the Commission’s rules,</w:t>
      </w:r>
      <w:r w:rsidR="009B21CE">
        <w:rPr>
          <w:rStyle w:val="FootnoteReference"/>
          <w:szCs w:val="22"/>
        </w:rPr>
        <w:footnoteReference w:id="58"/>
      </w:r>
      <w:r>
        <w:rPr>
          <w:b/>
          <w:szCs w:val="22"/>
        </w:rPr>
        <w:t xml:space="preserve"> </w:t>
      </w:r>
      <w:r>
        <w:rPr>
          <w:szCs w:val="22"/>
        </w:rPr>
        <w:t xml:space="preserve">that the </w:t>
      </w:r>
      <w:r>
        <w:t>Petition to Deny</w:t>
      </w:r>
      <w:r w:rsidR="00125D8E">
        <w:t>, Dismiss, or Hold in Abeyance</w:t>
      </w:r>
      <w:r>
        <w:t xml:space="preserve"> filed by Marshall Media, LLC</w:t>
      </w:r>
      <w:r w:rsidR="00807712">
        <w:t>,</w:t>
      </w:r>
      <w:r>
        <w:t xml:space="preserve"> </w:t>
      </w:r>
      <w:r>
        <w:rPr>
          <w:b/>
        </w:rPr>
        <w:t>IS DISMISSED</w:t>
      </w:r>
      <w:r w:rsidR="00F14190">
        <w:t>, and</w:t>
      </w:r>
      <w:r w:rsidR="00807712">
        <w:t xml:space="preserve"> when considered as an informal objection </w:t>
      </w:r>
      <w:r w:rsidR="00807712" w:rsidRPr="00731151">
        <w:rPr>
          <w:b/>
        </w:rPr>
        <w:t>IS DENIED</w:t>
      </w:r>
      <w:r>
        <w:t>.</w:t>
      </w:r>
    </w:p>
    <w:p w:rsidR="00D341BB" w:rsidRDefault="00D341BB" w:rsidP="00A34FB5">
      <w:pPr>
        <w:pStyle w:val="ParaNum"/>
        <w:numPr>
          <w:ilvl w:val="0"/>
          <w:numId w:val="35"/>
        </w:numPr>
        <w:tabs>
          <w:tab w:val="left" w:pos="720"/>
          <w:tab w:val="left" w:pos="2880"/>
          <w:tab w:val="left" w:pos="3600"/>
          <w:tab w:val="left" w:pos="4320"/>
          <w:tab w:val="left" w:pos="5040"/>
          <w:tab w:val="right" w:pos="9360"/>
        </w:tabs>
        <w:spacing w:after="240"/>
        <w:ind w:left="0" w:firstLine="720"/>
        <w:jc w:val="left"/>
      </w:pPr>
      <w:r>
        <w:rPr>
          <w:b/>
        </w:rPr>
        <w:t xml:space="preserve">IT IS FURTHER ORDERED </w:t>
      </w:r>
      <w:r w:rsidR="00807712">
        <w:t>that the application to assign the licenses of stations KMYA-DT, Camden, Arkansas, and KM</w:t>
      </w:r>
      <w:r w:rsidR="00731151">
        <w:t xml:space="preserve">YA-LP, Sheridan, Arkansas, </w:t>
      </w:r>
      <w:r w:rsidR="00807712">
        <w:t xml:space="preserve">file no. BALCDT-20160108AAQ, </w:t>
      </w:r>
      <w:r w:rsidR="00807712">
        <w:rPr>
          <w:b/>
        </w:rPr>
        <w:t xml:space="preserve">IS GRANTED.  </w:t>
      </w:r>
    </w:p>
    <w:p w:rsidR="00A10AD7" w:rsidRDefault="00A10AD7" w:rsidP="00FB2F06">
      <w:pPr>
        <w:pStyle w:val="ParaNum"/>
        <w:numPr>
          <w:ilvl w:val="0"/>
          <w:numId w:val="0"/>
        </w:numPr>
        <w:tabs>
          <w:tab w:val="left" w:pos="720"/>
          <w:tab w:val="left" w:pos="2880"/>
          <w:tab w:val="left" w:pos="3600"/>
          <w:tab w:val="left" w:pos="4320"/>
          <w:tab w:val="left" w:pos="5040"/>
          <w:tab w:val="right" w:pos="9360"/>
        </w:tabs>
        <w:spacing w:after="240"/>
        <w:jc w:val="left"/>
      </w:pPr>
    </w:p>
    <w:p w:rsidR="002E1E31" w:rsidRDefault="002E1E31" w:rsidP="00FB2F06">
      <w:pPr>
        <w:pStyle w:val="ParaNum"/>
        <w:numPr>
          <w:ilvl w:val="0"/>
          <w:numId w:val="0"/>
        </w:numPr>
        <w:tabs>
          <w:tab w:val="left" w:pos="720"/>
          <w:tab w:val="left" w:pos="2880"/>
          <w:tab w:val="left" w:pos="3600"/>
          <w:tab w:val="left" w:pos="4320"/>
          <w:tab w:val="left" w:pos="5040"/>
          <w:tab w:val="right" w:pos="9360"/>
        </w:tabs>
        <w:spacing w:after="240"/>
        <w:jc w:val="left"/>
      </w:pPr>
    </w:p>
    <w:p w:rsidR="00D341BB" w:rsidRDefault="00D341BB" w:rsidP="000835EA">
      <w:pPr>
        <w:pStyle w:val="ParaNum"/>
        <w:numPr>
          <w:ilvl w:val="0"/>
          <w:numId w:val="0"/>
        </w:numPr>
        <w:tabs>
          <w:tab w:val="left" w:pos="720"/>
          <w:tab w:val="left" w:pos="2880"/>
          <w:tab w:val="left" w:pos="3600"/>
          <w:tab w:val="left" w:pos="4320"/>
          <w:tab w:val="left" w:pos="5040"/>
          <w:tab w:val="right" w:pos="9360"/>
        </w:tabs>
        <w:spacing w:after="240"/>
        <w:ind w:left="4770"/>
        <w:jc w:val="left"/>
      </w:pPr>
      <w:r>
        <w:t>FEDERAL COMMUNICATIONS COMMISSION</w:t>
      </w:r>
    </w:p>
    <w:p w:rsidR="00D341BB" w:rsidRDefault="00D341BB" w:rsidP="000835EA">
      <w:pPr>
        <w:pStyle w:val="ParaNum"/>
        <w:numPr>
          <w:ilvl w:val="0"/>
          <w:numId w:val="0"/>
        </w:numPr>
        <w:tabs>
          <w:tab w:val="left" w:pos="720"/>
          <w:tab w:val="left" w:pos="2880"/>
          <w:tab w:val="left" w:pos="3600"/>
          <w:tab w:val="left" w:pos="4320"/>
          <w:tab w:val="left" w:pos="5040"/>
          <w:tab w:val="right" w:pos="9360"/>
        </w:tabs>
        <w:spacing w:after="240"/>
        <w:ind w:left="4770"/>
        <w:jc w:val="left"/>
      </w:pPr>
    </w:p>
    <w:p w:rsidR="00D341BB" w:rsidRDefault="00D341BB" w:rsidP="000835EA">
      <w:pPr>
        <w:pStyle w:val="ParaNum"/>
        <w:numPr>
          <w:ilvl w:val="0"/>
          <w:numId w:val="0"/>
        </w:numPr>
        <w:tabs>
          <w:tab w:val="left" w:pos="720"/>
          <w:tab w:val="left" w:pos="2880"/>
          <w:tab w:val="left" w:pos="3600"/>
          <w:tab w:val="left" w:pos="4320"/>
          <w:tab w:val="left" w:pos="5040"/>
          <w:tab w:val="right" w:pos="9360"/>
        </w:tabs>
        <w:spacing w:after="0"/>
        <w:ind w:left="4770"/>
        <w:jc w:val="left"/>
      </w:pPr>
      <w:r>
        <w:t>Barbara A. Kreisman</w:t>
      </w:r>
    </w:p>
    <w:p w:rsidR="00D341BB" w:rsidRDefault="00D341BB" w:rsidP="00023B6F">
      <w:pPr>
        <w:pStyle w:val="ParaNum"/>
        <w:numPr>
          <w:ilvl w:val="0"/>
          <w:numId w:val="0"/>
        </w:numPr>
        <w:tabs>
          <w:tab w:val="left" w:pos="720"/>
          <w:tab w:val="left" w:pos="2880"/>
          <w:tab w:val="left" w:pos="3600"/>
          <w:tab w:val="left" w:pos="4320"/>
          <w:tab w:val="left" w:pos="5040"/>
          <w:tab w:val="right" w:pos="9360"/>
        </w:tabs>
        <w:spacing w:after="0"/>
        <w:ind w:left="4770"/>
        <w:jc w:val="left"/>
      </w:pPr>
      <w:r>
        <w:t>Chief</w:t>
      </w:r>
      <w:r w:rsidR="00023B6F">
        <w:t xml:space="preserve">, </w:t>
      </w:r>
      <w:r>
        <w:t>Video Division</w:t>
      </w:r>
    </w:p>
    <w:p w:rsidR="00D341BB" w:rsidRPr="00D341BB" w:rsidRDefault="00D341BB" w:rsidP="000835EA">
      <w:pPr>
        <w:pStyle w:val="ParaNum"/>
        <w:numPr>
          <w:ilvl w:val="0"/>
          <w:numId w:val="0"/>
        </w:numPr>
        <w:tabs>
          <w:tab w:val="left" w:pos="720"/>
          <w:tab w:val="left" w:pos="2880"/>
          <w:tab w:val="left" w:pos="3600"/>
          <w:tab w:val="left" w:pos="4320"/>
          <w:tab w:val="left" w:pos="5040"/>
          <w:tab w:val="right" w:pos="9360"/>
        </w:tabs>
        <w:spacing w:after="0"/>
        <w:ind w:left="4770"/>
        <w:jc w:val="left"/>
      </w:pPr>
      <w:r>
        <w:t>Media Bureau</w:t>
      </w:r>
    </w:p>
    <w:sectPr w:rsidR="00D341BB" w:rsidRPr="00D341BB" w:rsidSect="00A34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53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97" w:rsidRDefault="00CD1D97">
      <w:r>
        <w:separator/>
      </w:r>
    </w:p>
  </w:endnote>
  <w:endnote w:type="continuationSeparator" w:id="0">
    <w:p w:rsidR="00CD1D97" w:rsidRDefault="00CD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DE" w:rsidRDefault="00801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6B" w:rsidRDefault="00D1486B">
    <w:pPr>
      <w:pStyle w:val="Footer"/>
      <w:jc w:val="center"/>
    </w:pPr>
    <w:r>
      <w:rPr>
        <w:rStyle w:val="PageNumber"/>
      </w:rPr>
      <w:fldChar w:fldCharType="begin"/>
    </w:r>
    <w:r>
      <w:rPr>
        <w:rStyle w:val="PageNumber"/>
      </w:rPr>
      <w:instrText xml:space="preserve"> PAGE </w:instrText>
    </w:r>
    <w:r>
      <w:rPr>
        <w:rStyle w:val="PageNumber"/>
      </w:rPr>
      <w:fldChar w:fldCharType="separate"/>
    </w:r>
    <w:r w:rsidR="003960A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DE" w:rsidRDefault="00801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97" w:rsidRDefault="00CD1D97">
      <w:pPr>
        <w:rPr>
          <w:sz w:val="20"/>
        </w:rPr>
      </w:pPr>
      <w:r>
        <w:rPr>
          <w:sz w:val="20"/>
        </w:rPr>
        <w:separator/>
      </w:r>
    </w:p>
  </w:footnote>
  <w:footnote w:type="continuationSeparator" w:id="0">
    <w:p w:rsidR="00CD1D97" w:rsidRDefault="00CD1D97">
      <w:pPr>
        <w:rPr>
          <w:sz w:val="20"/>
        </w:rPr>
      </w:pPr>
      <w:r>
        <w:rPr>
          <w:sz w:val="20"/>
        </w:rPr>
        <w:separator/>
      </w:r>
    </w:p>
    <w:p w:rsidR="00CD1D97" w:rsidRDefault="00CD1D97">
      <w:pPr>
        <w:rPr>
          <w:sz w:val="20"/>
        </w:rPr>
      </w:pPr>
      <w:r>
        <w:rPr>
          <w:sz w:val="20"/>
        </w:rPr>
        <w:t>(...continued from previous page)</w:t>
      </w:r>
    </w:p>
  </w:footnote>
  <w:footnote w:type="continuationNotice" w:id="1">
    <w:p w:rsidR="00CD1D97" w:rsidRDefault="00CD1D97">
      <w:pPr>
        <w:jc w:val="right"/>
        <w:rPr>
          <w:sz w:val="20"/>
        </w:rPr>
      </w:pPr>
      <w:r>
        <w:rPr>
          <w:sz w:val="20"/>
        </w:rPr>
        <w:t>(continued....)</w:t>
      </w:r>
    </w:p>
  </w:footnote>
  <w:footnote w:id="2">
    <w:p w:rsidR="00C219B1" w:rsidRPr="002560EE" w:rsidRDefault="00C219B1" w:rsidP="00AB44CF">
      <w:pPr>
        <w:pStyle w:val="FootnoteText"/>
        <w:rPr>
          <w:i/>
        </w:rPr>
      </w:pPr>
      <w:r w:rsidRPr="00FF0051">
        <w:rPr>
          <w:rStyle w:val="FootnoteReference"/>
        </w:rPr>
        <w:footnoteRef/>
      </w:r>
      <w:r w:rsidRPr="00FF0051">
        <w:t xml:space="preserve"> Petition to Deny</w:t>
      </w:r>
      <w:r w:rsidR="00FA1F3E" w:rsidRPr="00FF0051">
        <w:t>, Dismiss, or Hold in Abeyance</w:t>
      </w:r>
      <w:r w:rsidRPr="00FF0051">
        <w:t xml:space="preserve"> (Petition) (Mar. 8, 2016). Marshall Media filed two separate supplement</w:t>
      </w:r>
      <w:r w:rsidR="001E533A">
        <w:t>s</w:t>
      </w:r>
      <w:r w:rsidRPr="00FF0051">
        <w:t xml:space="preserve"> to the Petition on March 21, 2016, and March 28, 2016. </w:t>
      </w:r>
      <w:r w:rsidRPr="00FF0051">
        <w:rPr>
          <w:i/>
        </w:rPr>
        <w:t xml:space="preserve">See </w:t>
      </w:r>
      <w:r w:rsidR="0096336E" w:rsidRPr="00FF0051">
        <w:t>Supplement to Petition to Deny</w:t>
      </w:r>
      <w:r w:rsidR="00FA1F3E" w:rsidRPr="00FF0051">
        <w:t>, Dismiss, or Hold in Abeyance (Supplement</w:t>
      </w:r>
      <w:r w:rsidR="00142E65">
        <w:t xml:space="preserve"> to</w:t>
      </w:r>
      <w:r w:rsidR="00FA1F3E" w:rsidRPr="00FF0051">
        <w:t xml:space="preserve"> Petition</w:t>
      </w:r>
      <w:r w:rsidR="0096336E" w:rsidRPr="00FF0051">
        <w:t xml:space="preserve">) (Mar. 21, 2016); </w:t>
      </w:r>
      <w:r w:rsidR="0096336E" w:rsidRPr="00FF0051">
        <w:rPr>
          <w:i/>
        </w:rPr>
        <w:t xml:space="preserve">See also </w:t>
      </w:r>
      <w:r w:rsidR="0096336E" w:rsidRPr="00FF0051">
        <w:t>Further Supplement to Petition to Deny</w:t>
      </w:r>
      <w:r w:rsidR="00FA1F3E" w:rsidRPr="00FF0051">
        <w:t>, Dismiss, or Hold in Abeyance</w:t>
      </w:r>
      <w:r w:rsidR="0096336E" w:rsidRPr="00FF0051">
        <w:t xml:space="preserve"> (Further Supplement to Petition</w:t>
      </w:r>
      <w:r w:rsidR="00CB64D7">
        <w:t>)</w:t>
      </w:r>
      <w:r w:rsidR="0096336E" w:rsidRPr="00FF0051">
        <w:t xml:space="preserve"> (Mar. 28, 2016).</w:t>
      </w:r>
      <w:r w:rsidR="00CB64D7">
        <w:t xml:space="preserve"> </w:t>
      </w:r>
      <w:r w:rsidR="002560EE" w:rsidRPr="002560EE">
        <w:t xml:space="preserve">I-Square submitted an Opposition to the Petition </w:t>
      </w:r>
      <w:r w:rsidR="002560EE">
        <w:t xml:space="preserve">(Opposition) on April 4, 2016, </w:t>
      </w:r>
      <w:r w:rsidR="002560EE" w:rsidRPr="002560EE">
        <w:t>to which Marshall Media submitted a Reply to the Opposition (Reply) on April 15, 2016</w:t>
      </w:r>
      <w:r w:rsidR="00CB64D7">
        <w:t>.</w:t>
      </w:r>
      <w:r w:rsidR="002560EE">
        <w:t xml:space="preserve"> Opposition to Petition to Deny (Opposition) (April 4, 2016); </w:t>
      </w:r>
      <w:r w:rsidR="002560EE" w:rsidRPr="002560EE">
        <w:t>Reply to Opposition to Petition to Deny (Opposition) (Apr. 15, 2016).</w:t>
      </w:r>
      <w:r w:rsidR="00CB64D7">
        <w:t xml:space="preserve"> </w:t>
      </w:r>
      <w:r w:rsidR="0095129D">
        <w:t xml:space="preserve">On November 3, 2016, </w:t>
      </w:r>
      <w:r w:rsidR="002560EE" w:rsidRPr="002560EE">
        <w:t>LRT submitted comments against Marshall M</w:t>
      </w:r>
      <w:r w:rsidR="002560EE">
        <w:t xml:space="preserve">edia’s Petition (LRT Comments), </w:t>
      </w:r>
      <w:r w:rsidR="002560EE" w:rsidRPr="002560EE">
        <w:t>to which Marshall Media filed a response (Response to LRT Comment</w:t>
      </w:r>
      <w:r w:rsidR="002560EE">
        <w:t>s</w:t>
      </w:r>
      <w:r w:rsidR="002560EE" w:rsidRPr="002560EE">
        <w:t>) on November 30, 2016</w:t>
      </w:r>
      <w:r w:rsidR="00CB64D7">
        <w:t xml:space="preserve">. </w:t>
      </w:r>
      <w:r w:rsidR="002560EE">
        <w:t xml:space="preserve">Comments of LR Telecasting, LLC (LRT Comments) (November 3, 2016); </w:t>
      </w:r>
      <w:r w:rsidR="002560EE" w:rsidRPr="002560EE">
        <w:t>Response to Comments (Response to LRT Comment) (Nov. 30, 2016).</w:t>
      </w:r>
      <w:r w:rsidR="00CB64D7">
        <w:t xml:space="preserve"> </w:t>
      </w:r>
      <w:r w:rsidR="002560EE">
        <w:t xml:space="preserve">Finally, LRT </w:t>
      </w:r>
      <w:r w:rsidR="002560EE" w:rsidRPr="002560EE">
        <w:t>filed a reply to Marshall Media’s response (LRT Reply to Marshall Media Response) on December 7, 2016.</w:t>
      </w:r>
      <w:r w:rsidR="002560EE">
        <w:t xml:space="preserve"> </w:t>
      </w:r>
      <w:r w:rsidR="002560EE" w:rsidRPr="002560EE">
        <w:t>Reply of LR Telecasting, LLC (LRT Reply to Marshall Media Response) (Dec. 7, 2016).</w:t>
      </w:r>
    </w:p>
  </w:footnote>
  <w:footnote w:id="3">
    <w:p w:rsidR="00CB64D7" w:rsidRDefault="00CB64D7">
      <w:pPr>
        <w:pStyle w:val="FootnoteText"/>
      </w:pPr>
      <w:r>
        <w:rPr>
          <w:rStyle w:val="FootnoteReference"/>
        </w:rPr>
        <w:footnoteRef/>
      </w:r>
      <w:r w:rsidR="006E707F">
        <w:t xml:space="preserve"> File No. BALCDT-</w:t>
      </w:r>
      <w:r>
        <w:t>20140609ACS.</w:t>
      </w:r>
    </w:p>
  </w:footnote>
  <w:footnote w:id="4">
    <w:p w:rsidR="008E3FF8" w:rsidRPr="00FF0051" w:rsidRDefault="008E3FF8" w:rsidP="00AB44CF">
      <w:pPr>
        <w:pStyle w:val="FootnoteText"/>
      </w:pPr>
      <w:r w:rsidRPr="00FF0051">
        <w:rPr>
          <w:rStyle w:val="FootnoteReference"/>
        </w:rPr>
        <w:footnoteRef/>
      </w:r>
      <w:r w:rsidRPr="00FF0051">
        <w:t xml:space="preserve"> Opposition, Affidavit of Ladly Abraham (Mar. 21, 2016).</w:t>
      </w:r>
    </w:p>
  </w:footnote>
  <w:footnote w:id="5">
    <w:p w:rsidR="00A01A9B" w:rsidRPr="00FF0051" w:rsidRDefault="00A01A9B" w:rsidP="00AB44CF">
      <w:pPr>
        <w:pStyle w:val="FootnoteText"/>
      </w:pPr>
      <w:r w:rsidRPr="00FF0051">
        <w:rPr>
          <w:rStyle w:val="FootnoteReference"/>
        </w:rPr>
        <w:footnoteRef/>
      </w:r>
      <w:r w:rsidRPr="00FF0051">
        <w:t xml:space="preserve"> File No. BALCDT-20160108AAQ.</w:t>
      </w:r>
    </w:p>
  </w:footnote>
  <w:footnote w:id="6">
    <w:p w:rsidR="00093644" w:rsidRPr="00FF0051" w:rsidRDefault="00093644" w:rsidP="00AB44CF">
      <w:pPr>
        <w:pStyle w:val="FootnoteText"/>
      </w:pPr>
      <w:r w:rsidRPr="00FF0051">
        <w:rPr>
          <w:rStyle w:val="FootnoteReference"/>
        </w:rPr>
        <w:footnoteRef/>
      </w:r>
      <w:r w:rsidRPr="00FF0051">
        <w:t xml:space="preserve"> SSN Funding, LP is a 10 percent interest holder in I-Square</w:t>
      </w:r>
      <w:r w:rsidR="00462CF6" w:rsidRPr="00FF0051">
        <w:t xml:space="preserve"> and an 89 percent interest holder in Rock City</w:t>
      </w:r>
      <w:r w:rsidRPr="00FF0051">
        <w:t xml:space="preserve">. </w:t>
      </w:r>
      <w:r w:rsidR="00C65E82">
        <w:t>Reply</w:t>
      </w:r>
      <w:r w:rsidRPr="00FF0051">
        <w:t>, Appendix 1.</w:t>
      </w:r>
    </w:p>
  </w:footnote>
  <w:footnote w:id="7">
    <w:p w:rsidR="00462CF6" w:rsidRPr="00FF0051" w:rsidRDefault="00462CF6" w:rsidP="00AB44CF">
      <w:pPr>
        <w:pStyle w:val="FootnoteText"/>
      </w:pPr>
      <w:r w:rsidRPr="00FF0051">
        <w:rPr>
          <w:rStyle w:val="FootnoteReference"/>
        </w:rPr>
        <w:footnoteRef/>
      </w:r>
      <w:r w:rsidRPr="00FF0051">
        <w:t xml:space="preserve"> Petition</w:t>
      </w:r>
      <w:r w:rsidR="003B7E30">
        <w:t xml:space="preserve"> at</w:t>
      </w:r>
      <w:r w:rsidRPr="00FF0051">
        <w:t xml:space="preserve"> 1.</w:t>
      </w:r>
    </w:p>
  </w:footnote>
  <w:footnote w:id="8">
    <w:p w:rsidR="00856500" w:rsidRPr="00FF0051" w:rsidRDefault="00856500" w:rsidP="00AB44CF">
      <w:pPr>
        <w:pStyle w:val="FootnoteText"/>
      </w:pPr>
      <w:r w:rsidRPr="00FF0051">
        <w:rPr>
          <w:rStyle w:val="FootnoteReference"/>
        </w:rPr>
        <w:footnoteRef/>
      </w:r>
      <w:r w:rsidRPr="00FF0051">
        <w:t xml:space="preserve"> </w:t>
      </w:r>
      <w:r w:rsidR="003B7E30">
        <w:rPr>
          <w:i/>
        </w:rPr>
        <w:t xml:space="preserve">Id. </w:t>
      </w:r>
      <w:r w:rsidR="003B7E30">
        <w:t xml:space="preserve">at </w:t>
      </w:r>
      <w:r w:rsidRPr="00FF0051">
        <w:t>3.</w:t>
      </w:r>
      <w:r w:rsidR="003145AE" w:rsidRPr="00FF0051">
        <w:t xml:space="preserve"> </w:t>
      </w:r>
      <w:r w:rsidR="0095129D">
        <w:t xml:space="preserve">SSN had helped form Rock City to effectuate the purchase.  </w:t>
      </w:r>
    </w:p>
  </w:footnote>
  <w:footnote w:id="9">
    <w:p w:rsidR="003D6EF9" w:rsidRPr="00FF0051" w:rsidRDefault="003D6EF9" w:rsidP="00AB44CF">
      <w:pPr>
        <w:pStyle w:val="FootnoteText"/>
      </w:pPr>
      <w:r w:rsidRPr="00FF0051">
        <w:rPr>
          <w:rStyle w:val="FootnoteReference"/>
        </w:rPr>
        <w:footnoteRef/>
      </w:r>
      <w:r w:rsidRPr="00FF0051">
        <w:t xml:space="preserve"> </w:t>
      </w:r>
      <w:r w:rsidR="003B7E30">
        <w:rPr>
          <w:i/>
        </w:rPr>
        <w:t xml:space="preserve">Id. </w:t>
      </w:r>
      <w:r w:rsidR="003B7E30">
        <w:t>at</w:t>
      </w:r>
      <w:r w:rsidR="006068EC">
        <w:t xml:space="preserve"> </w:t>
      </w:r>
      <w:r w:rsidRPr="00FF0051">
        <w:t>1.</w:t>
      </w:r>
    </w:p>
  </w:footnote>
  <w:footnote w:id="10">
    <w:p w:rsidR="003D6EF9" w:rsidRPr="00FF0051" w:rsidRDefault="003D6EF9" w:rsidP="00AB44CF">
      <w:pPr>
        <w:pStyle w:val="FootnoteText"/>
      </w:pPr>
      <w:r w:rsidRPr="00FF0051">
        <w:rPr>
          <w:rStyle w:val="FootnoteReference"/>
        </w:rPr>
        <w:footnoteRef/>
      </w:r>
      <w:r w:rsidRPr="00FF0051">
        <w:t xml:space="preserve"> </w:t>
      </w:r>
      <w:r w:rsidR="001B1B79" w:rsidRPr="00FF0051">
        <w:rPr>
          <w:i/>
        </w:rPr>
        <w:t>Id</w:t>
      </w:r>
      <w:r w:rsidR="001B1B79" w:rsidRPr="00FF0051">
        <w:t>.</w:t>
      </w:r>
      <w:r w:rsidR="003B7E30">
        <w:t xml:space="preserve"> at</w:t>
      </w:r>
      <w:r w:rsidR="006068EC">
        <w:t xml:space="preserve"> </w:t>
      </w:r>
      <w:r w:rsidRPr="00FF0051">
        <w:t>6.</w:t>
      </w:r>
    </w:p>
  </w:footnote>
  <w:footnote w:id="11">
    <w:p w:rsidR="00092C9A" w:rsidRPr="00FF0051" w:rsidRDefault="00092C9A" w:rsidP="00AB44CF">
      <w:pPr>
        <w:pStyle w:val="FootnoteText"/>
      </w:pPr>
      <w:r w:rsidRPr="00FF0051">
        <w:rPr>
          <w:rStyle w:val="FootnoteReference"/>
        </w:rPr>
        <w:footnoteRef/>
      </w:r>
      <w:r w:rsidRPr="00FF0051">
        <w:t xml:space="preserve"> </w:t>
      </w:r>
      <w:r w:rsidR="001B1B79" w:rsidRPr="00FF0051">
        <w:rPr>
          <w:i/>
        </w:rPr>
        <w:t>Id</w:t>
      </w:r>
      <w:r w:rsidR="001B1B79" w:rsidRPr="00FF0051">
        <w:t>.</w:t>
      </w:r>
      <w:r w:rsidR="003B7E30">
        <w:t xml:space="preserve"> at</w:t>
      </w:r>
      <w:r w:rsidRPr="00FF0051">
        <w:t xml:space="preserve"> 4-5.</w:t>
      </w:r>
      <w:r w:rsidR="005001BA" w:rsidRPr="00FF0051">
        <w:t xml:space="preserve"> Marshall Media also claims that I-Square should have reported the</w:t>
      </w:r>
      <w:r w:rsidR="000835EA">
        <w:t xml:space="preserve"> Rock City sale </w:t>
      </w:r>
      <w:r w:rsidR="005001BA" w:rsidRPr="00FF0051">
        <w:t>to the Commission</w:t>
      </w:r>
      <w:r w:rsidR="00751AA9" w:rsidRPr="00FF0051">
        <w:t xml:space="preserve"> and that now “[I-Square] intends to sell the Stations to [LRT] and split the proceeds from the Incentive Auction. </w:t>
      </w:r>
      <w:r w:rsidR="00751AA9" w:rsidRPr="00FF0051">
        <w:rPr>
          <w:i/>
        </w:rPr>
        <w:t>Id</w:t>
      </w:r>
      <w:r w:rsidR="00751AA9" w:rsidRPr="00FF0051">
        <w:t>.</w:t>
      </w:r>
    </w:p>
  </w:footnote>
  <w:footnote w:id="12">
    <w:p w:rsidR="00092C9A" w:rsidRPr="00FF0051" w:rsidRDefault="00092C9A" w:rsidP="00AB44CF">
      <w:pPr>
        <w:pStyle w:val="FootnoteText"/>
      </w:pPr>
      <w:r w:rsidRPr="00FF0051">
        <w:rPr>
          <w:rStyle w:val="FootnoteReference"/>
        </w:rPr>
        <w:footnoteRef/>
      </w:r>
      <w:r w:rsidRPr="00FF0051">
        <w:t xml:space="preserve"> </w:t>
      </w:r>
      <w:r w:rsidR="003B7E30">
        <w:rPr>
          <w:i/>
        </w:rPr>
        <w:t>Id.</w:t>
      </w:r>
      <w:r w:rsidR="006068EC">
        <w:t>at</w:t>
      </w:r>
      <w:r w:rsidRPr="00FF0051">
        <w:t xml:space="preserve"> 6-7</w:t>
      </w:r>
      <w:r w:rsidR="00492570">
        <w:t>.</w:t>
      </w:r>
    </w:p>
  </w:footnote>
  <w:footnote w:id="13">
    <w:p w:rsidR="000E257D" w:rsidRPr="00FF0051" w:rsidRDefault="000E257D">
      <w:pPr>
        <w:pStyle w:val="FootnoteText"/>
      </w:pPr>
      <w:r w:rsidRPr="00FF0051">
        <w:rPr>
          <w:rStyle w:val="FootnoteReference"/>
        </w:rPr>
        <w:footnoteRef/>
      </w:r>
      <w:r w:rsidRPr="00FF0051">
        <w:t xml:space="preserve"> Marshall Media provided 3 documents in total, one of which was a dated copy of the Rock City APA. </w:t>
      </w:r>
      <w:r w:rsidRPr="00FF0051">
        <w:rPr>
          <w:i/>
        </w:rPr>
        <w:t>See</w:t>
      </w:r>
      <w:r w:rsidRPr="00FF0051">
        <w:t xml:space="preserve"> Supplement to Petition, Appendix A.</w:t>
      </w:r>
    </w:p>
  </w:footnote>
  <w:footnote w:id="14">
    <w:p w:rsidR="00513CD3" w:rsidRPr="00FF0051" w:rsidRDefault="00513CD3">
      <w:pPr>
        <w:pStyle w:val="FootnoteText"/>
      </w:pPr>
      <w:r w:rsidRPr="00FF0051">
        <w:rPr>
          <w:rStyle w:val="FootnoteReference"/>
        </w:rPr>
        <w:footnoteRef/>
      </w:r>
      <w:r w:rsidRPr="00FF0051">
        <w:t xml:space="preserve"> </w:t>
      </w:r>
      <w:r w:rsidRPr="00FF0051">
        <w:rPr>
          <w:i/>
        </w:rPr>
        <w:t>Id</w:t>
      </w:r>
      <w:r w:rsidRPr="00FF0051">
        <w:t>.</w:t>
      </w:r>
      <w:r w:rsidR="003B7E30">
        <w:t xml:space="preserve"> at</w:t>
      </w:r>
      <w:r w:rsidRPr="00FF0051">
        <w:t xml:space="preserve"> 5; </w:t>
      </w:r>
      <w:r w:rsidRPr="00FF0051">
        <w:rPr>
          <w:i/>
        </w:rPr>
        <w:t>See Id</w:t>
      </w:r>
      <w:r w:rsidRPr="00FF0051">
        <w:t>., Appendix C</w:t>
      </w:r>
      <w:r w:rsidR="00E83113" w:rsidRPr="00FF0051">
        <w:t>.</w:t>
      </w:r>
    </w:p>
  </w:footnote>
  <w:footnote w:id="15">
    <w:p w:rsidR="00513CD3" w:rsidRPr="00FF0051" w:rsidRDefault="00513CD3">
      <w:pPr>
        <w:pStyle w:val="FootnoteText"/>
      </w:pPr>
      <w:r w:rsidRPr="00FF0051">
        <w:rPr>
          <w:rStyle w:val="FootnoteReference"/>
        </w:rPr>
        <w:footnoteRef/>
      </w:r>
      <w:r w:rsidRPr="00FF0051">
        <w:t xml:space="preserve"> </w:t>
      </w:r>
      <w:r w:rsidRPr="00FF0051">
        <w:rPr>
          <w:i/>
        </w:rPr>
        <w:t>Id</w:t>
      </w:r>
      <w:r w:rsidRPr="00FF0051">
        <w:t>.</w:t>
      </w:r>
    </w:p>
  </w:footnote>
  <w:footnote w:id="16">
    <w:p w:rsidR="00513CD3" w:rsidRPr="00FF0051" w:rsidRDefault="00513CD3">
      <w:pPr>
        <w:pStyle w:val="FootnoteText"/>
      </w:pPr>
      <w:r w:rsidRPr="00FF0051">
        <w:rPr>
          <w:rStyle w:val="FootnoteReference"/>
        </w:rPr>
        <w:footnoteRef/>
      </w:r>
      <w:r w:rsidRPr="00FF0051">
        <w:t xml:space="preserve"> Further Supplement to Petition</w:t>
      </w:r>
      <w:r w:rsidR="003B7E30">
        <w:t xml:space="preserve"> at</w:t>
      </w:r>
      <w:r w:rsidRPr="00FF0051">
        <w:t xml:space="preserve">1; </w:t>
      </w:r>
      <w:r w:rsidRPr="00FF0051">
        <w:rPr>
          <w:i/>
        </w:rPr>
        <w:t>See Id</w:t>
      </w:r>
      <w:r w:rsidRPr="00FF0051">
        <w:t xml:space="preserve">., </w:t>
      </w:r>
      <w:r w:rsidR="00E83113" w:rsidRPr="00FF0051">
        <w:t>Exhibit A.</w:t>
      </w:r>
    </w:p>
  </w:footnote>
  <w:footnote w:id="17">
    <w:p w:rsidR="00272D3F" w:rsidRPr="00FF0051" w:rsidRDefault="00272D3F">
      <w:pPr>
        <w:pStyle w:val="FootnoteText"/>
      </w:pPr>
      <w:r w:rsidRPr="00FF0051">
        <w:rPr>
          <w:rStyle w:val="FootnoteReference"/>
        </w:rPr>
        <w:footnoteRef/>
      </w:r>
      <w:r w:rsidR="00ED4862" w:rsidRPr="00FF0051">
        <w:t xml:space="preserve"> Opposition</w:t>
      </w:r>
      <w:r w:rsidR="003B7E30">
        <w:t xml:space="preserve"> at</w:t>
      </w:r>
      <w:r w:rsidR="00ED4862" w:rsidRPr="00FF0051">
        <w:t>1 (“As an initial matter, although [Marshall Media’s] pleading purports to be a petition to deny, filed pursuant to Section 73.3584 of the Commission’s rules, that simply is not so”).</w:t>
      </w:r>
    </w:p>
  </w:footnote>
  <w:footnote w:id="18">
    <w:p w:rsidR="00481239" w:rsidRPr="00FF0051" w:rsidRDefault="00481239">
      <w:pPr>
        <w:pStyle w:val="FootnoteText"/>
      </w:pPr>
      <w:r w:rsidRPr="00FF0051">
        <w:rPr>
          <w:rStyle w:val="FootnoteReference"/>
        </w:rPr>
        <w:footnoteRef/>
      </w:r>
      <w:r w:rsidRPr="00FF0051">
        <w:t xml:space="preserve"> </w:t>
      </w:r>
      <w:r w:rsidRPr="00FF0051">
        <w:rPr>
          <w:i/>
        </w:rPr>
        <w:t>Id</w:t>
      </w:r>
      <w:r w:rsidR="009B21CE">
        <w:t>.</w:t>
      </w:r>
      <w:r w:rsidR="003B7E30">
        <w:t xml:space="preserve"> at</w:t>
      </w:r>
      <w:r w:rsidR="009B21CE">
        <w:t xml:space="preserve"> 4.</w:t>
      </w:r>
    </w:p>
  </w:footnote>
  <w:footnote w:id="19">
    <w:p w:rsidR="00D5661E" w:rsidRPr="00FF0051" w:rsidRDefault="00D5661E">
      <w:pPr>
        <w:pStyle w:val="FootnoteText"/>
      </w:pPr>
      <w:r w:rsidRPr="00FF0051">
        <w:rPr>
          <w:rStyle w:val="FootnoteReference"/>
        </w:rPr>
        <w:footnoteRef/>
      </w:r>
      <w:r w:rsidRPr="00FF0051">
        <w:t xml:space="preserve"> </w:t>
      </w:r>
      <w:r w:rsidR="00D10DEE" w:rsidRPr="00FF0051">
        <w:t>Opposition, Affidavit of Dr. Abraham, pg. 2.</w:t>
      </w:r>
    </w:p>
  </w:footnote>
  <w:footnote w:id="20">
    <w:p w:rsidR="00D5661E" w:rsidRPr="00FF0051" w:rsidRDefault="00D5661E">
      <w:pPr>
        <w:pStyle w:val="FootnoteText"/>
      </w:pPr>
      <w:r w:rsidRPr="00FF0051">
        <w:rPr>
          <w:rStyle w:val="FootnoteReference"/>
        </w:rPr>
        <w:footnoteRef/>
      </w:r>
      <w:r w:rsidRPr="00FF0051">
        <w:t xml:space="preserve"> </w:t>
      </w:r>
      <w:r w:rsidRPr="00FF0051">
        <w:rPr>
          <w:i/>
        </w:rPr>
        <w:t>Id</w:t>
      </w:r>
      <w:r w:rsidR="003B7E30">
        <w:rPr>
          <w:i/>
        </w:rPr>
        <w:t>.</w:t>
      </w:r>
      <w:r w:rsidRPr="00FF0051">
        <w:t xml:space="preserve"> </w:t>
      </w:r>
      <w:r w:rsidR="006068EC">
        <w:t xml:space="preserve">at </w:t>
      </w:r>
      <w:r w:rsidRPr="00FF0051">
        <w:t>3</w:t>
      </w:r>
      <w:r w:rsidR="00C254AD">
        <w:t>.</w:t>
      </w:r>
    </w:p>
  </w:footnote>
  <w:footnote w:id="21">
    <w:p w:rsidR="002F44A9" w:rsidRPr="00FF0051" w:rsidRDefault="002F44A9">
      <w:pPr>
        <w:pStyle w:val="FootnoteText"/>
      </w:pPr>
      <w:r w:rsidRPr="00FF0051">
        <w:rPr>
          <w:rStyle w:val="FootnoteReference"/>
        </w:rPr>
        <w:footnoteRef/>
      </w:r>
      <w:r w:rsidRPr="00FF0051">
        <w:t xml:space="preserve"> </w:t>
      </w:r>
      <w:r w:rsidRPr="00FF0051">
        <w:rPr>
          <w:i/>
        </w:rPr>
        <w:t>Id</w:t>
      </w:r>
      <w:r w:rsidRPr="00FF0051">
        <w:t>.</w:t>
      </w:r>
      <w:r w:rsidR="003B7E30">
        <w:t xml:space="preserve"> at</w:t>
      </w:r>
      <w:r w:rsidRPr="00FF0051">
        <w:t xml:space="preserve"> 5. </w:t>
      </w:r>
    </w:p>
  </w:footnote>
  <w:footnote w:id="22">
    <w:p w:rsidR="00AE29A7" w:rsidRPr="00123188" w:rsidRDefault="00AE29A7">
      <w:pPr>
        <w:pStyle w:val="FootnoteText"/>
      </w:pPr>
      <w:r w:rsidRPr="00FF0051">
        <w:rPr>
          <w:rStyle w:val="FootnoteReference"/>
        </w:rPr>
        <w:footnoteRef/>
      </w:r>
      <w:r w:rsidRPr="00FF0051">
        <w:t xml:space="preserve"> </w:t>
      </w:r>
      <w:r w:rsidRPr="00FF0051">
        <w:rPr>
          <w:i/>
        </w:rPr>
        <w:t>Id</w:t>
      </w:r>
      <w:r w:rsidRPr="00FF0051">
        <w:t>.</w:t>
      </w:r>
      <w:r w:rsidR="009B21CE">
        <w:t>;</w:t>
      </w:r>
      <w:r w:rsidR="003D7A1E">
        <w:t xml:space="preserve"> Consequently, I-Square did not </w:t>
      </w:r>
      <w:r w:rsidR="009B21CE">
        <w:t>file an Application to Assign the stations’ licenses</w:t>
      </w:r>
      <w:r w:rsidR="003D7A1E">
        <w:t xml:space="preserve"> to</w:t>
      </w:r>
      <w:r w:rsidR="00123188">
        <w:t xml:space="preserve"> Rock City</w:t>
      </w:r>
      <w:r w:rsidR="009B21CE">
        <w:t>.</w:t>
      </w:r>
      <w:r w:rsidR="00123188">
        <w:t xml:space="preserve"> </w:t>
      </w:r>
      <w:r w:rsidR="00F45C3A">
        <w:rPr>
          <w:i/>
        </w:rPr>
        <w:t>See</w:t>
      </w:r>
      <w:r w:rsidR="00FE7603">
        <w:rPr>
          <w:i/>
        </w:rPr>
        <w:t xml:space="preserve"> </w:t>
      </w:r>
      <w:r w:rsidR="00123188">
        <w:t xml:space="preserve">Petition, </w:t>
      </w:r>
      <w:r w:rsidR="003B7E30">
        <w:t xml:space="preserve">at </w:t>
      </w:r>
      <w:r w:rsidR="00123188">
        <w:t>5-8.</w:t>
      </w:r>
    </w:p>
  </w:footnote>
  <w:footnote w:id="23">
    <w:p w:rsidR="000D564D" w:rsidRPr="00FF0051" w:rsidRDefault="000D564D" w:rsidP="00AB44CF">
      <w:pPr>
        <w:pStyle w:val="FootnoteText"/>
      </w:pPr>
      <w:r w:rsidRPr="00FF0051">
        <w:rPr>
          <w:rStyle w:val="FootnoteReference"/>
        </w:rPr>
        <w:footnoteRef/>
      </w:r>
      <w:r w:rsidRPr="00FF0051">
        <w:t xml:space="preserve"> </w:t>
      </w:r>
      <w:r w:rsidRPr="00FF0051">
        <w:rPr>
          <w:i/>
        </w:rPr>
        <w:t>Id.</w:t>
      </w:r>
      <w:r w:rsidR="003B7E30">
        <w:rPr>
          <w:i/>
        </w:rPr>
        <w:t xml:space="preserve"> </w:t>
      </w:r>
      <w:r w:rsidR="003B7E30">
        <w:t xml:space="preserve">at </w:t>
      </w:r>
      <w:r w:rsidRPr="00FF0051">
        <w:t>8-9.</w:t>
      </w:r>
    </w:p>
  </w:footnote>
  <w:footnote w:id="24">
    <w:p w:rsidR="00637878" w:rsidRPr="00FF0051" w:rsidRDefault="00637878" w:rsidP="00AB44CF">
      <w:pPr>
        <w:pStyle w:val="FootnoteText"/>
      </w:pPr>
      <w:r w:rsidRPr="00FF0051">
        <w:rPr>
          <w:rStyle w:val="FootnoteReference"/>
        </w:rPr>
        <w:footnoteRef/>
      </w:r>
      <w:r w:rsidRPr="00FF0051">
        <w:t xml:space="preserve"> </w:t>
      </w:r>
      <w:r w:rsidRPr="00FF0051">
        <w:rPr>
          <w:i/>
        </w:rPr>
        <w:t>Id</w:t>
      </w:r>
      <w:r w:rsidRPr="00FF0051">
        <w:t>.</w:t>
      </w:r>
      <w:r w:rsidR="003B7E30">
        <w:t xml:space="preserve"> at </w:t>
      </w:r>
      <w:r w:rsidRPr="00FF0051">
        <w:t>9.</w:t>
      </w:r>
    </w:p>
  </w:footnote>
  <w:footnote w:id="25">
    <w:p w:rsidR="00F24535" w:rsidRPr="00FF0051" w:rsidRDefault="00F24535">
      <w:pPr>
        <w:pStyle w:val="FootnoteText"/>
      </w:pPr>
      <w:r w:rsidRPr="00FF0051">
        <w:rPr>
          <w:rStyle w:val="FootnoteReference"/>
        </w:rPr>
        <w:footnoteRef/>
      </w:r>
      <w:r w:rsidRPr="00FF0051">
        <w:t xml:space="preserve"> </w:t>
      </w:r>
      <w:r w:rsidRPr="00FF0051">
        <w:rPr>
          <w:i/>
        </w:rPr>
        <w:t>Id</w:t>
      </w:r>
      <w:r w:rsidRPr="00FF0051">
        <w:t>.</w:t>
      </w:r>
      <w:r w:rsidR="003B7E30">
        <w:t xml:space="preserve"> at</w:t>
      </w:r>
      <w:r w:rsidRPr="00FF0051">
        <w:t xml:space="preserve"> 8.</w:t>
      </w:r>
    </w:p>
  </w:footnote>
  <w:footnote w:id="26">
    <w:p w:rsidR="00D27A00" w:rsidRPr="00FF0051" w:rsidRDefault="00D27A00">
      <w:pPr>
        <w:pStyle w:val="FootnoteText"/>
      </w:pPr>
      <w:r w:rsidRPr="00FF0051">
        <w:rPr>
          <w:rStyle w:val="FootnoteReference"/>
        </w:rPr>
        <w:footnoteRef/>
      </w:r>
      <w:r w:rsidRPr="00FF0051">
        <w:t xml:space="preserve"> </w:t>
      </w:r>
      <w:r w:rsidRPr="00FF0051">
        <w:rPr>
          <w:i/>
        </w:rPr>
        <w:t>Id</w:t>
      </w:r>
      <w:r w:rsidRPr="00FF0051">
        <w:t>.</w:t>
      </w:r>
      <w:r w:rsidR="00591856" w:rsidRPr="00FF0051">
        <w:t xml:space="preserve"> Marshall Media states that Shashwat Goyal, Mangaraju Chakka, and Ladly Abraham have substantial control both I-Square and SSN. </w:t>
      </w:r>
      <w:r w:rsidR="00591856" w:rsidRPr="00FF0051">
        <w:rPr>
          <w:i/>
        </w:rPr>
        <w:t>Id</w:t>
      </w:r>
      <w:r w:rsidR="00591856" w:rsidRPr="00FF0051">
        <w:t>., pg. 6. Additionally, according to Marshall Media, “[t]his same level of control by the three individuals extends to [Rock City</w:t>
      </w:r>
      <w:r w:rsidR="00595AF8" w:rsidRPr="00FF0051">
        <w:t xml:space="preserve">].” </w:t>
      </w:r>
      <w:r w:rsidR="00595AF8" w:rsidRPr="00FF0051">
        <w:rPr>
          <w:i/>
        </w:rPr>
        <w:t>Id</w:t>
      </w:r>
      <w:r w:rsidR="00595AF8" w:rsidRPr="00FF0051">
        <w:t>. Specifically, Marshall Media states that Rock City “is comprised of four members: (i) Larry Morton; (ii) Greg Fess; (iii) William Campbell; and (iv) [SSN, which has an 89 percent membership interest in Rock City].”</w:t>
      </w:r>
      <w:r w:rsidR="00595AF8" w:rsidRPr="00FF0051">
        <w:rPr>
          <w:i/>
        </w:rPr>
        <w:t>Id</w:t>
      </w:r>
      <w:r w:rsidR="00595AF8" w:rsidRPr="00FF0051">
        <w:t>.</w:t>
      </w:r>
      <w:r w:rsidR="00591856" w:rsidRPr="00FF0051">
        <w:t xml:space="preserve"> </w:t>
      </w:r>
    </w:p>
  </w:footnote>
  <w:footnote w:id="27">
    <w:p w:rsidR="00E177D1" w:rsidRPr="00FF0051" w:rsidRDefault="00E177D1">
      <w:pPr>
        <w:pStyle w:val="FootnoteText"/>
      </w:pPr>
      <w:r w:rsidRPr="00FF0051">
        <w:rPr>
          <w:rStyle w:val="FootnoteReference"/>
        </w:rPr>
        <w:footnoteRef/>
      </w:r>
      <w:r w:rsidRPr="00FF0051">
        <w:t xml:space="preserve"> </w:t>
      </w:r>
      <w:r w:rsidRPr="00FF0051">
        <w:rPr>
          <w:i/>
        </w:rPr>
        <w:t>Id</w:t>
      </w:r>
      <w:r w:rsidRPr="00FF0051">
        <w:t>.</w:t>
      </w:r>
      <w:r w:rsidR="003B7E30">
        <w:t xml:space="preserve"> at</w:t>
      </w:r>
      <w:r w:rsidRPr="00FF0051">
        <w:t xml:space="preserve"> 9.</w:t>
      </w:r>
    </w:p>
  </w:footnote>
  <w:footnote w:id="28">
    <w:p w:rsidR="002A0C36" w:rsidRPr="00FF0051" w:rsidRDefault="002A0C36">
      <w:pPr>
        <w:pStyle w:val="FootnoteText"/>
      </w:pPr>
      <w:r w:rsidRPr="00FF0051">
        <w:rPr>
          <w:rStyle w:val="FootnoteReference"/>
        </w:rPr>
        <w:footnoteRef/>
      </w:r>
      <w:r w:rsidRPr="00FF0051">
        <w:t xml:space="preserve"> </w:t>
      </w:r>
      <w:r w:rsidR="00731661" w:rsidRPr="00FF0051">
        <w:rPr>
          <w:i/>
        </w:rPr>
        <w:t>Id</w:t>
      </w:r>
      <w:r w:rsidRPr="00FF0051">
        <w:t>.</w:t>
      </w:r>
      <w:r w:rsidR="00731661" w:rsidRPr="00FF0051">
        <w:t>, fn. 25.</w:t>
      </w:r>
    </w:p>
  </w:footnote>
  <w:footnote w:id="29">
    <w:p w:rsidR="00731661" w:rsidRPr="00FF0051" w:rsidRDefault="00731661">
      <w:pPr>
        <w:pStyle w:val="FootnoteText"/>
      </w:pPr>
      <w:r w:rsidRPr="00FF0051">
        <w:rPr>
          <w:rStyle w:val="FootnoteReference"/>
        </w:rPr>
        <w:footnoteRef/>
      </w:r>
      <w:r w:rsidRPr="00FF0051">
        <w:t xml:space="preserve"> </w:t>
      </w:r>
      <w:r w:rsidRPr="00FF0051">
        <w:rPr>
          <w:i/>
        </w:rPr>
        <w:t>Id</w:t>
      </w:r>
      <w:r w:rsidRPr="00FF0051">
        <w:t>., fn. 26.</w:t>
      </w:r>
    </w:p>
  </w:footnote>
  <w:footnote w:id="30">
    <w:p w:rsidR="002A0C36" w:rsidRPr="00FF0051" w:rsidRDefault="002A0C36">
      <w:pPr>
        <w:pStyle w:val="FootnoteText"/>
      </w:pPr>
      <w:r w:rsidRPr="00FF0051">
        <w:rPr>
          <w:rStyle w:val="FootnoteReference"/>
        </w:rPr>
        <w:footnoteRef/>
      </w:r>
      <w:r w:rsidRPr="00FF0051">
        <w:t xml:space="preserve"> Reply</w:t>
      </w:r>
      <w:r w:rsidR="003B7E30">
        <w:t xml:space="preserve"> at</w:t>
      </w:r>
      <w:r w:rsidRPr="00FF0051">
        <w:t xml:space="preserve"> 12.</w:t>
      </w:r>
    </w:p>
  </w:footnote>
  <w:footnote w:id="31">
    <w:p w:rsidR="00294DD4" w:rsidRPr="00FF0051" w:rsidRDefault="00294DD4">
      <w:pPr>
        <w:pStyle w:val="FootnoteText"/>
      </w:pPr>
      <w:r w:rsidRPr="00FF0051">
        <w:rPr>
          <w:rStyle w:val="FootnoteReference"/>
        </w:rPr>
        <w:footnoteRef/>
      </w:r>
      <w:r w:rsidRPr="00FF0051">
        <w:t xml:space="preserve"> </w:t>
      </w:r>
      <w:r w:rsidRPr="00FF0051">
        <w:rPr>
          <w:i/>
        </w:rPr>
        <w:t>Id</w:t>
      </w:r>
      <w:r w:rsidRPr="00FF0051">
        <w:t xml:space="preserve">. </w:t>
      </w:r>
    </w:p>
  </w:footnote>
  <w:footnote w:id="32">
    <w:p w:rsidR="00C43D19" w:rsidRPr="00FF0051" w:rsidRDefault="00C43D19">
      <w:pPr>
        <w:pStyle w:val="FootnoteText"/>
      </w:pPr>
      <w:r w:rsidRPr="00FF0051">
        <w:rPr>
          <w:rStyle w:val="FootnoteReference"/>
        </w:rPr>
        <w:footnoteRef/>
      </w:r>
      <w:r w:rsidRPr="00FF0051">
        <w:t xml:space="preserve"> </w:t>
      </w:r>
      <w:r w:rsidRPr="00FF0051">
        <w:rPr>
          <w:i/>
        </w:rPr>
        <w:t>Id</w:t>
      </w:r>
      <w:r w:rsidRPr="00FF0051">
        <w:t>.</w:t>
      </w:r>
      <w:r w:rsidR="003B7E30">
        <w:t xml:space="preserve"> at</w:t>
      </w:r>
      <w:r w:rsidRPr="00FF0051">
        <w:t xml:space="preserve"> 14. </w:t>
      </w:r>
    </w:p>
  </w:footnote>
  <w:footnote w:id="33">
    <w:p w:rsidR="007F62DE" w:rsidRPr="00FF0051" w:rsidRDefault="007F62DE">
      <w:pPr>
        <w:pStyle w:val="FootnoteText"/>
      </w:pPr>
      <w:r w:rsidRPr="00FF0051">
        <w:rPr>
          <w:rStyle w:val="FootnoteReference"/>
        </w:rPr>
        <w:footnoteRef/>
      </w:r>
      <w:r w:rsidRPr="00FF0051">
        <w:t xml:space="preserve"> LRT Comment, Summary, pg. iii.</w:t>
      </w:r>
    </w:p>
  </w:footnote>
  <w:footnote w:id="34">
    <w:p w:rsidR="00D75647" w:rsidRPr="00FF0051" w:rsidRDefault="00D75647">
      <w:pPr>
        <w:pStyle w:val="FootnoteText"/>
      </w:pPr>
      <w:r w:rsidRPr="00FF0051">
        <w:rPr>
          <w:rStyle w:val="FootnoteReference"/>
        </w:rPr>
        <w:footnoteRef/>
      </w:r>
      <w:r w:rsidRPr="00FF0051">
        <w:t xml:space="preserve"> </w:t>
      </w:r>
      <w:r w:rsidR="005E686C">
        <w:rPr>
          <w:i/>
        </w:rPr>
        <w:t>Id</w:t>
      </w:r>
      <w:r w:rsidR="005E686C">
        <w:t>.</w:t>
      </w:r>
      <w:r w:rsidR="003B7E30">
        <w:t xml:space="preserve"> at</w:t>
      </w:r>
      <w:r w:rsidR="005E686C">
        <w:t xml:space="preserve"> 3. </w:t>
      </w:r>
    </w:p>
  </w:footnote>
  <w:footnote w:id="35">
    <w:p w:rsidR="005E686C" w:rsidRPr="005E686C" w:rsidRDefault="005E686C">
      <w:pPr>
        <w:pStyle w:val="FootnoteText"/>
      </w:pPr>
      <w:r>
        <w:rPr>
          <w:rStyle w:val="FootnoteReference"/>
        </w:rPr>
        <w:footnoteRef/>
      </w:r>
      <w:r>
        <w:t xml:space="preserve"> </w:t>
      </w:r>
      <w:r>
        <w:rPr>
          <w:i/>
        </w:rPr>
        <w:t>Id</w:t>
      </w:r>
      <w:r>
        <w:t>.</w:t>
      </w:r>
      <w:r w:rsidR="003B7E30">
        <w:t xml:space="preserve"> at</w:t>
      </w:r>
      <w:r>
        <w:t xml:space="preserve"> 8</w:t>
      </w:r>
      <w:r w:rsidR="00A1501A">
        <w:t>.</w:t>
      </w:r>
    </w:p>
  </w:footnote>
  <w:footnote w:id="36">
    <w:p w:rsidR="00C43D19" w:rsidRPr="00FF0051" w:rsidRDefault="00C43D19" w:rsidP="00C43D19">
      <w:pPr>
        <w:pStyle w:val="FootnoteText"/>
      </w:pPr>
      <w:r w:rsidRPr="00FF0051">
        <w:rPr>
          <w:rStyle w:val="FootnoteReference"/>
        </w:rPr>
        <w:footnoteRef/>
      </w:r>
      <w:r w:rsidRPr="00FF0051">
        <w:t xml:space="preserve"> </w:t>
      </w:r>
      <w:r w:rsidRPr="00FF0051">
        <w:rPr>
          <w:i/>
        </w:rPr>
        <w:t>Id</w:t>
      </w:r>
      <w:r w:rsidRPr="00FF0051">
        <w:t>.</w:t>
      </w:r>
      <w:r w:rsidR="003B7E30">
        <w:t xml:space="preserve"> at</w:t>
      </w:r>
      <w:r w:rsidR="00085C7D">
        <w:t xml:space="preserve"> 21.</w:t>
      </w:r>
    </w:p>
  </w:footnote>
  <w:footnote w:id="37">
    <w:p w:rsidR="009C2F3A" w:rsidRPr="00FF0051" w:rsidRDefault="009C2F3A">
      <w:pPr>
        <w:pStyle w:val="FootnoteText"/>
      </w:pPr>
      <w:r w:rsidRPr="00FF0051">
        <w:rPr>
          <w:rStyle w:val="FootnoteReference"/>
        </w:rPr>
        <w:footnoteRef/>
      </w:r>
      <w:r w:rsidRPr="00FF0051">
        <w:t xml:space="preserve"> </w:t>
      </w:r>
      <w:r w:rsidRPr="00FF0051">
        <w:rPr>
          <w:i/>
        </w:rPr>
        <w:t>Id</w:t>
      </w:r>
      <w:r w:rsidR="00085C7D">
        <w:t>.</w:t>
      </w:r>
    </w:p>
  </w:footnote>
  <w:footnote w:id="38">
    <w:p w:rsidR="007467C4" w:rsidRPr="00FF0051" w:rsidRDefault="007467C4">
      <w:pPr>
        <w:pStyle w:val="FootnoteText"/>
      </w:pPr>
      <w:r w:rsidRPr="00FF0051">
        <w:rPr>
          <w:rStyle w:val="FootnoteReference"/>
        </w:rPr>
        <w:footnoteRef/>
      </w:r>
      <w:r w:rsidRPr="00FF0051">
        <w:t xml:space="preserve"> Response to LRT Comment, pg. 2.</w:t>
      </w:r>
    </w:p>
  </w:footnote>
  <w:footnote w:id="39">
    <w:p w:rsidR="007467C4" w:rsidRPr="00FF0051" w:rsidRDefault="007467C4">
      <w:pPr>
        <w:pStyle w:val="FootnoteText"/>
      </w:pPr>
      <w:r w:rsidRPr="00FF0051">
        <w:rPr>
          <w:rStyle w:val="FootnoteReference"/>
        </w:rPr>
        <w:footnoteRef/>
      </w:r>
      <w:r w:rsidRPr="00FF0051">
        <w:t xml:space="preserve"> Reply to Marshall Media Response</w:t>
      </w:r>
      <w:r w:rsidR="003B7E30">
        <w:t xml:space="preserve"> at </w:t>
      </w:r>
      <w:r w:rsidRPr="00FF0051">
        <w:t>2.</w:t>
      </w:r>
    </w:p>
  </w:footnote>
  <w:footnote w:id="40">
    <w:p w:rsidR="00CB0908" w:rsidRPr="00FF0051" w:rsidRDefault="00CB0908">
      <w:pPr>
        <w:pStyle w:val="FootnoteText"/>
      </w:pPr>
      <w:r w:rsidRPr="00FF0051">
        <w:rPr>
          <w:rStyle w:val="FootnoteReference"/>
        </w:rPr>
        <w:footnoteRef/>
      </w:r>
      <w:r w:rsidRPr="00FF0051">
        <w:rPr>
          <w:i/>
        </w:rPr>
        <w:t xml:space="preserve"> Id</w:t>
      </w:r>
      <w:r w:rsidRPr="00FF0051">
        <w:t>.</w:t>
      </w:r>
      <w:r w:rsidR="003B7E30">
        <w:t xml:space="preserve"> at</w:t>
      </w:r>
      <w:r w:rsidRPr="00FF0051">
        <w:t xml:space="preserve"> 2-4.</w:t>
      </w:r>
    </w:p>
  </w:footnote>
  <w:footnote w:id="41">
    <w:p w:rsidR="00F45C3A" w:rsidRPr="00FF0051" w:rsidRDefault="00F45C3A" w:rsidP="00F45C3A">
      <w:pPr>
        <w:pStyle w:val="FootnoteText"/>
      </w:pPr>
      <w:r w:rsidRPr="00FF0051">
        <w:rPr>
          <w:rStyle w:val="FootnoteReference"/>
        </w:rPr>
        <w:footnoteRef/>
      </w:r>
      <w:r w:rsidRPr="00FF0051">
        <w:t xml:space="preserve"> 47 U.S.C. § 309(d)(1).</w:t>
      </w:r>
    </w:p>
  </w:footnote>
  <w:footnote w:id="42">
    <w:p w:rsidR="00F45C3A" w:rsidRPr="00FF0051" w:rsidRDefault="00F45C3A" w:rsidP="00F45C3A">
      <w:pPr>
        <w:spacing w:after="120"/>
        <w:rPr>
          <w:color w:val="212121"/>
          <w:sz w:val="20"/>
        </w:rPr>
      </w:pPr>
      <w:r w:rsidRPr="00FF0051">
        <w:rPr>
          <w:rStyle w:val="FootnoteReference"/>
          <w:sz w:val="20"/>
        </w:rPr>
        <w:footnoteRef/>
      </w:r>
      <w:r w:rsidRPr="00FF0051">
        <w:rPr>
          <w:sz w:val="20"/>
        </w:rPr>
        <w:t xml:space="preserve"> </w:t>
      </w:r>
      <w:r w:rsidRPr="00FF0051">
        <w:rPr>
          <w:i/>
          <w:sz w:val="20"/>
        </w:rPr>
        <w:t>Id</w:t>
      </w:r>
      <w:r w:rsidRPr="00FF0051">
        <w:rPr>
          <w:sz w:val="20"/>
        </w:rPr>
        <w:t xml:space="preserve">. </w:t>
      </w:r>
    </w:p>
  </w:footnote>
  <w:footnote w:id="43">
    <w:p w:rsidR="00F45C3A" w:rsidRPr="00FF0051" w:rsidRDefault="00F45C3A" w:rsidP="00F45C3A">
      <w:pPr>
        <w:pStyle w:val="FootnoteText"/>
      </w:pPr>
      <w:r w:rsidRPr="00FF0051">
        <w:rPr>
          <w:rStyle w:val="FootnoteReference"/>
        </w:rPr>
        <w:footnoteRef/>
      </w:r>
      <w:r w:rsidRPr="00FF0051">
        <w:t xml:space="preserve"> 47 CFR § 73.3584(a).</w:t>
      </w:r>
    </w:p>
  </w:footnote>
  <w:footnote w:id="44">
    <w:p w:rsidR="00F45C3A" w:rsidRPr="00FF0051" w:rsidRDefault="00F45C3A" w:rsidP="00F45C3A">
      <w:pPr>
        <w:pStyle w:val="FootnoteText"/>
      </w:pPr>
      <w:r w:rsidRPr="00FF0051">
        <w:rPr>
          <w:rStyle w:val="FootnoteReference"/>
        </w:rPr>
        <w:footnoteRef/>
      </w:r>
      <w:r w:rsidRPr="00FF0051">
        <w:t xml:space="preserve"> </w:t>
      </w:r>
      <w:r w:rsidRPr="00FF0051">
        <w:rPr>
          <w:i/>
        </w:rPr>
        <w:t xml:space="preserve">See </w:t>
      </w:r>
      <w:r w:rsidRPr="00FF0051">
        <w:t>File No. BALCDT-20160108AAQ.</w:t>
      </w:r>
    </w:p>
  </w:footnote>
  <w:footnote w:id="45">
    <w:p w:rsidR="00F45C3A" w:rsidRPr="00FF0051" w:rsidRDefault="00F45C3A" w:rsidP="00F45C3A">
      <w:pPr>
        <w:pStyle w:val="FootnoteText"/>
      </w:pPr>
      <w:r w:rsidRPr="00FF0051">
        <w:rPr>
          <w:rStyle w:val="FootnoteReference"/>
        </w:rPr>
        <w:footnoteRef/>
      </w:r>
      <w:r w:rsidRPr="00FF0051">
        <w:t xml:space="preserve"> </w:t>
      </w:r>
      <w:r w:rsidRPr="00FF0051">
        <w:rPr>
          <w:i/>
        </w:rPr>
        <w:t>Broadcast Applications</w:t>
      </w:r>
      <w:r w:rsidRPr="00FF0051">
        <w:t>, Report No. 28651, Public Notice (MB Jan. 13, 2016).</w:t>
      </w:r>
    </w:p>
  </w:footnote>
  <w:footnote w:id="46">
    <w:p w:rsidR="00F45C3A" w:rsidRDefault="00F45C3A" w:rsidP="00F45C3A">
      <w:pPr>
        <w:pStyle w:val="FootnoteText"/>
      </w:pPr>
      <w:r>
        <w:rPr>
          <w:rStyle w:val="FootnoteReference"/>
        </w:rPr>
        <w:footnoteRef/>
      </w:r>
      <w:r>
        <w:t xml:space="preserve"> 47 CFR § 73.3587(a).</w:t>
      </w:r>
    </w:p>
  </w:footnote>
  <w:footnote w:id="47">
    <w:p w:rsidR="00B7780E" w:rsidRPr="00FF0051" w:rsidRDefault="00B7780E" w:rsidP="00B7780E">
      <w:pPr>
        <w:pStyle w:val="FootnoteText"/>
      </w:pPr>
      <w:r w:rsidRPr="00FF0051">
        <w:rPr>
          <w:rStyle w:val="FootnoteReference"/>
        </w:rPr>
        <w:footnoteRef/>
      </w:r>
      <w:r w:rsidRPr="00FF0051">
        <w:t xml:space="preserve"> 47 U.S.C. §§ 309(d)(1) and 310(d); </w:t>
      </w:r>
      <w:r w:rsidRPr="00FF0051">
        <w:rPr>
          <w:i/>
        </w:rPr>
        <w:t>Channel 61 Associates, LLC</w:t>
      </w:r>
      <w:r w:rsidRPr="00FF0051">
        <w:t xml:space="preserve">, Letter Order, 31 FCC Rcd 1340, 1343 (Vid. Div. 2016); </w:t>
      </w:r>
      <w:r w:rsidRPr="00FF0051">
        <w:rPr>
          <w:i/>
        </w:rPr>
        <w:t>See also</w:t>
      </w:r>
      <w:r w:rsidRPr="00FF0051">
        <w:t xml:space="preserve"> </w:t>
      </w:r>
      <w:r w:rsidRPr="00FF0051">
        <w:rPr>
          <w:i/>
        </w:rPr>
        <w:t>Melodie Virtue, Esq. Meredeth S. Senter, Jr., Esq.</w:t>
      </w:r>
      <w:r w:rsidR="00D62B4C">
        <w:t xml:space="preserve">, Letter Order, 30 FCC </w:t>
      </w:r>
      <w:r w:rsidRPr="00FF0051">
        <w:t>6045, 6051 (Aud. Div. 2015).</w:t>
      </w:r>
    </w:p>
  </w:footnote>
  <w:footnote w:id="48">
    <w:p w:rsidR="00B7780E" w:rsidRPr="00FF0051" w:rsidRDefault="00B7780E" w:rsidP="00B7780E">
      <w:pPr>
        <w:spacing w:after="160" w:line="259" w:lineRule="auto"/>
        <w:textAlignment w:val="top"/>
        <w:rPr>
          <w:sz w:val="20"/>
        </w:rPr>
      </w:pPr>
      <w:r w:rsidRPr="00FF0051">
        <w:rPr>
          <w:rStyle w:val="FootnoteReference"/>
          <w:sz w:val="20"/>
        </w:rPr>
        <w:footnoteRef/>
      </w:r>
      <w:r w:rsidRPr="00FF0051">
        <w:rPr>
          <w:sz w:val="20"/>
        </w:rPr>
        <w:t xml:space="preserve"> </w:t>
      </w:r>
      <w:r w:rsidRPr="00FF0051">
        <w:rPr>
          <w:i/>
          <w:sz w:val="20"/>
        </w:rPr>
        <w:t>Id</w:t>
      </w:r>
      <w:r w:rsidRPr="00FF0051">
        <w:rPr>
          <w:sz w:val="20"/>
        </w:rPr>
        <w:t xml:space="preserve">.; </w:t>
      </w:r>
      <w:r w:rsidRPr="00FF0051">
        <w:rPr>
          <w:i/>
          <w:sz w:val="20"/>
        </w:rPr>
        <w:t xml:space="preserve">Astroline Communications Co. Ltd. Partnership v. FCC, </w:t>
      </w:r>
      <w:r w:rsidRPr="00FF0051">
        <w:rPr>
          <w:sz w:val="20"/>
        </w:rPr>
        <w:t>857 F.2d 1556 (D.C. Cir. 1988) (</w:t>
      </w:r>
      <w:r w:rsidRPr="00FF0051">
        <w:rPr>
          <w:i/>
          <w:sz w:val="20"/>
        </w:rPr>
        <w:t>Astroline</w:t>
      </w:r>
      <w:r w:rsidRPr="00FF0051">
        <w:rPr>
          <w:sz w:val="20"/>
        </w:rPr>
        <w:t xml:space="preserve">). </w:t>
      </w:r>
    </w:p>
  </w:footnote>
  <w:footnote w:id="49">
    <w:p w:rsidR="00B7780E" w:rsidRDefault="00B7780E" w:rsidP="00B7780E">
      <w:pPr>
        <w:pStyle w:val="FootnoteText"/>
      </w:pPr>
      <w:r>
        <w:rPr>
          <w:rStyle w:val="FootnoteReference"/>
        </w:rPr>
        <w:footnoteRef/>
      </w:r>
      <w:r>
        <w:t xml:space="preserve"> </w:t>
      </w:r>
      <w:r w:rsidRPr="002C0963">
        <w:rPr>
          <w:i/>
        </w:rPr>
        <w:t>Mr. Richard C. Young c/o Robert W. Braun, Esq. Dutton, Braun, Staack &amp; Hellman, P.L.C. Kurt A. Wimmer, Esq. Covington &amp; Burling</w:t>
      </w:r>
      <w:r>
        <w:t>, 21 FCC</w:t>
      </w:r>
      <w:r w:rsidR="00F45C3A">
        <w:t xml:space="preserve"> Rcd</w:t>
      </w:r>
      <w:r w:rsidRPr="002C0963">
        <w:t xml:space="preserve"> 6900, 6901 (2006)</w:t>
      </w:r>
      <w:r w:rsidRPr="00FF0051">
        <w:t xml:space="preserve"> (citing </w:t>
      </w:r>
      <w:hyperlink r:id="rId1" w:anchor="co_pp_sp_350_181" w:history="1">
        <w:r w:rsidRPr="00FF0051">
          <w:rPr>
            <w:i/>
            <w:iCs/>
          </w:rPr>
          <w:t>Gencom, Inc. v. FCC</w:t>
        </w:r>
        <w:r w:rsidRPr="00FF0051">
          <w:t>, 832 F.2d 171, 181 (D.C. Cir. 1987)</w:t>
        </w:r>
      </w:hyperlink>
      <w:r w:rsidRPr="00FF0051">
        <w:t xml:space="preserve">; </w:t>
      </w:r>
      <w:r w:rsidRPr="00FF0051">
        <w:rPr>
          <w:i/>
          <w:iCs/>
        </w:rPr>
        <w:t>See also </w:t>
      </w:r>
      <w:hyperlink r:id="rId2" w:anchor="co_pp_sp_506_1216" w:history="1">
        <w:r w:rsidRPr="00FF0051">
          <w:rPr>
            <w:i/>
            <w:iCs/>
          </w:rPr>
          <w:t>Serafyn v. FCC</w:t>
        </w:r>
        <w:r w:rsidRPr="00FF0051">
          <w:t>, 149 F.3d 1213, 1216 (D.C. Cir. 1998)</w:t>
        </w:r>
      </w:hyperlink>
      <w:r w:rsidRPr="00FF0051">
        <w:t> </w:t>
      </w:r>
      <w:r w:rsidRPr="002C0963">
        <w:t>(affirming two</w:t>
      </w:r>
      <w:r w:rsidRPr="00FF0051">
        <w:t>-step public interest analysis)).</w:t>
      </w:r>
    </w:p>
  </w:footnote>
  <w:footnote w:id="50">
    <w:p w:rsidR="00B7780E" w:rsidRPr="00FF0051" w:rsidRDefault="00B7780E" w:rsidP="00B7780E">
      <w:pPr>
        <w:pStyle w:val="FootnoteText"/>
      </w:pPr>
      <w:r w:rsidRPr="00FF0051">
        <w:rPr>
          <w:rStyle w:val="FootnoteReference"/>
        </w:rPr>
        <w:footnoteRef/>
      </w:r>
      <w:r w:rsidRPr="00FF0051">
        <w:t xml:space="preserve"> </w:t>
      </w:r>
      <w:r w:rsidRPr="00FF0051">
        <w:rPr>
          <w:i/>
        </w:rPr>
        <w:t>Id</w:t>
      </w:r>
      <w:r w:rsidRPr="00FF0051">
        <w:t>.</w:t>
      </w:r>
    </w:p>
  </w:footnote>
  <w:footnote w:id="51">
    <w:p w:rsidR="00B7780E" w:rsidRPr="00FF0051" w:rsidRDefault="00B7780E" w:rsidP="00B7780E">
      <w:pPr>
        <w:pStyle w:val="FootnoteText"/>
      </w:pPr>
      <w:r w:rsidRPr="00FF0051">
        <w:rPr>
          <w:rStyle w:val="FootnoteReference"/>
        </w:rPr>
        <w:footnoteRef/>
      </w:r>
      <w:r w:rsidRPr="00FF0051">
        <w:t xml:space="preserve"> </w:t>
      </w:r>
      <w:r w:rsidRPr="00FF0051">
        <w:rPr>
          <w:i/>
        </w:rPr>
        <w:t>Id</w:t>
      </w:r>
      <w:r w:rsidRPr="00FF0051">
        <w:t>.</w:t>
      </w:r>
    </w:p>
  </w:footnote>
  <w:footnote w:id="52">
    <w:p w:rsidR="00142E65" w:rsidRPr="00142E65" w:rsidRDefault="00142E65">
      <w:pPr>
        <w:pStyle w:val="FootnoteText"/>
        <w:rPr>
          <w:i/>
        </w:rPr>
      </w:pPr>
      <w:r>
        <w:rPr>
          <w:rStyle w:val="FootnoteReference"/>
        </w:rPr>
        <w:footnoteRef/>
      </w:r>
      <w:r>
        <w:t xml:space="preserve"> </w:t>
      </w:r>
      <w:r w:rsidR="00A34FB5">
        <w:t>47 U.S.C. § 310(d).</w:t>
      </w:r>
    </w:p>
  </w:footnote>
  <w:footnote w:id="53">
    <w:p w:rsidR="00B47894" w:rsidRDefault="00B47894">
      <w:pPr>
        <w:pStyle w:val="FootnoteText"/>
      </w:pPr>
      <w:r>
        <w:rPr>
          <w:rStyle w:val="FootnoteReference"/>
        </w:rPr>
        <w:footnoteRef/>
      </w:r>
      <w:r>
        <w:t xml:space="preserve"> </w:t>
      </w:r>
      <w:r>
        <w:rPr>
          <w:i/>
        </w:rPr>
        <w:t xml:space="preserve">See supra </w:t>
      </w:r>
      <w:r>
        <w:t>fn. 60.</w:t>
      </w:r>
    </w:p>
  </w:footnote>
  <w:footnote w:id="54">
    <w:p w:rsidR="00B47894" w:rsidRPr="00B47894" w:rsidRDefault="00B47894">
      <w:pPr>
        <w:pStyle w:val="FootnoteText"/>
      </w:pPr>
      <w:r>
        <w:rPr>
          <w:rStyle w:val="FootnoteReference"/>
        </w:rPr>
        <w:footnoteRef/>
      </w:r>
      <w:r>
        <w:t xml:space="preserve"> </w:t>
      </w:r>
      <w:r>
        <w:rPr>
          <w:i/>
        </w:rPr>
        <w:t>See Radio Station Wow, Inc.</w:t>
      </w:r>
      <w:r>
        <w:t>, 326 U.S. 120, 131-32 (1945).</w:t>
      </w:r>
    </w:p>
  </w:footnote>
  <w:footnote w:id="55">
    <w:p w:rsidR="00923DA2" w:rsidRPr="00FF0051" w:rsidRDefault="00923DA2" w:rsidP="00923DA2">
      <w:pPr>
        <w:pStyle w:val="FootnoteText"/>
      </w:pPr>
      <w:r w:rsidRPr="00FF0051">
        <w:rPr>
          <w:rStyle w:val="FootnoteReference"/>
        </w:rPr>
        <w:footnoteRef/>
      </w:r>
      <w:r w:rsidRPr="00FF0051">
        <w:t xml:space="preserve"> </w:t>
      </w:r>
      <w:r w:rsidRPr="00FF0051">
        <w:rPr>
          <w:i/>
        </w:rPr>
        <w:t>See Arecibo Radio Corporation</w:t>
      </w:r>
      <w:r w:rsidRPr="00FF0051">
        <w:t>, Memorandum Opinion and Order, 101 FCC 2d 545 (1985).</w:t>
      </w:r>
    </w:p>
  </w:footnote>
  <w:footnote w:id="56">
    <w:p w:rsidR="00BC6C88" w:rsidRPr="00FF0051" w:rsidRDefault="00BC6C88" w:rsidP="00BC6C88">
      <w:pPr>
        <w:pStyle w:val="FootnoteText"/>
      </w:pPr>
      <w:r w:rsidRPr="00FF0051">
        <w:rPr>
          <w:rStyle w:val="FootnoteReference"/>
        </w:rPr>
        <w:footnoteRef/>
      </w:r>
      <w:r w:rsidRPr="00FF0051">
        <w:t xml:space="preserve"> </w:t>
      </w:r>
      <w:r w:rsidRPr="00FF0051">
        <w:rPr>
          <w:i/>
        </w:rPr>
        <w:t>Radio Station WOW v. Johnson</w:t>
      </w:r>
      <w:r w:rsidRPr="00FF0051">
        <w:t xml:space="preserve">, 326 U.S. 120 (1945); </w:t>
      </w:r>
      <w:r w:rsidRPr="00FF0051">
        <w:rPr>
          <w:i/>
        </w:rPr>
        <w:t>Arecibo Radio Corporation</w:t>
      </w:r>
      <w:r w:rsidRPr="00FF0051">
        <w:t>, Memorandum Opinion and Order, 101 FCC 2d 545 (1985).</w:t>
      </w:r>
      <w:r w:rsidR="007B4F54">
        <w:t xml:space="preserve"> </w:t>
      </w:r>
      <w:r w:rsidR="007B4F54" w:rsidRPr="00626D08">
        <w:rPr>
          <w:i/>
        </w:rPr>
        <w:t>Channel 61 Associates</w:t>
      </w:r>
      <w:r w:rsidR="007B4F54" w:rsidRPr="007B4F54">
        <w:t xml:space="preserve">, Letter Order, 31 FCC Rcd 1340, 1343 (Vid. Div. 2016) (“[T]he existence of a contractual dispute does not compel the Commission to stop processing a license application until the matter is resolved by the courts”); </w:t>
      </w:r>
      <w:r w:rsidR="007B4F54" w:rsidRPr="00626D08">
        <w:rPr>
          <w:i/>
        </w:rPr>
        <w:t>KAXT, LLC</w:t>
      </w:r>
      <w:r w:rsidR="007B4F54" w:rsidRPr="007B4F54">
        <w:t xml:space="preserve">, Memorandum Opinion and Order, 30 FCC Rcd 2691 (Vid. Div. 2015). </w:t>
      </w:r>
      <w:r w:rsidR="007B4F54" w:rsidRPr="00626D08">
        <w:rPr>
          <w:i/>
        </w:rPr>
        <w:t>See Arecibo Radio Corporation</w:t>
      </w:r>
      <w:r w:rsidR="007B4F54" w:rsidRPr="007B4F54">
        <w:t>, Memorandum Opinion and Order, 101 FCC 2d 545 (1985</w:t>
      </w:r>
      <w:r w:rsidR="006E707F">
        <w:t>).</w:t>
      </w:r>
    </w:p>
  </w:footnote>
  <w:footnote w:id="57">
    <w:p w:rsidR="009B21CE" w:rsidRDefault="009B21CE">
      <w:pPr>
        <w:pStyle w:val="FootnoteText"/>
      </w:pPr>
      <w:r>
        <w:rPr>
          <w:rStyle w:val="FootnoteReference"/>
        </w:rPr>
        <w:footnoteRef/>
      </w:r>
      <w:r>
        <w:t xml:space="preserve"> 47 U.S.C. §</w:t>
      </w:r>
      <w:r w:rsidR="003D7A1E">
        <w:t xml:space="preserve"> </w:t>
      </w:r>
      <w:r>
        <w:t>154(i).</w:t>
      </w:r>
    </w:p>
  </w:footnote>
  <w:footnote w:id="58">
    <w:p w:rsidR="009B21CE" w:rsidRDefault="009B21CE">
      <w:pPr>
        <w:pStyle w:val="FootnoteText"/>
      </w:pPr>
      <w:r>
        <w:rPr>
          <w:rStyle w:val="FootnoteReference"/>
        </w:rPr>
        <w:footnoteRef/>
      </w:r>
      <w:r>
        <w:t xml:space="preserve"> 47 CFR §§ 0.61,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DE" w:rsidRDefault="00801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6B" w:rsidRDefault="00D1486B">
    <w:pPr>
      <w:pStyle w:val="Header"/>
      <w:tabs>
        <w:tab w:val="clear" w:pos="4320"/>
        <w:tab w:val="clear" w:pos="8640"/>
        <w:tab w:val="center" w:pos="4680"/>
        <w:tab w:val="right" w:pos="9360"/>
      </w:tabs>
      <w:rPr>
        <w:b/>
      </w:rPr>
    </w:pPr>
    <w:r>
      <w:rPr>
        <w:b/>
      </w:rPr>
      <w:tab/>
      <w:t>Federal Com</w:t>
    </w:r>
    <w:r w:rsidR="00CE7DC2">
      <w:rPr>
        <w:b/>
      </w:rPr>
      <w:t>mu</w:t>
    </w:r>
    <w:r w:rsidR="00E61465">
      <w:rPr>
        <w:b/>
      </w:rPr>
      <w:t>nications Commission</w:t>
    </w:r>
    <w:r w:rsidR="00E61465">
      <w:rPr>
        <w:b/>
      </w:rPr>
      <w:tab/>
      <w:t>DA 17-600</w:t>
    </w:r>
  </w:p>
  <w:p w:rsidR="00D1486B" w:rsidRDefault="003960AD">
    <w:pPr>
      <w:pStyle w:val="Header"/>
      <w:tabs>
        <w:tab w:val="clear" w:pos="8640"/>
        <w:tab w:val="right" w:pos="9360"/>
      </w:tabs>
    </w:pPr>
    <w:r>
      <w:rPr>
        <w:noProof/>
      </w:rPr>
      <w:pict>
        <v:line id="_x0000_s2053" style="position:absolute;z-index:251658240" from="0,1.75pt" to="468pt,1.75pt" o:allowincell="f" strokeweight="1.5pt"/>
      </w:pict>
    </w:r>
  </w:p>
  <w:p w:rsidR="00D1486B" w:rsidRDefault="00D14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6B" w:rsidRDefault="00D1486B">
    <w:pPr>
      <w:pStyle w:val="Header"/>
      <w:tabs>
        <w:tab w:val="clear" w:pos="4320"/>
        <w:tab w:val="clear" w:pos="8640"/>
        <w:tab w:val="center" w:pos="4680"/>
        <w:tab w:val="right" w:pos="9360"/>
      </w:tabs>
      <w:rPr>
        <w:b/>
      </w:rPr>
    </w:pPr>
    <w:r>
      <w:rPr>
        <w:b/>
      </w:rPr>
      <w:tab/>
      <w:t>Federal Com</w:t>
    </w:r>
    <w:r w:rsidR="00E67085">
      <w:rPr>
        <w:b/>
      </w:rPr>
      <w:t>munications Commission</w:t>
    </w:r>
    <w:r w:rsidR="00E67085">
      <w:rPr>
        <w:b/>
      </w:rPr>
      <w:tab/>
      <w:t>DA 17-</w:t>
    </w:r>
    <w:r w:rsidR="00E61465">
      <w:rPr>
        <w:b/>
      </w:rPr>
      <w:t>600</w:t>
    </w:r>
    <w:r>
      <w:rPr>
        <w:b/>
      </w:rPr>
      <w:t xml:space="preserve"> </w:t>
    </w:r>
  </w:p>
  <w:p w:rsidR="00D1486B" w:rsidRDefault="003960AD">
    <w:pPr>
      <w:pStyle w:val="Header"/>
      <w:tabs>
        <w:tab w:val="clear" w:pos="8640"/>
        <w:tab w:val="right" w:pos="9360"/>
      </w:tabs>
    </w:pPr>
    <w:r>
      <w:rPr>
        <w:noProof/>
      </w:rPr>
      <w:pict>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46"/>
    <w:multiLevelType w:val="hybridMultilevel"/>
    <w:tmpl w:val="41CEF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E6A275B"/>
    <w:multiLevelType w:val="hybridMultilevel"/>
    <w:tmpl w:val="45FA0DC6"/>
    <w:lvl w:ilvl="0" w:tplc="30D0F9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20754B"/>
    <w:multiLevelType w:val="hybridMultilevel"/>
    <w:tmpl w:val="9ECC999C"/>
    <w:lvl w:ilvl="0" w:tplc="91087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F3D712E"/>
    <w:multiLevelType w:val="hybridMultilevel"/>
    <w:tmpl w:val="CBEA6764"/>
    <w:lvl w:ilvl="0" w:tplc="6360C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4">
    <w:nsid w:val="36DD7DB8"/>
    <w:multiLevelType w:val="hybridMultilevel"/>
    <w:tmpl w:val="4BC2CD56"/>
    <w:lvl w:ilvl="0" w:tplc="14DE0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D6B09"/>
    <w:multiLevelType w:val="hybridMultilevel"/>
    <w:tmpl w:val="3FBC5D3A"/>
    <w:lvl w:ilvl="0" w:tplc="41769E02">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8">
    <w:nsid w:val="40B50EE4"/>
    <w:multiLevelType w:val="hybridMultilevel"/>
    <w:tmpl w:val="D6609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6E7A49"/>
    <w:multiLevelType w:val="hybridMultilevel"/>
    <w:tmpl w:val="D98A01E8"/>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F9679F8"/>
    <w:multiLevelType w:val="hybridMultilevel"/>
    <w:tmpl w:val="DCF66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572F17"/>
    <w:multiLevelType w:val="hybridMultilevel"/>
    <w:tmpl w:val="DAA45CDE"/>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0">
    <w:nsid w:val="657801C1"/>
    <w:multiLevelType w:val="hybridMultilevel"/>
    <w:tmpl w:val="F524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6B32B8A"/>
    <w:multiLevelType w:val="hybridMultilevel"/>
    <w:tmpl w:val="40B01192"/>
    <w:lvl w:ilvl="0" w:tplc="D8B67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4F720F"/>
    <w:multiLevelType w:val="hybridMultilevel"/>
    <w:tmpl w:val="91586FF8"/>
    <w:lvl w:ilvl="0" w:tplc="39060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9"/>
  </w:num>
  <w:num w:numId="2">
    <w:abstractNumId w:val="33"/>
  </w:num>
  <w:num w:numId="3">
    <w:abstractNumId w:val="6"/>
  </w:num>
  <w:num w:numId="4">
    <w:abstractNumId w:val="25"/>
  </w:num>
  <w:num w:numId="5">
    <w:abstractNumId w:val="7"/>
  </w:num>
  <w:num w:numId="6">
    <w:abstractNumId w:val="28"/>
  </w:num>
  <w:num w:numId="7">
    <w:abstractNumId w:val="20"/>
  </w:num>
  <w:num w:numId="8">
    <w:abstractNumId w:val="8"/>
  </w:num>
  <w:num w:numId="9">
    <w:abstractNumId w:val="27"/>
  </w:num>
  <w:num w:numId="10">
    <w:abstractNumId w:val="16"/>
  </w:num>
  <w:num w:numId="11">
    <w:abstractNumId w:val="13"/>
  </w:num>
  <w:num w:numId="12">
    <w:abstractNumId w:val="9"/>
  </w:num>
  <w:num w:numId="13">
    <w:abstractNumId w:val="17"/>
  </w:num>
  <w:num w:numId="14">
    <w:abstractNumId w:val="26"/>
  </w:num>
  <w:num w:numId="15">
    <w:abstractNumId w:val="4"/>
  </w:num>
  <w:num w:numId="16">
    <w:abstractNumId w:val="5"/>
  </w:num>
  <w:num w:numId="17">
    <w:abstractNumId w:val="11"/>
  </w:num>
  <w:num w:numId="18">
    <w:abstractNumId w:val="1"/>
  </w:num>
  <w:num w:numId="19">
    <w:abstractNumId w:val="12"/>
  </w:num>
  <w:num w:numId="20">
    <w:abstractNumId w:val="21"/>
  </w:num>
  <w:num w:numId="21">
    <w:abstractNumId w:val="24"/>
  </w:num>
  <w:num w:numId="22">
    <w:abstractNumId w:val="18"/>
  </w:num>
  <w:num w:numId="23">
    <w:abstractNumId w:val="23"/>
  </w:num>
  <w:num w:numId="24">
    <w:abstractNumId w:val="30"/>
  </w:num>
  <w:num w:numId="25">
    <w:abstractNumId w:val="30"/>
  </w:num>
  <w:num w:numId="26">
    <w:abstractNumId w:val="22"/>
  </w:num>
  <w:num w:numId="27">
    <w:abstractNumId w:val="3"/>
  </w:num>
  <w:num w:numId="28">
    <w:abstractNumId w:val="10"/>
  </w:num>
  <w:num w:numId="29">
    <w:abstractNumId w:val="14"/>
  </w:num>
  <w:num w:numId="30">
    <w:abstractNumId w:val="31"/>
  </w:num>
  <w:num w:numId="31">
    <w:abstractNumId w:val="19"/>
  </w:num>
  <w:num w:numId="32">
    <w:abstractNumId w:val="15"/>
  </w:num>
  <w:num w:numId="33">
    <w:abstractNumId w:val="0"/>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312"/>
    <w:rsid w:val="00000AF1"/>
    <w:rsid w:val="00000D20"/>
    <w:rsid w:val="0001425F"/>
    <w:rsid w:val="000153B1"/>
    <w:rsid w:val="000174C9"/>
    <w:rsid w:val="0002017B"/>
    <w:rsid w:val="00020355"/>
    <w:rsid w:val="00023B6F"/>
    <w:rsid w:val="00027A05"/>
    <w:rsid w:val="000315F0"/>
    <w:rsid w:val="00031A99"/>
    <w:rsid w:val="00047EF0"/>
    <w:rsid w:val="00054245"/>
    <w:rsid w:val="00055FDE"/>
    <w:rsid w:val="00056710"/>
    <w:rsid w:val="00060E5B"/>
    <w:rsid w:val="00064671"/>
    <w:rsid w:val="0006494E"/>
    <w:rsid w:val="00081AE3"/>
    <w:rsid w:val="000835EA"/>
    <w:rsid w:val="00085C7D"/>
    <w:rsid w:val="00092C9A"/>
    <w:rsid w:val="00093644"/>
    <w:rsid w:val="00094768"/>
    <w:rsid w:val="000947DD"/>
    <w:rsid w:val="00097FCA"/>
    <w:rsid w:val="000A53B7"/>
    <w:rsid w:val="000A7CE2"/>
    <w:rsid w:val="000B2EDF"/>
    <w:rsid w:val="000B50B6"/>
    <w:rsid w:val="000C00EE"/>
    <w:rsid w:val="000C2DCA"/>
    <w:rsid w:val="000C4741"/>
    <w:rsid w:val="000C4BE0"/>
    <w:rsid w:val="000D564D"/>
    <w:rsid w:val="000E257D"/>
    <w:rsid w:val="000E2847"/>
    <w:rsid w:val="000E538A"/>
    <w:rsid w:val="000F3750"/>
    <w:rsid w:val="000F5D5F"/>
    <w:rsid w:val="001049F4"/>
    <w:rsid w:val="0010675A"/>
    <w:rsid w:val="001071B3"/>
    <w:rsid w:val="0011007A"/>
    <w:rsid w:val="00111200"/>
    <w:rsid w:val="00113BE5"/>
    <w:rsid w:val="00117834"/>
    <w:rsid w:val="00117A8C"/>
    <w:rsid w:val="001222D0"/>
    <w:rsid w:val="00123188"/>
    <w:rsid w:val="001250CC"/>
    <w:rsid w:val="00125D8E"/>
    <w:rsid w:val="00127253"/>
    <w:rsid w:val="00142E65"/>
    <w:rsid w:val="00143614"/>
    <w:rsid w:val="0014566D"/>
    <w:rsid w:val="00152595"/>
    <w:rsid w:val="00152A95"/>
    <w:rsid w:val="00155B51"/>
    <w:rsid w:val="001673BD"/>
    <w:rsid w:val="0016740D"/>
    <w:rsid w:val="00172BEC"/>
    <w:rsid w:val="0017620D"/>
    <w:rsid w:val="00177C3B"/>
    <w:rsid w:val="00180AAD"/>
    <w:rsid w:val="00180E91"/>
    <w:rsid w:val="00185E63"/>
    <w:rsid w:val="00196BF0"/>
    <w:rsid w:val="0019700F"/>
    <w:rsid w:val="00197C15"/>
    <w:rsid w:val="001B1A9C"/>
    <w:rsid w:val="001B1B79"/>
    <w:rsid w:val="001B6584"/>
    <w:rsid w:val="001B7852"/>
    <w:rsid w:val="001C6CC9"/>
    <w:rsid w:val="001D3CD9"/>
    <w:rsid w:val="001D5A6A"/>
    <w:rsid w:val="001E02C7"/>
    <w:rsid w:val="001E1421"/>
    <w:rsid w:val="001E17CB"/>
    <w:rsid w:val="001E533A"/>
    <w:rsid w:val="001E6D53"/>
    <w:rsid w:val="001E7A09"/>
    <w:rsid w:val="001F1ABF"/>
    <w:rsid w:val="001F35C8"/>
    <w:rsid w:val="001F3B2E"/>
    <w:rsid w:val="001F6120"/>
    <w:rsid w:val="001F74A2"/>
    <w:rsid w:val="00201DCE"/>
    <w:rsid w:val="00220DAA"/>
    <w:rsid w:val="00234EC6"/>
    <w:rsid w:val="00237146"/>
    <w:rsid w:val="00237231"/>
    <w:rsid w:val="00240650"/>
    <w:rsid w:val="00244F96"/>
    <w:rsid w:val="00246554"/>
    <w:rsid w:val="00246C5B"/>
    <w:rsid w:val="00250116"/>
    <w:rsid w:val="002560EE"/>
    <w:rsid w:val="002620A9"/>
    <w:rsid w:val="002642DE"/>
    <w:rsid w:val="00265B3A"/>
    <w:rsid w:val="00267B3F"/>
    <w:rsid w:val="00270D8B"/>
    <w:rsid w:val="00272D3F"/>
    <w:rsid w:val="0027662F"/>
    <w:rsid w:val="002775BF"/>
    <w:rsid w:val="00277F83"/>
    <w:rsid w:val="002833CA"/>
    <w:rsid w:val="00285FA5"/>
    <w:rsid w:val="00286B21"/>
    <w:rsid w:val="00287B9F"/>
    <w:rsid w:val="00290A56"/>
    <w:rsid w:val="00290CE6"/>
    <w:rsid w:val="00294DD4"/>
    <w:rsid w:val="00295C4A"/>
    <w:rsid w:val="002966F9"/>
    <w:rsid w:val="00297A77"/>
    <w:rsid w:val="002A0C36"/>
    <w:rsid w:val="002A1D81"/>
    <w:rsid w:val="002A3B56"/>
    <w:rsid w:val="002A63B8"/>
    <w:rsid w:val="002B2B1F"/>
    <w:rsid w:val="002B4341"/>
    <w:rsid w:val="002B64B2"/>
    <w:rsid w:val="002C33A6"/>
    <w:rsid w:val="002C7495"/>
    <w:rsid w:val="002D5CC6"/>
    <w:rsid w:val="002D7225"/>
    <w:rsid w:val="002E1E31"/>
    <w:rsid w:val="002E261C"/>
    <w:rsid w:val="002E32B7"/>
    <w:rsid w:val="002E497B"/>
    <w:rsid w:val="002E6EBD"/>
    <w:rsid w:val="002F232F"/>
    <w:rsid w:val="002F44A9"/>
    <w:rsid w:val="00300022"/>
    <w:rsid w:val="00301C17"/>
    <w:rsid w:val="00305782"/>
    <w:rsid w:val="00306904"/>
    <w:rsid w:val="00310A44"/>
    <w:rsid w:val="003145AE"/>
    <w:rsid w:val="00330E96"/>
    <w:rsid w:val="00332E64"/>
    <w:rsid w:val="00336495"/>
    <w:rsid w:val="00337CF4"/>
    <w:rsid w:val="00337E82"/>
    <w:rsid w:val="003442AD"/>
    <w:rsid w:val="00351245"/>
    <w:rsid w:val="003549F8"/>
    <w:rsid w:val="00360AB9"/>
    <w:rsid w:val="00364D65"/>
    <w:rsid w:val="00364F66"/>
    <w:rsid w:val="00365688"/>
    <w:rsid w:val="00367E6F"/>
    <w:rsid w:val="00370D5B"/>
    <w:rsid w:val="00371C19"/>
    <w:rsid w:val="00373E5C"/>
    <w:rsid w:val="00373EE1"/>
    <w:rsid w:val="003759E0"/>
    <w:rsid w:val="003828B2"/>
    <w:rsid w:val="00391191"/>
    <w:rsid w:val="00391E02"/>
    <w:rsid w:val="00393B52"/>
    <w:rsid w:val="003960AD"/>
    <w:rsid w:val="00397A98"/>
    <w:rsid w:val="003A045D"/>
    <w:rsid w:val="003B35D5"/>
    <w:rsid w:val="003B3E6A"/>
    <w:rsid w:val="003B5E17"/>
    <w:rsid w:val="003B7E30"/>
    <w:rsid w:val="003B7F7E"/>
    <w:rsid w:val="003C42D5"/>
    <w:rsid w:val="003C4DED"/>
    <w:rsid w:val="003C7DBD"/>
    <w:rsid w:val="003D6EF9"/>
    <w:rsid w:val="003D7A1E"/>
    <w:rsid w:val="003E5167"/>
    <w:rsid w:val="003F167B"/>
    <w:rsid w:val="004018C1"/>
    <w:rsid w:val="004021FB"/>
    <w:rsid w:val="00415607"/>
    <w:rsid w:val="0042158E"/>
    <w:rsid w:val="004247FD"/>
    <w:rsid w:val="00434D06"/>
    <w:rsid w:val="00436812"/>
    <w:rsid w:val="00443C31"/>
    <w:rsid w:val="00452D12"/>
    <w:rsid w:val="00456338"/>
    <w:rsid w:val="00457650"/>
    <w:rsid w:val="00462CF6"/>
    <w:rsid w:val="00464F1A"/>
    <w:rsid w:val="00465FEB"/>
    <w:rsid w:val="00476245"/>
    <w:rsid w:val="0047770A"/>
    <w:rsid w:val="00481239"/>
    <w:rsid w:val="0049048B"/>
    <w:rsid w:val="00490D2E"/>
    <w:rsid w:val="00491678"/>
    <w:rsid w:val="00492570"/>
    <w:rsid w:val="004942C1"/>
    <w:rsid w:val="004A4318"/>
    <w:rsid w:val="004A75F7"/>
    <w:rsid w:val="004A7BEF"/>
    <w:rsid w:val="004B1F3E"/>
    <w:rsid w:val="004B34B5"/>
    <w:rsid w:val="004B6E4A"/>
    <w:rsid w:val="004C133D"/>
    <w:rsid w:val="004C26A2"/>
    <w:rsid w:val="004C2DAB"/>
    <w:rsid w:val="004C4523"/>
    <w:rsid w:val="004C5E60"/>
    <w:rsid w:val="004C6D73"/>
    <w:rsid w:val="004D152E"/>
    <w:rsid w:val="004D17E9"/>
    <w:rsid w:val="004D4284"/>
    <w:rsid w:val="004F0552"/>
    <w:rsid w:val="004F18A8"/>
    <w:rsid w:val="004F19C1"/>
    <w:rsid w:val="004F25FE"/>
    <w:rsid w:val="004F36E0"/>
    <w:rsid w:val="005001BA"/>
    <w:rsid w:val="0050566B"/>
    <w:rsid w:val="005078C0"/>
    <w:rsid w:val="0051018C"/>
    <w:rsid w:val="00513CD3"/>
    <w:rsid w:val="00520DD1"/>
    <w:rsid w:val="00524B47"/>
    <w:rsid w:val="00525E36"/>
    <w:rsid w:val="0053349C"/>
    <w:rsid w:val="005356B5"/>
    <w:rsid w:val="00535FDB"/>
    <w:rsid w:val="005429D4"/>
    <w:rsid w:val="00542B1F"/>
    <w:rsid w:val="00551339"/>
    <w:rsid w:val="0055353F"/>
    <w:rsid w:val="00554F29"/>
    <w:rsid w:val="00566804"/>
    <w:rsid w:val="0057663C"/>
    <w:rsid w:val="00577949"/>
    <w:rsid w:val="00587C97"/>
    <w:rsid w:val="0059133D"/>
    <w:rsid w:val="00591628"/>
    <w:rsid w:val="00591856"/>
    <w:rsid w:val="00591C35"/>
    <w:rsid w:val="00595AF8"/>
    <w:rsid w:val="005A566D"/>
    <w:rsid w:val="005A714A"/>
    <w:rsid w:val="005B35C7"/>
    <w:rsid w:val="005B3AA5"/>
    <w:rsid w:val="005B422E"/>
    <w:rsid w:val="005C3676"/>
    <w:rsid w:val="005D4AFE"/>
    <w:rsid w:val="005D58AA"/>
    <w:rsid w:val="005D5C0E"/>
    <w:rsid w:val="005D7736"/>
    <w:rsid w:val="005E686C"/>
    <w:rsid w:val="005E695B"/>
    <w:rsid w:val="005F39F4"/>
    <w:rsid w:val="005F3F6D"/>
    <w:rsid w:val="006033E0"/>
    <w:rsid w:val="0060592A"/>
    <w:rsid w:val="006068EC"/>
    <w:rsid w:val="006073EC"/>
    <w:rsid w:val="0061296C"/>
    <w:rsid w:val="00617C6D"/>
    <w:rsid w:val="00625B4B"/>
    <w:rsid w:val="00626D08"/>
    <w:rsid w:val="00633572"/>
    <w:rsid w:val="00637878"/>
    <w:rsid w:val="006460FB"/>
    <w:rsid w:val="006525D5"/>
    <w:rsid w:val="00654081"/>
    <w:rsid w:val="00662C7A"/>
    <w:rsid w:val="00671A56"/>
    <w:rsid w:val="006757FD"/>
    <w:rsid w:val="006814BD"/>
    <w:rsid w:val="006862E1"/>
    <w:rsid w:val="006867C6"/>
    <w:rsid w:val="00692037"/>
    <w:rsid w:val="006A1448"/>
    <w:rsid w:val="006A1E37"/>
    <w:rsid w:val="006A2D96"/>
    <w:rsid w:val="006A5B00"/>
    <w:rsid w:val="006A6D31"/>
    <w:rsid w:val="006A7899"/>
    <w:rsid w:val="006B26C9"/>
    <w:rsid w:val="006B6C97"/>
    <w:rsid w:val="006B6EE4"/>
    <w:rsid w:val="006B6F5A"/>
    <w:rsid w:val="006C2A75"/>
    <w:rsid w:val="006C5452"/>
    <w:rsid w:val="006D3F6C"/>
    <w:rsid w:val="006E298E"/>
    <w:rsid w:val="006E707F"/>
    <w:rsid w:val="006E7C9D"/>
    <w:rsid w:val="006F127D"/>
    <w:rsid w:val="006F18A5"/>
    <w:rsid w:val="006F4C89"/>
    <w:rsid w:val="00702731"/>
    <w:rsid w:val="00703113"/>
    <w:rsid w:val="00705C4A"/>
    <w:rsid w:val="00712270"/>
    <w:rsid w:val="00717A40"/>
    <w:rsid w:val="007225CC"/>
    <w:rsid w:val="00724582"/>
    <w:rsid w:val="00724F09"/>
    <w:rsid w:val="0072785D"/>
    <w:rsid w:val="00730ED0"/>
    <w:rsid w:val="00731151"/>
    <w:rsid w:val="00731661"/>
    <w:rsid w:val="007353F9"/>
    <w:rsid w:val="0074212C"/>
    <w:rsid w:val="00743495"/>
    <w:rsid w:val="00746005"/>
    <w:rsid w:val="007465B0"/>
    <w:rsid w:val="007467C4"/>
    <w:rsid w:val="00751AA9"/>
    <w:rsid w:val="00753951"/>
    <w:rsid w:val="007614B5"/>
    <w:rsid w:val="00762111"/>
    <w:rsid w:val="00762CC0"/>
    <w:rsid w:val="00774AE5"/>
    <w:rsid w:val="00776CE2"/>
    <w:rsid w:val="0077723D"/>
    <w:rsid w:val="00785691"/>
    <w:rsid w:val="00792939"/>
    <w:rsid w:val="00795ED4"/>
    <w:rsid w:val="007975A4"/>
    <w:rsid w:val="007A5FC9"/>
    <w:rsid w:val="007A6176"/>
    <w:rsid w:val="007B0148"/>
    <w:rsid w:val="007B4F54"/>
    <w:rsid w:val="007C3FD8"/>
    <w:rsid w:val="007C4863"/>
    <w:rsid w:val="007C5BC5"/>
    <w:rsid w:val="007D266B"/>
    <w:rsid w:val="007D3936"/>
    <w:rsid w:val="007D484D"/>
    <w:rsid w:val="007D5120"/>
    <w:rsid w:val="007D56D4"/>
    <w:rsid w:val="007D670A"/>
    <w:rsid w:val="007E0DA6"/>
    <w:rsid w:val="007E2FDB"/>
    <w:rsid w:val="007E34E9"/>
    <w:rsid w:val="007E6CAA"/>
    <w:rsid w:val="007F62DE"/>
    <w:rsid w:val="007F64B4"/>
    <w:rsid w:val="007F775F"/>
    <w:rsid w:val="00800B47"/>
    <w:rsid w:val="00801184"/>
    <w:rsid w:val="008013DE"/>
    <w:rsid w:val="00803C15"/>
    <w:rsid w:val="00804FAE"/>
    <w:rsid w:val="0080755C"/>
    <w:rsid w:val="00807712"/>
    <w:rsid w:val="00813823"/>
    <w:rsid w:val="00814225"/>
    <w:rsid w:val="00821D36"/>
    <w:rsid w:val="00824CD4"/>
    <w:rsid w:val="0082663F"/>
    <w:rsid w:val="00830B11"/>
    <w:rsid w:val="00834CFC"/>
    <w:rsid w:val="00837501"/>
    <w:rsid w:val="00840F59"/>
    <w:rsid w:val="008507FE"/>
    <w:rsid w:val="00852102"/>
    <w:rsid w:val="00853606"/>
    <w:rsid w:val="0085440B"/>
    <w:rsid w:val="0085593D"/>
    <w:rsid w:val="00856500"/>
    <w:rsid w:val="00857883"/>
    <w:rsid w:val="00872118"/>
    <w:rsid w:val="00873A03"/>
    <w:rsid w:val="0087712F"/>
    <w:rsid w:val="008864AF"/>
    <w:rsid w:val="00887824"/>
    <w:rsid w:val="00891B69"/>
    <w:rsid w:val="008B110A"/>
    <w:rsid w:val="008B28F2"/>
    <w:rsid w:val="008B5DED"/>
    <w:rsid w:val="008B62CE"/>
    <w:rsid w:val="008C1804"/>
    <w:rsid w:val="008D641A"/>
    <w:rsid w:val="008D6F42"/>
    <w:rsid w:val="008E1B84"/>
    <w:rsid w:val="008E3FF8"/>
    <w:rsid w:val="008F1EE3"/>
    <w:rsid w:val="0092190F"/>
    <w:rsid w:val="00923DA2"/>
    <w:rsid w:val="0093049D"/>
    <w:rsid w:val="00932BE2"/>
    <w:rsid w:val="00935C67"/>
    <w:rsid w:val="00946E81"/>
    <w:rsid w:val="00947C73"/>
    <w:rsid w:val="00950BD7"/>
    <w:rsid w:val="0095129D"/>
    <w:rsid w:val="00957CB1"/>
    <w:rsid w:val="0096336E"/>
    <w:rsid w:val="00963F1F"/>
    <w:rsid w:val="009654E4"/>
    <w:rsid w:val="009765A0"/>
    <w:rsid w:val="009815AC"/>
    <w:rsid w:val="009819AD"/>
    <w:rsid w:val="00981AB4"/>
    <w:rsid w:val="009837FD"/>
    <w:rsid w:val="009840FF"/>
    <w:rsid w:val="00990E96"/>
    <w:rsid w:val="0099295C"/>
    <w:rsid w:val="0099454A"/>
    <w:rsid w:val="0099488C"/>
    <w:rsid w:val="00995069"/>
    <w:rsid w:val="009A359A"/>
    <w:rsid w:val="009A4A05"/>
    <w:rsid w:val="009A74FB"/>
    <w:rsid w:val="009B21CE"/>
    <w:rsid w:val="009B39B8"/>
    <w:rsid w:val="009B3F76"/>
    <w:rsid w:val="009B46C6"/>
    <w:rsid w:val="009B67BC"/>
    <w:rsid w:val="009C2F3A"/>
    <w:rsid w:val="009C3E0F"/>
    <w:rsid w:val="009D185D"/>
    <w:rsid w:val="009D481C"/>
    <w:rsid w:val="009D617A"/>
    <w:rsid w:val="009E4BEC"/>
    <w:rsid w:val="009E66E7"/>
    <w:rsid w:val="009E6C19"/>
    <w:rsid w:val="009E78CB"/>
    <w:rsid w:val="009F7D0B"/>
    <w:rsid w:val="00A01A9B"/>
    <w:rsid w:val="00A02802"/>
    <w:rsid w:val="00A02B04"/>
    <w:rsid w:val="00A03A01"/>
    <w:rsid w:val="00A049DD"/>
    <w:rsid w:val="00A10AD7"/>
    <w:rsid w:val="00A1501A"/>
    <w:rsid w:val="00A207C5"/>
    <w:rsid w:val="00A25FCB"/>
    <w:rsid w:val="00A27AAE"/>
    <w:rsid w:val="00A34FB5"/>
    <w:rsid w:val="00A37927"/>
    <w:rsid w:val="00A4140E"/>
    <w:rsid w:val="00A57A00"/>
    <w:rsid w:val="00A643D7"/>
    <w:rsid w:val="00A64D6B"/>
    <w:rsid w:val="00A74594"/>
    <w:rsid w:val="00A80764"/>
    <w:rsid w:val="00A84743"/>
    <w:rsid w:val="00A84ECF"/>
    <w:rsid w:val="00A85759"/>
    <w:rsid w:val="00A85AD9"/>
    <w:rsid w:val="00AA227B"/>
    <w:rsid w:val="00AB06D6"/>
    <w:rsid w:val="00AB097B"/>
    <w:rsid w:val="00AB2259"/>
    <w:rsid w:val="00AB30C9"/>
    <w:rsid w:val="00AB44CF"/>
    <w:rsid w:val="00AB6125"/>
    <w:rsid w:val="00AC05BF"/>
    <w:rsid w:val="00AC49EC"/>
    <w:rsid w:val="00AC607C"/>
    <w:rsid w:val="00AC7248"/>
    <w:rsid w:val="00AD0803"/>
    <w:rsid w:val="00AD431A"/>
    <w:rsid w:val="00AD674B"/>
    <w:rsid w:val="00AD7FFC"/>
    <w:rsid w:val="00AE140A"/>
    <w:rsid w:val="00AE29A7"/>
    <w:rsid w:val="00AE3B93"/>
    <w:rsid w:val="00AF05FF"/>
    <w:rsid w:val="00B00A4F"/>
    <w:rsid w:val="00B0184B"/>
    <w:rsid w:val="00B0292B"/>
    <w:rsid w:val="00B032E2"/>
    <w:rsid w:val="00B05842"/>
    <w:rsid w:val="00B062D4"/>
    <w:rsid w:val="00B10DC6"/>
    <w:rsid w:val="00B123C2"/>
    <w:rsid w:val="00B146DA"/>
    <w:rsid w:val="00B16E57"/>
    <w:rsid w:val="00B17EB4"/>
    <w:rsid w:val="00B26963"/>
    <w:rsid w:val="00B31DAC"/>
    <w:rsid w:val="00B3318F"/>
    <w:rsid w:val="00B36AD8"/>
    <w:rsid w:val="00B37407"/>
    <w:rsid w:val="00B410CD"/>
    <w:rsid w:val="00B42216"/>
    <w:rsid w:val="00B47865"/>
    <w:rsid w:val="00B47894"/>
    <w:rsid w:val="00B540ED"/>
    <w:rsid w:val="00B54DA1"/>
    <w:rsid w:val="00B54F73"/>
    <w:rsid w:val="00B565DE"/>
    <w:rsid w:val="00B57EA6"/>
    <w:rsid w:val="00B6349B"/>
    <w:rsid w:val="00B7780E"/>
    <w:rsid w:val="00B85E4A"/>
    <w:rsid w:val="00B90448"/>
    <w:rsid w:val="00B9412E"/>
    <w:rsid w:val="00BA410A"/>
    <w:rsid w:val="00BA6B21"/>
    <w:rsid w:val="00BA6B92"/>
    <w:rsid w:val="00BB5198"/>
    <w:rsid w:val="00BC066A"/>
    <w:rsid w:val="00BC176B"/>
    <w:rsid w:val="00BC2502"/>
    <w:rsid w:val="00BC6C88"/>
    <w:rsid w:val="00BC718E"/>
    <w:rsid w:val="00BE035B"/>
    <w:rsid w:val="00BE0FBB"/>
    <w:rsid w:val="00BE5178"/>
    <w:rsid w:val="00BE5880"/>
    <w:rsid w:val="00BF6C48"/>
    <w:rsid w:val="00C02F1A"/>
    <w:rsid w:val="00C14956"/>
    <w:rsid w:val="00C154F4"/>
    <w:rsid w:val="00C16361"/>
    <w:rsid w:val="00C219B1"/>
    <w:rsid w:val="00C2499B"/>
    <w:rsid w:val="00C254AD"/>
    <w:rsid w:val="00C27AC1"/>
    <w:rsid w:val="00C31C94"/>
    <w:rsid w:val="00C33951"/>
    <w:rsid w:val="00C36CAA"/>
    <w:rsid w:val="00C37553"/>
    <w:rsid w:val="00C37656"/>
    <w:rsid w:val="00C43D19"/>
    <w:rsid w:val="00C502BA"/>
    <w:rsid w:val="00C55E84"/>
    <w:rsid w:val="00C61B32"/>
    <w:rsid w:val="00C65E82"/>
    <w:rsid w:val="00C71672"/>
    <w:rsid w:val="00C82184"/>
    <w:rsid w:val="00C83E3C"/>
    <w:rsid w:val="00C86514"/>
    <w:rsid w:val="00C962B3"/>
    <w:rsid w:val="00C96981"/>
    <w:rsid w:val="00C96A96"/>
    <w:rsid w:val="00CA67C2"/>
    <w:rsid w:val="00CA7A75"/>
    <w:rsid w:val="00CB0908"/>
    <w:rsid w:val="00CB0CE9"/>
    <w:rsid w:val="00CB0D47"/>
    <w:rsid w:val="00CB4430"/>
    <w:rsid w:val="00CB64D7"/>
    <w:rsid w:val="00CC4454"/>
    <w:rsid w:val="00CC565C"/>
    <w:rsid w:val="00CD1D97"/>
    <w:rsid w:val="00CE0468"/>
    <w:rsid w:val="00CE3E5F"/>
    <w:rsid w:val="00CE4345"/>
    <w:rsid w:val="00CE7DC2"/>
    <w:rsid w:val="00CF3607"/>
    <w:rsid w:val="00CF4160"/>
    <w:rsid w:val="00CF4B3E"/>
    <w:rsid w:val="00D04428"/>
    <w:rsid w:val="00D04C86"/>
    <w:rsid w:val="00D0665B"/>
    <w:rsid w:val="00D0690B"/>
    <w:rsid w:val="00D07EA9"/>
    <w:rsid w:val="00D10DEE"/>
    <w:rsid w:val="00D1486B"/>
    <w:rsid w:val="00D2079E"/>
    <w:rsid w:val="00D20B00"/>
    <w:rsid w:val="00D2421A"/>
    <w:rsid w:val="00D270C5"/>
    <w:rsid w:val="00D27A00"/>
    <w:rsid w:val="00D32316"/>
    <w:rsid w:val="00D341BB"/>
    <w:rsid w:val="00D36D0D"/>
    <w:rsid w:val="00D42541"/>
    <w:rsid w:val="00D513CD"/>
    <w:rsid w:val="00D5146F"/>
    <w:rsid w:val="00D519ED"/>
    <w:rsid w:val="00D51EF6"/>
    <w:rsid w:val="00D5661E"/>
    <w:rsid w:val="00D60F8B"/>
    <w:rsid w:val="00D62B4C"/>
    <w:rsid w:val="00D63EC9"/>
    <w:rsid w:val="00D67C3B"/>
    <w:rsid w:val="00D74AD5"/>
    <w:rsid w:val="00D74EF2"/>
    <w:rsid w:val="00D75647"/>
    <w:rsid w:val="00D777C3"/>
    <w:rsid w:val="00D80204"/>
    <w:rsid w:val="00D80B59"/>
    <w:rsid w:val="00D87CC7"/>
    <w:rsid w:val="00DA7C26"/>
    <w:rsid w:val="00DB070E"/>
    <w:rsid w:val="00DB2364"/>
    <w:rsid w:val="00DB5F5D"/>
    <w:rsid w:val="00DB6E85"/>
    <w:rsid w:val="00DC1A77"/>
    <w:rsid w:val="00DD7962"/>
    <w:rsid w:val="00DE2E7C"/>
    <w:rsid w:val="00DF1896"/>
    <w:rsid w:val="00DF28CB"/>
    <w:rsid w:val="00E04E93"/>
    <w:rsid w:val="00E12099"/>
    <w:rsid w:val="00E177D1"/>
    <w:rsid w:val="00E215E7"/>
    <w:rsid w:val="00E3092E"/>
    <w:rsid w:val="00E34474"/>
    <w:rsid w:val="00E3531C"/>
    <w:rsid w:val="00E45018"/>
    <w:rsid w:val="00E45E30"/>
    <w:rsid w:val="00E50AE1"/>
    <w:rsid w:val="00E55F5C"/>
    <w:rsid w:val="00E56B72"/>
    <w:rsid w:val="00E57B41"/>
    <w:rsid w:val="00E61465"/>
    <w:rsid w:val="00E64013"/>
    <w:rsid w:val="00E67085"/>
    <w:rsid w:val="00E748BD"/>
    <w:rsid w:val="00E77F07"/>
    <w:rsid w:val="00E83113"/>
    <w:rsid w:val="00E87C87"/>
    <w:rsid w:val="00E95312"/>
    <w:rsid w:val="00E96166"/>
    <w:rsid w:val="00EA3C67"/>
    <w:rsid w:val="00EB1AF2"/>
    <w:rsid w:val="00EB58EA"/>
    <w:rsid w:val="00EB753D"/>
    <w:rsid w:val="00EC55A5"/>
    <w:rsid w:val="00EC6A02"/>
    <w:rsid w:val="00EC746B"/>
    <w:rsid w:val="00ED001D"/>
    <w:rsid w:val="00ED4862"/>
    <w:rsid w:val="00ED5197"/>
    <w:rsid w:val="00ED5D5D"/>
    <w:rsid w:val="00EE02EF"/>
    <w:rsid w:val="00EE765F"/>
    <w:rsid w:val="00EF2825"/>
    <w:rsid w:val="00EF449E"/>
    <w:rsid w:val="00F00F38"/>
    <w:rsid w:val="00F01DA8"/>
    <w:rsid w:val="00F0649C"/>
    <w:rsid w:val="00F0727C"/>
    <w:rsid w:val="00F14190"/>
    <w:rsid w:val="00F24535"/>
    <w:rsid w:val="00F25B54"/>
    <w:rsid w:val="00F26C35"/>
    <w:rsid w:val="00F31951"/>
    <w:rsid w:val="00F3213B"/>
    <w:rsid w:val="00F45C3A"/>
    <w:rsid w:val="00F533E8"/>
    <w:rsid w:val="00F536FA"/>
    <w:rsid w:val="00F6159E"/>
    <w:rsid w:val="00F70661"/>
    <w:rsid w:val="00F724CD"/>
    <w:rsid w:val="00F76EBC"/>
    <w:rsid w:val="00F821EB"/>
    <w:rsid w:val="00F8308B"/>
    <w:rsid w:val="00F86546"/>
    <w:rsid w:val="00F90F42"/>
    <w:rsid w:val="00F935FB"/>
    <w:rsid w:val="00F9513D"/>
    <w:rsid w:val="00FA1F3E"/>
    <w:rsid w:val="00FA7E2C"/>
    <w:rsid w:val="00FB1519"/>
    <w:rsid w:val="00FB2F06"/>
    <w:rsid w:val="00FB5AD4"/>
    <w:rsid w:val="00FB64B8"/>
    <w:rsid w:val="00FB68D0"/>
    <w:rsid w:val="00FD0A62"/>
    <w:rsid w:val="00FD0E60"/>
    <w:rsid w:val="00FD3336"/>
    <w:rsid w:val="00FD7A36"/>
    <w:rsid w:val="00FD7CAA"/>
    <w:rsid w:val="00FE3DC9"/>
    <w:rsid w:val="00FE6463"/>
    <w:rsid w:val="00FE75FF"/>
    <w:rsid w:val="00FE7603"/>
    <w:rsid w:val="00FE76A0"/>
    <w:rsid w:val="00FF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Style 17,FR,Foot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NormalWeb">
    <w:name w:val="Normal (Web)"/>
    <w:basedOn w:val="Normal"/>
    <w:unhideWhenUsed/>
    <w:pPr>
      <w:spacing w:before="100" w:beforeAutospacing="1" w:after="100" w:afterAutospacing="1"/>
    </w:pPr>
    <w:rPr>
      <w:rFonts w:ascii="inherit" w:hAnsi="inherit"/>
      <w:color w:val="00000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uiPriority w:val="99"/>
    <w:rPr>
      <w:lang w:val="en-US"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sid w:val="00813823"/>
    <w:rPr>
      <w:sz w:val="16"/>
      <w:szCs w:val="16"/>
    </w:rPr>
  </w:style>
  <w:style w:type="paragraph" w:styleId="CommentText">
    <w:name w:val="annotation text"/>
    <w:basedOn w:val="Normal"/>
    <w:link w:val="CommentTextChar"/>
    <w:rsid w:val="00813823"/>
    <w:rPr>
      <w:sz w:val="20"/>
    </w:rPr>
  </w:style>
  <w:style w:type="character" w:customStyle="1" w:styleId="CommentTextChar">
    <w:name w:val="Comment Text Char"/>
    <w:basedOn w:val="DefaultParagraphFont"/>
    <w:link w:val="CommentText"/>
    <w:rsid w:val="00813823"/>
  </w:style>
  <w:style w:type="paragraph" w:styleId="CommentSubject">
    <w:name w:val="annotation subject"/>
    <w:basedOn w:val="CommentText"/>
    <w:next w:val="CommentText"/>
    <w:link w:val="CommentSubjectChar"/>
    <w:rsid w:val="00813823"/>
    <w:rPr>
      <w:b/>
      <w:bCs/>
    </w:rPr>
  </w:style>
  <w:style w:type="character" w:customStyle="1" w:styleId="CommentSubjectChar">
    <w:name w:val="Comment Subject Char"/>
    <w:link w:val="CommentSubject"/>
    <w:rsid w:val="00813823"/>
    <w:rPr>
      <w:b/>
      <w:bCs/>
    </w:rPr>
  </w:style>
  <w:style w:type="paragraph" w:styleId="Revision">
    <w:name w:val="Revision"/>
    <w:hidden/>
    <w:uiPriority w:val="99"/>
    <w:semiHidden/>
    <w:rsid w:val="001F6120"/>
    <w:rPr>
      <w:sz w:val="22"/>
    </w:rPr>
  </w:style>
  <w:style w:type="character" w:customStyle="1" w:styleId="apple-converted-space">
    <w:name w:val="apple-converted-space"/>
    <w:rsid w:val="00452D12"/>
  </w:style>
  <w:style w:type="paragraph" w:styleId="ListParagraph">
    <w:name w:val="List Paragraph"/>
    <w:basedOn w:val="Normal"/>
    <w:uiPriority w:val="34"/>
    <w:qFormat/>
    <w:rsid w:val="00D341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7075">
      <w:bodyDiv w:val="1"/>
      <w:marLeft w:val="0"/>
      <w:marRight w:val="0"/>
      <w:marTop w:val="0"/>
      <w:marBottom w:val="0"/>
      <w:divBdr>
        <w:top w:val="none" w:sz="0" w:space="0" w:color="auto"/>
        <w:left w:val="none" w:sz="0" w:space="0" w:color="auto"/>
        <w:bottom w:val="none" w:sz="0" w:space="0" w:color="auto"/>
        <w:right w:val="none" w:sz="0" w:space="0" w:color="auto"/>
      </w:divBdr>
    </w:div>
    <w:div w:id="356396630">
      <w:bodyDiv w:val="1"/>
      <w:marLeft w:val="30"/>
      <w:marRight w:val="30"/>
      <w:marTop w:val="30"/>
      <w:marBottom w:val="30"/>
      <w:divBdr>
        <w:top w:val="none" w:sz="0" w:space="0" w:color="auto"/>
        <w:left w:val="none" w:sz="0" w:space="0" w:color="auto"/>
        <w:bottom w:val="none" w:sz="0" w:space="0" w:color="auto"/>
        <w:right w:val="none" w:sz="0" w:space="0" w:color="auto"/>
      </w:divBdr>
      <w:divsChild>
        <w:div w:id="402337656">
          <w:marLeft w:val="0"/>
          <w:marRight w:val="0"/>
          <w:marTop w:val="0"/>
          <w:marBottom w:val="0"/>
          <w:divBdr>
            <w:top w:val="none" w:sz="0" w:space="0" w:color="auto"/>
            <w:left w:val="none" w:sz="0" w:space="0" w:color="auto"/>
            <w:bottom w:val="none" w:sz="0" w:space="0" w:color="auto"/>
            <w:right w:val="none" w:sz="0" w:space="0" w:color="auto"/>
          </w:divBdr>
          <w:divsChild>
            <w:div w:id="350305128">
              <w:marLeft w:val="45"/>
              <w:marRight w:val="45"/>
              <w:marTop w:val="45"/>
              <w:marBottom w:val="45"/>
              <w:divBdr>
                <w:top w:val="none" w:sz="0" w:space="0" w:color="auto"/>
                <w:left w:val="none" w:sz="0" w:space="0" w:color="auto"/>
                <w:bottom w:val="none" w:sz="0" w:space="0" w:color="auto"/>
                <w:right w:val="none" w:sz="0" w:space="0" w:color="auto"/>
              </w:divBdr>
              <w:divsChild>
                <w:div w:id="569660229">
                  <w:marLeft w:val="0"/>
                  <w:marRight w:val="0"/>
                  <w:marTop w:val="0"/>
                  <w:marBottom w:val="0"/>
                  <w:divBdr>
                    <w:top w:val="none" w:sz="0" w:space="0" w:color="auto"/>
                    <w:left w:val="none" w:sz="0" w:space="0" w:color="auto"/>
                    <w:bottom w:val="none" w:sz="0" w:space="0" w:color="auto"/>
                    <w:right w:val="none" w:sz="0" w:space="0" w:color="auto"/>
                  </w:divBdr>
                  <w:divsChild>
                    <w:div w:id="1327171455">
                      <w:marLeft w:val="0"/>
                      <w:marRight w:val="0"/>
                      <w:marTop w:val="0"/>
                      <w:marBottom w:val="0"/>
                      <w:divBdr>
                        <w:top w:val="none" w:sz="0" w:space="0" w:color="auto"/>
                        <w:left w:val="none" w:sz="0" w:space="0" w:color="auto"/>
                        <w:bottom w:val="none" w:sz="0" w:space="0" w:color="auto"/>
                        <w:right w:val="none" w:sz="0" w:space="0" w:color="auto"/>
                      </w:divBdr>
                    </w:div>
                    <w:div w:id="1499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5721">
      <w:bodyDiv w:val="1"/>
      <w:marLeft w:val="0"/>
      <w:marRight w:val="0"/>
      <w:marTop w:val="0"/>
      <w:marBottom w:val="0"/>
      <w:divBdr>
        <w:top w:val="none" w:sz="0" w:space="0" w:color="auto"/>
        <w:left w:val="none" w:sz="0" w:space="0" w:color="auto"/>
        <w:bottom w:val="none" w:sz="0" w:space="0" w:color="auto"/>
        <w:right w:val="none" w:sz="0" w:space="0" w:color="auto"/>
      </w:divBdr>
    </w:div>
    <w:div w:id="1113212423">
      <w:bodyDiv w:val="1"/>
      <w:marLeft w:val="0"/>
      <w:marRight w:val="0"/>
      <w:marTop w:val="0"/>
      <w:marBottom w:val="0"/>
      <w:divBdr>
        <w:top w:val="none" w:sz="0" w:space="0" w:color="auto"/>
        <w:left w:val="none" w:sz="0" w:space="0" w:color="auto"/>
        <w:bottom w:val="none" w:sz="0" w:space="0" w:color="auto"/>
        <w:right w:val="none" w:sz="0" w:space="0" w:color="auto"/>
      </w:divBdr>
    </w:div>
    <w:div w:id="1461414072">
      <w:bodyDiv w:val="1"/>
      <w:marLeft w:val="0"/>
      <w:marRight w:val="0"/>
      <w:marTop w:val="0"/>
      <w:marBottom w:val="0"/>
      <w:divBdr>
        <w:top w:val="none" w:sz="0" w:space="0" w:color="auto"/>
        <w:left w:val="none" w:sz="0" w:space="0" w:color="auto"/>
        <w:bottom w:val="none" w:sz="0" w:space="0" w:color="auto"/>
        <w:right w:val="none" w:sz="0" w:space="0" w:color="auto"/>
      </w:divBdr>
    </w:div>
    <w:div w:id="1859732796">
      <w:bodyDiv w:val="1"/>
      <w:marLeft w:val="30"/>
      <w:marRight w:val="30"/>
      <w:marTop w:val="30"/>
      <w:marBottom w:val="30"/>
      <w:divBdr>
        <w:top w:val="none" w:sz="0" w:space="0" w:color="auto"/>
        <w:left w:val="none" w:sz="0" w:space="0" w:color="auto"/>
        <w:bottom w:val="none" w:sz="0" w:space="0" w:color="auto"/>
        <w:right w:val="none" w:sz="0" w:space="0" w:color="auto"/>
      </w:divBdr>
      <w:divsChild>
        <w:div w:id="1109356521">
          <w:marLeft w:val="0"/>
          <w:marRight w:val="0"/>
          <w:marTop w:val="0"/>
          <w:marBottom w:val="0"/>
          <w:divBdr>
            <w:top w:val="none" w:sz="0" w:space="0" w:color="auto"/>
            <w:left w:val="none" w:sz="0" w:space="0" w:color="auto"/>
            <w:bottom w:val="none" w:sz="0" w:space="0" w:color="auto"/>
            <w:right w:val="none" w:sz="0" w:space="0" w:color="auto"/>
          </w:divBdr>
          <w:divsChild>
            <w:div w:id="302394616">
              <w:marLeft w:val="45"/>
              <w:marRight w:val="45"/>
              <w:marTop w:val="45"/>
              <w:marBottom w:val="45"/>
              <w:divBdr>
                <w:top w:val="none" w:sz="0" w:space="0" w:color="auto"/>
                <w:left w:val="none" w:sz="0" w:space="0" w:color="auto"/>
                <w:bottom w:val="none" w:sz="0" w:space="0" w:color="auto"/>
                <w:right w:val="none" w:sz="0" w:space="0" w:color="auto"/>
              </w:divBdr>
              <w:divsChild>
                <w:div w:id="266277219">
                  <w:marLeft w:val="0"/>
                  <w:marRight w:val="0"/>
                  <w:marTop w:val="0"/>
                  <w:marBottom w:val="0"/>
                  <w:divBdr>
                    <w:top w:val="none" w:sz="0" w:space="0" w:color="auto"/>
                    <w:left w:val="none" w:sz="0" w:space="0" w:color="auto"/>
                    <w:bottom w:val="none" w:sz="0" w:space="0" w:color="auto"/>
                    <w:right w:val="none" w:sz="0" w:space="0" w:color="auto"/>
                  </w:divBdr>
                  <w:divsChild>
                    <w:div w:id="66848008">
                      <w:marLeft w:val="0"/>
                      <w:marRight w:val="0"/>
                      <w:marTop w:val="0"/>
                      <w:marBottom w:val="0"/>
                      <w:divBdr>
                        <w:top w:val="none" w:sz="0" w:space="0" w:color="auto"/>
                        <w:left w:val="none" w:sz="0" w:space="0" w:color="auto"/>
                        <w:bottom w:val="none" w:sz="0" w:space="0" w:color="auto"/>
                        <w:right w:val="none" w:sz="0" w:space="0" w:color="auto"/>
                      </w:divBdr>
                    </w:div>
                    <w:div w:id="1506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Y&amp;serNum=1998152544&amp;pubNum=506&amp;originatingDoc=Iffb3ba5b2c0c11dbbb4d83d7c3c3a165&amp;refType=RP&amp;fi=co_pp_sp_506_1216&amp;originationContext=document&amp;transitionType=DocumentItem&amp;contextData=(sc.Search)" TargetMode="External"/><Relationship Id="rId1" Type="http://schemas.openxmlformats.org/officeDocument/2006/relationships/hyperlink" Target="https://1.next.westlaw.com/Link/Document/FullText?findType=Y&amp;serNum=1987133410&amp;pubNum=350&amp;originatingDoc=Iffb3ba5b2c0c11dbbb4d83d7c3c3a165&amp;refType=RP&amp;fi=co_pp_sp_350_181&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2430</Words>
  <Characters>13271</Characters>
  <Application>Microsoft Office Word</Application>
  <DocSecurity>0</DocSecurity>
  <Lines>211</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15696</CharactersWithSpaces>
  <SharedDoc>false</SharedDoc>
  <HyperlinkBase> </HyperlinkBase>
  <HLinks>
    <vt:vector size="12" baseType="variant">
      <vt:variant>
        <vt:i4>8126571</vt:i4>
      </vt:variant>
      <vt:variant>
        <vt:i4>3</vt:i4>
      </vt:variant>
      <vt:variant>
        <vt:i4>0</vt:i4>
      </vt:variant>
      <vt:variant>
        <vt:i4>5</vt:i4>
      </vt:variant>
      <vt:variant>
        <vt:lpwstr>https://1.next.westlaw.com/Link/Document/FullText?findType=Y&amp;serNum=1998152544&amp;pubNum=506&amp;originatingDoc=Iffb3ba5b2c0c11dbbb4d83d7c3c3a165&amp;refType=RP&amp;fi=co_pp_sp_506_1216&amp;originationContext=document&amp;transitionType=DocumentItem&amp;contextData=(sc.Search)</vt:lpwstr>
      </vt:variant>
      <vt:variant>
        <vt:lpwstr>co_pp_sp_506_1216</vt:lpwstr>
      </vt:variant>
      <vt:variant>
        <vt:i4>1900569</vt:i4>
      </vt:variant>
      <vt:variant>
        <vt:i4>0</vt:i4>
      </vt:variant>
      <vt:variant>
        <vt:i4>0</vt:i4>
      </vt:variant>
      <vt:variant>
        <vt:i4>5</vt:i4>
      </vt:variant>
      <vt:variant>
        <vt:lpwstr>https://1.next.westlaw.com/Link/Document/FullText?findType=Y&amp;serNum=1987133410&amp;pubNum=350&amp;originatingDoc=Iffb3ba5b2c0c11dbbb4d83d7c3c3a165&amp;refType=RP&amp;fi=co_pp_sp_350_181&amp;originationContext=document&amp;transitionType=DocumentItem&amp;contextData=(sc.Search)</vt:lpwstr>
      </vt:variant>
      <vt:variant>
        <vt:lpwstr>co_pp_sp_350_181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2014-05-27T13:58:00Z</cp:lastPrinted>
  <dcterms:created xsi:type="dcterms:W3CDTF">2017-06-21T18:26:00Z</dcterms:created>
  <dcterms:modified xsi:type="dcterms:W3CDTF">2017-06-21T18:26:00Z</dcterms:modified>
  <cp:category> </cp:category>
  <cp:contentStatus> </cp:contentStatus>
</cp:coreProperties>
</file>