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DC600" w14:textId="56E1EFA8" w:rsidR="0029501B" w:rsidRDefault="00D76EA8">
      <w:pPr>
        <w:spacing w:after="120"/>
        <w:jc w:val="right"/>
        <w:rPr>
          <w:b/>
          <w:szCs w:val="22"/>
        </w:rPr>
      </w:pPr>
      <w:bookmarkStart w:id="0" w:name="_GoBack"/>
      <w:bookmarkEnd w:id="0"/>
      <w:r>
        <w:rPr>
          <w:b/>
          <w:szCs w:val="22"/>
        </w:rPr>
        <w:t>DA 1</w:t>
      </w:r>
      <w:r w:rsidR="003402D5">
        <w:rPr>
          <w:b/>
          <w:szCs w:val="22"/>
        </w:rPr>
        <w:t>7</w:t>
      </w:r>
      <w:r w:rsidR="005D78A5">
        <w:rPr>
          <w:b/>
          <w:szCs w:val="22"/>
        </w:rPr>
        <w:t>-601</w:t>
      </w:r>
    </w:p>
    <w:p w14:paraId="27E1CBD0" w14:textId="76A50A8E" w:rsidR="0029501B" w:rsidRDefault="00D76EA8">
      <w:pPr>
        <w:jc w:val="right"/>
        <w:rPr>
          <w:b/>
          <w:caps/>
          <w:szCs w:val="22"/>
        </w:rPr>
      </w:pPr>
      <w:r>
        <w:rPr>
          <w:b/>
          <w:szCs w:val="22"/>
        </w:rPr>
        <w:t xml:space="preserve">Released:  </w:t>
      </w:r>
      <w:r w:rsidR="00264C40">
        <w:rPr>
          <w:b/>
          <w:szCs w:val="22"/>
        </w:rPr>
        <w:t>June 21</w:t>
      </w:r>
      <w:r>
        <w:rPr>
          <w:b/>
          <w:szCs w:val="22"/>
        </w:rPr>
        <w:t>, 201</w:t>
      </w:r>
      <w:r w:rsidR="003402D5">
        <w:rPr>
          <w:b/>
          <w:szCs w:val="22"/>
        </w:rPr>
        <w:t>7</w:t>
      </w:r>
    </w:p>
    <w:p w14:paraId="750F86A5" w14:textId="63BF4A59" w:rsidR="00841A91" w:rsidRDefault="00841A91" w:rsidP="00841A91">
      <w:pPr>
        <w:ind w:left="5760" w:firstLine="720"/>
        <w:rPr>
          <w:i/>
          <w:sz w:val="18"/>
          <w:szCs w:val="18"/>
        </w:rPr>
      </w:pPr>
    </w:p>
    <w:p w14:paraId="1C54ADED" w14:textId="77777777" w:rsidR="0029501B" w:rsidRDefault="0029501B" w:rsidP="00841A91">
      <w:pPr>
        <w:spacing w:after="240"/>
        <w:rPr>
          <w:b/>
          <w:caps/>
          <w:szCs w:val="22"/>
        </w:rPr>
      </w:pPr>
    </w:p>
    <w:p w14:paraId="77A11BE2" w14:textId="1DEDF55F" w:rsidR="0029501B" w:rsidRDefault="00FB50BA" w:rsidP="007F7DFB">
      <w:pPr>
        <w:spacing w:after="240"/>
        <w:jc w:val="center"/>
        <w:rPr>
          <w:b/>
          <w:caps/>
          <w:szCs w:val="22"/>
        </w:rPr>
      </w:pPr>
      <w:r w:rsidRPr="00FB50BA">
        <w:rPr>
          <w:b/>
          <w:caps/>
          <w:szCs w:val="22"/>
        </w:rPr>
        <w:t xml:space="preserve">Docket Established for 28 GHz Aggregate Interference </w:t>
      </w:r>
      <w:r w:rsidR="00CE22E1">
        <w:rPr>
          <w:b/>
          <w:caps/>
          <w:szCs w:val="22"/>
        </w:rPr>
        <w:t>Analysis</w:t>
      </w:r>
    </w:p>
    <w:p w14:paraId="7AB7B58B" w14:textId="1C772734" w:rsidR="0029501B" w:rsidRDefault="00D76EA8">
      <w:pPr>
        <w:tabs>
          <w:tab w:val="left" w:pos="2430"/>
          <w:tab w:val="center" w:pos="4680"/>
        </w:tabs>
        <w:rPr>
          <w:b/>
          <w:szCs w:val="22"/>
        </w:rPr>
      </w:pPr>
      <w:r>
        <w:rPr>
          <w:b/>
          <w:szCs w:val="22"/>
        </w:rPr>
        <w:tab/>
      </w:r>
      <w:r>
        <w:rPr>
          <w:b/>
          <w:szCs w:val="22"/>
        </w:rPr>
        <w:tab/>
        <w:t>GN Docket No. 1</w:t>
      </w:r>
      <w:r w:rsidR="003402D5">
        <w:rPr>
          <w:b/>
          <w:szCs w:val="22"/>
        </w:rPr>
        <w:t>7</w:t>
      </w:r>
      <w:r>
        <w:rPr>
          <w:b/>
          <w:szCs w:val="22"/>
        </w:rPr>
        <w:t>-</w:t>
      </w:r>
      <w:r w:rsidR="00637F7D">
        <w:rPr>
          <w:b/>
          <w:szCs w:val="22"/>
        </w:rPr>
        <w:t>171</w:t>
      </w:r>
    </w:p>
    <w:p w14:paraId="74BC8CDB" w14:textId="77777777" w:rsidR="0029501B" w:rsidRDefault="0029501B">
      <w:pPr>
        <w:tabs>
          <w:tab w:val="left" w:pos="2430"/>
          <w:tab w:val="center" w:pos="4680"/>
        </w:tabs>
        <w:jc w:val="center"/>
        <w:rPr>
          <w:b/>
          <w:szCs w:val="22"/>
        </w:rPr>
      </w:pPr>
    </w:p>
    <w:p w14:paraId="669EA75D" w14:textId="716C1D64" w:rsidR="002962B9" w:rsidRDefault="00867D0B">
      <w:pPr>
        <w:ind w:firstLine="720"/>
        <w:rPr>
          <w:szCs w:val="22"/>
        </w:rPr>
      </w:pPr>
      <w:r>
        <w:rPr>
          <w:szCs w:val="22"/>
        </w:rPr>
        <w:t>T</w:t>
      </w:r>
      <w:r w:rsidRPr="00867D0B">
        <w:rPr>
          <w:szCs w:val="22"/>
        </w:rPr>
        <w:t xml:space="preserve">he International Bureau, the Office of Engineering and Technology, and the Wireless </w:t>
      </w:r>
      <w:r w:rsidR="00DB09EF">
        <w:rPr>
          <w:szCs w:val="22"/>
        </w:rPr>
        <w:t xml:space="preserve">Telecommunications </w:t>
      </w:r>
      <w:r w:rsidRPr="00867D0B">
        <w:rPr>
          <w:szCs w:val="22"/>
        </w:rPr>
        <w:t xml:space="preserve">Bureau establish a docket for the submission of filings relating to </w:t>
      </w:r>
      <w:r w:rsidR="00146F60">
        <w:rPr>
          <w:szCs w:val="22"/>
        </w:rPr>
        <w:t xml:space="preserve">the potential impact of </w:t>
      </w:r>
      <w:r w:rsidRPr="00867D0B">
        <w:rPr>
          <w:szCs w:val="22"/>
        </w:rPr>
        <w:t xml:space="preserve">aggregate interference </w:t>
      </w:r>
      <w:r w:rsidR="00146F60">
        <w:rPr>
          <w:szCs w:val="22"/>
        </w:rPr>
        <w:t xml:space="preserve">on satellites </w:t>
      </w:r>
      <w:r w:rsidRPr="00867D0B">
        <w:rPr>
          <w:szCs w:val="22"/>
        </w:rPr>
        <w:t>in the 27.5-28.35 GHz band (28 GHz band</w:t>
      </w:r>
      <w:r w:rsidR="009F550F">
        <w:rPr>
          <w:szCs w:val="22"/>
        </w:rPr>
        <w:t>),</w:t>
      </w:r>
      <w:r w:rsidRPr="00867D0B">
        <w:rPr>
          <w:szCs w:val="22"/>
        </w:rPr>
        <w:t xml:space="preserve"> as directed by the Commission</w:t>
      </w:r>
      <w:r>
        <w:rPr>
          <w:szCs w:val="22"/>
        </w:rPr>
        <w:t xml:space="preserve"> in </w:t>
      </w:r>
      <w:r w:rsidRPr="00867D0B">
        <w:rPr>
          <w:szCs w:val="22"/>
        </w:rPr>
        <w:t xml:space="preserve">the </w:t>
      </w:r>
      <w:r w:rsidRPr="00867D0B">
        <w:rPr>
          <w:i/>
          <w:szCs w:val="22"/>
        </w:rPr>
        <w:t>Spectrum Frontiers Report and Order</w:t>
      </w:r>
      <w:r w:rsidRPr="00867D0B">
        <w:rPr>
          <w:szCs w:val="22"/>
        </w:rPr>
        <w:t>.</w:t>
      </w:r>
      <w:r w:rsidRPr="00867D0B">
        <w:rPr>
          <w:szCs w:val="22"/>
          <w:vertAlign w:val="superscript"/>
        </w:rPr>
        <w:footnoteReference w:id="2"/>
      </w:r>
      <w:r>
        <w:rPr>
          <w:szCs w:val="22"/>
        </w:rPr>
        <w:t xml:space="preserve">  </w:t>
      </w:r>
    </w:p>
    <w:p w14:paraId="3FD8F304" w14:textId="77777777" w:rsidR="002962B9" w:rsidRDefault="002962B9">
      <w:pPr>
        <w:ind w:firstLine="720"/>
        <w:rPr>
          <w:szCs w:val="22"/>
        </w:rPr>
      </w:pPr>
    </w:p>
    <w:p w14:paraId="227551EF" w14:textId="2F634B1F" w:rsidR="000C2DFD" w:rsidRDefault="00867D0B" w:rsidP="00EB4DAF">
      <w:pPr>
        <w:ind w:firstLine="720"/>
      </w:pPr>
      <w:r>
        <w:rPr>
          <w:szCs w:val="22"/>
        </w:rPr>
        <w:t xml:space="preserve">In that </w:t>
      </w:r>
      <w:r w:rsidRPr="000B73BB">
        <w:rPr>
          <w:i/>
          <w:szCs w:val="22"/>
        </w:rPr>
        <w:t>Report and Order</w:t>
      </w:r>
      <w:r w:rsidR="00D76EA8">
        <w:rPr>
          <w:szCs w:val="22"/>
        </w:rPr>
        <w:t xml:space="preserve">, the </w:t>
      </w:r>
      <w:r w:rsidR="00C70591">
        <w:rPr>
          <w:szCs w:val="22"/>
        </w:rPr>
        <w:t>Commission</w:t>
      </w:r>
      <w:r w:rsidR="00AB1A31" w:rsidRPr="00AB1A31">
        <w:rPr>
          <w:szCs w:val="22"/>
        </w:rPr>
        <w:t xml:space="preserve"> adopted new rules for wireless broadband operations in </w:t>
      </w:r>
      <w:r w:rsidR="00AB1A31">
        <w:t>the 28 GHz band</w:t>
      </w:r>
      <w:r w:rsidR="002962B9">
        <w:t xml:space="preserve"> which has</w:t>
      </w:r>
      <w:r w:rsidR="002962B9" w:rsidRPr="002962B9">
        <w:t xml:space="preserve"> a primary</w:t>
      </w:r>
      <w:r w:rsidR="001A5BF1">
        <w:rPr>
          <w:rStyle w:val="FootnoteReference"/>
        </w:rPr>
        <w:footnoteReference w:id="3"/>
      </w:r>
      <w:r w:rsidR="002962B9" w:rsidRPr="002962B9">
        <w:t xml:space="preserve"> Fixed-Satellite Service (FSS) </w:t>
      </w:r>
      <w:r w:rsidR="00C336CB">
        <w:t xml:space="preserve">(Earth-to-Space) </w:t>
      </w:r>
      <w:r w:rsidR="002962B9" w:rsidRPr="002962B9">
        <w:t>allocation</w:t>
      </w:r>
      <w:r w:rsidR="00AB1A31" w:rsidRPr="00AB1A31">
        <w:rPr>
          <w:szCs w:val="22"/>
        </w:rPr>
        <w:t>.</w:t>
      </w:r>
      <w:r w:rsidR="006B32C5">
        <w:rPr>
          <w:rStyle w:val="FootnoteReference"/>
        </w:rPr>
        <w:footnoteReference w:id="4"/>
      </w:r>
      <w:r w:rsidR="002962B9">
        <w:rPr>
          <w:szCs w:val="22"/>
        </w:rPr>
        <w:t xml:space="preserve">  </w:t>
      </w:r>
      <w:r w:rsidR="002962B9">
        <w:t>T</w:t>
      </w:r>
      <w:r w:rsidR="00AB1A31" w:rsidRPr="00AB1A31">
        <w:t>he Commission</w:t>
      </w:r>
      <w:r w:rsidR="00E4458E">
        <w:t xml:space="preserve"> </w:t>
      </w:r>
      <w:r w:rsidR="00AB1A31" w:rsidRPr="00AB1A31">
        <w:t xml:space="preserve">struck a balance </w:t>
      </w:r>
      <w:r w:rsidR="0092604A">
        <w:t>between</w:t>
      </w:r>
      <w:r w:rsidR="00AB1A31">
        <w:t xml:space="preserve"> the current and future uses </w:t>
      </w:r>
      <w:r w:rsidR="002962B9">
        <w:t xml:space="preserve">of this band </w:t>
      </w:r>
      <w:r w:rsidR="00AB1A31">
        <w:t>and adopted</w:t>
      </w:r>
      <w:r w:rsidR="00AB1A31" w:rsidRPr="00AB1A31">
        <w:t xml:space="preserve"> effective sharing schemes to ensure that diverse users</w:t>
      </w:r>
      <w:r w:rsidR="00DE718E">
        <w:t>—</w:t>
      </w:r>
      <w:r w:rsidR="00AB1A31" w:rsidRPr="00AB1A31">
        <w:t>including federal and non-federal, satellite and terrestrial, and fixed and mobile</w:t>
      </w:r>
      <w:r w:rsidR="00DE718E">
        <w:t>—</w:t>
      </w:r>
      <w:r w:rsidR="00AB1A31" w:rsidRPr="00AB1A31">
        <w:t>can co-exist and expand.</w:t>
      </w:r>
      <w:r w:rsidR="00027659">
        <w:rPr>
          <w:rStyle w:val="FootnoteReference"/>
        </w:rPr>
        <w:footnoteReference w:id="5"/>
      </w:r>
    </w:p>
    <w:p w14:paraId="4D0F8C7B" w14:textId="77777777" w:rsidR="006B32C5" w:rsidRDefault="006B32C5">
      <w:pPr>
        <w:ind w:firstLine="720"/>
        <w:rPr>
          <w:szCs w:val="22"/>
        </w:rPr>
      </w:pPr>
    </w:p>
    <w:p w14:paraId="45B8EA57" w14:textId="1DB632E8" w:rsidR="000B70E6" w:rsidRDefault="00224DAE" w:rsidP="00A82545">
      <w:pPr>
        <w:ind w:firstLine="720"/>
        <w:rPr>
          <w:szCs w:val="22"/>
        </w:rPr>
      </w:pPr>
      <w:r>
        <w:rPr>
          <w:szCs w:val="22"/>
        </w:rPr>
        <w:t xml:space="preserve">In that proceeding, </w:t>
      </w:r>
      <w:r w:rsidR="006B32C5">
        <w:rPr>
          <w:szCs w:val="22"/>
        </w:rPr>
        <w:t xml:space="preserve">FSS operators </w:t>
      </w:r>
      <w:r w:rsidR="00222C8B">
        <w:rPr>
          <w:szCs w:val="22"/>
        </w:rPr>
        <w:t xml:space="preserve">expressed </w:t>
      </w:r>
      <w:r w:rsidR="006B32C5">
        <w:rPr>
          <w:szCs w:val="22"/>
        </w:rPr>
        <w:t xml:space="preserve">concern that authorizing mobile operations would result in </w:t>
      </w:r>
      <w:r w:rsidR="006B32C5" w:rsidRPr="006B32C5">
        <w:rPr>
          <w:szCs w:val="22"/>
        </w:rPr>
        <w:t xml:space="preserve">upward transmissions from large numbers of terrestrial stations </w:t>
      </w:r>
      <w:r w:rsidR="006B32C5">
        <w:rPr>
          <w:szCs w:val="22"/>
        </w:rPr>
        <w:t xml:space="preserve">that </w:t>
      </w:r>
      <w:r w:rsidR="006B32C5" w:rsidRPr="006B32C5">
        <w:rPr>
          <w:szCs w:val="22"/>
        </w:rPr>
        <w:t>w</w:t>
      </w:r>
      <w:r w:rsidR="006B32C5">
        <w:rPr>
          <w:szCs w:val="22"/>
        </w:rPr>
        <w:t>ould</w:t>
      </w:r>
      <w:r w:rsidR="00A82545">
        <w:rPr>
          <w:szCs w:val="22"/>
        </w:rPr>
        <w:t xml:space="preserve"> generate</w:t>
      </w:r>
      <w:r w:rsidR="006B32C5" w:rsidRPr="006B32C5">
        <w:rPr>
          <w:szCs w:val="22"/>
        </w:rPr>
        <w:t xml:space="preserve">, in the aggregate </w:t>
      </w:r>
      <w:r w:rsidR="00433D4F" w:rsidRPr="00433D4F">
        <w:rPr>
          <w:szCs w:val="22"/>
        </w:rPr>
        <w:t>at the satellite’s receiver</w:t>
      </w:r>
      <w:r w:rsidR="00433D4F">
        <w:rPr>
          <w:szCs w:val="22"/>
        </w:rPr>
        <w:t>,</w:t>
      </w:r>
      <w:r w:rsidR="00433D4F" w:rsidRPr="00433D4F">
        <w:rPr>
          <w:szCs w:val="22"/>
        </w:rPr>
        <w:t xml:space="preserve"> </w:t>
      </w:r>
      <w:r w:rsidR="006B32C5" w:rsidRPr="006B32C5">
        <w:rPr>
          <w:szCs w:val="22"/>
        </w:rPr>
        <w:t>enough power to degrad</w:t>
      </w:r>
      <w:r w:rsidR="00433D4F">
        <w:rPr>
          <w:szCs w:val="22"/>
        </w:rPr>
        <w:t>e</w:t>
      </w:r>
      <w:r w:rsidR="006B32C5" w:rsidRPr="006B32C5">
        <w:rPr>
          <w:szCs w:val="22"/>
        </w:rPr>
        <w:t xml:space="preserve"> the satellite </w:t>
      </w:r>
      <w:r w:rsidR="00433D4F">
        <w:rPr>
          <w:szCs w:val="22"/>
        </w:rPr>
        <w:t xml:space="preserve">link </w:t>
      </w:r>
      <w:r w:rsidR="006B32C5" w:rsidRPr="006B32C5">
        <w:rPr>
          <w:szCs w:val="22"/>
        </w:rPr>
        <w:t>performance</w:t>
      </w:r>
      <w:r w:rsidR="00222C8B">
        <w:rPr>
          <w:szCs w:val="22"/>
        </w:rPr>
        <w:t>.</w:t>
      </w:r>
      <w:r w:rsidR="006B32C5">
        <w:rPr>
          <w:rStyle w:val="FootnoteReference"/>
          <w:szCs w:val="22"/>
        </w:rPr>
        <w:footnoteReference w:id="6"/>
      </w:r>
      <w:r w:rsidR="001E6272">
        <w:rPr>
          <w:szCs w:val="22"/>
        </w:rPr>
        <w:t xml:space="preserve"> </w:t>
      </w:r>
      <w:r w:rsidR="00222C8B">
        <w:rPr>
          <w:szCs w:val="22"/>
        </w:rPr>
        <w:t xml:space="preserve"> In response, t</w:t>
      </w:r>
      <w:r w:rsidR="001E6272">
        <w:rPr>
          <w:szCs w:val="22"/>
        </w:rPr>
        <w:t>he Commission stated</w:t>
      </w:r>
      <w:r w:rsidR="000C2DFD">
        <w:rPr>
          <w:szCs w:val="22"/>
        </w:rPr>
        <w:t xml:space="preserve"> that</w:t>
      </w:r>
      <w:r w:rsidR="001E6272">
        <w:rPr>
          <w:szCs w:val="22"/>
        </w:rPr>
        <w:t xml:space="preserve"> “</w:t>
      </w:r>
      <w:r w:rsidR="000C2DFD">
        <w:rPr>
          <w:szCs w:val="22"/>
        </w:rPr>
        <w:t>t</w:t>
      </w:r>
      <w:r w:rsidR="001E6272" w:rsidRPr="001E6272">
        <w:rPr>
          <w:szCs w:val="22"/>
        </w:rPr>
        <w:t xml:space="preserve">he record in this proceeding does not demonstrate that the </w:t>
      </w:r>
      <w:r w:rsidR="00EF1177">
        <w:rPr>
          <w:szCs w:val="22"/>
        </w:rPr>
        <w:t xml:space="preserve">[adopted] </w:t>
      </w:r>
      <w:r w:rsidR="001E6272" w:rsidRPr="001E6272">
        <w:rPr>
          <w:szCs w:val="22"/>
        </w:rPr>
        <w:t xml:space="preserve">rules </w:t>
      </w:r>
      <w:r w:rsidR="00EF1177">
        <w:rPr>
          <w:szCs w:val="22"/>
        </w:rPr>
        <w:t xml:space="preserve">  . . . </w:t>
      </w:r>
      <w:r w:rsidR="001E6272" w:rsidRPr="001E6272">
        <w:rPr>
          <w:szCs w:val="22"/>
        </w:rPr>
        <w:t xml:space="preserve"> would significantly risk harmful interference to satellite operations because of aggregate interference </w:t>
      </w:r>
      <w:r w:rsidR="001E6272" w:rsidRPr="001E6272">
        <w:rPr>
          <w:szCs w:val="22"/>
        </w:rPr>
        <w:lastRenderedPageBreak/>
        <w:t>received at the satellite receiver.</w:t>
      </w:r>
      <w:r w:rsidR="001E6272">
        <w:rPr>
          <w:szCs w:val="22"/>
        </w:rPr>
        <w:t>”</w:t>
      </w:r>
      <w:r w:rsidR="001E6272">
        <w:rPr>
          <w:rStyle w:val="FootnoteReference"/>
          <w:szCs w:val="22"/>
        </w:rPr>
        <w:footnoteReference w:id="7"/>
      </w:r>
      <w:r w:rsidR="001E6272">
        <w:rPr>
          <w:szCs w:val="22"/>
        </w:rPr>
        <w:t xml:space="preserve">  The Commission therefore declined to establish an aggregate interference limit.</w:t>
      </w:r>
      <w:r w:rsidR="001E6272">
        <w:rPr>
          <w:rStyle w:val="FootnoteReference"/>
          <w:szCs w:val="22"/>
        </w:rPr>
        <w:footnoteReference w:id="8"/>
      </w:r>
      <w:r w:rsidR="00A82545">
        <w:rPr>
          <w:szCs w:val="22"/>
        </w:rPr>
        <w:t xml:space="preserve">  </w:t>
      </w:r>
    </w:p>
    <w:p w14:paraId="29C82247" w14:textId="77777777" w:rsidR="007B2A65" w:rsidRDefault="007B2A65" w:rsidP="00682F28">
      <w:pPr>
        <w:ind w:right="720"/>
      </w:pPr>
    </w:p>
    <w:p w14:paraId="5082A59D" w14:textId="5C198E46" w:rsidR="001E6272" w:rsidRDefault="000B70E6" w:rsidP="00682F28">
      <w:pPr>
        <w:ind w:right="720" w:firstLine="720"/>
      </w:pPr>
      <w:r>
        <w:t>The Commission did encourage</w:t>
      </w:r>
      <w:r w:rsidR="00AB700A">
        <w:t xml:space="preserve">, however, </w:t>
      </w:r>
      <w:r>
        <w:t xml:space="preserve">the satellite and wireless industries to continue working cooperatively on </w:t>
      </w:r>
      <w:r w:rsidRPr="00C06EAF">
        <w:t>the process of modeling the terrestrial systems under consideration for this band to provide further information concerning their potential impact on satellites</w:t>
      </w:r>
      <w:r>
        <w:t xml:space="preserve">, </w:t>
      </w:r>
      <w:r w:rsidRPr="00043040">
        <w:t xml:space="preserve">including by submitting </w:t>
      </w:r>
      <w:r w:rsidR="00C336CB">
        <w:t xml:space="preserve">to the Commission </w:t>
      </w:r>
      <w:r w:rsidRPr="00043040">
        <w:t>any relevant data demonstrating changes in the amount of aggregate interference</w:t>
      </w:r>
      <w:r>
        <w:t xml:space="preserve">.  The Commission directed that the relevant Bureaus and Office establish </w:t>
      </w:r>
      <w:r w:rsidRPr="00043040">
        <w:t>a separate docket that parties can use to file the relevant data and analyses</w:t>
      </w:r>
      <w:r w:rsidRPr="00682F28">
        <w:t>, and indicated that the Commission “reserve[s] the right to revisit this issue should additional information or other circumstances warrant further Commission review or action</w:t>
      </w:r>
      <w:r w:rsidRPr="00511751">
        <w:t>.</w:t>
      </w:r>
      <w:r>
        <w:t>”</w:t>
      </w:r>
      <w:r w:rsidR="003223D1">
        <w:rPr>
          <w:rStyle w:val="FootnoteReference"/>
        </w:rPr>
        <w:footnoteReference w:id="9"/>
      </w:r>
      <w:r w:rsidR="00C06EAF">
        <w:t xml:space="preserve">  </w:t>
      </w:r>
    </w:p>
    <w:p w14:paraId="3F1854A6" w14:textId="77777777" w:rsidR="003223D1" w:rsidRDefault="003223D1" w:rsidP="001E6272">
      <w:pPr>
        <w:ind w:left="720" w:right="720"/>
      </w:pPr>
    </w:p>
    <w:p w14:paraId="30213DE9" w14:textId="3D5132FE" w:rsidR="00EB4DAF" w:rsidRDefault="00EB4DAF" w:rsidP="000B73BB">
      <w:pPr>
        <w:ind w:right="720" w:firstLine="720"/>
      </w:pPr>
      <w:r>
        <w:t xml:space="preserve">Today, the Bureaus and Office </w:t>
      </w:r>
      <w:r w:rsidRPr="00EB4DAF">
        <w:t xml:space="preserve">establish a docket for the submission of filings relating to </w:t>
      </w:r>
      <w:r w:rsidR="00146F60">
        <w:t xml:space="preserve">the potential impact of </w:t>
      </w:r>
      <w:r w:rsidRPr="00EB4DAF">
        <w:t xml:space="preserve">aggregate interference </w:t>
      </w:r>
      <w:r w:rsidR="00146F60">
        <w:t xml:space="preserve">on satellites </w:t>
      </w:r>
      <w:r w:rsidRPr="00EB4DAF">
        <w:t>in the 28 GHz band</w:t>
      </w:r>
      <w:r>
        <w:t>.</w:t>
      </w:r>
    </w:p>
    <w:p w14:paraId="3AAC83B4" w14:textId="77777777" w:rsidR="0029501B" w:rsidRDefault="0029501B">
      <w:pPr>
        <w:ind w:firstLine="720"/>
        <w:rPr>
          <w:szCs w:val="22"/>
        </w:rPr>
      </w:pPr>
    </w:p>
    <w:p w14:paraId="07456C7B" w14:textId="77777777" w:rsidR="0029501B" w:rsidRDefault="00D76EA8">
      <w:pPr>
        <w:rPr>
          <w:b/>
          <w:szCs w:val="22"/>
        </w:rPr>
      </w:pPr>
      <w:r>
        <w:rPr>
          <w:szCs w:val="22"/>
        </w:rPr>
        <w:tab/>
      </w:r>
      <w:r>
        <w:rPr>
          <w:b/>
          <w:szCs w:val="22"/>
        </w:rPr>
        <w:t>Procedural Matters</w:t>
      </w:r>
    </w:p>
    <w:p w14:paraId="0D5F673B" w14:textId="77777777" w:rsidR="0029501B" w:rsidRDefault="0029501B">
      <w:pPr>
        <w:rPr>
          <w:szCs w:val="22"/>
        </w:rPr>
      </w:pPr>
    </w:p>
    <w:p w14:paraId="2007ECEC" w14:textId="77777777" w:rsidR="0029501B" w:rsidRDefault="003223D1">
      <w:pPr>
        <w:ind w:firstLine="720"/>
        <w:rPr>
          <w:szCs w:val="22"/>
        </w:rPr>
      </w:pPr>
      <w:r>
        <w:rPr>
          <w:szCs w:val="22"/>
        </w:rPr>
        <w:t xml:space="preserve">Submissions in this docket </w:t>
      </w:r>
      <w:r w:rsidR="00D76EA8">
        <w:rPr>
          <w:szCs w:val="22"/>
        </w:rPr>
        <w:t xml:space="preserve">may be filed by paper or by using the Commission’s Electronic Comment Filing System (ECFS).  </w:t>
      </w:r>
    </w:p>
    <w:p w14:paraId="6B18CCD5" w14:textId="77777777" w:rsidR="0029501B" w:rsidRDefault="0029501B">
      <w:pPr>
        <w:autoSpaceDE w:val="0"/>
        <w:autoSpaceDN w:val="0"/>
        <w:adjustRightInd w:val="0"/>
        <w:ind w:firstLine="720"/>
        <w:rPr>
          <w:szCs w:val="22"/>
        </w:rPr>
      </w:pPr>
    </w:p>
    <w:p w14:paraId="317702F0" w14:textId="5D080D5B" w:rsidR="0029501B" w:rsidRDefault="00D76EA8">
      <w:pPr>
        <w:numPr>
          <w:ilvl w:val="0"/>
          <w:numId w:val="19"/>
        </w:numPr>
        <w:autoSpaceDE w:val="0"/>
        <w:autoSpaceDN w:val="0"/>
        <w:adjustRightInd w:val="0"/>
        <w:rPr>
          <w:szCs w:val="22"/>
        </w:rPr>
      </w:pPr>
      <w:r>
        <w:rPr>
          <w:szCs w:val="22"/>
        </w:rPr>
        <w:t xml:space="preserve">Electronic Filers:  Comments may be filed electronically using the Internet by accessing the ECFS:  </w:t>
      </w:r>
      <w:hyperlink r:id="rId8" w:history="1">
        <w:r>
          <w:rPr>
            <w:rStyle w:val="Hyperlink"/>
            <w:szCs w:val="22"/>
          </w:rPr>
          <w:t>http://fjallfoss.fcc.gov/ecfs2/</w:t>
        </w:r>
      </w:hyperlink>
      <w:r>
        <w:rPr>
          <w:szCs w:val="22"/>
        </w:rPr>
        <w:t xml:space="preserve">.  </w:t>
      </w:r>
    </w:p>
    <w:p w14:paraId="3DB878E5" w14:textId="77777777" w:rsidR="0029501B" w:rsidRDefault="0029501B">
      <w:pPr>
        <w:autoSpaceDE w:val="0"/>
        <w:autoSpaceDN w:val="0"/>
        <w:adjustRightInd w:val="0"/>
        <w:ind w:left="1440"/>
        <w:rPr>
          <w:szCs w:val="22"/>
        </w:rPr>
      </w:pPr>
    </w:p>
    <w:p w14:paraId="6902BC82" w14:textId="77777777" w:rsidR="0029501B" w:rsidRDefault="00D76EA8">
      <w:pPr>
        <w:numPr>
          <w:ilvl w:val="0"/>
          <w:numId w:val="19"/>
        </w:numPr>
        <w:autoSpaceDE w:val="0"/>
        <w:autoSpaceDN w:val="0"/>
        <w:adjustRightInd w:val="0"/>
        <w:rPr>
          <w:szCs w:val="22"/>
        </w:rPr>
      </w:pPr>
      <w:r>
        <w:rPr>
          <w:szCs w:val="22"/>
        </w:rPr>
        <w:t>Paper Filers:  Parties who choose to file by paper must file an original and one copy of each filing.</w:t>
      </w:r>
    </w:p>
    <w:p w14:paraId="2906C6D5" w14:textId="77777777" w:rsidR="0029501B" w:rsidRDefault="0029501B">
      <w:pPr>
        <w:autoSpaceDE w:val="0"/>
        <w:autoSpaceDN w:val="0"/>
        <w:adjustRightInd w:val="0"/>
        <w:ind w:left="1440"/>
        <w:rPr>
          <w:szCs w:val="22"/>
        </w:rPr>
      </w:pPr>
    </w:p>
    <w:p w14:paraId="040699AC" w14:textId="77777777" w:rsidR="0029501B" w:rsidRDefault="00D76EA8">
      <w:pPr>
        <w:autoSpaceDE w:val="0"/>
        <w:autoSpaceDN w:val="0"/>
        <w:adjustRightInd w:val="0"/>
        <w:ind w:left="144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0C42091F" w14:textId="77777777" w:rsidR="0029501B" w:rsidRDefault="0029501B">
      <w:pPr>
        <w:autoSpaceDE w:val="0"/>
        <w:autoSpaceDN w:val="0"/>
        <w:adjustRightInd w:val="0"/>
        <w:ind w:left="1440"/>
        <w:rPr>
          <w:szCs w:val="22"/>
        </w:rPr>
      </w:pPr>
    </w:p>
    <w:p w14:paraId="5C648F20" w14:textId="77777777" w:rsidR="0029501B" w:rsidRDefault="00D76EA8">
      <w:pPr>
        <w:numPr>
          <w:ilvl w:val="1"/>
          <w:numId w:val="22"/>
        </w:numPr>
        <w:autoSpaceDE w:val="0"/>
        <w:autoSpaceDN w:val="0"/>
        <w:adjustRightInd w:val="0"/>
        <w:rPr>
          <w:szCs w:val="22"/>
        </w:rPr>
      </w:pPr>
      <w:r>
        <w:rPr>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  </w:t>
      </w:r>
    </w:p>
    <w:p w14:paraId="18D3A68E" w14:textId="77777777" w:rsidR="0029501B" w:rsidRDefault="0029501B">
      <w:pPr>
        <w:autoSpaceDE w:val="0"/>
        <w:autoSpaceDN w:val="0"/>
        <w:adjustRightInd w:val="0"/>
        <w:ind w:left="2160"/>
        <w:rPr>
          <w:szCs w:val="22"/>
        </w:rPr>
      </w:pPr>
    </w:p>
    <w:p w14:paraId="0AA94698" w14:textId="77777777" w:rsidR="0029501B" w:rsidRDefault="00D76EA8">
      <w:pPr>
        <w:numPr>
          <w:ilvl w:val="1"/>
          <w:numId w:val="22"/>
        </w:numPr>
        <w:autoSpaceDE w:val="0"/>
        <w:autoSpaceDN w:val="0"/>
        <w:adjustRightInd w:val="0"/>
        <w:rPr>
          <w:szCs w:val="22"/>
        </w:rPr>
      </w:pPr>
      <w:r>
        <w:rPr>
          <w:szCs w:val="22"/>
        </w:rPr>
        <w:t>Commercial overnight mail (other than U.S. Postal Service Express Mail and Priority Mail) must be sent to 9300 East Hampton Drive, Capitol Heights, MD  20743.</w:t>
      </w:r>
    </w:p>
    <w:p w14:paraId="1B05E0C1" w14:textId="77777777" w:rsidR="0029501B" w:rsidRDefault="0029501B">
      <w:pPr>
        <w:autoSpaceDE w:val="0"/>
        <w:autoSpaceDN w:val="0"/>
        <w:adjustRightInd w:val="0"/>
        <w:ind w:left="2160"/>
        <w:rPr>
          <w:szCs w:val="22"/>
        </w:rPr>
      </w:pPr>
    </w:p>
    <w:p w14:paraId="4B8C140B" w14:textId="77777777" w:rsidR="0029501B" w:rsidRDefault="00D76EA8">
      <w:pPr>
        <w:numPr>
          <w:ilvl w:val="1"/>
          <w:numId w:val="22"/>
        </w:numPr>
        <w:autoSpaceDE w:val="0"/>
        <w:autoSpaceDN w:val="0"/>
        <w:adjustRightInd w:val="0"/>
        <w:rPr>
          <w:szCs w:val="22"/>
        </w:rPr>
      </w:pPr>
      <w:r>
        <w:rPr>
          <w:szCs w:val="22"/>
        </w:rPr>
        <w:t>U.S. Postal Service first-class, Express, and Priority mail must be addressed to 445 12th Street, SW, Washington DC  20554.</w:t>
      </w:r>
    </w:p>
    <w:p w14:paraId="57E9D238" w14:textId="77777777" w:rsidR="0029501B" w:rsidRDefault="0029501B">
      <w:pPr>
        <w:autoSpaceDE w:val="0"/>
        <w:autoSpaceDN w:val="0"/>
        <w:adjustRightInd w:val="0"/>
        <w:rPr>
          <w:szCs w:val="22"/>
        </w:rPr>
      </w:pPr>
    </w:p>
    <w:p w14:paraId="4032A195" w14:textId="4BE80530" w:rsidR="0029501B" w:rsidRDefault="00D76EA8">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&amp; Governmental Affairs Bureau at 202-418-0530 (voice), 202-418-0432 (tty).</w:t>
      </w:r>
    </w:p>
    <w:p w14:paraId="716DB8E7" w14:textId="77777777" w:rsidR="00D76EA8" w:rsidRDefault="00D76EA8">
      <w:pPr>
        <w:ind w:firstLine="720"/>
        <w:rPr>
          <w:szCs w:val="22"/>
        </w:rPr>
      </w:pPr>
    </w:p>
    <w:p w14:paraId="195B65B7" w14:textId="77777777" w:rsidR="00D76EA8" w:rsidRDefault="00D76EA8" w:rsidP="00D76EA8">
      <w:pPr>
        <w:ind w:firstLine="720"/>
        <w:rPr>
          <w:szCs w:val="22"/>
        </w:rPr>
      </w:pPr>
      <w:r w:rsidRPr="00D76EA8">
        <w:rPr>
          <w:szCs w:val="22"/>
        </w:rPr>
        <w:t xml:space="preserve">One copy of each </w:t>
      </w:r>
      <w:r>
        <w:rPr>
          <w:szCs w:val="22"/>
        </w:rPr>
        <w:t xml:space="preserve">filing </w:t>
      </w:r>
      <w:r w:rsidRPr="00D76EA8">
        <w:rPr>
          <w:szCs w:val="22"/>
        </w:rPr>
        <w:t>must be delivered electronically, by email or facsimile, or if delivered</w:t>
      </w:r>
      <w:r>
        <w:rPr>
          <w:szCs w:val="22"/>
        </w:rPr>
        <w:t xml:space="preserve"> </w:t>
      </w:r>
      <w:r w:rsidRPr="00D76EA8">
        <w:rPr>
          <w:szCs w:val="22"/>
        </w:rPr>
        <w:t>as paper copy, by hand or messenger delivery, by commercial overnight courier, or by first-class or</w:t>
      </w:r>
      <w:r>
        <w:rPr>
          <w:szCs w:val="22"/>
        </w:rPr>
        <w:t xml:space="preserve"> </w:t>
      </w:r>
      <w:r w:rsidRPr="00D76EA8">
        <w:rPr>
          <w:szCs w:val="22"/>
        </w:rPr>
        <w:t>overnight U.S. Postal Service mail (according to the procedures set forth above for paper filings), to</w:t>
      </w:r>
      <w:r>
        <w:rPr>
          <w:szCs w:val="22"/>
        </w:rPr>
        <w:t xml:space="preserve"> the contacts listed below.</w:t>
      </w:r>
    </w:p>
    <w:p w14:paraId="6259D141" w14:textId="77777777" w:rsidR="0029501B" w:rsidRDefault="0029501B">
      <w:pPr>
        <w:autoSpaceDE w:val="0"/>
        <w:autoSpaceDN w:val="0"/>
        <w:adjustRightInd w:val="0"/>
        <w:ind w:firstLine="720"/>
        <w:rPr>
          <w:szCs w:val="22"/>
        </w:rPr>
      </w:pPr>
    </w:p>
    <w:p w14:paraId="2ABD9829" w14:textId="77777777" w:rsidR="0029501B" w:rsidRDefault="00D76EA8">
      <w:pPr>
        <w:ind w:firstLine="720"/>
        <w:rPr>
          <w:szCs w:val="22"/>
        </w:rPr>
      </w:pPr>
      <w:r>
        <w:rPr>
          <w:szCs w:val="22"/>
        </w:rPr>
        <w:t xml:space="preserve">The proceeding this Notice initiates </w:t>
      </w:r>
      <w:r w:rsidR="0024133D">
        <w:rPr>
          <w:szCs w:val="22"/>
        </w:rPr>
        <w:t xml:space="preserve">is akin to a notice of inquiry and therefore </w:t>
      </w:r>
      <w:r>
        <w:rPr>
          <w:szCs w:val="22"/>
        </w:rPr>
        <w:t>shall be treated as a</w:t>
      </w:r>
      <w:r w:rsidR="0024133D">
        <w:rPr>
          <w:szCs w:val="22"/>
        </w:rPr>
        <w:t xml:space="preserve">n exempt </w:t>
      </w:r>
      <w:r>
        <w:rPr>
          <w:szCs w:val="22"/>
        </w:rPr>
        <w:t xml:space="preserve">proceeding in accordance with the Commission’s </w:t>
      </w:r>
      <w:r>
        <w:rPr>
          <w:i/>
          <w:iCs/>
          <w:szCs w:val="22"/>
        </w:rPr>
        <w:t xml:space="preserve">ex parte </w:t>
      </w:r>
      <w:r>
        <w:rPr>
          <w:szCs w:val="22"/>
        </w:rPr>
        <w:t>rules.</w:t>
      </w:r>
      <w:r>
        <w:rPr>
          <w:rStyle w:val="FootnoteReference"/>
          <w:szCs w:val="22"/>
        </w:rPr>
        <w:footnoteReference w:id="10"/>
      </w:r>
      <w:r>
        <w:rPr>
          <w:szCs w:val="22"/>
        </w:rPr>
        <w:t xml:space="preserve">  </w:t>
      </w:r>
      <w:r>
        <w:rPr>
          <w:szCs w:val="22"/>
        </w:rPr>
        <w:tab/>
      </w:r>
    </w:p>
    <w:p w14:paraId="468325CD" w14:textId="77777777" w:rsidR="0029501B" w:rsidRDefault="0029501B">
      <w:pPr>
        <w:autoSpaceDE w:val="0"/>
        <w:autoSpaceDN w:val="0"/>
        <w:adjustRightInd w:val="0"/>
        <w:rPr>
          <w:szCs w:val="22"/>
        </w:rPr>
      </w:pPr>
    </w:p>
    <w:p w14:paraId="304DF933" w14:textId="46E5BD57" w:rsidR="0029501B" w:rsidRDefault="00D76EA8">
      <w:pPr>
        <w:rPr>
          <w:szCs w:val="22"/>
        </w:rPr>
      </w:pPr>
      <w:r>
        <w:rPr>
          <w:b/>
          <w:szCs w:val="22"/>
        </w:rPr>
        <w:t>FOR FURTHER INFORMATION CONTACT:</w:t>
      </w:r>
      <w:r>
        <w:rPr>
          <w:szCs w:val="22"/>
        </w:rPr>
        <w:t xml:space="preserve">  </w:t>
      </w:r>
      <w:r w:rsidR="0024133D">
        <w:rPr>
          <w:szCs w:val="22"/>
        </w:rPr>
        <w:t xml:space="preserve">Jose Albuquerque, Chief, Satellite Division, International Bureau, (202) 418-2288, </w:t>
      </w:r>
      <w:hyperlink r:id="rId10" w:history="1">
        <w:r w:rsidR="0024133D" w:rsidRPr="0024133D">
          <w:rPr>
            <w:rStyle w:val="Hyperlink"/>
            <w:szCs w:val="22"/>
          </w:rPr>
          <w:t>Jose.Albuquerque@fcc.gov</w:t>
        </w:r>
      </w:hyperlink>
      <w:r w:rsidR="0024133D">
        <w:rPr>
          <w:szCs w:val="22"/>
        </w:rPr>
        <w:t xml:space="preserve">; Michael Ha, Deputy Chief, Policy and Rules Division, Office of Engineering and Technology, (202) 418-2099, </w:t>
      </w:r>
      <w:hyperlink r:id="rId11" w:history="1">
        <w:r w:rsidR="0024133D" w:rsidRPr="0024133D">
          <w:rPr>
            <w:rStyle w:val="Hyperlink"/>
            <w:szCs w:val="22"/>
          </w:rPr>
          <w:t>Michael.Ha@fcc.gov</w:t>
        </w:r>
      </w:hyperlink>
      <w:r w:rsidR="0024133D">
        <w:rPr>
          <w:szCs w:val="22"/>
        </w:rPr>
        <w:t xml:space="preserve">, or </w:t>
      </w:r>
      <w:r>
        <w:rPr>
          <w:szCs w:val="22"/>
        </w:rPr>
        <w:t xml:space="preserve">Stephen C. Buenzow, Deputy Chief, Wireless Telecommunications Bureau, Federal Communications Commission, (717) 338-2647, </w:t>
      </w:r>
      <w:hyperlink r:id="rId12" w:history="1">
        <w:r>
          <w:rPr>
            <w:rStyle w:val="Hyperlink"/>
            <w:szCs w:val="22"/>
          </w:rPr>
          <w:t>Stephen.Buenzow@fcc.gov</w:t>
        </w:r>
      </w:hyperlink>
      <w:r>
        <w:rPr>
          <w:szCs w:val="22"/>
        </w:rPr>
        <w:t xml:space="preserve">. </w:t>
      </w:r>
    </w:p>
    <w:p w14:paraId="3A5DD732" w14:textId="77777777" w:rsidR="0029501B" w:rsidRDefault="0029501B">
      <w:pPr>
        <w:rPr>
          <w:szCs w:val="22"/>
        </w:rPr>
      </w:pPr>
    </w:p>
    <w:p w14:paraId="3D155F73" w14:textId="77777777" w:rsidR="0029501B" w:rsidRDefault="00D76EA8">
      <w:pPr>
        <w:jc w:val="center"/>
        <w:rPr>
          <w:b/>
          <w:szCs w:val="22"/>
        </w:rPr>
      </w:pPr>
      <w:r>
        <w:rPr>
          <w:b/>
          <w:szCs w:val="22"/>
        </w:rPr>
        <w:t>-FCC-</w:t>
      </w:r>
    </w:p>
    <w:sectPr w:rsidR="0029501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5BF40" w14:textId="77777777" w:rsidR="00FF0125" w:rsidRDefault="00FF0125">
      <w:r>
        <w:separator/>
      </w:r>
    </w:p>
  </w:endnote>
  <w:endnote w:type="continuationSeparator" w:id="0">
    <w:p w14:paraId="35B3CA8F" w14:textId="77777777" w:rsidR="00FF0125" w:rsidRDefault="00FF0125">
      <w:r>
        <w:continuationSeparator/>
      </w:r>
    </w:p>
  </w:endnote>
  <w:endnote w:type="continuationNotice" w:id="1">
    <w:p w14:paraId="278EB1EA" w14:textId="77777777" w:rsidR="00FF0125" w:rsidRDefault="00FF0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7C9D" w14:textId="77777777" w:rsidR="0029501B" w:rsidRDefault="00D76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26084" w14:textId="77777777" w:rsidR="0029501B" w:rsidRDefault="00295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28CB" w14:textId="44E3E71E" w:rsidR="0029501B" w:rsidRDefault="00D76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8A1">
      <w:rPr>
        <w:rStyle w:val="PageNumber"/>
        <w:noProof/>
      </w:rPr>
      <w:t>3</w:t>
    </w:r>
    <w:r>
      <w:rPr>
        <w:rStyle w:val="PageNumber"/>
      </w:rPr>
      <w:fldChar w:fldCharType="end"/>
    </w:r>
  </w:p>
  <w:p w14:paraId="49C8AA85" w14:textId="77777777" w:rsidR="0029501B" w:rsidRDefault="00295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FF48" w14:textId="77777777" w:rsidR="00F76C0C" w:rsidRDefault="00F76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5DB7" w14:textId="77777777" w:rsidR="00FF0125" w:rsidRDefault="00FF0125">
      <w:r>
        <w:separator/>
      </w:r>
    </w:p>
  </w:footnote>
  <w:footnote w:type="continuationSeparator" w:id="0">
    <w:p w14:paraId="726CBE1D" w14:textId="77777777" w:rsidR="00FF0125" w:rsidRDefault="00FF0125">
      <w:r>
        <w:continuationSeparator/>
      </w:r>
    </w:p>
  </w:footnote>
  <w:footnote w:type="continuationNotice" w:id="1">
    <w:p w14:paraId="65136BA5" w14:textId="77777777" w:rsidR="00FF0125" w:rsidRDefault="00FF0125"/>
  </w:footnote>
  <w:footnote w:id="2">
    <w:p w14:paraId="6D2790F1" w14:textId="5501B57B" w:rsidR="00867D0B" w:rsidRPr="003223D1" w:rsidRDefault="00867D0B" w:rsidP="00867D0B">
      <w:pPr>
        <w:pStyle w:val="FootnoteText"/>
        <w:rPr>
          <w:sz w:val="20"/>
        </w:rPr>
      </w:pPr>
      <w:r w:rsidRPr="003223D1">
        <w:rPr>
          <w:rStyle w:val="FootnoteReference"/>
          <w:sz w:val="20"/>
        </w:rPr>
        <w:footnoteRef/>
      </w:r>
      <w:r w:rsidRPr="003223D1">
        <w:rPr>
          <w:sz w:val="20"/>
        </w:rPr>
        <w:t xml:space="preserve"> </w:t>
      </w:r>
      <w:r w:rsidRPr="003223D1">
        <w:rPr>
          <w:i/>
          <w:sz w:val="20"/>
        </w:rPr>
        <w:t>See</w:t>
      </w:r>
      <w:r w:rsidRPr="003223D1">
        <w:rPr>
          <w:sz w:val="20"/>
        </w:rPr>
        <w:t xml:space="preserve"> </w:t>
      </w:r>
      <w:r w:rsidRPr="003223D1">
        <w:rPr>
          <w:i/>
          <w:sz w:val="20"/>
        </w:rPr>
        <w:t>Use of Spectrum Bands Above 24 GHz For Mobile Radio Services, et al</w:t>
      </w:r>
      <w:r w:rsidRPr="003223D1">
        <w:rPr>
          <w:sz w:val="20"/>
        </w:rPr>
        <w:t xml:space="preserve">., Report and Order and Further Notice of Proposed Rulemaking, 31 FCC Rcd 8014, </w:t>
      </w:r>
      <w:r w:rsidRPr="00867D0B">
        <w:rPr>
          <w:sz w:val="20"/>
        </w:rPr>
        <w:t xml:space="preserve">8042 para. 69 </w:t>
      </w:r>
      <w:r w:rsidRPr="003223D1">
        <w:rPr>
          <w:sz w:val="20"/>
        </w:rPr>
        <w:t>(2016) (</w:t>
      </w:r>
      <w:r w:rsidRPr="003223D1">
        <w:rPr>
          <w:i/>
          <w:sz w:val="20"/>
        </w:rPr>
        <w:t>Spectrum Frontiers Report and Order</w:t>
      </w:r>
      <w:r w:rsidRPr="003223D1">
        <w:rPr>
          <w:sz w:val="20"/>
        </w:rPr>
        <w:t>).</w:t>
      </w:r>
    </w:p>
  </w:footnote>
  <w:footnote w:id="3">
    <w:p w14:paraId="5D6CC23B" w14:textId="06F133C4" w:rsidR="001A5BF1" w:rsidRPr="001A5BF1" w:rsidRDefault="001A5BF1">
      <w:pPr>
        <w:pStyle w:val="FootnoteText"/>
        <w:rPr>
          <w:sz w:val="20"/>
        </w:rPr>
      </w:pPr>
      <w:r w:rsidRPr="001A5BF1">
        <w:rPr>
          <w:rStyle w:val="FootnoteReference"/>
          <w:sz w:val="20"/>
        </w:rPr>
        <w:footnoteRef/>
      </w:r>
      <w:r w:rsidRPr="001A5BF1">
        <w:rPr>
          <w:sz w:val="20"/>
        </w:rPr>
        <w:t xml:space="preserve"> While the FSS allocation is co-primary, under our service rules FSS is secondary to the terrestrial Upper Microwave Flexible Use Service, except for FSS operations associated with earth stations authorized pursuant to 47 CFR § 25.136.  </w:t>
      </w:r>
      <w:r w:rsidRPr="001A5BF1">
        <w:rPr>
          <w:i/>
          <w:sz w:val="20"/>
        </w:rPr>
        <w:t>See</w:t>
      </w:r>
      <w:r w:rsidRPr="001A5BF1">
        <w:rPr>
          <w:sz w:val="20"/>
        </w:rPr>
        <w:t xml:space="preserve"> 47 C.F.R. § 25.202(a)(1) n.7.</w:t>
      </w:r>
    </w:p>
  </w:footnote>
  <w:footnote w:id="4">
    <w:p w14:paraId="6847F450" w14:textId="65953D16" w:rsidR="006B32C5" w:rsidRPr="003223D1" w:rsidRDefault="006B32C5" w:rsidP="006B32C5">
      <w:pPr>
        <w:pStyle w:val="FootnoteText"/>
        <w:rPr>
          <w:sz w:val="20"/>
        </w:rPr>
      </w:pPr>
      <w:r w:rsidRPr="003223D1">
        <w:rPr>
          <w:rStyle w:val="FootnoteReference"/>
          <w:sz w:val="20"/>
        </w:rPr>
        <w:footnoteRef/>
      </w:r>
      <w:r w:rsidRPr="003223D1">
        <w:rPr>
          <w:sz w:val="20"/>
        </w:rPr>
        <w:t xml:space="preserve"> </w:t>
      </w:r>
      <w:r w:rsidR="00DB09EF">
        <w:rPr>
          <w:i/>
          <w:sz w:val="20"/>
        </w:rPr>
        <w:t xml:space="preserve">Spectrum Frontiers Report and Order, </w:t>
      </w:r>
      <w:r w:rsidR="00DB09EF">
        <w:rPr>
          <w:sz w:val="20"/>
        </w:rPr>
        <w:t>31 FCC Rcd</w:t>
      </w:r>
      <w:r w:rsidR="002962B9">
        <w:rPr>
          <w:sz w:val="20"/>
        </w:rPr>
        <w:t xml:space="preserve"> at </w:t>
      </w:r>
      <w:r w:rsidRPr="003223D1">
        <w:rPr>
          <w:sz w:val="20"/>
        </w:rPr>
        <w:t>8017 para. 1.</w:t>
      </w:r>
      <w:r w:rsidR="002962B9">
        <w:rPr>
          <w:sz w:val="20"/>
        </w:rPr>
        <w:t xml:space="preserve">  </w:t>
      </w:r>
      <w:r w:rsidR="002962B9" w:rsidRPr="002962B9">
        <w:rPr>
          <w:i/>
          <w:sz w:val="20"/>
        </w:rPr>
        <w:t>See</w:t>
      </w:r>
      <w:r w:rsidR="002962B9">
        <w:rPr>
          <w:i/>
          <w:sz w:val="20"/>
        </w:rPr>
        <w:t xml:space="preserve"> also</w:t>
      </w:r>
      <w:r w:rsidR="002962B9" w:rsidRPr="002962B9">
        <w:rPr>
          <w:i/>
          <w:sz w:val="20"/>
        </w:rPr>
        <w:t xml:space="preserve"> </w:t>
      </w:r>
      <w:r w:rsidR="002962B9" w:rsidRPr="002962B9">
        <w:rPr>
          <w:sz w:val="20"/>
        </w:rPr>
        <w:t>47 CFR § 2.106</w:t>
      </w:r>
      <w:r w:rsidR="002962B9">
        <w:rPr>
          <w:sz w:val="20"/>
        </w:rPr>
        <w:t xml:space="preserve"> (United States Table of Frequency Allocations)</w:t>
      </w:r>
      <w:r w:rsidR="002962B9" w:rsidRPr="002962B9">
        <w:rPr>
          <w:sz w:val="20"/>
        </w:rPr>
        <w:t>.</w:t>
      </w:r>
    </w:p>
  </w:footnote>
  <w:footnote w:id="5">
    <w:p w14:paraId="4A335837" w14:textId="5408B700" w:rsidR="00027659" w:rsidRPr="00DB09EF" w:rsidRDefault="00027659">
      <w:pPr>
        <w:pStyle w:val="FootnoteText"/>
      </w:pPr>
      <w:r>
        <w:rPr>
          <w:rStyle w:val="FootnoteReference"/>
        </w:rPr>
        <w:footnoteRef/>
      </w:r>
      <w:r w:rsidR="00DB09EF">
        <w:t xml:space="preserve"> </w:t>
      </w:r>
      <w:r w:rsidR="00DB09EF" w:rsidRPr="009B472B">
        <w:rPr>
          <w:i/>
          <w:sz w:val="20"/>
        </w:rPr>
        <w:t>See generally, Spectrum Frontiers Report and Order</w:t>
      </w:r>
      <w:r w:rsidR="00DB09EF" w:rsidRPr="009B472B">
        <w:rPr>
          <w:sz w:val="20"/>
        </w:rPr>
        <w:t>, 31 FCC Rcd 8014.</w:t>
      </w:r>
    </w:p>
  </w:footnote>
  <w:footnote w:id="6">
    <w:p w14:paraId="5AD741DF" w14:textId="77777777" w:rsidR="006B32C5" w:rsidRPr="003223D1" w:rsidRDefault="006B32C5">
      <w:pPr>
        <w:pStyle w:val="FootnoteText"/>
        <w:rPr>
          <w:sz w:val="20"/>
        </w:rPr>
      </w:pPr>
      <w:r w:rsidRPr="003223D1">
        <w:rPr>
          <w:rStyle w:val="FootnoteReference"/>
          <w:sz w:val="20"/>
        </w:rPr>
        <w:footnoteRef/>
      </w:r>
      <w:r w:rsidRPr="003223D1">
        <w:rPr>
          <w:sz w:val="20"/>
        </w:rPr>
        <w:t xml:space="preserve"> </w:t>
      </w:r>
      <w:r w:rsidRPr="003223D1">
        <w:rPr>
          <w:i/>
          <w:sz w:val="20"/>
        </w:rPr>
        <w:t>Spectrum Frontiers Report and Order</w:t>
      </w:r>
      <w:r w:rsidRPr="003223D1">
        <w:rPr>
          <w:sz w:val="20"/>
        </w:rPr>
        <w:t>, 31 FCC Rcd at 8038 para. 61.</w:t>
      </w:r>
    </w:p>
  </w:footnote>
  <w:footnote w:id="7">
    <w:p w14:paraId="335C2348" w14:textId="77777777" w:rsidR="001E6272" w:rsidRPr="003223D1" w:rsidRDefault="001E6272">
      <w:pPr>
        <w:pStyle w:val="FootnoteText"/>
        <w:rPr>
          <w:sz w:val="20"/>
        </w:rPr>
      </w:pPr>
      <w:r w:rsidRPr="003223D1">
        <w:rPr>
          <w:rStyle w:val="FootnoteReference"/>
          <w:sz w:val="20"/>
        </w:rPr>
        <w:footnoteRef/>
      </w:r>
      <w:r w:rsidRPr="003223D1">
        <w:rPr>
          <w:sz w:val="20"/>
        </w:rPr>
        <w:t xml:space="preserve"> </w:t>
      </w:r>
      <w:r w:rsidRPr="003223D1">
        <w:rPr>
          <w:i/>
          <w:sz w:val="20"/>
        </w:rPr>
        <w:t>Spectrum Frontiers Report and Order</w:t>
      </w:r>
      <w:r w:rsidRPr="003223D1">
        <w:rPr>
          <w:sz w:val="20"/>
        </w:rPr>
        <w:t>, 31 FCC Rcd at 8039 para. 65.</w:t>
      </w:r>
    </w:p>
  </w:footnote>
  <w:footnote w:id="8">
    <w:p w14:paraId="70C24D35" w14:textId="77777777" w:rsidR="001E6272" w:rsidRPr="003223D1" w:rsidRDefault="001E6272">
      <w:pPr>
        <w:pStyle w:val="FootnoteText"/>
        <w:rPr>
          <w:sz w:val="20"/>
        </w:rPr>
      </w:pPr>
      <w:r w:rsidRPr="003223D1">
        <w:rPr>
          <w:rStyle w:val="FootnoteReference"/>
          <w:sz w:val="20"/>
        </w:rPr>
        <w:footnoteRef/>
      </w:r>
      <w:r w:rsidRPr="003223D1">
        <w:rPr>
          <w:sz w:val="20"/>
        </w:rPr>
        <w:t xml:space="preserve"> </w:t>
      </w:r>
      <w:r w:rsidRPr="003223D1">
        <w:rPr>
          <w:i/>
          <w:sz w:val="20"/>
        </w:rPr>
        <w:t>Spectrum Frontiers Report and Order</w:t>
      </w:r>
      <w:r w:rsidRPr="003223D1">
        <w:rPr>
          <w:sz w:val="20"/>
        </w:rPr>
        <w:t>, 31 FCC Rcd at 8041-42 para. 67.</w:t>
      </w:r>
    </w:p>
  </w:footnote>
  <w:footnote w:id="9">
    <w:p w14:paraId="6918D21A" w14:textId="77777777" w:rsidR="003223D1" w:rsidRPr="003223D1" w:rsidRDefault="003223D1">
      <w:pPr>
        <w:pStyle w:val="FootnoteText"/>
        <w:rPr>
          <w:sz w:val="20"/>
        </w:rPr>
      </w:pPr>
      <w:r w:rsidRPr="003223D1">
        <w:rPr>
          <w:rStyle w:val="FootnoteReference"/>
          <w:sz w:val="20"/>
        </w:rPr>
        <w:footnoteRef/>
      </w:r>
      <w:r w:rsidRPr="003223D1">
        <w:rPr>
          <w:sz w:val="20"/>
        </w:rPr>
        <w:t xml:space="preserve"> </w:t>
      </w:r>
      <w:r w:rsidRPr="003223D1">
        <w:rPr>
          <w:i/>
          <w:sz w:val="20"/>
        </w:rPr>
        <w:t>Spectrum Frontiers Report and Order</w:t>
      </w:r>
      <w:r w:rsidRPr="003223D1">
        <w:rPr>
          <w:sz w:val="20"/>
        </w:rPr>
        <w:t>, 31 FCC Rcd at 8042 para. 69 (footnotes omitted).</w:t>
      </w:r>
    </w:p>
  </w:footnote>
  <w:footnote w:id="10">
    <w:p w14:paraId="7841265A" w14:textId="77777777" w:rsidR="0029501B" w:rsidRPr="003223D1" w:rsidRDefault="00D76EA8">
      <w:pPr>
        <w:pStyle w:val="FootnoteText"/>
        <w:spacing w:after="120"/>
        <w:rPr>
          <w:iCs/>
          <w:sz w:val="20"/>
        </w:rPr>
      </w:pPr>
      <w:r w:rsidRPr="003223D1">
        <w:rPr>
          <w:rStyle w:val="FootnoteReference"/>
          <w:sz w:val="20"/>
        </w:rPr>
        <w:footnoteRef/>
      </w:r>
      <w:r w:rsidRPr="003223D1">
        <w:rPr>
          <w:sz w:val="20"/>
        </w:rPr>
        <w:t xml:space="preserve"> 47 C.F.R. §§ 1.120</w:t>
      </w:r>
      <w:r w:rsidR="0024133D">
        <w:rPr>
          <w:sz w:val="20"/>
        </w:rPr>
        <w:t>4(b)(1)</w:t>
      </w:r>
      <w:r w:rsidRPr="003223D1">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A6F91" w14:textId="77777777" w:rsidR="00F76C0C" w:rsidRDefault="00F76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5E66" w14:textId="77777777" w:rsidR="00F76C0C" w:rsidRDefault="00F76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8447" w14:textId="77777777" w:rsidR="00B879DE" w:rsidRPr="00B879DE" w:rsidRDefault="00B879DE" w:rsidP="00B879DE">
    <w:pPr>
      <w:spacing w:before="40"/>
      <w:rPr>
        <w:rFonts w:ascii="Arial" w:hAnsi="Arial" w:cs="Arial"/>
        <w:b/>
        <w:sz w:val="96"/>
      </w:rPr>
    </w:pPr>
    <w:r w:rsidRPr="00B879DE">
      <w:rPr>
        <w:rFonts w:ascii="Arial" w:hAnsi="Arial" w:cs="Arial"/>
        <w:noProof/>
        <w:sz w:val="96"/>
      </w:rPr>
      <mc:AlternateContent>
        <mc:Choice Requires="wps">
          <w:drawing>
            <wp:anchor distT="0" distB="0" distL="114300" distR="114300" simplePos="0" relativeHeight="251661312" behindDoc="0" locked="0" layoutInCell="0" allowOverlap="1" wp14:anchorId="5ACC6CFC" wp14:editId="6F7DED8A">
              <wp:simplePos x="0" y="0"/>
              <wp:positionH relativeFrom="margin">
                <wp:posOffset>-57150</wp:posOffset>
              </wp:positionH>
              <wp:positionV relativeFrom="paragraph">
                <wp:posOffset>741045</wp:posOffset>
              </wp:positionV>
              <wp:extent cx="3108960" cy="640080"/>
              <wp:effectExtent l="0" t="0" r="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FF418" w14:textId="77777777" w:rsidR="00B879DE" w:rsidRDefault="00B879DE" w:rsidP="00B879DE">
                          <w:pPr>
                            <w:rPr>
                              <w:rFonts w:ascii="Arial" w:hAnsi="Arial"/>
                              <w:b/>
                            </w:rPr>
                          </w:pPr>
                          <w:r>
                            <w:rPr>
                              <w:rFonts w:ascii="Arial" w:hAnsi="Arial"/>
                              <w:b/>
                            </w:rPr>
                            <w:t>Federal Communications Commission</w:t>
                          </w:r>
                        </w:p>
                        <w:p w14:paraId="254447A3" w14:textId="77777777" w:rsidR="00B879DE" w:rsidRDefault="00B879DE" w:rsidP="00B879D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77D0910" w14:textId="77777777" w:rsidR="00B879DE" w:rsidRDefault="00B879DE" w:rsidP="00B879D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CC6CF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Fv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16Xh&#10;b4ICAAAPBQAADgAAAAAAAAAAAAAAAAAuAgAAZHJzL2Uyb0RvYy54bWxQSwECLQAUAAYACAAAACEA&#10;lvvy8d8AAAAKAQAADwAAAAAAAAAAAAAAAADcBAAAZHJzL2Rvd25yZXYueG1sUEsFBgAAAAAEAAQA&#10;8wAAAOgFAAAAAA==&#10;" o:allowincell="f" stroked="f">
              <v:textbox>
                <w:txbxContent>
                  <w:p w14:paraId="7BFFF418" w14:textId="77777777" w:rsidR="00B879DE" w:rsidRDefault="00B879DE" w:rsidP="00B879DE">
                    <w:pPr>
                      <w:rPr>
                        <w:rFonts w:ascii="Arial" w:hAnsi="Arial"/>
                        <w:b/>
                      </w:rPr>
                    </w:pPr>
                    <w:r>
                      <w:rPr>
                        <w:rFonts w:ascii="Arial" w:hAnsi="Arial"/>
                        <w:b/>
                      </w:rPr>
                      <w:t>Federal Communications Commission</w:t>
                    </w:r>
                  </w:p>
                  <w:p w14:paraId="254447A3" w14:textId="77777777" w:rsidR="00B879DE" w:rsidRDefault="00B879DE" w:rsidP="00B879D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77D0910" w14:textId="77777777" w:rsidR="00B879DE" w:rsidRDefault="00B879DE" w:rsidP="00B879DE">
                    <w:pPr>
                      <w:rPr>
                        <w:rFonts w:ascii="Arial" w:hAnsi="Arial"/>
                        <w:sz w:val="24"/>
                      </w:rPr>
                    </w:pPr>
                    <w:r>
                      <w:rPr>
                        <w:rFonts w:ascii="Arial" w:hAnsi="Arial"/>
                        <w:b/>
                      </w:rPr>
                      <w:t>Washington, D.C. 20554</w:t>
                    </w:r>
                  </w:p>
                </w:txbxContent>
              </v:textbox>
              <w10:wrap anchorx="margin"/>
            </v:shape>
          </w:pict>
        </mc:Fallback>
      </mc:AlternateContent>
    </w:r>
    <w:r w:rsidRPr="00B879DE">
      <w:rPr>
        <w:rFonts w:ascii="Arial" w:hAnsi="Arial" w:cs="Arial"/>
        <w:b/>
        <w:noProof/>
        <w:sz w:val="24"/>
      </w:rPr>
      <w:drawing>
        <wp:anchor distT="0" distB="0" distL="114300" distR="114300" simplePos="0" relativeHeight="251662336" behindDoc="0" locked="0" layoutInCell="0" allowOverlap="1" wp14:anchorId="4D0EB9D9" wp14:editId="48FC974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9DE">
      <w:rPr>
        <w:rFonts w:ascii="Arial" w:hAnsi="Arial" w:cs="Arial"/>
        <w:b/>
        <w:sz w:val="96"/>
      </w:rPr>
      <w:t>PUBLIC NOTICE</w:t>
    </w:r>
  </w:p>
  <w:p w14:paraId="1AD5D0A3" w14:textId="0A899CDA" w:rsidR="0029501B" w:rsidRDefault="00433D4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636E0D70" wp14:editId="10066E7D">
              <wp:simplePos x="0" y="0"/>
              <wp:positionH relativeFrom="column">
                <wp:posOffset>3709035</wp:posOffset>
              </wp:positionH>
              <wp:positionV relativeFrom="paragraph">
                <wp:posOffset>76200</wp:posOffset>
              </wp:positionV>
              <wp:extent cx="2293620" cy="602615"/>
              <wp:effectExtent l="0" t="0" r="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67B3E" w14:textId="77777777" w:rsidR="0029501B" w:rsidRDefault="00D76EA8">
                          <w:pPr>
                            <w:spacing w:before="40"/>
                            <w:jc w:val="right"/>
                            <w:rPr>
                              <w:rFonts w:ascii="Arial" w:hAnsi="Arial"/>
                              <w:b/>
                              <w:sz w:val="16"/>
                            </w:rPr>
                          </w:pPr>
                          <w:r>
                            <w:rPr>
                              <w:rFonts w:ascii="Arial" w:hAnsi="Arial"/>
                              <w:b/>
                              <w:sz w:val="16"/>
                            </w:rPr>
                            <w:t>News Media Information 202 / 418-0500</w:t>
                          </w:r>
                        </w:p>
                        <w:p w14:paraId="79D2EABD" w14:textId="77777777" w:rsidR="0029501B" w:rsidRDefault="00D76EA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2B84401C" w14:textId="77777777" w:rsidR="0029501B" w:rsidRDefault="00D76EA8">
                          <w:pPr>
                            <w:jc w:val="right"/>
                            <w:rPr>
                              <w:rFonts w:ascii="Arial" w:hAnsi="Arial"/>
                              <w:b/>
                              <w:sz w:val="16"/>
                            </w:rPr>
                          </w:pPr>
                          <w:r>
                            <w:rPr>
                              <w:rFonts w:ascii="Arial" w:hAnsi="Arial"/>
                              <w:b/>
                              <w:sz w:val="16"/>
                            </w:rPr>
                            <w:t>TTY: 1-888-835-5322</w:t>
                          </w:r>
                        </w:p>
                        <w:p w14:paraId="0B9C37EF" w14:textId="77777777" w:rsidR="0029501B" w:rsidRDefault="0029501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36E0D70"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14:paraId="5CA67B3E" w14:textId="77777777" w:rsidR="0029501B" w:rsidRDefault="00D76EA8">
                    <w:pPr>
                      <w:spacing w:before="40"/>
                      <w:jc w:val="right"/>
                      <w:rPr>
                        <w:rFonts w:ascii="Arial" w:hAnsi="Arial"/>
                        <w:b/>
                        <w:sz w:val="16"/>
                      </w:rPr>
                    </w:pPr>
                    <w:r>
                      <w:rPr>
                        <w:rFonts w:ascii="Arial" w:hAnsi="Arial"/>
                        <w:b/>
                        <w:sz w:val="16"/>
                      </w:rPr>
                      <w:t>News Media Information 202 / 418-0500</w:t>
                    </w:r>
                  </w:p>
                  <w:p w14:paraId="79D2EABD" w14:textId="77777777" w:rsidR="0029501B" w:rsidRDefault="00D76EA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2B84401C" w14:textId="77777777" w:rsidR="0029501B" w:rsidRDefault="00D76EA8">
                    <w:pPr>
                      <w:jc w:val="right"/>
                      <w:rPr>
                        <w:rFonts w:ascii="Arial" w:hAnsi="Arial"/>
                        <w:b/>
                        <w:sz w:val="16"/>
                      </w:rPr>
                    </w:pPr>
                    <w:r>
                      <w:rPr>
                        <w:rFonts w:ascii="Arial" w:hAnsi="Arial"/>
                        <w:b/>
                        <w:sz w:val="16"/>
                      </w:rPr>
                      <w:t>TTY: 1-888-835-5322</w:t>
                    </w:r>
                  </w:p>
                  <w:p w14:paraId="0B9C37EF" w14:textId="77777777" w:rsidR="0029501B" w:rsidRDefault="0029501B">
                    <w:pPr>
                      <w:jc w:val="right"/>
                    </w:pPr>
                  </w:p>
                </w:txbxContent>
              </v:textbox>
            </v:shape>
          </w:pict>
        </mc:Fallback>
      </mc:AlternateContent>
    </w:r>
  </w:p>
  <w:p w14:paraId="17B1C779" w14:textId="77777777" w:rsidR="0029501B" w:rsidRDefault="00433D4F">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61C95AFE" wp14:editId="04B4BB36">
              <wp:simplePos x="0" y="0"/>
              <wp:positionH relativeFrom="column">
                <wp:posOffset>51435</wp:posOffset>
              </wp:positionH>
              <wp:positionV relativeFrom="paragraph">
                <wp:posOffset>50800</wp:posOffset>
              </wp:positionV>
              <wp:extent cx="59436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B5A10C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6C1556"/>
    <w:multiLevelType w:val="hybridMultilevel"/>
    <w:tmpl w:val="A358F840"/>
    <w:lvl w:ilvl="0" w:tplc="92C2BA6E">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384746"/>
    <w:multiLevelType w:val="hybridMultilevel"/>
    <w:tmpl w:val="1A00F1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9"/>
  </w:num>
  <w:num w:numId="13">
    <w:abstractNumId w:val="0"/>
  </w:num>
  <w:num w:numId="14">
    <w:abstractNumId w:val="6"/>
  </w:num>
  <w:num w:numId="15">
    <w:abstractNumId w:val="1"/>
  </w:num>
  <w:num w:numId="16">
    <w:abstractNumId w:val="15"/>
  </w:num>
  <w:num w:numId="17">
    <w:abstractNumId w:val="7"/>
  </w:num>
  <w:num w:numId="18">
    <w:abstractNumId w:val="2"/>
  </w:num>
  <w:num w:numId="19">
    <w:abstractNumId w:val="8"/>
  </w:num>
  <w:num w:numId="20">
    <w:abstractNumId w:val="14"/>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D5"/>
    <w:rsid w:val="00027659"/>
    <w:rsid w:val="00043040"/>
    <w:rsid w:val="00043286"/>
    <w:rsid w:val="00092E11"/>
    <w:rsid w:val="000A6F98"/>
    <w:rsid w:val="000B70E6"/>
    <w:rsid w:val="000B73BB"/>
    <w:rsid w:val="000C2DFD"/>
    <w:rsid w:val="00106E7E"/>
    <w:rsid w:val="00146F60"/>
    <w:rsid w:val="0017667B"/>
    <w:rsid w:val="001A5BF1"/>
    <w:rsid w:val="001E6272"/>
    <w:rsid w:val="001F6F15"/>
    <w:rsid w:val="00222C8B"/>
    <w:rsid w:val="00224DAE"/>
    <w:rsid w:val="0024133D"/>
    <w:rsid w:val="00256055"/>
    <w:rsid w:val="00264C40"/>
    <w:rsid w:val="0029501B"/>
    <w:rsid w:val="002962B9"/>
    <w:rsid w:val="003223D1"/>
    <w:rsid w:val="003402D5"/>
    <w:rsid w:val="00365717"/>
    <w:rsid w:val="00433D4F"/>
    <w:rsid w:val="00477F7F"/>
    <w:rsid w:val="004802AA"/>
    <w:rsid w:val="004A292B"/>
    <w:rsid w:val="004F7686"/>
    <w:rsid w:val="00511751"/>
    <w:rsid w:val="005800F0"/>
    <w:rsid w:val="00583144"/>
    <w:rsid w:val="00590C8C"/>
    <w:rsid w:val="005A502A"/>
    <w:rsid w:val="005D78A5"/>
    <w:rsid w:val="00637F7D"/>
    <w:rsid w:val="006628A1"/>
    <w:rsid w:val="00675E89"/>
    <w:rsid w:val="00682F28"/>
    <w:rsid w:val="006B32C5"/>
    <w:rsid w:val="00731747"/>
    <w:rsid w:val="007B2A65"/>
    <w:rsid w:val="007F7DFB"/>
    <w:rsid w:val="00841A91"/>
    <w:rsid w:val="00867D0B"/>
    <w:rsid w:val="00876B85"/>
    <w:rsid w:val="008C43D4"/>
    <w:rsid w:val="0092604A"/>
    <w:rsid w:val="00975F05"/>
    <w:rsid w:val="009B472B"/>
    <w:rsid w:val="009F550F"/>
    <w:rsid w:val="00A66183"/>
    <w:rsid w:val="00A82545"/>
    <w:rsid w:val="00AB1A31"/>
    <w:rsid w:val="00AB700A"/>
    <w:rsid w:val="00B34D41"/>
    <w:rsid w:val="00B879DE"/>
    <w:rsid w:val="00BE0A05"/>
    <w:rsid w:val="00C06EAF"/>
    <w:rsid w:val="00C13384"/>
    <w:rsid w:val="00C336CB"/>
    <w:rsid w:val="00C37039"/>
    <w:rsid w:val="00C70591"/>
    <w:rsid w:val="00CE110E"/>
    <w:rsid w:val="00CE22E1"/>
    <w:rsid w:val="00CE642C"/>
    <w:rsid w:val="00CF489C"/>
    <w:rsid w:val="00D76EA8"/>
    <w:rsid w:val="00DB09EF"/>
    <w:rsid w:val="00DC4BE1"/>
    <w:rsid w:val="00DE718E"/>
    <w:rsid w:val="00E06645"/>
    <w:rsid w:val="00E4458E"/>
    <w:rsid w:val="00EB4DAF"/>
    <w:rsid w:val="00EF1177"/>
    <w:rsid w:val="00EF60C6"/>
    <w:rsid w:val="00EF633F"/>
    <w:rsid w:val="00F56E81"/>
    <w:rsid w:val="00F76C0C"/>
    <w:rsid w:val="00F95925"/>
    <w:rsid w:val="00FB50BA"/>
    <w:rsid w:val="00F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D6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Style 4,Style 7,Footnote Reference1"/>
    <w:uiPriority w:val="99"/>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uiPriority w:val="99"/>
    <w:locked/>
    <w:rPr>
      <w:sz w:val="22"/>
      <w:lang w:val="en-US" w:eastAsia="en-US" w:bidi="ar-SA"/>
    </w:r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semiHidden/>
    <w:unhideWhenUsed/>
    <w:rPr>
      <w:vertAlign w:val="superscript"/>
    </w:rPr>
  </w:style>
  <w:style w:type="paragraph" w:customStyle="1" w:styleId="ParaNum0">
    <w:name w:val="ParaNum"/>
    <w:basedOn w:val="Normal"/>
    <w:link w:val="ParaNumChar"/>
    <w:pPr>
      <w:widowControl w:val="0"/>
      <w:numPr>
        <w:numId w:val="20"/>
      </w:numPr>
      <w:tabs>
        <w:tab w:val="clear" w:pos="1080"/>
        <w:tab w:val="num" w:pos="1440"/>
      </w:tabs>
      <w:spacing w:after="120"/>
    </w:pPr>
    <w:rPr>
      <w:snapToGrid w:val="0"/>
      <w:kern w:val="28"/>
    </w:rPr>
  </w:style>
  <w:style w:type="character" w:customStyle="1" w:styleId="ParaNumChar">
    <w:name w:val="ParaNum Char"/>
    <w:link w:val="ParaNum0"/>
    <w:locked/>
    <w:rPr>
      <w:snapToGrid w:val="0"/>
      <w:kern w:val="28"/>
      <w:sz w:val="22"/>
    </w:rPr>
  </w:style>
  <w:style w:type="paragraph" w:styleId="ListParagraph">
    <w:name w:val="List Paragraph"/>
    <w:basedOn w:val="Normal"/>
    <w:uiPriority w:val="72"/>
    <w:qFormat/>
    <w:pPr>
      <w:ind w:left="720"/>
    </w:pPr>
  </w:style>
  <w:style w:type="paragraph" w:styleId="Revision">
    <w:name w:val="Revision"/>
    <w:hidden/>
    <w:uiPriority w:val="99"/>
    <w:semiHidden/>
    <w:rsid w:val="0017667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Style 4,Style 7,Footnote Reference1"/>
    <w:uiPriority w:val="99"/>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uiPriority w:val="99"/>
    <w:locked/>
    <w:rPr>
      <w:sz w:val="22"/>
      <w:lang w:val="en-US" w:eastAsia="en-US" w:bidi="ar-SA"/>
    </w:r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semiHidden/>
    <w:unhideWhenUsed/>
    <w:rPr>
      <w:vertAlign w:val="superscript"/>
    </w:rPr>
  </w:style>
  <w:style w:type="paragraph" w:customStyle="1" w:styleId="ParaNum0">
    <w:name w:val="ParaNum"/>
    <w:basedOn w:val="Normal"/>
    <w:link w:val="ParaNumChar"/>
    <w:pPr>
      <w:widowControl w:val="0"/>
      <w:numPr>
        <w:numId w:val="20"/>
      </w:numPr>
      <w:tabs>
        <w:tab w:val="clear" w:pos="1080"/>
        <w:tab w:val="num" w:pos="1440"/>
      </w:tabs>
      <w:spacing w:after="120"/>
    </w:pPr>
    <w:rPr>
      <w:snapToGrid w:val="0"/>
      <w:kern w:val="28"/>
    </w:rPr>
  </w:style>
  <w:style w:type="character" w:customStyle="1" w:styleId="ParaNumChar">
    <w:name w:val="ParaNum Char"/>
    <w:link w:val="ParaNum0"/>
    <w:locked/>
    <w:rPr>
      <w:snapToGrid w:val="0"/>
      <w:kern w:val="28"/>
      <w:sz w:val="22"/>
    </w:rPr>
  </w:style>
  <w:style w:type="paragraph" w:styleId="ListParagraph">
    <w:name w:val="List Paragraph"/>
    <w:basedOn w:val="Normal"/>
    <w:uiPriority w:val="72"/>
    <w:qFormat/>
    <w:pPr>
      <w:ind w:left="720"/>
    </w:pPr>
  </w:style>
  <w:style w:type="paragraph" w:styleId="Revision">
    <w:name w:val="Revision"/>
    <w:hidden/>
    <w:uiPriority w:val="99"/>
    <w:semiHidden/>
    <w:rsid w:val="001766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9857">
      <w:bodyDiv w:val="1"/>
      <w:marLeft w:val="0"/>
      <w:marRight w:val="0"/>
      <w:marTop w:val="0"/>
      <w:marBottom w:val="0"/>
      <w:divBdr>
        <w:top w:val="none" w:sz="0" w:space="0" w:color="auto"/>
        <w:left w:val="none" w:sz="0" w:space="0" w:color="auto"/>
        <w:bottom w:val="none" w:sz="0" w:space="0" w:color="auto"/>
        <w:right w:val="none" w:sz="0" w:space="0" w:color="auto"/>
      </w:divBdr>
      <w:divsChild>
        <w:div w:id="189996283">
          <w:marLeft w:val="0"/>
          <w:marRight w:val="0"/>
          <w:marTop w:val="0"/>
          <w:marBottom w:val="0"/>
          <w:divBdr>
            <w:top w:val="none" w:sz="0" w:space="0" w:color="auto"/>
            <w:left w:val="none" w:sz="0" w:space="0" w:color="auto"/>
            <w:bottom w:val="none" w:sz="0" w:space="0" w:color="auto"/>
            <w:right w:val="none" w:sz="0" w:space="0" w:color="auto"/>
          </w:divBdr>
        </w:div>
        <w:div w:id="1231430360">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1427727749">
          <w:marLeft w:val="0"/>
          <w:marRight w:val="0"/>
          <w:marTop w:val="0"/>
          <w:marBottom w:val="0"/>
          <w:divBdr>
            <w:top w:val="none" w:sz="0" w:space="0" w:color="auto"/>
            <w:left w:val="none" w:sz="0" w:space="0" w:color="auto"/>
            <w:bottom w:val="none" w:sz="0" w:space="0" w:color="auto"/>
            <w:right w:val="none" w:sz="0" w:space="0" w:color="auto"/>
          </w:divBdr>
        </w:div>
      </w:divsChild>
    </w:div>
    <w:div w:id="1753621905">
      <w:bodyDiv w:val="1"/>
      <w:marLeft w:val="0"/>
      <w:marRight w:val="0"/>
      <w:marTop w:val="0"/>
      <w:marBottom w:val="0"/>
      <w:divBdr>
        <w:top w:val="none" w:sz="0" w:space="0" w:color="auto"/>
        <w:left w:val="none" w:sz="0" w:space="0" w:color="auto"/>
        <w:bottom w:val="none" w:sz="0" w:space="0" w:color="auto"/>
        <w:right w:val="none" w:sz="0" w:space="0" w:color="auto"/>
      </w:divBdr>
      <w:divsChild>
        <w:div w:id="127867611">
          <w:marLeft w:val="0"/>
          <w:marRight w:val="0"/>
          <w:marTop w:val="0"/>
          <w:marBottom w:val="0"/>
          <w:divBdr>
            <w:top w:val="none" w:sz="0" w:space="0" w:color="auto"/>
            <w:left w:val="none" w:sz="0" w:space="0" w:color="auto"/>
            <w:bottom w:val="none" w:sz="0" w:space="0" w:color="auto"/>
            <w:right w:val="none" w:sz="0" w:space="0" w:color="auto"/>
          </w:divBdr>
        </w:div>
        <w:div w:id="392580826">
          <w:marLeft w:val="0"/>
          <w:marRight w:val="0"/>
          <w:marTop w:val="0"/>
          <w:marBottom w:val="0"/>
          <w:divBdr>
            <w:top w:val="none" w:sz="0" w:space="0" w:color="auto"/>
            <w:left w:val="none" w:sz="0" w:space="0" w:color="auto"/>
            <w:bottom w:val="none" w:sz="0" w:space="0" w:color="auto"/>
            <w:right w:val="none" w:sz="0" w:space="0" w:color="auto"/>
          </w:divBdr>
        </w:div>
        <w:div w:id="601954175">
          <w:marLeft w:val="0"/>
          <w:marRight w:val="0"/>
          <w:marTop w:val="0"/>
          <w:marBottom w:val="0"/>
          <w:divBdr>
            <w:top w:val="none" w:sz="0" w:space="0" w:color="auto"/>
            <w:left w:val="none" w:sz="0" w:space="0" w:color="auto"/>
            <w:bottom w:val="none" w:sz="0" w:space="0" w:color="auto"/>
            <w:right w:val="none" w:sz="0" w:space="0" w:color="auto"/>
          </w:divBdr>
        </w:div>
        <w:div w:id="724913139">
          <w:marLeft w:val="0"/>
          <w:marRight w:val="0"/>
          <w:marTop w:val="0"/>
          <w:marBottom w:val="0"/>
          <w:divBdr>
            <w:top w:val="none" w:sz="0" w:space="0" w:color="auto"/>
            <w:left w:val="none" w:sz="0" w:space="0" w:color="auto"/>
            <w:bottom w:val="none" w:sz="0" w:space="0" w:color="auto"/>
            <w:right w:val="none" w:sz="0" w:space="0" w:color="auto"/>
          </w:divBdr>
        </w:div>
        <w:div w:id="736365833">
          <w:marLeft w:val="0"/>
          <w:marRight w:val="0"/>
          <w:marTop w:val="0"/>
          <w:marBottom w:val="0"/>
          <w:divBdr>
            <w:top w:val="none" w:sz="0" w:space="0" w:color="auto"/>
            <w:left w:val="none" w:sz="0" w:space="0" w:color="auto"/>
            <w:bottom w:val="none" w:sz="0" w:space="0" w:color="auto"/>
            <w:right w:val="none" w:sz="0" w:space="0" w:color="auto"/>
          </w:divBdr>
        </w:div>
        <w:div w:id="1408647583">
          <w:marLeft w:val="0"/>
          <w:marRight w:val="0"/>
          <w:marTop w:val="0"/>
          <w:marBottom w:val="0"/>
          <w:divBdr>
            <w:top w:val="none" w:sz="0" w:space="0" w:color="auto"/>
            <w:left w:val="none" w:sz="0" w:space="0" w:color="auto"/>
            <w:bottom w:val="none" w:sz="0" w:space="0" w:color="auto"/>
            <w:right w:val="none" w:sz="0" w:space="0" w:color="auto"/>
          </w:divBdr>
        </w:div>
        <w:div w:id="1663964903">
          <w:marLeft w:val="0"/>
          <w:marRight w:val="0"/>
          <w:marTop w:val="0"/>
          <w:marBottom w:val="0"/>
          <w:divBdr>
            <w:top w:val="none" w:sz="0" w:space="0" w:color="auto"/>
            <w:left w:val="none" w:sz="0" w:space="0" w:color="auto"/>
            <w:bottom w:val="none" w:sz="0" w:space="0" w:color="auto"/>
            <w:right w:val="none" w:sz="0" w:space="0" w:color="auto"/>
          </w:divBdr>
        </w:div>
        <w:div w:id="1811701841">
          <w:marLeft w:val="0"/>
          <w:marRight w:val="0"/>
          <w:marTop w:val="0"/>
          <w:marBottom w:val="0"/>
          <w:divBdr>
            <w:top w:val="none" w:sz="0" w:space="0" w:color="auto"/>
            <w:left w:val="none" w:sz="0" w:space="0" w:color="auto"/>
            <w:bottom w:val="none" w:sz="0" w:space="0" w:color="auto"/>
            <w:right w:val="none" w:sz="0" w:space="0" w:color="auto"/>
          </w:divBdr>
        </w:div>
      </w:divsChild>
    </w:div>
    <w:div w:id="1966735944">
      <w:bodyDiv w:val="1"/>
      <w:marLeft w:val="0"/>
      <w:marRight w:val="0"/>
      <w:marTop w:val="30"/>
      <w:marBottom w:val="750"/>
      <w:divBdr>
        <w:top w:val="none" w:sz="0" w:space="0" w:color="auto"/>
        <w:left w:val="none" w:sz="0" w:space="0" w:color="auto"/>
        <w:bottom w:val="none" w:sz="0" w:space="0" w:color="auto"/>
        <w:right w:val="none" w:sz="0" w:space="0" w:color="auto"/>
      </w:divBdr>
      <w:divsChild>
        <w:div w:id="1088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ephen.Buenzo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ael.Ha@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se.Albuquerqu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716</Words>
  <Characters>4244</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4980</CharactersWithSpaces>
  <SharedDoc>false</SharedDoc>
  <HyperlinkBase> </HyperlinkBase>
  <HLinks>
    <vt:vector size="24" baseType="variant">
      <vt:variant>
        <vt:i4>3670109</vt:i4>
      </vt:variant>
      <vt:variant>
        <vt:i4>9</vt:i4>
      </vt:variant>
      <vt:variant>
        <vt:i4>0</vt:i4>
      </vt:variant>
      <vt:variant>
        <vt:i4>5</vt:i4>
      </vt:variant>
      <vt:variant>
        <vt:lpwstr>../../AppData/Local/Microsoft/Windows/Temporary Internet Files/Content.Outlook/C7A64ZRX/Brian.Marenco@fcc.gov</vt:lpwstr>
      </vt:variant>
      <vt:variant>
        <vt:lpwstr/>
      </vt:variant>
      <vt:variant>
        <vt:i4>7077907</vt:i4>
      </vt:variant>
      <vt:variant>
        <vt:i4>6</vt:i4>
      </vt:variant>
      <vt:variant>
        <vt:i4>0</vt:i4>
      </vt:variant>
      <vt:variant>
        <vt:i4>5</vt:i4>
      </vt:variant>
      <vt:variant>
        <vt:lpwstr>mailto:Stephen.Buenzow@fcc.gov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2014-08-21T16:45:00Z</cp:lastPrinted>
  <dcterms:created xsi:type="dcterms:W3CDTF">2017-06-21T18:19:00Z</dcterms:created>
  <dcterms:modified xsi:type="dcterms:W3CDTF">2017-06-21T18:19:00Z</dcterms:modified>
  <cp:category> </cp:category>
  <cp:contentStatus> </cp:contentStatus>
</cp:coreProperties>
</file>