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D8" w:rsidRPr="00BE6657" w:rsidRDefault="00F76BD8" w:rsidP="00D47505">
      <w:pPr>
        <w:jc w:val="right"/>
        <w:rPr>
          <w:b/>
          <w:szCs w:val="22"/>
        </w:rPr>
      </w:pPr>
      <w:bookmarkStart w:id="0" w:name="_GoBack"/>
      <w:bookmarkEnd w:id="0"/>
    </w:p>
    <w:p w:rsidR="00D47505" w:rsidRPr="00BE6657" w:rsidRDefault="00F76BD8" w:rsidP="00D47505">
      <w:pPr>
        <w:jc w:val="right"/>
        <w:rPr>
          <w:b/>
          <w:szCs w:val="22"/>
        </w:rPr>
      </w:pPr>
      <w:r w:rsidRPr="005611D4">
        <w:rPr>
          <w:b/>
          <w:szCs w:val="22"/>
        </w:rPr>
        <w:t>DA 17-</w:t>
      </w:r>
      <w:r w:rsidR="00C32476">
        <w:rPr>
          <w:b/>
          <w:szCs w:val="22"/>
        </w:rPr>
        <w:t>609</w:t>
      </w:r>
    </w:p>
    <w:p w:rsidR="00D47505" w:rsidRPr="00BE6657" w:rsidRDefault="00B338A9" w:rsidP="00D47505">
      <w:pPr>
        <w:spacing w:before="60"/>
        <w:jc w:val="right"/>
        <w:rPr>
          <w:b/>
          <w:szCs w:val="22"/>
        </w:rPr>
      </w:pPr>
      <w:r w:rsidRPr="00BE6657">
        <w:rPr>
          <w:b/>
          <w:szCs w:val="22"/>
        </w:rPr>
        <w:t xml:space="preserve">Released:  </w:t>
      </w:r>
      <w:r w:rsidR="00F76BD8" w:rsidRPr="00BE6657">
        <w:rPr>
          <w:b/>
          <w:szCs w:val="22"/>
        </w:rPr>
        <w:t xml:space="preserve">June </w:t>
      </w:r>
      <w:r w:rsidR="000A0435">
        <w:rPr>
          <w:b/>
          <w:szCs w:val="22"/>
        </w:rPr>
        <w:t>22</w:t>
      </w:r>
      <w:r w:rsidR="00F76BD8" w:rsidRPr="00BE6657">
        <w:rPr>
          <w:b/>
          <w:szCs w:val="22"/>
        </w:rPr>
        <w:t>, 2017</w:t>
      </w:r>
    </w:p>
    <w:p w:rsidR="00D47505" w:rsidRPr="00BE6657" w:rsidRDefault="00D47505" w:rsidP="00D47505">
      <w:pPr>
        <w:jc w:val="right"/>
        <w:rPr>
          <w:szCs w:val="22"/>
        </w:rPr>
      </w:pPr>
    </w:p>
    <w:p w:rsidR="00D47505" w:rsidRPr="00BE6657" w:rsidRDefault="00F76BD8" w:rsidP="00F76BD8">
      <w:pPr>
        <w:spacing w:after="240"/>
        <w:jc w:val="center"/>
        <w:rPr>
          <w:b/>
          <w:caps/>
          <w:szCs w:val="22"/>
        </w:rPr>
      </w:pPr>
      <w:r w:rsidRPr="00BE6657">
        <w:rPr>
          <w:b/>
          <w:caps/>
          <w:szCs w:val="22"/>
        </w:rPr>
        <w:t>wireless telecommunication</w:t>
      </w:r>
      <w:r w:rsidR="004D0FCF" w:rsidRPr="00BE6657">
        <w:rPr>
          <w:b/>
          <w:caps/>
          <w:szCs w:val="22"/>
        </w:rPr>
        <w:t>s</w:t>
      </w:r>
      <w:r w:rsidRPr="00BE6657">
        <w:rPr>
          <w:b/>
          <w:caps/>
          <w:szCs w:val="22"/>
        </w:rPr>
        <w:t xml:space="preserve"> bureau </w:t>
      </w:r>
      <w:r w:rsidR="004D0FCF" w:rsidRPr="00BE6657">
        <w:rPr>
          <w:b/>
          <w:caps/>
          <w:szCs w:val="22"/>
        </w:rPr>
        <w:t>and Office of Engineering and Technology seek</w:t>
      </w:r>
      <w:r w:rsidRPr="00BE6657">
        <w:rPr>
          <w:b/>
          <w:caps/>
          <w:szCs w:val="22"/>
        </w:rPr>
        <w:t xml:space="preserve"> </w:t>
      </w:r>
      <w:r w:rsidR="004D0FCF" w:rsidRPr="00BE6657">
        <w:rPr>
          <w:b/>
          <w:caps/>
          <w:szCs w:val="22"/>
        </w:rPr>
        <w:t>comment on petitions for rulemak</w:t>
      </w:r>
      <w:r w:rsidRPr="00BE6657">
        <w:rPr>
          <w:b/>
          <w:caps/>
          <w:szCs w:val="22"/>
        </w:rPr>
        <w:t xml:space="preserve">ing </w:t>
      </w:r>
      <w:r w:rsidR="004D0FCF" w:rsidRPr="00BE6657">
        <w:rPr>
          <w:b/>
          <w:caps/>
          <w:szCs w:val="22"/>
        </w:rPr>
        <w:t>regarding the citizens broadband radio service</w:t>
      </w:r>
    </w:p>
    <w:p w:rsidR="00D47505" w:rsidRPr="00BE6657" w:rsidRDefault="0078520E" w:rsidP="00D47505">
      <w:pPr>
        <w:jc w:val="center"/>
        <w:rPr>
          <w:b/>
          <w:szCs w:val="22"/>
        </w:rPr>
      </w:pPr>
      <w:r>
        <w:rPr>
          <w:b/>
          <w:szCs w:val="22"/>
        </w:rPr>
        <w:t>GN</w:t>
      </w:r>
      <w:r w:rsidR="00F76BD8" w:rsidRPr="00BE6657">
        <w:rPr>
          <w:b/>
          <w:szCs w:val="22"/>
        </w:rPr>
        <w:t xml:space="preserve"> Docket No. 12-354</w:t>
      </w:r>
    </w:p>
    <w:p w:rsidR="00F76BD8" w:rsidRPr="007B637F" w:rsidRDefault="00F76BD8" w:rsidP="00D47505">
      <w:pPr>
        <w:jc w:val="center"/>
        <w:rPr>
          <w:b/>
          <w:szCs w:val="22"/>
        </w:rPr>
      </w:pPr>
      <w:r w:rsidRPr="007B637F">
        <w:rPr>
          <w:b/>
          <w:szCs w:val="22"/>
        </w:rPr>
        <w:t>RM-</w:t>
      </w:r>
      <w:r w:rsidR="007B637F">
        <w:rPr>
          <w:b/>
          <w:szCs w:val="22"/>
        </w:rPr>
        <w:t>11788</w:t>
      </w:r>
    </w:p>
    <w:p w:rsidR="001E2BBA" w:rsidRPr="00BE6657" w:rsidRDefault="007B637F" w:rsidP="00D47505">
      <w:pPr>
        <w:jc w:val="center"/>
        <w:rPr>
          <w:b/>
          <w:szCs w:val="22"/>
        </w:rPr>
      </w:pPr>
      <w:r>
        <w:rPr>
          <w:b/>
          <w:szCs w:val="22"/>
        </w:rPr>
        <w:t>RM-11789</w:t>
      </w:r>
    </w:p>
    <w:p w:rsidR="00D47505" w:rsidRPr="00BE6657" w:rsidRDefault="00D47505" w:rsidP="00D47505">
      <w:pPr>
        <w:jc w:val="center"/>
        <w:rPr>
          <w:szCs w:val="22"/>
        </w:rPr>
      </w:pPr>
    </w:p>
    <w:p w:rsidR="00F76BD8" w:rsidRPr="00BE6657" w:rsidRDefault="00F76BD8" w:rsidP="00D47505">
      <w:pPr>
        <w:spacing w:before="120" w:after="240"/>
        <w:rPr>
          <w:b/>
          <w:szCs w:val="22"/>
        </w:rPr>
      </w:pPr>
      <w:r w:rsidRPr="00BE6657">
        <w:rPr>
          <w:b/>
          <w:szCs w:val="22"/>
        </w:rPr>
        <w:t xml:space="preserve">Comments Due:  July </w:t>
      </w:r>
      <w:r w:rsidR="000A0435">
        <w:rPr>
          <w:b/>
          <w:szCs w:val="22"/>
        </w:rPr>
        <w:t>2</w:t>
      </w:r>
      <w:r w:rsidR="00C4131C">
        <w:rPr>
          <w:b/>
          <w:szCs w:val="22"/>
        </w:rPr>
        <w:t>4</w:t>
      </w:r>
      <w:r w:rsidRPr="00BE6657">
        <w:rPr>
          <w:b/>
          <w:szCs w:val="22"/>
        </w:rPr>
        <w:t>, 2017</w:t>
      </w:r>
      <w:r w:rsidRPr="00BE6657">
        <w:rPr>
          <w:b/>
          <w:szCs w:val="22"/>
        </w:rPr>
        <w:br/>
        <w:t xml:space="preserve">Reply Comments Due:  August </w:t>
      </w:r>
      <w:r w:rsidR="000A0435">
        <w:rPr>
          <w:b/>
          <w:szCs w:val="22"/>
        </w:rPr>
        <w:t>8</w:t>
      </w:r>
      <w:r w:rsidRPr="00BE6657">
        <w:rPr>
          <w:b/>
          <w:szCs w:val="22"/>
        </w:rPr>
        <w:t>, 2017</w:t>
      </w:r>
    </w:p>
    <w:p w:rsidR="00383290" w:rsidRPr="00BE6657" w:rsidRDefault="00135025" w:rsidP="001445E9">
      <w:pPr>
        <w:spacing w:before="120" w:after="240"/>
        <w:ind w:firstLine="720"/>
        <w:rPr>
          <w:szCs w:val="22"/>
        </w:rPr>
      </w:pPr>
      <w:r w:rsidRPr="00BE6657">
        <w:rPr>
          <w:szCs w:val="22"/>
        </w:rPr>
        <w:t xml:space="preserve">By this Public Notice, </w:t>
      </w:r>
      <w:r w:rsidR="004D0FCF" w:rsidRPr="00BE6657">
        <w:rPr>
          <w:szCs w:val="22"/>
        </w:rPr>
        <w:t>the Wireless Telecommunications Bureau and the Office of Engineering and Technology</w:t>
      </w:r>
      <w:r w:rsidRPr="00BE6657">
        <w:rPr>
          <w:szCs w:val="22"/>
        </w:rPr>
        <w:t xml:space="preserve"> </w:t>
      </w:r>
      <w:r w:rsidR="00383290" w:rsidRPr="00BE6657">
        <w:rPr>
          <w:szCs w:val="22"/>
        </w:rPr>
        <w:t xml:space="preserve">seek comment </w:t>
      </w:r>
      <w:r w:rsidRPr="00BE6657">
        <w:rPr>
          <w:szCs w:val="22"/>
        </w:rPr>
        <w:t xml:space="preserve">on </w:t>
      </w:r>
      <w:r w:rsidR="004D0FCF" w:rsidRPr="00BE6657">
        <w:rPr>
          <w:szCs w:val="22"/>
        </w:rPr>
        <w:t>Petitions for Rulemaking</w:t>
      </w:r>
      <w:r w:rsidR="00F76BD8" w:rsidRPr="00BE6657">
        <w:rPr>
          <w:szCs w:val="22"/>
        </w:rPr>
        <w:t xml:space="preserve"> </w:t>
      </w:r>
      <w:r w:rsidR="00383290" w:rsidRPr="00BE6657">
        <w:rPr>
          <w:szCs w:val="22"/>
        </w:rPr>
        <w:t>filed by CTIA and T-Mobile requesting changes to the rules governing the Citizens Broadband Radio Service</w:t>
      </w:r>
      <w:r w:rsidR="00BE6657">
        <w:rPr>
          <w:szCs w:val="22"/>
        </w:rPr>
        <w:t xml:space="preserve"> (Petitions)</w:t>
      </w:r>
      <w:r w:rsidR="00383290" w:rsidRPr="00BE6657">
        <w:rPr>
          <w:szCs w:val="22"/>
        </w:rPr>
        <w:t>.</w:t>
      </w:r>
      <w:r w:rsidR="00383290" w:rsidRPr="00BE6657">
        <w:rPr>
          <w:rStyle w:val="FootnoteReference"/>
          <w:sz w:val="22"/>
          <w:szCs w:val="22"/>
        </w:rPr>
        <w:footnoteReference w:id="2"/>
      </w:r>
      <w:r w:rsidR="00383290" w:rsidRPr="00BE6657">
        <w:rPr>
          <w:szCs w:val="22"/>
        </w:rPr>
        <w:t xml:space="preserve">  W</w:t>
      </w:r>
      <w:r w:rsidR="00126046" w:rsidRPr="00BE6657">
        <w:rPr>
          <w:szCs w:val="22"/>
        </w:rPr>
        <w:t>e</w:t>
      </w:r>
      <w:r w:rsidR="00383290" w:rsidRPr="00BE6657">
        <w:rPr>
          <w:szCs w:val="22"/>
        </w:rPr>
        <w:t xml:space="preserve"> also</w:t>
      </w:r>
      <w:r w:rsidR="00126046" w:rsidRPr="00BE6657">
        <w:rPr>
          <w:szCs w:val="22"/>
        </w:rPr>
        <w:t xml:space="preserve"> </w:t>
      </w:r>
      <w:r w:rsidR="004D0FCF" w:rsidRPr="00BE6657">
        <w:rPr>
          <w:szCs w:val="22"/>
        </w:rPr>
        <w:t xml:space="preserve">note that </w:t>
      </w:r>
      <w:r w:rsidR="00383290" w:rsidRPr="00BE6657">
        <w:rPr>
          <w:szCs w:val="22"/>
        </w:rPr>
        <w:t xml:space="preserve">there are several recent </w:t>
      </w:r>
      <w:r w:rsidR="00383290" w:rsidRPr="00BE6657">
        <w:rPr>
          <w:i/>
          <w:szCs w:val="22"/>
        </w:rPr>
        <w:t xml:space="preserve">ex parte </w:t>
      </w:r>
      <w:r w:rsidR="00383290" w:rsidRPr="00BE6657">
        <w:rPr>
          <w:szCs w:val="22"/>
        </w:rPr>
        <w:t xml:space="preserve">filings </w:t>
      </w:r>
      <w:r w:rsidR="000A0435">
        <w:rPr>
          <w:szCs w:val="22"/>
        </w:rPr>
        <w:t>in GN</w:t>
      </w:r>
      <w:r w:rsidR="00126046" w:rsidRPr="00BE6657">
        <w:rPr>
          <w:szCs w:val="22"/>
        </w:rPr>
        <w:t xml:space="preserve"> Docket No. 12-</w:t>
      </w:r>
      <w:r w:rsidR="00D06657" w:rsidRPr="00BE6657">
        <w:rPr>
          <w:szCs w:val="22"/>
        </w:rPr>
        <w:t>354</w:t>
      </w:r>
      <w:r w:rsidR="001445E9">
        <w:rPr>
          <w:szCs w:val="22"/>
        </w:rPr>
        <w:t xml:space="preserve"> that commenters may wish to consider in responding to the Petitions</w:t>
      </w:r>
      <w:r w:rsidR="00383290" w:rsidRPr="00BE6657">
        <w:rPr>
          <w:szCs w:val="22"/>
        </w:rPr>
        <w:t>.</w:t>
      </w:r>
      <w:r w:rsidR="00126046" w:rsidRPr="00BE6657">
        <w:rPr>
          <w:rStyle w:val="FootnoteReference"/>
          <w:sz w:val="22"/>
          <w:szCs w:val="22"/>
        </w:rPr>
        <w:footnoteReference w:id="3"/>
      </w:r>
      <w:r w:rsidR="00383290" w:rsidRPr="00BE6657">
        <w:rPr>
          <w:szCs w:val="22"/>
        </w:rPr>
        <w:t xml:space="preserve"> </w:t>
      </w:r>
    </w:p>
    <w:p w:rsidR="00383290" w:rsidRPr="00BE6657" w:rsidRDefault="00D06CD0" w:rsidP="001445E9">
      <w:pPr>
        <w:spacing w:before="120" w:after="240"/>
        <w:ind w:firstLine="720"/>
        <w:rPr>
          <w:szCs w:val="22"/>
        </w:rPr>
      </w:pPr>
      <w:r w:rsidRPr="00BE6657">
        <w:rPr>
          <w:i/>
          <w:szCs w:val="22"/>
        </w:rPr>
        <w:t>Comments and Reply Comments</w:t>
      </w:r>
      <w:r w:rsidRPr="00BE6657">
        <w:rPr>
          <w:szCs w:val="22"/>
        </w:rPr>
        <w:t xml:space="preserve">: </w:t>
      </w:r>
      <w:r w:rsidR="00222E94">
        <w:rPr>
          <w:szCs w:val="22"/>
        </w:rPr>
        <w:t xml:space="preserve"> </w:t>
      </w:r>
      <w:r w:rsidR="00383290" w:rsidRPr="00BE6657">
        <w:rPr>
          <w:szCs w:val="22"/>
        </w:rPr>
        <w:t xml:space="preserve">Pursuant to section 1.405 of the Commission’s rules, 47 CFR § 1.405, interested parties may file comments and reply comments on or before the dates indicated above.  All pleadings are to reference </w:t>
      </w:r>
      <w:r w:rsidR="000A0435">
        <w:rPr>
          <w:b/>
          <w:szCs w:val="22"/>
        </w:rPr>
        <w:t>GN</w:t>
      </w:r>
      <w:r w:rsidR="00383290" w:rsidRPr="00BE6657">
        <w:rPr>
          <w:b/>
          <w:szCs w:val="22"/>
        </w:rPr>
        <w:t xml:space="preserve"> Docket No. 12-354</w:t>
      </w:r>
      <w:r w:rsidR="00383290" w:rsidRPr="00BE6657">
        <w:rPr>
          <w:szCs w:val="22"/>
        </w:rPr>
        <w:t xml:space="preserve">.  Comments may be filed using the Commission’s Electronic Comment Filing System (ECFS).  </w:t>
      </w:r>
      <w:r w:rsidR="00383290" w:rsidRPr="00BE6657">
        <w:rPr>
          <w:i/>
          <w:szCs w:val="22"/>
        </w:rPr>
        <w:t>See Electronic Filing of Documents in Rulemaking Proceedings</w:t>
      </w:r>
      <w:r w:rsidR="00383290" w:rsidRPr="00BE6657">
        <w:rPr>
          <w:szCs w:val="22"/>
        </w:rPr>
        <w:t>, 63 FR 24121 (1998).</w:t>
      </w:r>
    </w:p>
    <w:p w:rsidR="00383290" w:rsidRPr="00BE6657" w:rsidRDefault="00383290" w:rsidP="00383290">
      <w:pPr>
        <w:widowControl/>
        <w:numPr>
          <w:ilvl w:val="0"/>
          <w:numId w:val="10"/>
        </w:numPr>
        <w:rPr>
          <w:szCs w:val="22"/>
        </w:rPr>
      </w:pPr>
      <w:r w:rsidRPr="00BE6657">
        <w:rPr>
          <w:i/>
          <w:szCs w:val="22"/>
        </w:rPr>
        <w:t>Electronic Filers</w:t>
      </w:r>
      <w:r w:rsidRPr="00BE6657">
        <w:rPr>
          <w:szCs w:val="22"/>
        </w:rPr>
        <w:t xml:space="preserve">:  Comments may be filed electronically using the Internet by accessing the ECFS:  </w:t>
      </w:r>
      <w:hyperlink r:id="rId8" w:history="1">
        <w:r w:rsidRPr="00BE6657">
          <w:rPr>
            <w:color w:val="0000FF"/>
            <w:szCs w:val="22"/>
            <w:u w:val="single"/>
          </w:rPr>
          <w:t>http://apps.fcc.gov/ecfs/</w:t>
        </w:r>
      </w:hyperlink>
      <w:r w:rsidRPr="00BE6657">
        <w:rPr>
          <w:szCs w:val="22"/>
        </w:rPr>
        <w:t xml:space="preserve">.  </w:t>
      </w:r>
    </w:p>
    <w:p w:rsidR="00383290" w:rsidRPr="00BE6657" w:rsidRDefault="00383290" w:rsidP="00383290">
      <w:pPr>
        <w:rPr>
          <w:szCs w:val="22"/>
        </w:rPr>
      </w:pPr>
    </w:p>
    <w:p w:rsidR="00383290" w:rsidRPr="00BE6657" w:rsidRDefault="00383290" w:rsidP="00383290">
      <w:pPr>
        <w:widowControl/>
        <w:numPr>
          <w:ilvl w:val="0"/>
          <w:numId w:val="8"/>
        </w:numPr>
        <w:rPr>
          <w:szCs w:val="22"/>
        </w:rPr>
      </w:pPr>
      <w:r w:rsidRPr="00BE6657">
        <w:rPr>
          <w:i/>
          <w:szCs w:val="22"/>
        </w:rPr>
        <w:t>Paper Filers</w:t>
      </w:r>
      <w:r w:rsidRPr="00BE6657">
        <w:rPr>
          <w:szCs w:val="22"/>
        </w:rPr>
        <w:t>:  Parties who choose to file by p</w:t>
      </w:r>
      <w:r w:rsidR="00D06CD0" w:rsidRPr="00BE6657">
        <w:rPr>
          <w:szCs w:val="22"/>
        </w:rPr>
        <w:t xml:space="preserve">aper must file an original and </w:t>
      </w:r>
      <w:r w:rsidRPr="00BE6657">
        <w:rPr>
          <w:szCs w:val="22"/>
        </w:rPr>
        <w:t>one copy of each filing.  If more than one docket or rulemaking number appears in the caption of this proceeding, filers must submit two additional copies for each additional docket or rulemaking number.</w:t>
      </w:r>
    </w:p>
    <w:p w:rsidR="00383290" w:rsidRPr="00BE6657" w:rsidRDefault="00383290" w:rsidP="00383290">
      <w:pPr>
        <w:rPr>
          <w:szCs w:val="22"/>
        </w:rPr>
      </w:pPr>
    </w:p>
    <w:p w:rsidR="00383290" w:rsidRPr="00BE6657" w:rsidRDefault="00383290" w:rsidP="00383290">
      <w:pPr>
        <w:ind w:left="720"/>
        <w:rPr>
          <w:szCs w:val="22"/>
        </w:rPr>
      </w:pPr>
      <w:r w:rsidRPr="00BE6657">
        <w:rPr>
          <w:szCs w:val="22"/>
        </w:rPr>
        <w:t>Filings can be sent by hand or messenger delivery, by commercial overnight courier, or by first-</w:t>
      </w:r>
      <w:r w:rsidRPr="00BE6657">
        <w:rPr>
          <w:szCs w:val="22"/>
        </w:rPr>
        <w:lastRenderedPageBreak/>
        <w:t>class or overnight U.S. Postal Service mail.  All filings must be addressed to the Commission’s Secretary, Office of the Secretary, Federal Communications Commission.</w:t>
      </w:r>
    </w:p>
    <w:p w:rsidR="00383290" w:rsidRPr="00BE6657" w:rsidRDefault="00383290" w:rsidP="00383290">
      <w:pPr>
        <w:rPr>
          <w:szCs w:val="22"/>
        </w:rPr>
      </w:pPr>
    </w:p>
    <w:p w:rsidR="00383290" w:rsidRPr="00BE6657" w:rsidRDefault="00383290" w:rsidP="00383290">
      <w:pPr>
        <w:widowControl/>
        <w:numPr>
          <w:ilvl w:val="0"/>
          <w:numId w:val="9"/>
        </w:numPr>
        <w:rPr>
          <w:szCs w:val="22"/>
        </w:rPr>
      </w:pPr>
      <w:r w:rsidRPr="00BE6657">
        <w:rPr>
          <w:szCs w:val="22"/>
        </w:rPr>
        <w:t>All hand-delivered or messenger-delivered paper filings for the Commission’s Secretary must be delivered to FCC Headquarters at 445 12</w:t>
      </w:r>
      <w:r w:rsidRPr="00BE6657">
        <w:rPr>
          <w:szCs w:val="22"/>
          <w:vertAlign w:val="superscript"/>
        </w:rPr>
        <w:t>th</w:t>
      </w:r>
      <w:r w:rsidRPr="00BE6657">
        <w:rPr>
          <w:szCs w:val="22"/>
        </w:rPr>
        <w:t xml:space="preserve"> St., SW, Room TW-A325, Washington, DC 20554.  The filing hours are 8:00 a.m. to 7:00 p.m.  All hand deliveries must be held together with rubber bands or fasteners.  Any envelopes and boxes must be disposed of </w:t>
      </w:r>
      <w:r w:rsidRPr="00BE6657">
        <w:rPr>
          <w:szCs w:val="22"/>
          <w:u w:val="single"/>
        </w:rPr>
        <w:t>before</w:t>
      </w:r>
      <w:r w:rsidRPr="00BE6657">
        <w:rPr>
          <w:szCs w:val="22"/>
        </w:rPr>
        <w:t xml:space="preserve"> entering the building.  </w:t>
      </w:r>
    </w:p>
    <w:p w:rsidR="00383290" w:rsidRPr="00BE6657" w:rsidRDefault="00383290" w:rsidP="00383290">
      <w:pPr>
        <w:ind w:left="1080"/>
        <w:rPr>
          <w:szCs w:val="22"/>
        </w:rPr>
      </w:pPr>
    </w:p>
    <w:p w:rsidR="00383290" w:rsidRPr="00BE6657" w:rsidRDefault="00383290" w:rsidP="00383290">
      <w:pPr>
        <w:widowControl/>
        <w:numPr>
          <w:ilvl w:val="0"/>
          <w:numId w:val="9"/>
        </w:numPr>
        <w:rPr>
          <w:szCs w:val="22"/>
        </w:rPr>
      </w:pPr>
      <w:r w:rsidRPr="00BE6657">
        <w:rPr>
          <w:szCs w:val="22"/>
        </w:rPr>
        <w:t>Commercial overnight mail (other than U.S. Postal Service Express Mail and Priority Mail) must be sent to 9300 East Hampton Drive, Capitol Heights, MD 20743.</w:t>
      </w:r>
    </w:p>
    <w:p w:rsidR="00383290" w:rsidRPr="00BE6657" w:rsidRDefault="00383290" w:rsidP="00383290">
      <w:pPr>
        <w:rPr>
          <w:szCs w:val="22"/>
        </w:rPr>
      </w:pPr>
    </w:p>
    <w:p w:rsidR="001445E9" w:rsidRPr="00214664" w:rsidRDefault="00383290" w:rsidP="00EC14EF">
      <w:pPr>
        <w:widowControl/>
        <w:numPr>
          <w:ilvl w:val="0"/>
          <w:numId w:val="9"/>
        </w:numPr>
        <w:rPr>
          <w:szCs w:val="22"/>
        </w:rPr>
      </w:pPr>
      <w:r w:rsidRPr="00BE6657">
        <w:rPr>
          <w:szCs w:val="22"/>
        </w:rPr>
        <w:t>U.S. Postal Service first-class, Express, and Priority mail must be addressed to 445 12</w:t>
      </w:r>
      <w:r w:rsidRPr="00BE6657">
        <w:rPr>
          <w:szCs w:val="22"/>
          <w:vertAlign w:val="superscript"/>
        </w:rPr>
        <w:t>th</w:t>
      </w:r>
      <w:r w:rsidRPr="00BE6657">
        <w:rPr>
          <w:szCs w:val="22"/>
        </w:rPr>
        <w:t xml:space="preserve"> Street, SW, Washington DC 20554.</w:t>
      </w:r>
    </w:p>
    <w:p w:rsidR="00BE6657" w:rsidRPr="001445E9" w:rsidRDefault="00D06CD0" w:rsidP="00EC14EF">
      <w:pPr>
        <w:spacing w:before="120" w:after="240"/>
        <w:ind w:firstLine="720"/>
        <w:rPr>
          <w:szCs w:val="22"/>
        </w:rPr>
      </w:pPr>
      <w:r w:rsidRPr="001445E9">
        <w:rPr>
          <w:szCs w:val="22"/>
        </w:rPr>
        <w:t xml:space="preserve">Comments and reply comments filed in response to this Public Notice will be available via ECFS.  These documents also will </w:t>
      </w:r>
      <w:r w:rsidRPr="00EC14EF">
        <w:rPr>
          <w:szCs w:val="22"/>
        </w:rPr>
        <w:t>be</w:t>
      </w:r>
      <w:r w:rsidRPr="001445E9">
        <w:rPr>
          <w:szCs w:val="22"/>
        </w:rPr>
        <w:t xml:space="preserve"> available for public inspection during regular business hours in the FCC Reference Information Center, Portals II, 445 12th Street S.W., Room CY-A257, Washington, D.C. 20554</w:t>
      </w:r>
      <w:r w:rsidR="00BE6657" w:rsidRPr="001445E9">
        <w:rPr>
          <w:szCs w:val="22"/>
        </w:rPr>
        <w:t>.</w:t>
      </w:r>
    </w:p>
    <w:p w:rsidR="00BE6657" w:rsidRPr="00BE6657" w:rsidRDefault="00BE6657" w:rsidP="00EC14EF">
      <w:pPr>
        <w:spacing w:before="120" w:after="240"/>
        <w:ind w:firstLine="720"/>
        <w:rPr>
          <w:szCs w:val="22"/>
        </w:rPr>
      </w:pPr>
      <w:r w:rsidRPr="00BE6657">
        <w:rPr>
          <w:i/>
          <w:szCs w:val="22"/>
        </w:rPr>
        <w:t xml:space="preserve">Ex </w:t>
      </w:r>
      <w:r w:rsidRPr="001E2BBA">
        <w:rPr>
          <w:i/>
          <w:szCs w:val="22"/>
        </w:rPr>
        <w:t>Parte Presentations</w:t>
      </w:r>
      <w:r w:rsidRPr="00BE6657">
        <w:rPr>
          <w:szCs w:val="22"/>
        </w:rPr>
        <w:t>:</w:t>
      </w:r>
      <w:r w:rsidR="00214664">
        <w:rPr>
          <w:szCs w:val="22"/>
        </w:rPr>
        <w:t xml:space="preserve"> </w:t>
      </w:r>
      <w:r w:rsidRPr="00BE6657">
        <w:rPr>
          <w:szCs w:val="22"/>
        </w:rPr>
        <w:t xml:space="preserve"> This proceeding shall be treated as a “permit-but-disclose” proceeding in accordance with the Commission’s </w:t>
      </w:r>
      <w:r w:rsidRPr="00BE6657">
        <w:rPr>
          <w:i/>
          <w:iCs/>
          <w:szCs w:val="22"/>
        </w:rPr>
        <w:t xml:space="preserve">ex parte </w:t>
      </w:r>
      <w:r w:rsidRPr="00BE6657">
        <w:rPr>
          <w:szCs w:val="22"/>
        </w:rPr>
        <w:t>rules.</w:t>
      </w:r>
      <w:r w:rsidRPr="00BE6657">
        <w:rPr>
          <w:szCs w:val="22"/>
          <w:vertAlign w:val="superscript"/>
        </w:rPr>
        <w:footnoteReference w:id="4"/>
      </w:r>
      <w:r w:rsidRPr="00BE6657">
        <w:rPr>
          <w:szCs w:val="22"/>
        </w:rPr>
        <w:t xml:space="preserve">  Persons making </w:t>
      </w:r>
      <w:r w:rsidRPr="00BE6657">
        <w:rPr>
          <w:i/>
          <w:szCs w:val="22"/>
        </w:rPr>
        <w:t xml:space="preserve">ex parte </w:t>
      </w:r>
      <w:r w:rsidRPr="00BE6657">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BE6657">
        <w:rPr>
          <w:i/>
          <w:iCs/>
          <w:szCs w:val="22"/>
        </w:rPr>
        <w:t xml:space="preserve">ex parte </w:t>
      </w:r>
      <w:r w:rsidRPr="00BE6657">
        <w:rPr>
          <w:szCs w:val="22"/>
        </w:rPr>
        <w:t xml:space="preserve">presentations are reminded that memoranda summarizing the presentation must (1) list all persons attending or otherwise participating in the meeting at which the </w:t>
      </w:r>
      <w:r w:rsidRPr="00BE6657">
        <w:rPr>
          <w:i/>
          <w:iCs/>
          <w:szCs w:val="22"/>
        </w:rPr>
        <w:t xml:space="preserve">ex parte </w:t>
      </w:r>
      <w:r w:rsidRPr="00BE6657">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E6657">
        <w:rPr>
          <w:i/>
          <w:iCs/>
          <w:szCs w:val="22"/>
        </w:rPr>
        <w:t xml:space="preserve">ex parte </w:t>
      </w:r>
      <w:r w:rsidRPr="00BE6657">
        <w:rPr>
          <w:szCs w:val="22"/>
        </w:rPr>
        <w:t xml:space="preserve">meetings are deemed to be written </w:t>
      </w:r>
      <w:r w:rsidRPr="00BE6657">
        <w:rPr>
          <w:i/>
          <w:iCs/>
          <w:szCs w:val="22"/>
        </w:rPr>
        <w:t>ex parte</w:t>
      </w:r>
      <w:r w:rsidRPr="00BE6657">
        <w:rPr>
          <w:szCs w:val="22"/>
        </w:rPr>
        <w:t xml:space="preserve"> presentations and must be filed consistent with section 1.1206(b).</w:t>
      </w:r>
      <w:r w:rsidRPr="00BE6657">
        <w:rPr>
          <w:szCs w:val="22"/>
          <w:vertAlign w:val="superscript"/>
        </w:rPr>
        <w:footnoteReference w:id="5"/>
      </w:r>
      <w:r w:rsidRPr="00BE6657">
        <w:rPr>
          <w:szCs w:val="22"/>
        </w:rPr>
        <w:t xml:space="preserve">  In proceedings governed by section 1.49(f)</w:t>
      </w:r>
      <w:r w:rsidRPr="00BE6657">
        <w:rPr>
          <w:szCs w:val="22"/>
          <w:vertAlign w:val="superscript"/>
        </w:rPr>
        <w:footnoteReference w:id="6"/>
      </w:r>
      <w:r w:rsidRPr="00BE6657">
        <w:rPr>
          <w:szCs w:val="22"/>
        </w:rPr>
        <w:t xml:space="preserve"> or for which the Commission has made available a method of electronic filing, written </w:t>
      </w:r>
      <w:r w:rsidRPr="00BE6657">
        <w:rPr>
          <w:i/>
          <w:iCs/>
          <w:szCs w:val="22"/>
        </w:rPr>
        <w:t xml:space="preserve">ex parte </w:t>
      </w:r>
      <w:r w:rsidRPr="00BE6657">
        <w:rPr>
          <w:szCs w:val="22"/>
        </w:rPr>
        <w:t xml:space="preserve">presentations and memoranda summarizing oral </w:t>
      </w:r>
      <w:r w:rsidRPr="00BE6657">
        <w:rPr>
          <w:i/>
          <w:iCs/>
          <w:szCs w:val="22"/>
        </w:rPr>
        <w:t xml:space="preserve">ex parte </w:t>
      </w:r>
      <w:r w:rsidRPr="00BE6657">
        <w:rPr>
          <w:szCs w:val="22"/>
        </w:rPr>
        <w:t>presentations, and all attachments thereto, must be filed through the electronic comment filing system available for that proceeding, and must be filed in their native format (</w:t>
      </w:r>
      <w:r w:rsidRPr="00BE6657">
        <w:rPr>
          <w:i/>
          <w:iCs/>
          <w:szCs w:val="22"/>
        </w:rPr>
        <w:t>e.g.</w:t>
      </w:r>
      <w:r w:rsidRPr="00BE6657">
        <w:rPr>
          <w:i/>
          <w:szCs w:val="22"/>
        </w:rPr>
        <w:t>,</w:t>
      </w:r>
      <w:r w:rsidRPr="00BE6657">
        <w:rPr>
          <w:szCs w:val="22"/>
        </w:rPr>
        <w:t xml:space="preserve"> .doc, .xml, .ppt, searchable .pdf).  Participants in this proceeding should familiarize themselves with the Commission’s </w:t>
      </w:r>
      <w:r w:rsidRPr="00BE6657">
        <w:rPr>
          <w:i/>
          <w:iCs/>
          <w:szCs w:val="22"/>
        </w:rPr>
        <w:t xml:space="preserve">ex parte </w:t>
      </w:r>
      <w:r w:rsidRPr="00BE6657">
        <w:rPr>
          <w:szCs w:val="22"/>
        </w:rPr>
        <w:t>rules.</w:t>
      </w:r>
      <w:r w:rsidR="006C10B4" w:rsidRPr="006C10B4">
        <w:rPr>
          <w:szCs w:val="22"/>
        </w:rPr>
        <w:t xml:space="preserve"> </w:t>
      </w:r>
      <w:r w:rsidR="00FB481C">
        <w:rPr>
          <w:szCs w:val="22"/>
        </w:rPr>
        <w:t xml:space="preserve"> </w:t>
      </w:r>
      <w:r w:rsidR="006C10B4" w:rsidRPr="00BE6657">
        <w:rPr>
          <w:szCs w:val="22"/>
        </w:rPr>
        <w:t xml:space="preserve">We note that our </w:t>
      </w:r>
      <w:r w:rsidR="006C10B4" w:rsidRPr="00BE6657">
        <w:rPr>
          <w:i/>
          <w:iCs/>
          <w:szCs w:val="22"/>
        </w:rPr>
        <w:t>ex parte</w:t>
      </w:r>
      <w:r w:rsidR="006C10B4" w:rsidRPr="00BE6657">
        <w:rPr>
          <w:szCs w:val="22"/>
        </w:rPr>
        <w:t xml:space="preserve"> rules provide for a conditional exception for all </w:t>
      </w:r>
      <w:r w:rsidR="006C10B4" w:rsidRPr="00BE6657">
        <w:rPr>
          <w:i/>
          <w:iCs/>
          <w:szCs w:val="22"/>
        </w:rPr>
        <w:t>ex parte</w:t>
      </w:r>
      <w:r w:rsidR="006C10B4" w:rsidRPr="00BE6657">
        <w:rPr>
          <w:szCs w:val="22"/>
        </w:rPr>
        <w:t xml:space="preserve"> presentations made by NTIA or Department of Defense representatives.</w:t>
      </w:r>
      <w:r w:rsidR="006C10B4" w:rsidRPr="00BE6657">
        <w:rPr>
          <w:szCs w:val="22"/>
          <w:vertAlign w:val="superscript"/>
        </w:rPr>
        <w:footnoteReference w:id="7"/>
      </w:r>
      <w:r w:rsidR="006C10B4" w:rsidRPr="00BE6657">
        <w:rPr>
          <w:szCs w:val="22"/>
        </w:rPr>
        <w:t xml:space="preserve">  </w:t>
      </w:r>
    </w:p>
    <w:p w:rsidR="00D06CD0" w:rsidRPr="00BE6657" w:rsidRDefault="00383290" w:rsidP="001E2BBA">
      <w:pPr>
        <w:ind w:firstLine="720"/>
        <w:rPr>
          <w:szCs w:val="22"/>
        </w:rPr>
      </w:pPr>
      <w:r w:rsidRPr="00BE6657">
        <w:rPr>
          <w:i/>
          <w:szCs w:val="22"/>
        </w:rPr>
        <w:lastRenderedPageBreak/>
        <w:t>People with Disabilities</w:t>
      </w:r>
      <w:r w:rsidRPr="00BE6657">
        <w:rPr>
          <w:szCs w:val="22"/>
        </w:rPr>
        <w:t xml:space="preserve">:  To request materials in accessible formats for people with disabilities (braille, large print, electronic files, audio format), send an e-mail to </w:t>
      </w:r>
      <w:hyperlink r:id="rId9" w:history="1">
        <w:r w:rsidRPr="00BE6657">
          <w:rPr>
            <w:color w:val="0000FF"/>
            <w:szCs w:val="22"/>
            <w:u w:val="single"/>
          </w:rPr>
          <w:t>fcc504@fcc.gov</w:t>
        </w:r>
      </w:hyperlink>
      <w:r w:rsidRPr="00BE6657">
        <w:rPr>
          <w:szCs w:val="22"/>
        </w:rPr>
        <w:t xml:space="preserve"> or call the Consumer &amp; Governmental Affairs Bureau at 202-418-0530 (voice), 202-418-0432 (tty).</w:t>
      </w:r>
    </w:p>
    <w:p w:rsidR="00AB6C11" w:rsidRPr="00BE6657" w:rsidRDefault="00D06CD0" w:rsidP="00AB6C11">
      <w:pPr>
        <w:spacing w:before="120" w:after="240"/>
        <w:ind w:firstLine="720"/>
        <w:rPr>
          <w:b/>
          <w:szCs w:val="22"/>
        </w:rPr>
      </w:pPr>
      <w:r w:rsidRPr="00BE6657">
        <w:rPr>
          <w:i/>
          <w:szCs w:val="22"/>
        </w:rPr>
        <w:t>Additional Information</w:t>
      </w:r>
      <w:r w:rsidRPr="00BE6657">
        <w:rPr>
          <w:szCs w:val="22"/>
        </w:rPr>
        <w:t xml:space="preserve">: </w:t>
      </w:r>
      <w:r w:rsidR="00FB481C">
        <w:rPr>
          <w:szCs w:val="22"/>
        </w:rPr>
        <w:t xml:space="preserve"> </w:t>
      </w:r>
      <w:r w:rsidR="00AB6C11" w:rsidRPr="00BE6657">
        <w:rPr>
          <w:szCs w:val="22"/>
        </w:rPr>
        <w:t>Fo</w:t>
      </w:r>
      <w:r w:rsidR="004D0FCF" w:rsidRPr="00BE6657">
        <w:rPr>
          <w:szCs w:val="22"/>
        </w:rPr>
        <w:t xml:space="preserve">r further information, contact Jessica Greffenius of the </w:t>
      </w:r>
      <w:r w:rsidR="00AB6C11" w:rsidRPr="00BE6657">
        <w:rPr>
          <w:szCs w:val="22"/>
        </w:rPr>
        <w:t>W</w:t>
      </w:r>
      <w:r w:rsidR="004F211E" w:rsidRPr="00BE6657">
        <w:rPr>
          <w:szCs w:val="22"/>
        </w:rPr>
        <w:t xml:space="preserve">ireless Telecommunications Bureau, </w:t>
      </w:r>
      <w:r w:rsidR="004D0FCF" w:rsidRPr="00BE6657">
        <w:rPr>
          <w:szCs w:val="22"/>
        </w:rPr>
        <w:t>Mobility Division at (202) 418-2896 or via</w:t>
      </w:r>
      <w:r w:rsidR="004F211E" w:rsidRPr="00BE6657">
        <w:rPr>
          <w:szCs w:val="22"/>
        </w:rPr>
        <w:t xml:space="preserve"> emai</w:t>
      </w:r>
      <w:r w:rsidR="004D0FCF" w:rsidRPr="00BE6657">
        <w:rPr>
          <w:szCs w:val="22"/>
        </w:rPr>
        <w:t xml:space="preserve">l at </w:t>
      </w:r>
      <w:hyperlink r:id="rId10" w:history="1">
        <w:r w:rsidR="004D0FCF" w:rsidRPr="00BE6657">
          <w:rPr>
            <w:rStyle w:val="Hyperlink"/>
            <w:szCs w:val="22"/>
          </w:rPr>
          <w:t>Jessica.Greffenius@fcc.gov</w:t>
        </w:r>
      </w:hyperlink>
      <w:r w:rsidR="004D0FCF" w:rsidRPr="00BE6657">
        <w:rPr>
          <w:szCs w:val="22"/>
        </w:rPr>
        <w:t xml:space="preserve"> or Ira Keltz of the Office of Engineering and Technology at </w:t>
      </w:r>
      <w:hyperlink r:id="rId11" w:history="1">
        <w:r w:rsidR="001E2BBA" w:rsidRPr="006F535B">
          <w:rPr>
            <w:rStyle w:val="Hyperlink"/>
            <w:szCs w:val="22"/>
          </w:rPr>
          <w:t>Ira.Keltz@fcc.gov</w:t>
        </w:r>
      </w:hyperlink>
      <w:r w:rsidR="004D0FCF" w:rsidRPr="00BE6657">
        <w:rPr>
          <w:szCs w:val="22"/>
        </w:rPr>
        <w:t xml:space="preserve"> or (202) 418-0616.</w:t>
      </w:r>
    </w:p>
    <w:sectPr w:rsidR="00AB6C11" w:rsidRPr="00BE6657" w:rsidSect="00DF0810">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BD8" w:rsidRDefault="00F76BD8">
      <w:pPr>
        <w:spacing w:line="20" w:lineRule="exact"/>
      </w:pPr>
    </w:p>
  </w:endnote>
  <w:endnote w:type="continuationSeparator" w:id="0">
    <w:p w:rsidR="00F76BD8" w:rsidRDefault="00F76BD8">
      <w:r>
        <w:t xml:space="preserve"> </w:t>
      </w:r>
    </w:p>
  </w:endnote>
  <w:endnote w:type="continuationNotice" w:id="1">
    <w:p w:rsidR="00F76BD8" w:rsidRDefault="00F76BD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9B629F">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BD8" w:rsidRDefault="00F76BD8">
      <w:r>
        <w:separator/>
      </w:r>
    </w:p>
  </w:footnote>
  <w:footnote w:type="continuationSeparator" w:id="0">
    <w:p w:rsidR="00F76BD8" w:rsidRDefault="00F76BD8" w:rsidP="00C721AC">
      <w:pPr>
        <w:spacing w:before="120"/>
        <w:rPr>
          <w:sz w:val="20"/>
        </w:rPr>
      </w:pPr>
      <w:r>
        <w:rPr>
          <w:sz w:val="20"/>
        </w:rPr>
        <w:t xml:space="preserve">(Continued from previous page)  </w:t>
      </w:r>
      <w:r>
        <w:rPr>
          <w:sz w:val="20"/>
        </w:rPr>
        <w:separator/>
      </w:r>
    </w:p>
  </w:footnote>
  <w:footnote w:type="continuationNotice" w:id="1">
    <w:p w:rsidR="00F76BD8" w:rsidRDefault="00F76BD8" w:rsidP="00C721AC">
      <w:pPr>
        <w:jc w:val="right"/>
        <w:rPr>
          <w:sz w:val="20"/>
        </w:rPr>
      </w:pPr>
      <w:r>
        <w:rPr>
          <w:sz w:val="20"/>
        </w:rPr>
        <w:t>(continued….)</w:t>
      </w:r>
    </w:p>
  </w:footnote>
  <w:footnote w:id="2">
    <w:p w:rsidR="00383290" w:rsidRPr="003918EC" w:rsidRDefault="00383290">
      <w:pPr>
        <w:pStyle w:val="FootnoteText"/>
      </w:pPr>
      <w:r>
        <w:rPr>
          <w:rStyle w:val="FootnoteReference"/>
        </w:rPr>
        <w:footnoteRef/>
      </w:r>
      <w:r>
        <w:t xml:space="preserve"> </w:t>
      </w:r>
      <w:r w:rsidR="003918EC">
        <w:rPr>
          <w:i/>
        </w:rPr>
        <w:t xml:space="preserve">See </w:t>
      </w:r>
      <w:r w:rsidR="003918EC">
        <w:t>CTIA, Petition for Rulemaking, GN Docket No. 12-354 (filed June 16, 2017); T-Mobile USA, Inc., Petition for Rulemaking, GN Docket No. 12-354 (filed June 19, 2017).</w:t>
      </w:r>
    </w:p>
  </w:footnote>
  <w:footnote w:id="3">
    <w:p w:rsidR="00126046" w:rsidRPr="00126046" w:rsidRDefault="00126046">
      <w:pPr>
        <w:pStyle w:val="FootnoteText"/>
      </w:pPr>
      <w:r>
        <w:rPr>
          <w:rStyle w:val="FootnoteReference"/>
        </w:rPr>
        <w:footnoteRef/>
      </w:r>
      <w:r>
        <w:t xml:space="preserve"> </w:t>
      </w:r>
      <w:r>
        <w:rPr>
          <w:i/>
        </w:rPr>
        <w:t>See, e.g.</w:t>
      </w:r>
      <w:r>
        <w:t xml:space="preserve">, </w:t>
      </w:r>
      <w:r w:rsidR="00D80AF5">
        <w:t xml:space="preserve">Letter from Dean R. Brenner, Senior Vice President, Spectrum Strategy &amp; Technology Policy, and John W. Kuzin, Vice President and Regulatory Counsel, Qualcomm, Inc. to Marlene H. Dortch, Secretary, FCC, GN Docket No. 12-354 (filed June 19, 2017); Letter from </w:t>
      </w:r>
      <w:r w:rsidR="001445E9">
        <w:t>All Points Broadband, American Tower Corp., Amplex Internet, Baicells Tech, Boingo, Engine, Google, Inc., High Speed Link, Microsoft Corp., NCTA – The Internet &amp; Television Association, Republic Wireless, Rise Broadband, Skywerx Internet Services, Smart City, Telrad Networks, and the Wireless Internet Service Providers Association to</w:t>
      </w:r>
      <w:r w:rsidR="00D80AF5">
        <w:t xml:space="preserve"> Chairman Ajit Pai, Commissioner Mignon Clyburn, and Commissioner Michael O’Rielly, GN Docket N</w:t>
      </w:r>
      <w:r w:rsidR="007B637F">
        <w:t>o. 12-354 (filed June 1, 2017).</w:t>
      </w:r>
    </w:p>
  </w:footnote>
  <w:footnote w:id="4">
    <w:p w:rsidR="00BE6657" w:rsidRPr="00231DAF" w:rsidRDefault="00BE6657" w:rsidP="00BE6657">
      <w:pPr>
        <w:pStyle w:val="FootnoteText"/>
        <w:rPr>
          <w:i/>
          <w:iCs/>
        </w:rPr>
      </w:pPr>
      <w:r w:rsidRPr="00231DAF">
        <w:rPr>
          <w:rStyle w:val="FootnoteReference"/>
        </w:rPr>
        <w:footnoteRef/>
      </w:r>
      <w:r w:rsidRPr="00231DAF">
        <w:t xml:space="preserve"> 47 C.F.R. § 1.1200 </w:t>
      </w:r>
      <w:r w:rsidRPr="00231DAF">
        <w:rPr>
          <w:i/>
          <w:iCs/>
        </w:rPr>
        <w:t>et seq.</w:t>
      </w:r>
    </w:p>
  </w:footnote>
  <w:footnote w:id="5">
    <w:p w:rsidR="00BE6657" w:rsidRPr="00231DAF" w:rsidRDefault="00BE6657" w:rsidP="00BE6657">
      <w:pPr>
        <w:pStyle w:val="FootnoteText"/>
      </w:pPr>
      <w:r w:rsidRPr="00231DAF">
        <w:rPr>
          <w:rStyle w:val="FootnoteReference"/>
        </w:rPr>
        <w:footnoteRef/>
      </w:r>
      <w:r w:rsidRPr="00231DAF">
        <w:t xml:space="preserve"> 47 C.F.R. § 1.1206(b).</w:t>
      </w:r>
    </w:p>
  </w:footnote>
  <w:footnote w:id="6">
    <w:p w:rsidR="00BE6657" w:rsidRPr="00231DAF" w:rsidRDefault="00BE6657" w:rsidP="00BE6657">
      <w:pPr>
        <w:pStyle w:val="FootnoteText"/>
      </w:pPr>
      <w:r w:rsidRPr="00231DAF">
        <w:rPr>
          <w:rStyle w:val="FootnoteReference"/>
        </w:rPr>
        <w:footnoteRef/>
      </w:r>
      <w:r w:rsidRPr="00231DAF">
        <w:t xml:space="preserve"> 47 C.F.R. § 1.49(f).</w:t>
      </w:r>
    </w:p>
  </w:footnote>
  <w:footnote w:id="7">
    <w:p w:rsidR="006C10B4" w:rsidRPr="006C10B4" w:rsidRDefault="006C10B4" w:rsidP="006C10B4">
      <w:pPr>
        <w:pStyle w:val="FootnoteText"/>
        <w:rPr>
          <w:i/>
        </w:rPr>
      </w:pPr>
      <w:r w:rsidRPr="00231DAF">
        <w:rPr>
          <w:rStyle w:val="FootnoteReference"/>
        </w:rPr>
        <w:footnoteRef/>
      </w:r>
      <w:r w:rsidRPr="00231DAF">
        <w:t xml:space="preserve"> </w:t>
      </w:r>
      <w:r w:rsidRPr="00231DAF">
        <w:rPr>
          <w:i/>
        </w:rPr>
        <w:t xml:space="preserve">See </w:t>
      </w:r>
      <w:r w:rsidRPr="00231DAF">
        <w:t>47 C.F.R. §1.1204</w:t>
      </w:r>
      <w:r>
        <w:t xml:space="preserve">; </w:t>
      </w:r>
      <w:r>
        <w:rPr>
          <w:i/>
        </w:rPr>
        <w:t xml:space="preserve">See also </w:t>
      </w:r>
      <w:r w:rsidRPr="006C10B4">
        <w:rPr>
          <w:i/>
        </w:rPr>
        <w:t>Amendment of the Commission’s Rules with Regard to Commercial Operations in the 3550-3650 MHz Band</w:t>
      </w:r>
      <w:r>
        <w:t xml:space="preserve">, GN Docket No. 12-354, </w:t>
      </w:r>
      <w:r w:rsidRPr="006C10B4">
        <w:t>Report and Order and Second Further Notic</w:t>
      </w:r>
      <w:r>
        <w:t>e of Proposed Rulemaking, 30 FCC Rcd 3959</w:t>
      </w:r>
      <w:r w:rsidR="00B96F90">
        <w:t>, 4090-91, para. 447</w:t>
      </w:r>
      <w:r>
        <w:t xml:space="preserv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ED9" w:rsidRDefault="00346E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ED9" w:rsidRDefault="00346E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582AD66"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9B629F">
                            <w:rPr>
                              <w:rFonts w:ascii="Arial" w:hAnsi="Arial"/>
                              <w:b/>
                              <w:sz w:val="16"/>
                            </w:rPr>
                            <w:instrText>HYPERLINK "https://www.fcc.gov/"</w:instrText>
                          </w:r>
                          <w:r w:rsidR="009B629F">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9B629F">
                      <w:rPr>
                        <w:rFonts w:ascii="Arial" w:hAnsi="Arial"/>
                        <w:b/>
                        <w:sz w:val="16"/>
                      </w:rPr>
                      <w:instrText>HYPERLINK "https://www.fcc.gov/"</w:instrText>
                    </w:r>
                    <w:r w:rsidR="009B629F">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7"/>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BD8"/>
    <w:rsid w:val="00036039"/>
    <w:rsid w:val="00037F90"/>
    <w:rsid w:val="000875BF"/>
    <w:rsid w:val="00096D8C"/>
    <w:rsid w:val="00096DC2"/>
    <w:rsid w:val="000A0435"/>
    <w:rsid w:val="000C0B65"/>
    <w:rsid w:val="000E05FE"/>
    <w:rsid w:val="000E3D42"/>
    <w:rsid w:val="00122BD5"/>
    <w:rsid w:val="00124076"/>
    <w:rsid w:val="00126046"/>
    <w:rsid w:val="00133F79"/>
    <w:rsid w:val="00135025"/>
    <w:rsid w:val="001445E9"/>
    <w:rsid w:val="00194A66"/>
    <w:rsid w:val="001D6BCF"/>
    <w:rsid w:val="001E01CA"/>
    <w:rsid w:val="001E2BBA"/>
    <w:rsid w:val="00214664"/>
    <w:rsid w:val="00222E94"/>
    <w:rsid w:val="00275CF5"/>
    <w:rsid w:val="0028301F"/>
    <w:rsid w:val="00285017"/>
    <w:rsid w:val="002A2D2E"/>
    <w:rsid w:val="002C00E8"/>
    <w:rsid w:val="00343749"/>
    <w:rsid w:val="00346ED9"/>
    <w:rsid w:val="003660ED"/>
    <w:rsid w:val="00383290"/>
    <w:rsid w:val="003918EC"/>
    <w:rsid w:val="003B0550"/>
    <w:rsid w:val="003B694F"/>
    <w:rsid w:val="003F171C"/>
    <w:rsid w:val="00412FC5"/>
    <w:rsid w:val="00422276"/>
    <w:rsid w:val="004242F1"/>
    <w:rsid w:val="00445A00"/>
    <w:rsid w:val="00451B0F"/>
    <w:rsid w:val="004C2EE3"/>
    <w:rsid w:val="004D0FCF"/>
    <w:rsid w:val="004E4A22"/>
    <w:rsid w:val="004F211E"/>
    <w:rsid w:val="00511968"/>
    <w:rsid w:val="0055614C"/>
    <w:rsid w:val="005611D4"/>
    <w:rsid w:val="005E14C2"/>
    <w:rsid w:val="00607BA5"/>
    <w:rsid w:val="0061180A"/>
    <w:rsid w:val="00622603"/>
    <w:rsid w:val="00626EB6"/>
    <w:rsid w:val="00653468"/>
    <w:rsid w:val="00655D03"/>
    <w:rsid w:val="00683388"/>
    <w:rsid w:val="00683F84"/>
    <w:rsid w:val="006A1F49"/>
    <w:rsid w:val="006A6A81"/>
    <w:rsid w:val="006B1456"/>
    <w:rsid w:val="006C10B4"/>
    <w:rsid w:val="006F7393"/>
    <w:rsid w:val="0070224F"/>
    <w:rsid w:val="007115F7"/>
    <w:rsid w:val="0078520E"/>
    <w:rsid w:val="00785689"/>
    <w:rsid w:val="0079754B"/>
    <w:rsid w:val="007A1E6D"/>
    <w:rsid w:val="007B0EB2"/>
    <w:rsid w:val="007B637F"/>
    <w:rsid w:val="007B658B"/>
    <w:rsid w:val="007C7D58"/>
    <w:rsid w:val="007F413A"/>
    <w:rsid w:val="00810B6F"/>
    <w:rsid w:val="00822CE0"/>
    <w:rsid w:val="00841AB1"/>
    <w:rsid w:val="00860DAC"/>
    <w:rsid w:val="008C68F1"/>
    <w:rsid w:val="008E5BD7"/>
    <w:rsid w:val="00921803"/>
    <w:rsid w:val="00926503"/>
    <w:rsid w:val="009726D8"/>
    <w:rsid w:val="009B629F"/>
    <w:rsid w:val="009F2819"/>
    <w:rsid w:val="009F76DB"/>
    <w:rsid w:val="00A32C3B"/>
    <w:rsid w:val="00A45F4F"/>
    <w:rsid w:val="00A600A9"/>
    <w:rsid w:val="00AA55B7"/>
    <w:rsid w:val="00AA5B9E"/>
    <w:rsid w:val="00AB2407"/>
    <w:rsid w:val="00AB53DF"/>
    <w:rsid w:val="00AB6C11"/>
    <w:rsid w:val="00AC424B"/>
    <w:rsid w:val="00AC4271"/>
    <w:rsid w:val="00AF46DC"/>
    <w:rsid w:val="00B07E5C"/>
    <w:rsid w:val="00B20363"/>
    <w:rsid w:val="00B338A9"/>
    <w:rsid w:val="00B679AB"/>
    <w:rsid w:val="00B76DB8"/>
    <w:rsid w:val="00B811F7"/>
    <w:rsid w:val="00B96F90"/>
    <w:rsid w:val="00BA5DC6"/>
    <w:rsid w:val="00BA6196"/>
    <w:rsid w:val="00BC6D8C"/>
    <w:rsid w:val="00BE6657"/>
    <w:rsid w:val="00C02393"/>
    <w:rsid w:val="00C1683E"/>
    <w:rsid w:val="00C32476"/>
    <w:rsid w:val="00C34006"/>
    <w:rsid w:val="00C4131C"/>
    <w:rsid w:val="00C426B1"/>
    <w:rsid w:val="00C66160"/>
    <w:rsid w:val="00C721AC"/>
    <w:rsid w:val="00C90D6A"/>
    <w:rsid w:val="00CA247E"/>
    <w:rsid w:val="00CB104F"/>
    <w:rsid w:val="00CC72B6"/>
    <w:rsid w:val="00CC776F"/>
    <w:rsid w:val="00D0218D"/>
    <w:rsid w:val="00D06657"/>
    <w:rsid w:val="00D06CD0"/>
    <w:rsid w:val="00D25FB5"/>
    <w:rsid w:val="00D44223"/>
    <w:rsid w:val="00D47505"/>
    <w:rsid w:val="00D80AF5"/>
    <w:rsid w:val="00DA2529"/>
    <w:rsid w:val="00DB130A"/>
    <w:rsid w:val="00DB2EBB"/>
    <w:rsid w:val="00DC10A1"/>
    <w:rsid w:val="00DC655F"/>
    <w:rsid w:val="00DD0B59"/>
    <w:rsid w:val="00DD7EBD"/>
    <w:rsid w:val="00DE4C8D"/>
    <w:rsid w:val="00DF0810"/>
    <w:rsid w:val="00DF62B6"/>
    <w:rsid w:val="00E07225"/>
    <w:rsid w:val="00E5409F"/>
    <w:rsid w:val="00EB4ACC"/>
    <w:rsid w:val="00EC14EF"/>
    <w:rsid w:val="00EE6488"/>
    <w:rsid w:val="00F021FA"/>
    <w:rsid w:val="00F62E97"/>
    <w:rsid w:val="00F64209"/>
    <w:rsid w:val="00F76BD8"/>
    <w:rsid w:val="00F8591E"/>
    <w:rsid w:val="00F93BF5"/>
    <w:rsid w:val="00FB481C"/>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aliases w:val="H1,Heading 1 Char2,Heading 1 Char1 Char,Heading 1 Char Char Char,Heading 1 Char Char1,Heading 1 Char Char1 Char,Heading 1 Char2 Char Char1 Char,Heading 1 Char1 Char Char Char2 Char,Heading 1 Char Char Char Char Char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UNDERRUBRIK 1-2,Heading 2 Char,h2 Char,UNDERRUBRIK 1-2 Char,Heading 2 Char Char1,Heading 2 Char1 Char Char,Heading 2 Char Char1 Char Char,Heading 2 Char Char2,Heading 2 Char1 Char,Heading 2 Char Char3 Char,Heading 2 Char1 Char Char Char"/>
    <w:basedOn w:val="Normal"/>
    <w:next w:val="ParaNum"/>
    <w:autoRedefine/>
    <w:qFormat/>
    <w:rsid w:val="007A1E6D"/>
    <w:pPr>
      <w:keepNext/>
      <w:numPr>
        <w:ilvl w:val="1"/>
        <w:numId w:val="3"/>
      </w:numPr>
      <w:spacing w:after="120"/>
      <w:outlineLvl w:val="1"/>
    </w:pPr>
    <w:rPr>
      <w:b/>
    </w:rPr>
  </w:style>
  <w:style w:type="paragraph" w:styleId="Heading3">
    <w:name w:val="heading 3"/>
    <w:aliases w:val="3,Titre 3,1,31,Titre 31,?? 3,3 Char,Titre 3 Char,1 Char,31 Char,Titre 31 Char,?? 3 Char,Heading 3 Char1 Char Char,Heading 3 Char Char Char Char,Heading 3 Char2 Char1 Char Char,Heading 3 Char Char Char Char Char,Heading 3 Char1"/>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fn,ALTS FOOTNOT,f"/>
    <w:link w:val="FootnoteTextChar"/>
    <w:rsid w:val="000E3D42"/>
    <w:pPr>
      <w:spacing w:after="120"/>
    </w:pPr>
  </w:style>
  <w:style w:type="character" w:styleId="FootnoteReference">
    <w:name w:val="footnote reference"/>
    <w:aliases w:val="Appel note de bas de p,Style 12,(NECG) Footnote Reference,Style 124,o,fr,Style 3,Style 13,Footnote Reference/,FR,Style 17,Style 6,Style 4,Footnote Reference1,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ListParagraph">
    <w:name w:val="List Paragraph"/>
    <w:basedOn w:val="Normal"/>
    <w:uiPriority w:val="34"/>
    <w:qFormat/>
    <w:rsid w:val="00AB6C11"/>
    <w:pPr>
      <w:ind w:left="720"/>
      <w:contextualSpacing/>
    </w:pPr>
  </w:style>
  <w:style w:type="character" w:customStyle="1" w:styleId="FootnoteTextChar">
    <w:name w:val="Footnote Text Char"/>
    <w:aliases w:val="Footnote Text Char1 Char,Footnote Text Char Char Char,Footnote Text Char1 Char Char Char,Footnote Text Char Char Char Char Char,Footnote Text Char1 Char Char Char1 Char Char,Footnote Text Char Char Char Char Char1 Char Char,fn Char"/>
    <w:basedOn w:val="DefaultParagraphFont"/>
    <w:link w:val="FootnoteText"/>
    <w:rsid w:val="00AB6C11"/>
  </w:style>
  <w:style w:type="character" w:customStyle="1" w:styleId="ParaNumChar">
    <w:name w:val="ParaNum Char"/>
    <w:link w:val="ParaNum"/>
    <w:locked/>
    <w:rsid w:val="00BE6657"/>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aliases w:val="H1,Heading 1 Char2,Heading 1 Char1 Char,Heading 1 Char Char Char,Heading 1 Char Char1,Heading 1 Char Char1 Char,Heading 1 Char2 Char Char1 Char,Heading 1 Char1 Char Char Char2 Char,Heading 1 Char Char Char Char Char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UNDERRUBRIK 1-2,Heading 2 Char,h2 Char,UNDERRUBRIK 1-2 Char,Heading 2 Char Char1,Heading 2 Char1 Char Char,Heading 2 Char Char1 Char Char,Heading 2 Char Char2,Heading 2 Char1 Char,Heading 2 Char Char3 Char,Heading 2 Char1 Char Char Char"/>
    <w:basedOn w:val="Normal"/>
    <w:next w:val="ParaNum"/>
    <w:autoRedefine/>
    <w:qFormat/>
    <w:rsid w:val="007A1E6D"/>
    <w:pPr>
      <w:keepNext/>
      <w:numPr>
        <w:ilvl w:val="1"/>
        <w:numId w:val="3"/>
      </w:numPr>
      <w:spacing w:after="120"/>
      <w:outlineLvl w:val="1"/>
    </w:pPr>
    <w:rPr>
      <w:b/>
    </w:rPr>
  </w:style>
  <w:style w:type="paragraph" w:styleId="Heading3">
    <w:name w:val="heading 3"/>
    <w:aliases w:val="3,Titre 3,1,31,Titre 31,?? 3,3 Char,Titre 3 Char,1 Char,31 Char,Titre 31 Char,?? 3 Char,Heading 3 Char1 Char Char,Heading 3 Char Char Char Char,Heading 3 Char2 Char1 Char Char,Heading 3 Char Char Char Char Char,Heading 3 Char1"/>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fn,ALTS FOOTNOT,f"/>
    <w:link w:val="FootnoteTextChar"/>
    <w:rsid w:val="000E3D42"/>
    <w:pPr>
      <w:spacing w:after="120"/>
    </w:pPr>
  </w:style>
  <w:style w:type="character" w:styleId="FootnoteReference">
    <w:name w:val="footnote reference"/>
    <w:aliases w:val="Appel note de bas de p,Style 12,(NECG) Footnote Reference,Style 124,o,fr,Style 3,Style 13,Footnote Reference/,FR,Style 17,Style 6,Style 4,Footnote Reference1,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ListParagraph">
    <w:name w:val="List Paragraph"/>
    <w:basedOn w:val="Normal"/>
    <w:uiPriority w:val="34"/>
    <w:qFormat/>
    <w:rsid w:val="00AB6C11"/>
    <w:pPr>
      <w:ind w:left="720"/>
      <w:contextualSpacing/>
    </w:pPr>
  </w:style>
  <w:style w:type="character" w:customStyle="1" w:styleId="FootnoteTextChar">
    <w:name w:val="Footnote Text Char"/>
    <w:aliases w:val="Footnote Text Char1 Char,Footnote Text Char Char Char,Footnote Text Char1 Char Char Char,Footnote Text Char Char Char Char Char,Footnote Text Char1 Char Char Char1 Char Char,Footnote Text Char Char Char Char Char1 Char Char,fn Char"/>
    <w:basedOn w:val="DefaultParagraphFont"/>
    <w:link w:val="FootnoteText"/>
    <w:rsid w:val="00AB6C11"/>
  </w:style>
  <w:style w:type="character" w:customStyle="1" w:styleId="ParaNumChar">
    <w:name w:val="ParaNum Char"/>
    <w:link w:val="ParaNum"/>
    <w:locked/>
    <w:rsid w:val="00BE665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ra.Keltz@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essica.Greffenius@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804</Words>
  <Characters>4543</Characters>
  <Application>Microsoft Office Word</Application>
  <DocSecurity>0</DocSecurity>
  <Lines>77</Lines>
  <Paragraphs>19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5362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2017-06-21T20:16:00Z</cp:lastPrinted>
  <dcterms:created xsi:type="dcterms:W3CDTF">2017-06-22T14:41:00Z</dcterms:created>
  <dcterms:modified xsi:type="dcterms:W3CDTF">2017-06-22T14:41:00Z</dcterms:modified>
  <cp:category> </cp:category>
  <cp:contentStatus> </cp:contentStatus>
</cp:coreProperties>
</file>