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9CC0" w14:textId="77777777" w:rsidR="004C2EE3" w:rsidRPr="00971D0D" w:rsidRDefault="004C2EE3" w:rsidP="00D763A8">
      <w:pPr>
        <w:jc w:val="center"/>
        <w:rPr>
          <w:b/>
        </w:rPr>
      </w:pPr>
      <w:bookmarkStart w:id="0" w:name="_GoBack"/>
      <w:bookmarkEnd w:id="0"/>
      <w:r w:rsidRPr="00971D0D">
        <w:rPr>
          <w:rFonts w:ascii="Times New Roman Bold" w:hAnsi="Times New Roman Bold"/>
          <w:b/>
          <w:kern w:val="0"/>
          <w:szCs w:val="22"/>
        </w:rPr>
        <w:t>Before</w:t>
      </w:r>
      <w:r w:rsidRPr="00971D0D">
        <w:rPr>
          <w:b/>
        </w:rPr>
        <w:t xml:space="preserve"> the</w:t>
      </w:r>
    </w:p>
    <w:p w14:paraId="7C035148" w14:textId="77777777" w:rsidR="00921803" w:rsidRPr="00B76011" w:rsidRDefault="00921803" w:rsidP="00921803">
      <w:pPr>
        <w:pStyle w:val="StyleBoldCentered"/>
      </w:pPr>
      <w:r w:rsidRPr="00B76011">
        <w:t>F</w:t>
      </w:r>
      <w:r w:rsidRPr="00B76011">
        <w:rPr>
          <w:caps w:val="0"/>
        </w:rPr>
        <w:t>ederal Communications Commission</w:t>
      </w:r>
    </w:p>
    <w:p w14:paraId="265227B3" w14:textId="77777777" w:rsidR="004C2EE3" w:rsidRPr="00CD2847" w:rsidRDefault="00810B6F" w:rsidP="00096D8C">
      <w:pPr>
        <w:pStyle w:val="StyleBoldCentered"/>
      </w:pPr>
      <w:r w:rsidRPr="00CD2847">
        <w:rPr>
          <w:caps w:val="0"/>
        </w:rPr>
        <w:t>Washington, D.C. 20554</w:t>
      </w:r>
    </w:p>
    <w:p w14:paraId="38C9D146" w14:textId="77777777" w:rsidR="004C2EE3" w:rsidRPr="00971D0D" w:rsidRDefault="004C2EE3" w:rsidP="0070224F"/>
    <w:p w14:paraId="316E3CB4" w14:textId="77777777" w:rsidR="004C2EE3" w:rsidRPr="00971D0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971D0D" w14:paraId="5668EEB4" w14:textId="77777777">
        <w:tc>
          <w:tcPr>
            <w:tcW w:w="4698" w:type="dxa"/>
          </w:tcPr>
          <w:p w14:paraId="6D1B89CC" w14:textId="77777777" w:rsidR="004C2EE3" w:rsidRPr="00971D0D" w:rsidRDefault="004C2EE3">
            <w:pPr>
              <w:tabs>
                <w:tab w:val="center" w:pos="4680"/>
              </w:tabs>
              <w:suppressAutoHyphens/>
              <w:rPr>
                <w:spacing w:val="-2"/>
              </w:rPr>
            </w:pPr>
            <w:r w:rsidRPr="00971D0D">
              <w:rPr>
                <w:spacing w:val="-2"/>
              </w:rPr>
              <w:t>In the Matter of</w:t>
            </w:r>
          </w:p>
          <w:p w14:paraId="54825117" w14:textId="77777777" w:rsidR="004C2EE3" w:rsidRPr="00971D0D" w:rsidRDefault="004C2EE3">
            <w:pPr>
              <w:tabs>
                <w:tab w:val="center" w:pos="4680"/>
              </w:tabs>
              <w:suppressAutoHyphens/>
              <w:rPr>
                <w:spacing w:val="-2"/>
              </w:rPr>
            </w:pPr>
          </w:p>
          <w:p w14:paraId="266DD478" w14:textId="4FEE239B" w:rsidR="00817E7A" w:rsidRPr="00971D0D" w:rsidRDefault="005D5981" w:rsidP="005D5981">
            <w:pPr>
              <w:tabs>
                <w:tab w:val="center" w:pos="4680"/>
              </w:tabs>
              <w:suppressAutoHyphens/>
              <w:rPr>
                <w:spacing w:val="-2"/>
              </w:rPr>
            </w:pPr>
            <w:r w:rsidRPr="00971D0D">
              <w:rPr>
                <w:spacing w:val="-2"/>
              </w:rPr>
              <w:t xml:space="preserve">Application </w:t>
            </w:r>
            <w:r w:rsidR="00876273" w:rsidRPr="00971D0D">
              <w:rPr>
                <w:spacing w:val="-2"/>
              </w:rPr>
              <w:t>of</w:t>
            </w:r>
            <w:r w:rsidRPr="00971D0D">
              <w:rPr>
                <w:spacing w:val="-2"/>
              </w:rPr>
              <w:t xml:space="preserve"> Cellco Partnership d/b/a Verizon Wireless and</w:t>
            </w:r>
            <w:r w:rsidR="00F4607F">
              <w:rPr>
                <w:spacing w:val="-2"/>
              </w:rPr>
              <w:t xml:space="preserve"> XO Holdings</w:t>
            </w:r>
            <w:r w:rsidRPr="00971D0D">
              <w:rPr>
                <w:spacing w:val="-2"/>
              </w:rPr>
              <w:t xml:space="preserve"> </w:t>
            </w:r>
          </w:p>
          <w:p w14:paraId="5E7CD5C2" w14:textId="77777777" w:rsidR="00817E7A" w:rsidRPr="00971D0D" w:rsidRDefault="00817E7A" w:rsidP="005D5981">
            <w:pPr>
              <w:tabs>
                <w:tab w:val="center" w:pos="4680"/>
              </w:tabs>
              <w:suppressAutoHyphens/>
              <w:rPr>
                <w:spacing w:val="-2"/>
              </w:rPr>
            </w:pPr>
          </w:p>
          <w:p w14:paraId="332BD444" w14:textId="77777777" w:rsidR="004C2EE3" w:rsidRDefault="00817E7A" w:rsidP="00F4607F">
            <w:pPr>
              <w:tabs>
                <w:tab w:val="center" w:pos="4680"/>
              </w:tabs>
              <w:suppressAutoHyphens/>
              <w:rPr>
                <w:spacing w:val="-2"/>
              </w:rPr>
            </w:pPr>
            <w:r w:rsidRPr="00971D0D">
              <w:rPr>
                <w:spacing w:val="-2"/>
              </w:rPr>
              <w:t>F</w:t>
            </w:r>
            <w:r w:rsidR="005D5981" w:rsidRPr="00971D0D">
              <w:rPr>
                <w:spacing w:val="-2"/>
              </w:rPr>
              <w:t xml:space="preserve">or Consent to Transfer </w:t>
            </w:r>
            <w:r w:rsidR="00F4607F">
              <w:rPr>
                <w:spacing w:val="-2"/>
              </w:rPr>
              <w:t>of Control of Nextlink Wireless, LLC</w:t>
            </w:r>
            <w:r w:rsidR="005D5981" w:rsidRPr="00971D0D">
              <w:rPr>
                <w:spacing w:val="-2"/>
              </w:rPr>
              <w:t xml:space="preserve"> </w:t>
            </w:r>
          </w:p>
          <w:p w14:paraId="337B1417" w14:textId="77777777" w:rsidR="00F4607F" w:rsidRDefault="00F4607F" w:rsidP="00F4607F">
            <w:pPr>
              <w:tabs>
                <w:tab w:val="center" w:pos="4680"/>
              </w:tabs>
              <w:suppressAutoHyphens/>
              <w:rPr>
                <w:spacing w:val="-2"/>
              </w:rPr>
            </w:pPr>
          </w:p>
          <w:p w14:paraId="33365013" w14:textId="34B7C1AA" w:rsidR="00F4607F" w:rsidRPr="00F4607F" w:rsidRDefault="00F4607F" w:rsidP="00F4607F">
            <w:pPr>
              <w:tabs>
                <w:tab w:val="center" w:pos="4680"/>
              </w:tabs>
              <w:suppressAutoHyphens/>
              <w:rPr>
                <w:spacing w:val="-2"/>
              </w:rPr>
            </w:pPr>
            <w:r w:rsidRPr="00F4607F">
              <w:rPr>
                <w:spacing w:val="-2"/>
              </w:rPr>
              <w:t xml:space="preserve">Application of Verizon </w:t>
            </w:r>
            <w:r>
              <w:rPr>
                <w:spacing w:val="-2"/>
              </w:rPr>
              <w:t>Communications, Inc. and Straight Path Communications, Inc.</w:t>
            </w:r>
          </w:p>
          <w:p w14:paraId="45AAB52E" w14:textId="77777777" w:rsidR="00F4607F" w:rsidRPr="00F4607F" w:rsidRDefault="00F4607F" w:rsidP="00F4607F">
            <w:pPr>
              <w:tabs>
                <w:tab w:val="center" w:pos="4680"/>
              </w:tabs>
              <w:suppressAutoHyphens/>
              <w:rPr>
                <w:spacing w:val="-2"/>
              </w:rPr>
            </w:pPr>
          </w:p>
          <w:p w14:paraId="76216F54" w14:textId="25DA392F" w:rsidR="00F4607F" w:rsidRPr="00971D0D" w:rsidRDefault="00F4607F" w:rsidP="00F4607F">
            <w:pPr>
              <w:tabs>
                <w:tab w:val="center" w:pos="4680"/>
              </w:tabs>
              <w:suppressAutoHyphens/>
              <w:rPr>
                <w:spacing w:val="-2"/>
              </w:rPr>
            </w:pPr>
            <w:r w:rsidRPr="00F4607F">
              <w:rPr>
                <w:spacing w:val="-2"/>
              </w:rPr>
              <w:t>For Consent to Transfer of Control of</w:t>
            </w:r>
            <w:r>
              <w:rPr>
                <w:spacing w:val="-2"/>
              </w:rPr>
              <w:t xml:space="preserve"> Straight Path Spectrum</w:t>
            </w:r>
            <w:r w:rsidRPr="00F4607F">
              <w:rPr>
                <w:spacing w:val="-2"/>
              </w:rPr>
              <w:t>, LLC</w:t>
            </w:r>
          </w:p>
        </w:tc>
        <w:tc>
          <w:tcPr>
            <w:tcW w:w="630" w:type="dxa"/>
          </w:tcPr>
          <w:p w14:paraId="7BB8F361" w14:textId="77777777" w:rsidR="004C2EE3" w:rsidRPr="00971D0D" w:rsidRDefault="004C2EE3">
            <w:pPr>
              <w:tabs>
                <w:tab w:val="center" w:pos="4680"/>
              </w:tabs>
              <w:suppressAutoHyphens/>
              <w:rPr>
                <w:b/>
                <w:spacing w:val="-2"/>
              </w:rPr>
            </w:pPr>
            <w:r w:rsidRPr="00971D0D">
              <w:rPr>
                <w:b/>
                <w:spacing w:val="-2"/>
              </w:rPr>
              <w:t>)</w:t>
            </w:r>
          </w:p>
          <w:p w14:paraId="015DD8D6" w14:textId="77777777" w:rsidR="004C2EE3" w:rsidRPr="00971D0D" w:rsidRDefault="004C2EE3">
            <w:pPr>
              <w:tabs>
                <w:tab w:val="center" w:pos="4680"/>
              </w:tabs>
              <w:suppressAutoHyphens/>
              <w:rPr>
                <w:b/>
                <w:spacing w:val="-2"/>
              </w:rPr>
            </w:pPr>
            <w:r w:rsidRPr="00971D0D">
              <w:rPr>
                <w:b/>
                <w:spacing w:val="-2"/>
              </w:rPr>
              <w:t>)</w:t>
            </w:r>
          </w:p>
          <w:p w14:paraId="08544251" w14:textId="77777777" w:rsidR="004C2EE3" w:rsidRPr="00971D0D" w:rsidRDefault="004C2EE3">
            <w:pPr>
              <w:tabs>
                <w:tab w:val="center" w:pos="4680"/>
              </w:tabs>
              <w:suppressAutoHyphens/>
              <w:rPr>
                <w:b/>
                <w:spacing w:val="-2"/>
              </w:rPr>
            </w:pPr>
            <w:r w:rsidRPr="00971D0D">
              <w:rPr>
                <w:b/>
                <w:spacing w:val="-2"/>
              </w:rPr>
              <w:t>)</w:t>
            </w:r>
          </w:p>
          <w:p w14:paraId="2380D63A" w14:textId="77777777" w:rsidR="004C2EE3" w:rsidRPr="00971D0D" w:rsidRDefault="004C2EE3">
            <w:pPr>
              <w:tabs>
                <w:tab w:val="center" w:pos="4680"/>
              </w:tabs>
              <w:suppressAutoHyphens/>
              <w:rPr>
                <w:b/>
                <w:spacing w:val="-2"/>
              </w:rPr>
            </w:pPr>
            <w:r w:rsidRPr="00971D0D">
              <w:rPr>
                <w:b/>
                <w:spacing w:val="-2"/>
              </w:rPr>
              <w:t>)</w:t>
            </w:r>
          </w:p>
          <w:p w14:paraId="20A721E9" w14:textId="77777777" w:rsidR="004C2EE3" w:rsidRPr="00971D0D" w:rsidRDefault="004C2EE3">
            <w:pPr>
              <w:tabs>
                <w:tab w:val="center" w:pos="4680"/>
              </w:tabs>
              <w:suppressAutoHyphens/>
              <w:rPr>
                <w:b/>
                <w:spacing w:val="-2"/>
              </w:rPr>
            </w:pPr>
            <w:r w:rsidRPr="00971D0D">
              <w:rPr>
                <w:b/>
                <w:spacing w:val="-2"/>
              </w:rPr>
              <w:t>)</w:t>
            </w:r>
          </w:p>
          <w:p w14:paraId="46CCB7A1" w14:textId="77777777" w:rsidR="004C2EE3" w:rsidRPr="00971D0D" w:rsidRDefault="004C2EE3">
            <w:pPr>
              <w:tabs>
                <w:tab w:val="center" w:pos="4680"/>
              </w:tabs>
              <w:suppressAutoHyphens/>
              <w:rPr>
                <w:b/>
                <w:spacing w:val="-2"/>
              </w:rPr>
            </w:pPr>
            <w:r w:rsidRPr="00971D0D">
              <w:rPr>
                <w:b/>
                <w:spacing w:val="-2"/>
              </w:rPr>
              <w:t>)</w:t>
            </w:r>
          </w:p>
          <w:p w14:paraId="134C267D" w14:textId="77777777" w:rsidR="004C2EE3" w:rsidRDefault="004C2EE3">
            <w:pPr>
              <w:tabs>
                <w:tab w:val="center" w:pos="4680"/>
              </w:tabs>
              <w:suppressAutoHyphens/>
              <w:rPr>
                <w:b/>
                <w:spacing w:val="-2"/>
              </w:rPr>
            </w:pPr>
            <w:r w:rsidRPr="00971D0D">
              <w:rPr>
                <w:b/>
                <w:spacing w:val="-2"/>
              </w:rPr>
              <w:t>)</w:t>
            </w:r>
          </w:p>
          <w:p w14:paraId="6B6D3671" w14:textId="77777777" w:rsidR="00F4607F" w:rsidRDefault="00F4607F">
            <w:pPr>
              <w:tabs>
                <w:tab w:val="center" w:pos="4680"/>
              </w:tabs>
              <w:suppressAutoHyphens/>
              <w:rPr>
                <w:b/>
                <w:spacing w:val="-2"/>
              </w:rPr>
            </w:pPr>
            <w:r>
              <w:rPr>
                <w:b/>
                <w:spacing w:val="-2"/>
              </w:rPr>
              <w:t>)</w:t>
            </w:r>
          </w:p>
          <w:p w14:paraId="25425F82" w14:textId="77777777" w:rsidR="00F4607F" w:rsidRDefault="00F4607F">
            <w:pPr>
              <w:tabs>
                <w:tab w:val="center" w:pos="4680"/>
              </w:tabs>
              <w:suppressAutoHyphens/>
              <w:rPr>
                <w:b/>
                <w:spacing w:val="-2"/>
              </w:rPr>
            </w:pPr>
            <w:r>
              <w:rPr>
                <w:b/>
                <w:spacing w:val="-2"/>
              </w:rPr>
              <w:t>)</w:t>
            </w:r>
          </w:p>
          <w:p w14:paraId="63D9FF49" w14:textId="77777777" w:rsidR="00F4607F" w:rsidRDefault="00F4607F">
            <w:pPr>
              <w:tabs>
                <w:tab w:val="center" w:pos="4680"/>
              </w:tabs>
              <w:suppressAutoHyphens/>
              <w:rPr>
                <w:b/>
                <w:spacing w:val="-2"/>
              </w:rPr>
            </w:pPr>
            <w:r>
              <w:rPr>
                <w:b/>
                <w:spacing w:val="-2"/>
              </w:rPr>
              <w:t>)</w:t>
            </w:r>
          </w:p>
          <w:p w14:paraId="17EFBD01" w14:textId="77777777" w:rsidR="00F4607F" w:rsidRDefault="00F4607F">
            <w:pPr>
              <w:tabs>
                <w:tab w:val="center" w:pos="4680"/>
              </w:tabs>
              <w:suppressAutoHyphens/>
              <w:rPr>
                <w:b/>
                <w:spacing w:val="-2"/>
              </w:rPr>
            </w:pPr>
            <w:r>
              <w:rPr>
                <w:b/>
                <w:spacing w:val="-2"/>
              </w:rPr>
              <w:t>)</w:t>
            </w:r>
          </w:p>
          <w:p w14:paraId="251FB4C7" w14:textId="77777777" w:rsidR="00F4607F" w:rsidRDefault="00F4607F">
            <w:pPr>
              <w:tabs>
                <w:tab w:val="center" w:pos="4680"/>
              </w:tabs>
              <w:suppressAutoHyphens/>
              <w:rPr>
                <w:b/>
                <w:spacing w:val="-2"/>
              </w:rPr>
            </w:pPr>
            <w:r>
              <w:rPr>
                <w:b/>
                <w:spacing w:val="-2"/>
              </w:rPr>
              <w:t>)</w:t>
            </w:r>
          </w:p>
          <w:p w14:paraId="262B1952" w14:textId="77777777" w:rsidR="00F4607F" w:rsidRDefault="00F4607F">
            <w:pPr>
              <w:tabs>
                <w:tab w:val="center" w:pos="4680"/>
              </w:tabs>
              <w:suppressAutoHyphens/>
              <w:rPr>
                <w:b/>
                <w:spacing w:val="-2"/>
              </w:rPr>
            </w:pPr>
            <w:r>
              <w:rPr>
                <w:b/>
                <w:spacing w:val="-2"/>
              </w:rPr>
              <w:t>)</w:t>
            </w:r>
          </w:p>
          <w:p w14:paraId="36AD84BA" w14:textId="1EAD4B32" w:rsidR="00F4607F" w:rsidRPr="00971D0D" w:rsidRDefault="00F4607F">
            <w:pPr>
              <w:tabs>
                <w:tab w:val="center" w:pos="4680"/>
              </w:tabs>
              <w:suppressAutoHyphens/>
              <w:rPr>
                <w:spacing w:val="-2"/>
              </w:rPr>
            </w:pPr>
            <w:r>
              <w:rPr>
                <w:b/>
                <w:spacing w:val="-2"/>
              </w:rPr>
              <w:t>)</w:t>
            </w:r>
          </w:p>
        </w:tc>
        <w:tc>
          <w:tcPr>
            <w:tcW w:w="4248" w:type="dxa"/>
          </w:tcPr>
          <w:p w14:paraId="39C99EA6" w14:textId="77777777" w:rsidR="004C2EE3" w:rsidRPr="00971D0D" w:rsidRDefault="004C2EE3">
            <w:pPr>
              <w:tabs>
                <w:tab w:val="center" w:pos="4680"/>
              </w:tabs>
              <w:suppressAutoHyphens/>
              <w:rPr>
                <w:spacing w:val="-2"/>
              </w:rPr>
            </w:pPr>
          </w:p>
          <w:p w14:paraId="06D8204C" w14:textId="77777777" w:rsidR="004C2EE3" w:rsidRPr="00971D0D" w:rsidRDefault="004C2EE3">
            <w:pPr>
              <w:pStyle w:val="TOAHeading"/>
              <w:tabs>
                <w:tab w:val="clear" w:pos="9360"/>
                <w:tab w:val="center" w:pos="4680"/>
              </w:tabs>
              <w:rPr>
                <w:spacing w:val="-2"/>
              </w:rPr>
            </w:pPr>
          </w:p>
          <w:p w14:paraId="792A9128" w14:textId="77777777" w:rsidR="004C2EE3" w:rsidRDefault="005D5981" w:rsidP="00F4607F">
            <w:pPr>
              <w:tabs>
                <w:tab w:val="center" w:pos="4680"/>
              </w:tabs>
              <w:suppressAutoHyphens/>
              <w:rPr>
                <w:spacing w:val="-2"/>
              </w:rPr>
            </w:pPr>
            <w:r w:rsidRPr="00971D0D">
              <w:rPr>
                <w:spacing w:val="-2"/>
              </w:rPr>
              <w:t>File N</w:t>
            </w:r>
            <w:r w:rsidR="00876273" w:rsidRPr="00971D0D">
              <w:rPr>
                <w:spacing w:val="-2"/>
              </w:rPr>
              <w:t>o.</w:t>
            </w:r>
            <w:r w:rsidRPr="00971D0D">
              <w:rPr>
                <w:spacing w:val="-2"/>
              </w:rPr>
              <w:t xml:space="preserve"> 0007</w:t>
            </w:r>
            <w:r w:rsidR="00F4607F">
              <w:rPr>
                <w:spacing w:val="-2"/>
              </w:rPr>
              <w:t>7</w:t>
            </w:r>
            <w:r w:rsidRPr="00971D0D">
              <w:rPr>
                <w:spacing w:val="-2"/>
              </w:rPr>
              <w:t>6</w:t>
            </w:r>
            <w:r w:rsidR="00F4607F">
              <w:rPr>
                <w:spacing w:val="-2"/>
              </w:rPr>
              <w:t>5708</w:t>
            </w:r>
          </w:p>
          <w:p w14:paraId="710F9D1F" w14:textId="77777777" w:rsidR="00F4607F" w:rsidRDefault="00F4607F" w:rsidP="00F4607F">
            <w:pPr>
              <w:tabs>
                <w:tab w:val="center" w:pos="4680"/>
              </w:tabs>
              <w:suppressAutoHyphens/>
              <w:rPr>
                <w:spacing w:val="-2"/>
              </w:rPr>
            </w:pPr>
          </w:p>
          <w:p w14:paraId="7F0B962F" w14:textId="77777777" w:rsidR="00F4607F" w:rsidRDefault="00F4607F" w:rsidP="00F4607F">
            <w:pPr>
              <w:tabs>
                <w:tab w:val="center" w:pos="4680"/>
              </w:tabs>
              <w:suppressAutoHyphens/>
              <w:rPr>
                <w:spacing w:val="-2"/>
              </w:rPr>
            </w:pPr>
          </w:p>
          <w:p w14:paraId="7A8D86E0" w14:textId="77777777" w:rsidR="00F4607F" w:rsidRDefault="00F4607F" w:rsidP="00F4607F">
            <w:pPr>
              <w:tabs>
                <w:tab w:val="center" w:pos="4680"/>
              </w:tabs>
              <w:suppressAutoHyphens/>
              <w:rPr>
                <w:spacing w:val="-2"/>
              </w:rPr>
            </w:pPr>
          </w:p>
          <w:p w14:paraId="227C3EAE" w14:textId="77777777" w:rsidR="00F4607F" w:rsidRDefault="00F4607F" w:rsidP="00F4607F">
            <w:pPr>
              <w:tabs>
                <w:tab w:val="center" w:pos="4680"/>
              </w:tabs>
              <w:suppressAutoHyphens/>
              <w:rPr>
                <w:spacing w:val="-2"/>
              </w:rPr>
            </w:pPr>
          </w:p>
          <w:p w14:paraId="137D6411" w14:textId="77777777" w:rsidR="00F4607F" w:rsidRDefault="00F4607F" w:rsidP="00F4607F">
            <w:pPr>
              <w:tabs>
                <w:tab w:val="center" w:pos="4680"/>
              </w:tabs>
              <w:suppressAutoHyphens/>
              <w:rPr>
                <w:spacing w:val="-2"/>
              </w:rPr>
            </w:pPr>
          </w:p>
          <w:p w14:paraId="2C5BBCDB" w14:textId="4C74A542" w:rsidR="00F4607F" w:rsidRPr="00971D0D" w:rsidRDefault="00F4607F" w:rsidP="00F4607F">
            <w:pPr>
              <w:tabs>
                <w:tab w:val="center" w:pos="4680"/>
              </w:tabs>
              <w:suppressAutoHyphens/>
              <w:rPr>
                <w:spacing w:val="-2"/>
              </w:rPr>
            </w:pPr>
            <w:r>
              <w:rPr>
                <w:spacing w:val="-2"/>
              </w:rPr>
              <w:t>File No. 0007783428</w:t>
            </w:r>
          </w:p>
        </w:tc>
      </w:tr>
    </w:tbl>
    <w:p w14:paraId="129A64BB" w14:textId="5E773807" w:rsidR="004C2EE3" w:rsidRPr="00971D0D" w:rsidRDefault="004C2EE3" w:rsidP="0070224F"/>
    <w:p w14:paraId="48171EA5" w14:textId="77777777" w:rsidR="00841AB1" w:rsidRPr="00971D0D" w:rsidRDefault="005D5981" w:rsidP="00F021FA">
      <w:pPr>
        <w:pStyle w:val="StyleBoldCentered"/>
      </w:pPr>
      <w:r w:rsidRPr="00971D0D">
        <w:t>MEMORANDUM OPINION AND ORDER</w:t>
      </w:r>
    </w:p>
    <w:p w14:paraId="39FF6912" w14:textId="77777777" w:rsidR="004C2EE3" w:rsidRPr="00971D0D" w:rsidRDefault="004C2EE3">
      <w:pPr>
        <w:tabs>
          <w:tab w:val="left" w:pos="-720"/>
        </w:tabs>
        <w:suppressAutoHyphens/>
        <w:spacing w:line="227" w:lineRule="auto"/>
        <w:rPr>
          <w:spacing w:val="-2"/>
        </w:rPr>
      </w:pPr>
    </w:p>
    <w:p w14:paraId="166EBC2C" w14:textId="340A6ECA" w:rsidR="004C2EE3" w:rsidRPr="00971D0D" w:rsidRDefault="004C2EE3" w:rsidP="00133F79">
      <w:pPr>
        <w:tabs>
          <w:tab w:val="left" w:pos="720"/>
          <w:tab w:val="right" w:pos="9360"/>
        </w:tabs>
        <w:suppressAutoHyphens/>
        <w:spacing w:line="227" w:lineRule="auto"/>
        <w:rPr>
          <w:spacing w:val="-2"/>
        </w:rPr>
      </w:pPr>
      <w:r w:rsidRPr="004131DF">
        <w:rPr>
          <w:b/>
          <w:spacing w:val="-2"/>
        </w:rPr>
        <w:t xml:space="preserve">Adopted:  </w:t>
      </w:r>
      <w:r w:rsidR="00F4607F">
        <w:rPr>
          <w:b/>
          <w:spacing w:val="-2"/>
        </w:rPr>
        <w:t xml:space="preserve">June </w:t>
      </w:r>
      <w:r w:rsidR="00B509FE">
        <w:rPr>
          <w:b/>
          <w:spacing w:val="-2"/>
        </w:rPr>
        <w:t>21</w:t>
      </w:r>
      <w:r w:rsidR="00D763A8">
        <w:rPr>
          <w:b/>
          <w:spacing w:val="-2"/>
        </w:rPr>
        <w:t>, 201</w:t>
      </w:r>
      <w:r w:rsidR="00F4607F">
        <w:rPr>
          <w:b/>
          <w:spacing w:val="-2"/>
        </w:rPr>
        <w:t>7</w:t>
      </w:r>
      <w:r w:rsidRPr="004131DF">
        <w:rPr>
          <w:b/>
          <w:spacing w:val="-2"/>
        </w:rPr>
        <w:tab/>
      </w:r>
      <w:r w:rsidR="00822CE0" w:rsidRPr="004131DF">
        <w:rPr>
          <w:b/>
          <w:spacing w:val="-2"/>
        </w:rPr>
        <w:t>Released</w:t>
      </w:r>
      <w:r w:rsidRPr="004131DF">
        <w:rPr>
          <w:b/>
          <w:spacing w:val="-2"/>
        </w:rPr>
        <w:t>:</w:t>
      </w:r>
      <w:r w:rsidR="00822CE0" w:rsidRPr="004131DF">
        <w:rPr>
          <w:b/>
          <w:spacing w:val="-2"/>
        </w:rPr>
        <w:t xml:space="preserve"> </w:t>
      </w:r>
      <w:r w:rsidR="00240A3A">
        <w:rPr>
          <w:b/>
          <w:spacing w:val="-2"/>
        </w:rPr>
        <w:t xml:space="preserve"> Ju</w:t>
      </w:r>
      <w:r w:rsidR="00F4607F">
        <w:rPr>
          <w:b/>
          <w:spacing w:val="-2"/>
        </w:rPr>
        <w:t>ne</w:t>
      </w:r>
      <w:r w:rsidR="00240A3A">
        <w:rPr>
          <w:b/>
          <w:spacing w:val="-2"/>
        </w:rPr>
        <w:t xml:space="preserve"> </w:t>
      </w:r>
      <w:r w:rsidR="00B509FE">
        <w:rPr>
          <w:b/>
          <w:spacing w:val="-2"/>
        </w:rPr>
        <w:t>22</w:t>
      </w:r>
      <w:r w:rsidR="00D763A8">
        <w:rPr>
          <w:b/>
          <w:spacing w:val="-2"/>
        </w:rPr>
        <w:t>, 201</w:t>
      </w:r>
      <w:r w:rsidR="00F4607F">
        <w:rPr>
          <w:b/>
          <w:spacing w:val="-2"/>
        </w:rPr>
        <w:t>7</w:t>
      </w:r>
    </w:p>
    <w:p w14:paraId="3135954A" w14:textId="77777777" w:rsidR="00822CE0" w:rsidRPr="00B76011" w:rsidRDefault="00822CE0"/>
    <w:p w14:paraId="6FACFF49" w14:textId="5E4AD6AD" w:rsidR="00822CE0" w:rsidRPr="00971D0D" w:rsidRDefault="004C2EE3">
      <w:pPr>
        <w:rPr>
          <w:spacing w:val="-2"/>
        </w:rPr>
      </w:pPr>
      <w:r w:rsidRPr="00B76011">
        <w:t xml:space="preserve">By </w:t>
      </w:r>
      <w:r w:rsidR="00817E7A" w:rsidRPr="00B76011">
        <w:t xml:space="preserve">the </w:t>
      </w:r>
      <w:r w:rsidR="00F4607F">
        <w:t xml:space="preserve">Deputy </w:t>
      </w:r>
      <w:r w:rsidR="005D5981" w:rsidRPr="00CD2847">
        <w:t xml:space="preserve">Chief, </w:t>
      </w:r>
      <w:r w:rsidR="00F4607F">
        <w:t xml:space="preserve">Broadband Division, </w:t>
      </w:r>
      <w:r w:rsidR="005D5981" w:rsidRPr="00CD2847">
        <w:t>Wireless Telecommunications Bureau:</w:t>
      </w:r>
    </w:p>
    <w:p w14:paraId="601DD35B" w14:textId="77777777" w:rsidR="00513B28" w:rsidRPr="00513B28" w:rsidRDefault="00513B28" w:rsidP="00513B28">
      <w:pPr>
        <w:pStyle w:val="ParaNum"/>
        <w:numPr>
          <w:ilvl w:val="0"/>
          <w:numId w:val="0"/>
        </w:numPr>
        <w:tabs>
          <w:tab w:val="num" w:pos="5760"/>
        </w:tabs>
        <w:ind w:left="806"/>
      </w:pPr>
    </w:p>
    <w:p w14:paraId="1836F1C4" w14:textId="46678C98" w:rsidR="0064624E" w:rsidRPr="0064624E" w:rsidRDefault="004E103E" w:rsidP="00541BFD">
      <w:pPr>
        <w:pStyle w:val="ParaNum"/>
        <w:tabs>
          <w:tab w:val="num" w:pos="1440"/>
        </w:tabs>
        <w:ind w:left="86"/>
      </w:pPr>
      <w:r>
        <w:rPr>
          <w:i/>
          <w:kern w:val="0"/>
        </w:rPr>
        <w:t xml:space="preserve">Introduction.  </w:t>
      </w:r>
      <w:r w:rsidR="00817E7A" w:rsidRPr="00971D0D">
        <w:rPr>
          <w:kern w:val="0"/>
        </w:rPr>
        <w:t xml:space="preserve">In this </w:t>
      </w:r>
      <w:r w:rsidR="00817E7A" w:rsidRPr="00F4607F">
        <w:rPr>
          <w:i/>
          <w:kern w:val="0"/>
        </w:rPr>
        <w:t>Memorandum Opinion and Order</w:t>
      </w:r>
      <w:r w:rsidR="00817E7A" w:rsidRPr="00971D0D">
        <w:rPr>
          <w:kern w:val="0"/>
        </w:rPr>
        <w:t xml:space="preserve">, we </w:t>
      </w:r>
      <w:r w:rsidR="00F4607F">
        <w:rPr>
          <w:kern w:val="0"/>
        </w:rPr>
        <w:t xml:space="preserve">deny </w:t>
      </w:r>
      <w:r w:rsidR="00513B28">
        <w:rPr>
          <w:kern w:val="0"/>
        </w:rPr>
        <w:t xml:space="preserve">a request filed by the Competitive Carriers Association (CCA) </w:t>
      </w:r>
      <w:r>
        <w:rPr>
          <w:kern w:val="0"/>
        </w:rPr>
        <w:t>to consolidate the Commission’s review of the two above-captioned applications for consent to transfer control of licenses and to set a single, unified pleading cycle for receiving public commen</w:t>
      </w:r>
      <w:r w:rsidR="002345A5">
        <w:rPr>
          <w:kern w:val="0"/>
        </w:rPr>
        <w:t>t on both transactions.</w:t>
      </w:r>
    </w:p>
    <w:p w14:paraId="10271072" w14:textId="1023813A" w:rsidR="0064624E" w:rsidRPr="0064624E" w:rsidRDefault="0064624E" w:rsidP="0059071E">
      <w:pPr>
        <w:pStyle w:val="ParaNum"/>
        <w:widowControl/>
        <w:tabs>
          <w:tab w:val="num" w:pos="1440"/>
        </w:tabs>
        <w:ind w:left="0"/>
        <w:rPr>
          <w:kern w:val="0"/>
        </w:rPr>
      </w:pPr>
      <w:r>
        <w:rPr>
          <w:i/>
          <w:kern w:val="0"/>
        </w:rPr>
        <w:t>Background.</w:t>
      </w:r>
      <w:r>
        <w:rPr>
          <w:kern w:val="0"/>
        </w:rPr>
        <w:t xml:space="preserve">  On May 11, 2017, </w:t>
      </w:r>
      <w:r w:rsidRPr="0064624E">
        <w:rPr>
          <w:kern w:val="0"/>
        </w:rPr>
        <w:t>Cellco Partnership d/b/a Verizon Wireless (Verizon Wireless) and XO Holdings (together with Verizon Wireless, the Applicants) filed an application pursuant to Section 310(d) of the Communications Act of 1934, as amended,</w:t>
      </w:r>
      <w:r w:rsidRPr="0064624E">
        <w:rPr>
          <w:kern w:val="0"/>
          <w:vertAlign w:val="superscript"/>
        </w:rPr>
        <w:footnoteReference w:id="2"/>
      </w:r>
      <w:r w:rsidRPr="0064624E">
        <w:rPr>
          <w:kern w:val="0"/>
        </w:rPr>
        <w:t xml:space="preserve"> seeking Commission consent to the transfer of control of Local Multipoint Distribution Service (LMDS), 39 GHz, 3650-3700 MHz, and common carrier fixed point to point microwave licenses held by XO Holdings subsidiary Nextlink Wireless, LLC (Nextlink).</w:t>
      </w:r>
      <w:r w:rsidR="00F10F6D">
        <w:rPr>
          <w:rStyle w:val="FootnoteReference"/>
          <w:kern w:val="0"/>
        </w:rPr>
        <w:footnoteReference w:id="3"/>
      </w:r>
      <w:r w:rsidRPr="0064624E">
        <w:rPr>
          <w:kern w:val="0"/>
        </w:rPr>
        <w:t xml:space="preserve">  Verizon Wireless currently leases from Nextlink spectrum under its LMDS and 39 GHz licenses,</w:t>
      </w:r>
      <w:r w:rsidRPr="0064624E">
        <w:rPr>
          <w:kern w:val="0"/>
          <w:vertAlign w:val="superscript"/>
        </w:rPr>
        <w:footnoteReference w:id="4"/>
      </w:r>
      <w:r w:rsidRPr="0064624E">
        <w:rPr>
          <w:kern w:val="0"/>
        </w:rPr>
        <w:t xml:space="preserve"> and the Applicants state that Verizon Wireless has exercised its option, under a separate agreement entered into at the same time as the leasing arrangement, to purchase from XO Holdings all of its interests in Nextlink.</w:t>
      </w:r>
      <w:r w:rsidRPr="0064624E">
        <w:rPr>
          <w:kern w:val="0"/>
          <w:vertAlign w:val="superscript"/>
        </w:rPr>
        <w:footnoteReference w:id="5"/>
      </w:r>
      <w:r w:rsidRPr="0064624E">
        <w:rPr>
          <w:kern w:val="0"/>
        </w:rPr>
        <w:t xml:space="preserve">  </w:t>
      </w:r>
      <w:r>
        <w:rPr>
          <w:kern w:val="0"/>
        </w:rPr>
        <w:t xml:space="preserve">On June 5, 2017, the Wireless Telecommunications Bureau </w:t>
      </w:r>
      <w:r>
        <w:rPr>
          <w:kern w:val="0"/>
        </w:rPr>
        <w:lastRenderedPageBreak/>
        <w:t xml:space="preserve">(Bureau) accepted the application for filing and established a pleading schedule under which petitions to deny are due </w:t>
      </w:r>
      <w:r w:rsidR="00323584">
        <w:rPr>
          <w:kern w:val="0"/>
        </w:rPr>
        <w:t>June 26, 2017, oppositions July 3, 2017, and replies July 11, 2017.</w:t>
      </w:r>
      <w:r w:rsidR="00323584">
        <w:rPr>
          <w:rStyle w:val="FootnoteReference"/>
          <w:kern w:val="0"/>
        </w:rPr>
        <w:footnoteReference w:id="6"/>
      </w:r>
    </w:p>
    <w:p w14:paraId="4C2DA745" w14:textId="29BCDAA0" w:rsidR="0064624E" w:rsidRDefault="00323584" w:rsidP="00541BFD">
      <w:pPr>
        <w:pStyle w:val="ParaNum"/>
        <w:tabs>
          <w:tab w:val="num" w:pos="1440"/>
        </w:tabs>
        <w:ind w:left="86"/>
      </w:pPr>
      <w:r>
        <w:t xml:space="preserve">On June 1, 2017, Verizon Communications, Inc. (Verizon) and Straight Path Communications Inc. </w:t>
      </w:r>
      <w:r w:rsidRPr="00323584">
        <w:t>filed an application pursuant to Section 310(d) of the Communications Act of 1934, as amended,</w:t>
      </w:r>
      <w:r w:rsidRPr="00323584">
        <w:rPr>
          <w:vertAlign w:val="superscript"/>
        </w:rPr>
        <w:footnoteReference w:id="7"/>
      </w:r>
      <w:r w:rsidRPr="00323584">
        <w:t xml:space="preserve"> seeking Commission consent to the transfer of control of </w:t>
      </w:r>
      <w:r w:rsidR="00F10F6D">
        <w:t xml:space="preserve">39 GHz, </w:t>
      </w:r>
      <w:r w:rsidRPr="00323584">
        <w:t xml:space="preserve">LMDS, and common carrier fixed point to point microwave licenses held by </w:t>
      </w:r>
      <w:r w:rsidR="00F10F6D">
        <w:t xml:space="preserve">Straight Path Communications </w:t>
      </w:r>
      <w:r w:rsidRPr="00323584">
        <w:t>subsidiary</w:t>
      </w:r>
      <w:r w:rsidR="00F10F6D">
        <w:t xml:space="preserve"> Straight Path Spectrum</w:t>
      </w:r>
      <w:r w:rsidRPr="00323584">
        <w:t>, LLC (</w:t>
      </w:r>
      <w:r w:rsidR="00F10F6D">
        <w:t>Straight Path</w:t>
      </w:r>
      <w:r w:rsidRPr="00323584">
        <w:t>).</w:t>
      </w:r>
      <w:r w:rsidR="00F10F6D">
        <w:rPr>
          <w:rStyle w:val="FootnoteReference"/>
        </w:rPr>
        <w:footnoteReference w:id="8"/>
      </w:r>
      <w:r w:rsidRPr="00323584">
        <w:t xml:space="preserve"> </w:t>
      </w:r>
      <w:r>
        <w:t xml:space="preserve"> </w:t>
      </w:r>
      <w:r w:rsidR="00F10F6D">
        <w:t>That application has not yet been accepted for filing.</w:t>
      </w:r>
    </w:p>
    <w:p w14:paraId="62B73D79" w14:textId="0E50D265" w:rsidR="00F10F6D" w:rsidRDefault="00F10F6D" w:rsidP="00541BFD">
      <w:pPr>
        <w:pStyle w:val="ParaNum"/>
        <w:tabs>
          <w:tab w:val="num" w:pos="1440"/>
        </w:tabs>
        <w:ind w:left="86"/>
      </w:pPr>
      <w:r>
        <w:t>On June 13, 2017, CCA filed its Motion to Consolidate</w:t>
      </w:r>
      <w:r w:rsidR="00B9479D">
        <w:t xml:space="preserve"> </w:t>
      </w:r>
      <w:r w:rsidR="00E10013">
        <w:t>asking</w:t>
      </w:r>
      <w:r w:rsidR="00B9479D">
        <w:t xml:space="preserve"> the Commission to suspend the comment cycle for the Nextlink application and </w:t>
      </w:r>
      <w:r w:rsidR="00636C93">
        <w:t xml:space="preserve">to </w:t>
      </w:r>
      <w:r w:rsidR="00B9479D">
        <w:t>set a single pleading cycle for both applications</w:t>
      </w:r>
      <w:r>
        <w:t>.</w:t>
      </w:r>
      <w:r>
        <w:rPr>
          <w:rStyle w:val="FootnoteReference"/>
        </w:rPr>
        <w:footnoteReference w:id="9"/>
      </w:r>
      <w:r w:rsidR="002D0E87">
        <w:t xml:space="preserve">  CCA argues</w:t>
      </w:r>
      <w:r w:rsidR="00A72329">
        <w:t xml:space="preserve"> that </w:t>
      </w:r>
      <w:r w:rsidR="002D0E87" w:rsidRPr="002D0E87">
        <w:t xml:space="preserve">the amount of overlapping spectrum that Verizon proposes to acquire in the </w:t>
      </w:r>
      <w:r w:rsidR="00EB0A67">
        <w:t xml:space="preserve">two </w:t>
      </w:r>
      <w:r w:rsidR="00A72329">
        <w:t>t</w:t>
      </w:r>
      <w:r w:rsidR="002D0E87" w:rsidRPr="002D0E87">
        <w:t>ransactions</w:t>
      </w:r>
      <w:r w:rsidR="0059071E">
        <w:t xml:space="preserve"> </w:t>
      </w:r>
      <w:r w:rsidR="002D0E87" w:rsidRPr="002D0E87">
        <w:t>would foreclose the Commission</w:t>
      </w:r>
      <w:r w:rsidR="002D0E87">
        <w:t xml:space="preserve"> </w:t>
      </w:r>
      <w:r w:rsidR="002D0E87" w:rsidRPr="002D0E87">
        <w:t>from adequately analyzing the full competitive effects of each transaction.</w:t>
      </w:r>
      <w:r w:rsidR="002D0E87">
        <w:rPr>
          <w:rStyle w:val="FootnoteReference"/>
        </w:rPr>
        <w:footnoteReference w:id="10"/>
      </w:r>
      <w:r w:rsidR="00750B6A">
        <w:t xml:space="preserve">  CCA notes that if considered together, the combined spectrum holdings would trigger the 1250 megahertz threshold for secondary market transactions in many counties.</w:t>
      </w:r>
      <w:r w:rsidR="00750B6A">
        <w:rPr>
          <w:rStyle w:val="FootnoteReference"/>
        </w:rPr>
        <w:footnoteReference w:id="11"/>
      </w:r>
      <w:r w:rsidR="00750B6A">
        <w:t xml:space="preserve">  CCA also argues that “coordinated review” is necessary because both applications contain similar public interest arguments</w:t>
      </w:r>
      <w:r w:rsidR="001537B6">
        <w:t>.</w:t>
      </w:r>
      <w:r w:rsidR="0059071E">
        <w:rPr>
          <w:rStyle w:val="FootnoteReference"/>
        </w:rPr>
        <w:footnoteReference w:id="12"/>
      </w:r>
      <w:r w:rsidR="00BE5257">
        <w:t xml:space="preserve">  CCA cites cases which it believes gives the Commission discretion to consolidate proceedings.</w:t>
      </w:r>
      <w:r w:rsidR="0059071E">
        <w:rPr>
          <w:rStyle w:val="FootnoteReference"/>
        </w:rPr>
        <w:footnoteReference w:id="13"/>
      </w:r>
      <w:r w:rsidR="00BE5257">
        <w:t xml:space="preserve">  </w:t>
      </w:r>
    </w:p>
    <w:p w14:paraId="3930E48E" w14:textId="62624A80" w:rsidR="00BE5257" w:rsidRDefault="00BE5257" w:rsidP="00C90C5B">
      <w:pPr>
        <w:pStyle w:val="ParaNum"/>
        <w:widowControl/>
        <w:tabs>
          <w:tab w:val="num" w:pos="1440"/>
        </w:tabs>
        <w:ind w:left="86"/>
      </w:pPr>
      <w:r>
        <w:t xml:space="preserve">The </w:t>
      </w:r>
      <w:r w:rsidR="004B268C">
        <w:t>Applicants</w:t>
      </w:r>
      <w:r>
        <w:t xml:space="preserve"> jointly opposed the Motion on June 16, 2017</w:t>
      </w:r>
      <w:r w:rsidR="0059071E">
        <w:t xml:space="preserve"> </w:t>
      </w:r>
      <w:r w:rsidR="00C53465">
        <w:t>and</w:t>
      </w:r>
      <w:r w:rsidR="00E11D71">
        <w:t xml:space="preserve"> represent that the transactions are separate and </w:t>
      </w:r>
      <w:r w:rsidR="00C53465">
        <w:t xml:space="preserve">distinct from </w:t>
      </w:r>
      <w:r w:rsidR="00E11D71">
        <w:t>one another.</w:t>
      </w:r>
      <w:r w:rsidR="00C53465" w:rsidRPr="00C53465">
        <w:rPr>
          <w:rStyle w:val="FootnoteReference"/>
        </w:rPr>
        <w:t xml:space="preserve"> </w:t>
      </w:r>
      <w:r w:rsidR="00C53465">
        <w:rPr>
          <w:rStyle w:val="FootnoteReference"/>
        </w:rPr>
        <w:footnoteReference w:id="14"/>
      </w:r>
      <w:r w:rsidR="00956728">
        <w:t xml:space="preserve">  According to the </w:t>
      </w:r>
      <w:r w:rsidR="004B268C">
        <w:t>Applicants</w:t>
      </w:r>
      <w:r w:rsidR="00956728">
        <w:t>, when transactions are separate and distinct, the Commission will process each application separately, and grant of the first application will not preclude any action or remedy in connection with the later-filed applications.</w:t>
      </w:r>
      <w:r w:rsidR="00956728">
        <w:rPr>
          <w:rStyle w:val="FootnoteReference"/>
        </w:rPr>
        <w:footnoteReference w:id="15"/>
      </w:r>
      <w:r w:rsidR="00956728">
        <w:t xml:space="preserve">  They argue that the cases cited by CCA either support a decision to process the applications separately or are distinguishable.</w:t>
      </w:r>
      <w:r w:rsidR="00956728">
        <w:rPr>
          <w:rStyle w:val="FootnoteReference"/>
        </w:rPr>
        <w:footnoteReference w:id="16"/>
      </w:r>
      <w:r w:rsidR="00956728">
        <w:t xml:space="preserve">  </w:t>
      </w:r>
      <w:r w:rsidR="006021FE">
        <w:t>In reply, CCA cites the decision to consolidate Verizon’s acquisition of AWS spectrum</w:t>
      </w:r>
      <w:r w:rsidR="00A27DF0">
        <w:t>,</w:t>
      </w:r>
      <w:r w:rsidR="006021FE">
        <w:rPr>
          <w:rStyle w:val="FootnoteReference"/>
        </w:rPr>
        <w:footnoteReference w:id="17"/>
      </w:r>
      <w:r w:rsidR="00A27DF0">
        <w:t xml:space="preserve"> emphasizes the similarity of the public interest arguments in both </w:t>
      </w:r>
      <w:r w:rsidR="001D4851">
        <w:t>applications,</w:t>
      </w:r>
      <w:r w:rsidR="001D4851">
        <w:rPr>
          <w:rStyle w:val="FootnoteReference"/>
        </w:rPr>
        <w:footnoteReference w:id="18"/>
      </w:r>
      <w:r w:rsidR="001D4851">
        <w:t xml:space="preserve"> and argues that the cases cited by the </w:t>
      </w:r>
      <w:r w:rsidR="004B268C">
        <w:t>Applicants</w:t>
      </w:r>
      <w:r w:rsidR="001D4851">
        <w:t xml:space="preserve"> are distinguishable.</w:t>
      </w:r>
      <w:r w:rsidR="001D4851">
        <w:rPr>
          <w:rStyle w:val="FootnoteReference"/>
        </w:rPr>
        <w:footnoteReference w:id="19"/>
      </w:r>
    </w:p>
    <w:p w14:paraId="1C5C20B1" w14:textId="6AEB059D" w:rsidR="005C617E" w:rsidRPr="0064624E" w:rsidRDefault="005C617E" w:rsidP="003B2C2F">
      <w:pPr>
        <w:pStyle w:val="ParaNum"/>
        <w:widowControl/>
        <w:tabs>
          <w:tab w:val="num" w:pos="1440"/>
        </w:tabs>
        <w:ind w:left="86"/>
      </w:pPr>
      <w:r>
        <w:rPr>
          <w:i/>
        </w:rPr>
        <w:lastRenderedPageBreak/>
        <w:t>Discussion.</w:t>
      </w:r>
      <w:r>
        <w:t xml:space="preserve">  </w:t>
      </w:r>
      <w:r w:rsidR="00A4792A">
        <w:t xml:space="preserve">We decline </w:t>
      </w:r>
      <w:r w:rsidR="004960FB">
        <w:t>CCA’s request that we</w:t>
      </w:r>
      <w:r w:rsidR="00A4792A">
        <w:t xml:space="preserve"> consolidate </w:t>
      </w:r>
      <w:r>
        <w:t xml:space="preserve">our review of the two transactions.  CCA is correct that we have broad discretion </w:t>
      </w:r>
      <w:r w:rsidR="00A4792A">
        <w:t xml:space="preserve">in determining how best </w:t>
      </w:r>
      <w:r>
        <w:t>to conduct our proceedings,</w:t>
      </w:r>
      <w:r>
        <w:rPr>
          <w:rStyle w:val="FootnoteReference"/>
        </w:rPr>
        <w:footnoteReference w:id="20"/>
      </w:r>
      <w:r w:rsidR="003616E1">
        <w:t xml:space="preserve"> </w:t>
      </w:r>
      <w:r w:rsidR="004960FB">
        <w:t xml:space="preserve">but </w:t>
      </w:r>
      <w:r w:rsidR="005B2051">
        <w:t xml:space="preserve">we are not persuaded that we should depart from </w:t>
      </w:r>
      <w:r w:rsidR="003616E1">
        <w:t xml:space="preserve">our normal practice </w:t>
      </w:r>
      <w:r w:rsidR="005B2051">
        <w:t xml:space="preserve">of </w:t>
      </w:r>
      <w:r w:rsidR="003616E1">
        <w:t>consider</w:t>
      </w:r>
      <w:r w:rsidR="005B2051">
        <w:t>ing</w:t>
      </w:r>
      <w:r w:rsidR="003616E1">
        <w:t xml:space="preserve"> transactions separately when the transactions involve different transferors and are not contingent on each other.</w:t>
      </w:r>
      <w:r w:rsidR="003616E1">
        <w:rPr>
          <w:rStyle w:val="FootnoteReference"/>
        </w:rPr>
        <w:footnoteReference w:id="21"/>
      </w:r>
      <w:r w:rsidR="003616E1">
        <w:t xml:space="preserve"> </w:t>
      </w:r>
      <w:r w:rsidR="00A104EE">
        <w:t xml:space="preserve"> </w:t>
      </w:r>
      <w:r w:rsidR="005B2051">
        <w:t>We note that</w:t>
      </w:r>
      <w:r w:rsidR="00A104EE">
        <w:t xml:space="preserve"> there are factual distinctions between the two transactions</w:t>
      </w:r>
      <w:r w:rsidR="00CB2A04">
        <w:t xml:space="preserve">, which may </w:t>
      </w:r>
      <w:r w:rsidR="00D63D00">
        <w:t xml:space="preserve">give </w:t>
      </w:r>
      <w:r w:rsidR="00CB2A04">
        <w:t xml:space="preserve">rise </w:t>
      </w:r>
      <w:r w:rsidR="00D63D00">
        <w:t xml:space="preserve">to </w:t>
      </w:r>
      <w:r w:rsidR="00CB2A04">
        <w:t>different issues</w:t>
      </w:r>
      <w:r w:rsidR="00A104EE">
        <w:t xml:space="preserve">.  For example, the spectrum at issue in the Nextlink transaction is already attributed to Verizon </w:t>
      </w:r>
      <w:r w:rsidR="00EB0A67">
        <w:t xml:space="preserve">for purposes of our competitive review </w:t>
      </w:r>
      <w:r w:rsidR="00A104EE">
        <w:t xml:space="preserve">because Verizon </w:t>
      </w:r>
      <w:r w:rsidR="0059071E">
        <w:t xml:space="preserve">currently </w:t>
      </w:r>
      <w:r w:rsidR="00A104EE">
        <w:t>leases the spectrum.</w:t>
      </w:r>
      <w:r w:rsidR="00A104EE">
        <w:rPr>
          <w:rStyle w:val="FootnoteReference"/>
        </w:rPr>
        <w:footnoteReference w:id="22"/>
      </w:r>
      <w:r w:rsidR="00A104EE">
        <w:t xml:space="preserve"> </w:t>
      </w:r>
      <w:r w:rsidR="00CD5749">
        <w:t xml:space="preserve"> </w:t>
      </w:r>
      <w:r w:rsidR="00A104EE">
        <w:t>In contrast, the spectrum at issue in the Straight Path transaction would be newly attributed to Verizon.</w:t>
      </w:r>
      <w:r w:rsidR="00CD5749">
        <w:t xml:space="preserve">   </w:t>
      </w:r>
      <w:r w:rsidR="00CB2A04">
        <w:t>Despite CCA’s apparent suggestion to the contrary, parties will be able to make arguments regarding that newly attributed spectrum</w:t>
      </w:r>
      <w:r w:rsidR="00F46BF1">
        <w:t xml:space="preserve"> absent consolidation</w:t>
      </w:r>
      <w:r w:rsidR="00D63D00">
        <w:t xml:space="preserve"> of our review</w:t>
      </w:r>
      <w:r w:rsidR="00F46BF1">
        <w:t xml:space="preserve">.  Similarly, </w:t>
      </w:r>
      <w:r w:rsidR="00CD5749">
        <w:t xml:space="preserve">CCA’s claim that the parties make similar public interest arguments in both applications does not </w:t>
      </w:r>
      <w:r w:rsidR="00CB2A04">
        <w:t xml:space="preserve">require </w:t>
      </w:r>
      <w:r w:rsidR="00CD5749">
        <w:t xml:space="preserve">consolidation of the review of both transactions.  Our consideration </w:t>
      </w:r>
      <w:r w:rsidR="00F60599">
        <w:t xml:space="preserve">of the claims of parties will be based on </w:t>
      </w:r>
      <w:r w:rsidR="00CB2A04">
        <w:t xml:space="preserve">all </w:t>
      </w:r>
      <w:r w:rsidR="00F60599">
        <w:t xml:space="preserve">the underlying facts and record, which </w:t>
      </w:r>
      <w:r w:rsidR="007C41C5">
        <w:t xml:space="preserve">will </w:t>
      </w:r>
      <w:r w:rsidR="00F60599">
        <w:t>be different in each transaction.</w:t>
      </w:r>
      <w:r w:rsidR="00F46BF1" w:rsidRPr="00F46BF1">
        <w:rPr>
          <w:rStyle w:val="FootnoteReference"/>
        </w:rPr>
        <w:t xml:space="preserve"> </w:t>
      </w:r>
      <w:r w:rsidR="00F46BF1">
        <w:rPr>
          <w:rStyle w:val="FootnoteReference"/>
        </w:rPr>
        <w:footnoteReference w:id="23"/>
      </w:r>
      <w:r w:rsidR="00F46BF1">
        <w:t xml:space="preserve"> </w:t>
      </w:r>
      <w:r w:rsidR="00F60599">
        <w:t xml:space="preserve">  </w:t>
      </w:r>
      <w:r w:rsidR="00F46BF1">
        <w:t>In s</w:t>
      </w:r>
      <w:r w:rsidR="00D63D00">
        <w:t>hort</w:t>
      </w:r>
      <w:r w:rsidR="00F60599">
        <w:t>, “[o]</w:t>
      </w:r>
      <w:r w:rsidR="00F60599" w:rsidRPr="00F60599">
        <w:t>ur review process generally takes into account, as appropriate, the effects o</w:t>
      </w:r>
      <w:r w:rsidR="00F60599">
        <w:t>f multiple pending applications. . .”</w:t>
      </w:r>
      <w:r w:rsidR="00D63D00">
        <w:t xml:space="preserve">, and we see no need to </w:t>
      </w:r>
      <w:r w:rsidR="004960FB">
        <w:t>depart from</w:t>
      </w:r>
      <w:r w:rsidR="00D63D00">
        <w:t xml:space="preserve"> that process here.</w:t>
      </w:r>
      <w:r w:rsidR="00F60599">
        <w:rPr>
          <w:rStyle w:val="FootnoteReference"/>
        </w:rPr>
        <w:footnoteReference w:id="24"/>
      </w:r>
      <w:r w:rsidR="00F60599">
        <w:t xml:space="preserve">  </w:t>
      </w:r>
      <w:r w:rsidR="00F46BF1">
        <w:t xml:space="preserve">We find that </w:t>
      </w:r>
      <w:r w:rsidR="00F60599">
        <w:t>processing the</w:t>
      </w:r>
      <w:r w:rsidR="00F46BF1">
        <w:t>se</w:t>
      </w:r>
      <w:r w:rsidR="00F60599">
        <w:t xml:space="preserve"> applications separately using our normal procedures will not limit the ability of CCA or other parties to raise issues concerning either transaction</w:t>
      </w:r>
      <w:r w:rsidR="00D63D00">
        <w:t>, nor preclude or limit any analysis, action or remedy</w:t>
      </w:r>
      <w:r w:rsidR="00F60599">
        <w:t>.</w:t>
      </w:r>
      <w:r w:rsidR="007C41C5">
        <w:rPr>
          <w:rStyle w:val="FootnoteReference"/>
        </w:rPr>
        <w:footnoteReference w:id="25"/>
      </w:r>
    </w:p>
    <w:p w14:paraId="461749F0" w14:textId="77777777" w:rsidR="003C2D59" w:rsidRDefault="00047060" w:rsidP="004131DF">
      <w:pPr>
        <w:pStyle w:val="ParaNum"/>
        <w:tabs>
          <w:tab w:val="num" w:pos="1440"/>
        </w:tabs>
        <w:ind w:left="86"/>
      </w:pPr>
      <w:r w:rsidRPr="00971D0D">
        <w:t>Accordingly, I</w:t>
      </w:r>
      <w:r w:rsidR="00712455">
        <w:t>T IS ORDERED, pursuant to S</w:t>
      </w:r>
      <w:r w:rsidRPr="00971D0D">
        <w:t>ections 4(i)</w:t>
      </w:r>
      <w:r w:rsidR="008B2980">
        <w:t xml:space="preserve"> </w:t>
      </w:r>
      <w:r w:rsidRPr="00971D0D">
        <w:t>and 310(d) of the Communications Act of 1934, as amended, 47 U.S.C. §§ 154(i)</w:t>
      </w:r>
      <w:r w:rsidR="008B2980">
        <w:t>,</w:t>
      </w:r>
      <w:r w:rsidR="00971315" w:rsidRPr="00B76011">
        <w:t xml:space="preserve"> </w:t>
      </w:r>
      <w:r w:rsidRPr="00B76011">
        <w:t xml:space="preserve">310(d), </w:t>
      </w:r>
      <w:r w:rsidR="008B2980">
        <w:t xml:space="preserve">and Section 1.948 of the </w:t>
      </w:r>
    </w:p>
    <w:p w14:paraId="06DA2B89" w14:textId="154E493A" w:rsidR="00047060" w:rsidRPr="00971D0D" w:rsidRDefault="003C2D59" w:rsidP="003C2D59">
      <w:pPr>
        <w:spacing w:after="120"/>
      </w:pPr>
      <w:r>
        <w:br w:type="page"/>
      </w:r>
      <w:r w:rsidR="008B2980">
        <w:t xml:space="preserve">Commission’s rules, 47 C.F.R. § 1.948, that the Motion to Consolidate filed by the Competitive Carriers Association on June 13, 2017 </w:t>
      </w:r>
      <w:r w:rsidR="00047060" w:rsidRPr="00971D0D">
        <w:t>IS</w:t>
      </w:r>
      <w:r w:rsidR="008B2980">
        <w:t xml:space="preserve"> DENIED</w:t>
      </w:r>
      <w:r w:rsidR="00047060" w:rsidRPr="00971D0D">
        <w:t>.</w:t>
      </w:r>
    </w:p>
    <w:p w14:paraId="251AFA80" w14:textId="247B1FDC" w:rsidR="00971315" w:rsidRPr="00971D0D" w:rsidRDefault="00971315" w:rsidP="004131DF">
      <w:pPr>
        <w:pStyle w:val="ParaNum"/>
        <w:tabs>
          <w:tab w:val="num" w:pos="1440"/>
        </w:tabs>
        <w:ind w:left="86"/>
      </w:pPr>
      <w:r w:rsidRPr="00971D0D">
        <w:t>This action is taken under d</w:t>
      </w:r>
      <w:r w:rsidR="00712455">
        <w:t>elegated authority pursuant to S</w:t>
      </w:r>
      <w:r w:rsidRPr="00971D0D">
        <w:t xml:space="preserve">ections 0.131 and 0.331 of the Commission’s Rules, 47 C.F.R. §§ 0.131, 0.331. </w:t>
      </w:r>
    </w:p>
    <w:p w14:paraId="1708C9DC" w14:textId="77777777" w:rsidR="00973EB7" w:rsidRPr="00971D0D" w:rsidRDefault="00973EB7" w:rsidP="00066144">
      <w:pPr>
        <w:keepNext/>
        <w:widowControl/>
        <w:tabs>
          <w:tab w:val="num" w:pos="1440"/>
        </w:tabs>
        <w:ind w:left="3600" w:firstLine="720"/>
      </w:pPr>
      <w:r w:rsidRPr="00971D0D">
        <w:t>FEDERAL COMMUNICATIONS COMMISSION</w:t>
      </w:r>
    </w:p>
    <w:p w14:paraId="4734A9BB" w14:textId="77777777" w:rsidR="00973EB7" w:rsidRPr="00971D0D" w:rsidRDefault="00973EB7" w:rsidP="00066144">
      <w:pPr>
        <w:keepNext/>
        <w:widowControl/>
        <w:tabs>
          <w:tab w:val="num" w:pos="1440"/>
        </w:tabs>
      </w:pPr>
    </w:p>
    <w:p w14:paraId="4A60363C" w14:textId="77777777" w:rsidR="00B04EDB" w:rsidRPr="00971D0D" w:rsidRDefault="00B04EDB" w:rsidP="00066144">
      <w:pPr>
        <w:keepNext/>
        <w:widowControl/>
        <w:tabs>
          <w:tab w:val="num" w:pos="1440"/>
        </w:tabs>
      </w:pPr>
    </w:p>
    <w:p w14:paraId="680D8AB0" w14:textId="77777777" w:rsidR="00973EB7" w:rsidRPr="00971D0D" w:rsidRDefault="00973EB7" w:rsidP="00066144">
      <w:pPr>
        <w:keepNext/>
        <w:widowControl/>
        <w:tabs>
          <w:tab w:val="num" w:pos="1440"/>
        </w:tabs>
      </w:pPr>
    </w:p>
    <w:p w14:paraId="6A8E7B8B" w14:textId="77777777" w:rsidR="00973EB7" w:rsidRPr="00971D0D" w:rsidRDefault="00973EB7" w:rsidP="00066144">
      <w:pPr>
        <w:keepNext/>
        <w:widowControl/>
        <w:tabs>
          <w:tab w:val="num" w:pos="1440"/>
        </w:tabs>
      </w:pPr>
    </w:p>
    <w:p w14:paraId="77267C21" w14:textId="5ACBBE48" w:rsidR="00973EB7" w:rsidRPr="00971D0D" w:rsidRDefault="00FA4764" w:rsidP="00066144">
      <w:pPr>
        <w:keepNext/>
        <w:widowControl/>
        <w:tabs>
          <w:tab w:val="num" w:pos="1440"/>
        </w:tabs>
      </w:pPr>
      <w:r w:rsidRPr="00971D0D">
        <w:tab/>
      </w:r>
      <w:r w:rsidRPr="00971D0D">
        <w:tab/>
      </w:r>
      <w:r w:rsidRPr="00971D0D">
        <w:tab/>
      </w:r>
      <w:r w:rsidRPr="00971D0D">
        <w:tab/>
      </w:r>
      <w:r w:rsidRPr="00971D0D">
        <w:tab/>
      </w:r>
      <w:r w:rsidR="00973EB7" w:rsidRPr="00971D0D">
        <w:t>Jo</w:t>
      </w:r>
      <w:r w:rsidR="0064624E">
        <w:t>h</w:t>
      </w:r>
      <w:r w:rsidR="00973EB7" w:rsidRPr="00971D0D">
        <w:t xml:space="preserve">n </w:t>
      </w:r>
      <w:r w:rsidR="0064624E">
        <w:t>J. Schauble</w:t>
      </w:r>
    </w:p>
    <w:p w14:paraId="1A74E8C4" w14:textId="6F7DE7AC" w:rsidR="00973EB7" w:rsidRPr="00971D0D" w:rsidRDefault="0064624E" w:rsidP="00066144">
      <w:pPr>
        <w:keepNext/>
        <w:widowControl/>
        <w:tabs>
          <w:tab w:val="num" w:pos="1440"/>
        </w:tabs>
        <w:ind w:left="3600" w:firstLine="720"/>
      </w:pPr>
      <w:r>
        <w:t xml:space="preserve">Deputy </w:t>
      </w:r>
      <w:r w:rsidR="00973EB7" w:rsidRPr="00971D0D">
        <w:t>Chief</w:t>
      </w:r>
      <w:r>
        <w:t>, Broadband Division</w:t>
      </w:r>
    </w:p>
    <w:p w14:paraId="1212548A" w14:textId="77777777" w:rsidR="00AC1B4C" w:rsidRPr="003D7301" w:rsidRDefault="00973EB7" w:rsidP="00066144">
      <w:pPr>
        <w:keepNext/>
        <w:widowControl/>
        <w:tabs>
          <w:tab w:val="num" w:pos="1440"/>
        </w:tabs>
        <w:ind w:left="3600" w:firstLine="720"/>
      </w:pPr>
      <w:r w:rsidRPr="00971D0D">
        <w:t>Wireless Telecommunications Bureau</w:t>
      </w:r>
    </w:p>
    <w:sectPr w:rsidR="00AC1B4C" w:rsidRPr="003D730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904E" w14:textId="77777777" w:rsidR="00DF582F" w:rsidRDefault="00DF582F">
      <w:pPr>
        <w:spacing w:line="20" w:lineRule="exact"/>
      </w:pPr>
    </w:p>
  </w:endnote>
  <w:endnote w:type="continuationSeparator" w:id="0">
    <w:p w14:paraId="68625B5E" w14:textId="77777777" w:rsidR="00DF582F" w:rsidRDefault="00DF582F">
      <w:r>
        <w:t xml:space="preserve"> </w:t>
      </w:r>
    </w:p>
  </w:endnote>
  <w:endnote w:type="continuationNotice" w:id="1">
    <w:p w14:paraId="6B22FE7A" w14:textId="77777777" w:rsidR="00DF582F" w:rsidRDefault="00DF58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FA0D" w14:textId="77777777" w:rsidR="00BE5257" w:rsidRDefault="00BE5257" w:rsidP="0055614C">
    <w:pPr>
      <w:pStyle w:val="Footer"/>
      <w:framePr w:wrap="around" w:vAnchor="text" w:hAnchor="margin" w:xAlign="center" w:y="1"/>
    </w:pPr>
    <w:r>
      <w:fldChar w:fldCharType="begin"/>
    </w:r>
    <w:r>
      <w:instrText xml:space="preserve">PAGE  </w:instrText>
    </w:r>
    <w:r>
      <w:fldChar w:fldCharType="end"/>
    </w:r>
  </w:p>
  <w:p w14:paraId="21128C95" w14:textId="77777777" w:rsidR="00BE5257" w:rsidRDefault="00BE5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162D" w14:textId="0B115386" w:rsidR="00BE5257" w:rsidRDefault="00BE5257" w:rsidP="0055614C">
    <w:pPr>
      <w:pStyle w:val="Footer"/>
      <w:framePr w:wrap="around" w:vAnchor="text" w:hAnchor="margin" w:xAlign="center" w:y="1"/>
    </w:pPr>
    <w:r>
      <w:fldChar w:fldCharType="begin"/>
    </w:r>
    <w:r>
      <w:instrText xml:space="preserve">PAGE  </w:instrText>
    </w:r>
    <w:r>
      <w:fldChar w:fldCharType="separate"/>
    </w:r>
    <w:r w:rsidR="00741E55">
      <w:rPr>
        <w:noProof/>
      </w:rPr>
      <w:t>2</w:t>
    </w:r>
    <w:r>
      <w:fldChar w:fldCharType="end"/>
    </w:r>
  </w:p>
  <w:p w14:paraId="608FA3BF" w14:textId="77777777" w:rsidR="00BE5257" w:rsidRDefault="00BE525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8D2D" w14:textId="77777777" w:rsidR="00BE5257" w:rsidRDefault="00BE525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F22E" w14:textId="77777777" w:rsidR="00DF582F" w:rsidRDefault="00DF582F">
      <w:r>
        <w:separator/>
      </w:r>
    </w:p>
  </w:footnote>
  <w:footnote w:type="continuationSeparator" w:id="0">
    <w:p w14:paraId="1199076D" w14:textId="77777777" w:rsidR="00DF582F" w:rsidRDefault="00DF582F" w:rsidP="00C721AC">
      <w:pPr>
        <w:spacing w:before="120"/>
        <w:rPr>
          <w:sz w:val="20"/>
        </w:rPr>
      </w:pPr>
      <w:r>
        <w:rPr>
          <w:sz w:val="20"/>
        </w:rPr>
        <w:t xml:space="preserve">(Continued from previous page)  </w:t>
      </w:r>
      <w:r>
        <w:rPr>
          <w:sz w:val="20"/>
        </w:rPr>
        <w:separator/>
      </w:r>
    </w:p>
  </w:footnote>
  <w:footnote w:type="continuationNotice" w:id="1">
    <w:p w14:paraId="499C5F0E" w14:textId="77777777" w:rsidR="00DF582F" w:rsidRDefault="00DF582F" w:rsidP="00C721AC">
      <w:pPr>
        <w:jc w:val="right"/>
        <w:rPr>
          <w:sz w:val="20"/>
        </w:rPr>
      </w:pPr>
      <w:r>
        <w:rPr>
          <w:sz w:val="20"/>
        </w:rPr>
        <w:t>(continued….)</w:t>
      </w:r>
    </w:p>
  </w:footnote>
  <w:footnote w:id="2">
    <w:p w14:paraId="45AEACD2" w14:textId="77777777" w:rsidR="00BE5257" w:rsidRDefault="00BE5257" w:rsidP="0064624E">
      <w:pPr>
        <w:pStyle w:val="FootnoteText"/>
      </w:pPr>
      <w:r>
        <w:rPr>
          <w:rStyle w:val="FootnoteReference"/>
        </w:rPr>
        <w:footnoteRef/>
      </w:r>
      <w:r>
        <w:t xml:space="preserve"> 47 U.S.C. § 310(d).  </w:t>
      </w:r>
    </w:p>
  </w:footnote>
  <w:footnote w:id="3">
    <w:p w14:paraId="3D21399B" w14:textId="42C0F8E2" w:rsidR="00BE5257" w:rsidRDefault="00BE5257">
      <w:pPr>
        <w:pStyle w:val="FootnoteText"/>
      </w:pPr>
      <w:r>
        <w:rPr>
          <w:rStyle w:val="FootnoteReference"/>
        </w:rPr>
        <w:footnoteRef/>
      </w:r>
      <w:r>
        <w:t xml:space="preserve"> File No. 0007765708 (filed May 11, 2017).</w:t>
      </w:r>
    </w:p>
  </w:footnote>
  <w:footnote w:id="4">
    <w:p w14:paraId="5928D219" w14:textId="16DD9584" w:rsidR="00BE5257" w:rsidRPr="00A05280" w:rsidRDefault="00BE5257" w:rsidP="0064624E">
      <w:pPr>
        <w:pStyle w:val="FootnoteText"/>
      </w:pPr>
      <w:r>
        <w:rPr>
          <w:rStyle w:val="FootnoteReference"/>
        </w:rPr>
        <w:footnoteRef/>
      </w:r>
      <w:r>
        <w:t xml:space="preserve"> </w:t>
      </w:r>
      <w:r>
        <w:rPr>
          <w:i/>
        </w:rPr>
        <w:t>Applications of Cellco Partnership d/b/a Verizon Wireless and Nextlink Wireless, LLC for Consent to Long-Term De Facto Transfer Spectrum Leasing Arrangement</w:t>
      </w:r>
      <w:r>
        <w:t xml:space="preserve">, Memorandum Opinion and Order, 31 FCC Rcd 7767 (WTB 2016) </w:t>
      </w:r>
      <w:r w:rsidR="00A104EE">
        <w:t>(</w:t>
      </w:r>
      <w:r w:rsidR="00A104EE">
        <w:rPr>
          <w:i/>
        </w:rPr>
        <w:t>Verizon-Nextlink Leasing Order</w:t>
      </w:r>
      <w:r w:rsidR="00A104EE">
        <w:t>)</w:t>
      </w:r>
      <w:r w:rsidR="00A104EE">
        <w:rPr>
          <w:i/>
        </w:rPr>
        <w:t xml:space="preserve"> </w:t>
      </w:r>
      <w:r>
        <w:t>(granting consent to leasing arrangement).</w:t>
      </w:r>
    </w:p>
  </w:footnote>
  <w:footnote w:id="5">
    <w:p w14:paraId="0E10F2CF" w14:textId="2B34FC8B" w:rsidR="00BE5257" w:rsidRPr="00CF7E02" w:rsidRDefault="00BE5257" w:rsidP="0064624E">
      <w:pPr>
        <w:pStyle w:val="FootnoteText"/>
      </w:pPr>
      <w:r>
        <w:rPr>
          <w:rStyle w:val="FootnoteReference"/>
        </w:rPr>
        <w:footnoteRef/>
      </w:r>
      <w:r>
        <w:t xml:space="preserve"> </w:t>
      </w:r>
      <w:r w:rsidRPr="002D0DCC">
        <w:rPr>
          <w:i/>
        </w:rPr>
        <w:t xml:space="preserve">Application of Cellco Partnership and </w:t>
      </w:r>
      <w:r>
        <w:rPr>
          <w:i/>
        </w:rPr>
        <w:t xml:space="preserve">XO Holdings </w:t>
      </w:r>
      <w:r w:rsidRPr="002D0DCC">
        <w:rPr>
          <w:i/>
        </w:rPr>
        <w:t xml:space="preserve">for Transfer </w:t>
      </w:r>
      <w:r>
        <w:rPr>
          <w:i/>
        </w:rPr>
        <w:t>of Control of Licenses</w:t>
      </w:r>
      <w:r>
        <w:t>, File No. 0007765708, Ex. 1 – Description of Transaction and Public Interest Statement at 2 (filed May 11, 2017) (Public Interest Statement).  The Applicants state that the leasing arrangement will terminate when the proposed transfer of control has been completed.</w:t>
      </w:r>
    </w:p>
  </w:footnote>
  <w:footnote w:id="6">
    <w:p w14:paraId="6B15B707" w14:textId="2AF30467" w:rsidR="00BE5257" w:rsidRPr="00323584" w:rsidRDefault="00BE5257">
      <w:pPr>
        <w:pStyle w:val="FootnoteText"/>
      </w:pPr>
      <w:r>
        <w:rPr>
          <w:rStyle w:val="FootnoteReference"/>
        </w:rPr>
        <w:footnoteRef/>
      </w:r>
      <w:r>
        <w:t xml:space="preserve"> </w:t>
      </w:r>
      <w:r w:rsidRPr="00323584">
        <w:rPr>
          <w:i/>
        </w:rPr>
        <w:t>Cellco Partnership D/B/A Verizon Wireless And X</w:t>
      </w:r>
      <w:r w:rsidR="007C41C5">
        <w:rPr>
          <w:i/>
        </w:rPr>
        <w:t>O</w:t>
      </w:r>
      <w:r w:rsidRPr="00323584">
        <w:rPr>
          <w:i/>
        </w:rPr>
        <w:t xml:space="preserve"> Holdings Seek FCC Consent To The Transfer Of Control Of Local Multipoint Distribution Service And 39 GHz Licenses Held By Xo Holdings Subsidiary Nextlink Wireless LLC</w:t>
      </w:r>
      <w:r>
        <w:t>, Public Notice, DA 17-546 (WTB rel. June 5, 2017)</w:t>
      </w:r>
      <w:r w:rsidR="00C90C5B">
        <w:t xml:space="preserve"> (</w:t>
      </w:r>
      <w:r w:rsidR="00C90C5B">
        <w:rPr>
          <w:i/>
        </w:rPr>
        <w:t>Verizon-Nextlink Accepted for Filing Public Notice</w:t>
      </w:r>
      <w:r w:rsidR="00C90C5B">
        <w:t>)</w:t>
      </w:r>
      <w:r>
        <w:t>.</w:t>
      </w:r>
    </w:p>
  </w:footnote>
  <w:footnote w:id="7">
    <w:p w14:paraId="352CA851" w14:textId="77777777" w:rsidR="00BE5257" w:rsidRDefault="00BE5257" w:rsidP="00323584">
      <w:pPr>
        <w:pStyle w:val="FootnoteText"/>
      </w:pPr>
      <w:r>
        <w:rPr>
          <w:rStyle w:val="FootnoteReference"/>
        </w:rPr>
        <w:footnoteRef/>
      </w:r>
      <w:r>
        <w:t xml:space="preserve"> 47 U.S.C. § 310(d).  </w:t>
      </w:r>
    </w:p>
  </w:footnote>
  <w:footnote w:id="8">
    <w:p w14:paraId="1678048B" w14:textId="2FF19A3F" w:rsidR="00BE5257" w:rsidRDefault="00BE5257">
      <w:pPr>
        <w:pStyle w:val="FootnoteText"/>
      </w:pPr>
      <w:r>
        <w:rPr>
          <w:rStyle w:val="FootnoteReference"/>
        </w:rPr>
        <w:footnoteRef/>
      </w:r>
      <w:r>
        <w:t xml:space="preserve"> </w:t>
      </w:r>
      <w:r w:rsidRPr="00F10F6D">
        <w:t>File No. 0007783428</w:t>
      </w:r>
      <w:r>
        <w:t xml:space="preserve"> (filed June 1, 2017).</w:t>
      </w:r>
    </w:p>
  </w:footnote>
  <w:footnote w:id="9">
    <w:p w14:paraId="517BDD43" w14:textId="24DAF2FA" w:rsidR="00BE5257" w:rsidRDefault="00BE5257">
      <w:pPr>
        <w:pStyle w:val="FootnoteText"/>
      </w:pPr>
      <w:r>
        <w:rPr>
          <w:rStyle w:val="FootnoteReference"/>
        </w:rPr>
        <w:footnoteRef/>
      </w:r>
      <w:r>
        <w:t xml:space="preserve"> Motion to Consolidate, Competitive Carriers Association </w:t>
      </w:r>
      <w:r w:rsidR="00B9479D">
        <w:t xml:space="preserve">at 8 </w:t>
      </w:r>
      <w:r>
        <w:t>(filed June 13, 2017) (Motion).</w:t>
      </w:r>
    </w:p>
  </w:footnote>
  <w:footnote w:id="10">
    <w:p w14:paraId="0F672155" w14:textId="32FDE07B" w:rsidR="00BE5257" w:rsidRDefault="00BE5257">
      <w:pPr>
        <w:pStyle w:val="FootnoteText"/>
      </w:pPr>
      <w:r>
        <w:rPr>
          <w:rStyle w:val="FootnoteReference"/>
        </w:rPr>
        <w:footnoteRef/>
      </w:r>
      <w:r>
        <w:t xml:space="preserve"> Motion at 2-3.</w:t>
      </w:r>
    </w:p>
  </w:footnote>
  <w:footnote w:id="11">
    <w:p w14:paraId="2B21194B" w14:textId="13F78424" w:rsidR="00BE5257" w:rsidRDefault="00BE5257">
      <w:pPr>
        <w:pStyle w:val="FootnoteText"/>
      </w:pPr>
      <w:r>
        <w:rPr>
          <w:rStyle w:val="FootnoteReference"/>
        </w:rPr>
        <w:footnoteRef/>
      </w:r>
      <w:r>
        <w:t xml:space="preserve"> Motion at 4-5.</w:t>
      </w:r>
    </w:p>
  </w:footnote>
  <w:footnote w:id="12">
    <w:p w14:paraId="0F9CA7A1" w14:textId="76B99FF2" w:rsidR="0059071E" w:rsidRDefault="0059071E">
      <w:pPr>
        <w:pStyle w:val="FootnoteText"/>
      </w:pPr>
      <w:r>
        <w:rPr>
          <w:rStyle w:val="FootnoteReference"/>
        </w:rPr>
        <w:footnoteRef/>
      </w:r>
      <w:r>
        <w:t xml:space="preserve"> Motion at 5.</w:t>
      </w:r>
    </w:p>
  </w:footnote>
  <w:footnote w:id="13">
    <w:p w14:paraId="0F5608BD" w14:textId="7229A582" w:rsidR="0059071E" w:rsidRDefault="0059071E">
      <w:pPr>
        <w:pStyle w:val="FootnoteText"/>
      </w:pPr>
      <w:r>
        <w:rPr>
          <w:rStyle w:val="FootnoteReference"/>
        </w:rPr>
        <w:footnoteRef/>
      </w:r>
      <w:r>
        <w:t xml:space="preserve"> Motion at 6-8.</w:t>
      </w:r>
    </w:p>
  </w:footnote>
  <w:footnote w:id="14">
    <w:p w14:paraId="2228AD44" w14:textId="77777777" w:rsidR="00C53465" w:rsidRDefault="00C53465" w:rsidP="00C53465">
      <w:pPr>
        <w:pStyle w:val="FootnoteText"/>
      </w:pPr>
      <w:r>
        <w:rPr>
          <w:rStyle w:val="FootnoteReference"/>
        </w:rPr>
        <w:footnoteRef/>
      </w:r>
      <w:r>
        <w:t xml:space="preserve"> Joint Opposition to Motion to Consolidate, XO Holdings LLC and Nextlink Wireless LLC, Verizon Communications, Inc., and Straight Path Communications, Inc. at 1 (filed June 16, 2017) (Joint Opposition).</w:t>
      </w:r>
    </w:p>
  </w:footnote>
  <w:footnote w:id="15">
    <w:p w14:paraId="51DC2F06" w14:textId="152DE2A2" w:rsidR="00956728" w:rsidRDefault="00956728">
      <w:pPr>
        <w:pStyle w:val="FootnoteText"/>
      </w:pPr>
      <w:r>
        <w:rPr>
          <w:rStyle w:val="FootnoteReference"/>
        </w:rPr>
        <w:footnoteRef/>
      </w:r>
      <w:r>
        <w:t xml:space="preserve"> Joint Opposition at 2</w:t>
      </w:r>
      <w:r w:rsidR="005C617E">
        <w:t>, 4</w:t>
      </w:r>
      <w:r>
        <w:t>.</w:t>
      </w:r>
    </w:p>
  </w:footnote>
  <w:footnote w:id="16">
    <w:p w14:paraId="1AFE5A77" w14:textId="287A1C72" w:rsidR="00956728" w:rsidRDefault="00956728">
      <w:pPr>
        <w:pStyle w:val="FootnoteText"/>
      </w:pPr>
      <w:r>
        <w:rPr>
          <w:rStyle w:val="FootnoteReference"/>
        </w:rPr>
        <w:footnoteRef/>
      </w:r>
      <w:r>
        <w:t xml:space="preserve"> Joint Opposition at 2-3.</w:t>
      </w:r>
    </w:p>
  </w:footnote>
  <w:footnote w:id="17">
    <w:p w14:paraId="0F0F08AE" w14:textId="0B5E1F32" w:rsidR="006021FE" w:rsidRPr="001D4851" w:rsidRDefault="006021FE" w:rsidP="001D4851">
      <w:pPr>
        <w:pStyle w:val="FootnoteText"/>
      </w:pPr>
      <w:r>
        <w:rPr>
          <w:rStyle w:val="FootnoteReference"/>
        </w:rPr>
        <w:footnoteRef/>
      </w:r>
      <w:r>
        <w:t xml:space="preserve"> Reply to Joint Opposition to Motion to Consolidate, Competitive Carriers Association (filed June 20, 2017) (Reply) at </w:t>
      </w:r>
      <w:r w:rsidR="00A27DF0">
        <w:t>3</w:t>
      </w:r>
      <w:r>
        <w:t>-5</w:t>
      </w:r>
      <w:r w:rsidR="001D4851">
        <w:t xml:space="preserve">, </w:t>
      </w:r>
      <w:r w:rsidR="001D4851">
        <w:rPr>
          <w:i/>
        </w:rPr>
        <w:t>citing</w:t>
      </w:r>
      <w:r w:rsidR="001D4851">
        <w:t xml:space="preserve"> </w:t>
      </w:r>
      <w:r w:rsidR="001D4851" w:rsidRPr="001D4851">
        <w:rPr>
          <w:i/>
          <w:iCs/>
        </w:rPr>
        <w:t>Cellco Partnership d/b/a Verizon Wireless, SpectrumCo, LLC and Cox TMI Wireless, LLC Seek FCC</w:t>
      </w:r>
      <w:r w:rsidR="001D4851">
        <w:rPr>
          <w:i/>
          <w:iCs/>
        </w:rPr>
        <w:t xml:space="preserve"> </w:t>
      </w:r>
      <w:r w:rsidR="001D4851" w:rsidRPr="001D4851">
        <w:rPr>
          <w:i/>
          <w:iCs/>
        </w:rPr>
        <w:t>Consent to the Assignment of AWS-1 Licenses</w:t>
      </w:r>
      <w:r w:rsidR="001D4851" w:rsidRPr="001D4851">
        <w:t>, Public Notice</w:t>
      </w:r>
      <w:r w:rsidR="001D4851">
        <w:t>, 27 FCC Rcd 360 (WTB 2012)</w:t>
      </w:r>
    </w:p>
  </w:footnote>
  <w:footnote w:id="18">
    <w:p w14:paraId="1B1A83B6" w14:textId="497D01B9" w:rsidR="001D4851" w:rsidRDefault="001D4851">
      <w:pPr>
        <w:pStyle w:val="FootnoteText"/>
      </w:pPr>
      <w:r>
        <w:rPr>
          <w:rStyle w:val="FootnoteReference"/>
        </w:rPr>
        <w:footnoteRef/>
      </w:r>
      <w:r>
        <w:t xml:space="preserve"> Reply at 3.</w:t>
      </w:r>
    </w:p>
  </w:footnote>
  <w:footnote w:id="19">
    <w:p w14:paraId="6F8B7CC6" w14:textId="6DC3AD66" w:rsidR="001D4851" w:rsidRPr="00C90C5B" w:rsidRDefault="001D4851">
      <w:pPr>
        <w:pStyle w:val="FootnoteText"/>
      </w:pPr>
      <w:r>
        <w:rPr>
          <w:rStyle w:val="FootnoteReference"/>
        </w:rPr>
        <w:footnoteRef/>
      </w:r>
      <w:r>
        <w:t xml:space="preserve"> Reply at 6-7.</w:t>
      </w:r>
      <w:r w:rsidR="00C90C5B">
        <w:t xml:space="preserve">  </w:t>
      </w:r>
      <w:r w:rsidR="00C90C5B" w:rsidRPr="00C90C5B">
        <w:t>CCA also argues for the first time in the Reply that the Verizon-Nextlink application is defective because it was not amended to reflect the filing of the Verizon-Straight Path application.</w:t>
      </w:r>
      <w:r w:rsidR="00C90C5B">
        <w:t xml:space="preserve">  Reply at 8-10.  We decline to consider this argument at this time because new issues may not be raised in replies.  </w:t>
      </w:r>
      <w:r w:rsidR="00C90C5B">
        <w:rPr>
          <w:i/>
        </w:rPr>
        <w:t>See</w:t>
      </w:r>
      <w:r w:rsidR="00C90C5B">
        <w:t xml:space="preserve"> 47 C.F.R. § 1.45(c), </w:t>
      </w:r>
      <w:r w:rsidR="00C90C5B">
        <w:rPr>
          <w:i/>
        </w:rPr>
        <w:t>Verizon-Nextlink Accepted for Filing Public Notice</w:t>
      </w:r>
      <w:r w:rsidR="00C90C5B">
        <w:t xml:space="preserve"> at 3.</w:t>
      </w:r>
    </w:p>
  </w:footnote>
  <w:footnote w:id="20">
    <w:p w14:paraId="130D076F" w14:textId="61036E27" w:rsidR="005C617E" w:rsidRPr="005C617E" w:rsidRDefault="005C617E">
      <w:pPr>
        <w:pStyle w:val="FootnoteText"/>
      </w:pPr>
      <w:r>
        <w:rPr>
          <w:rStyle w:val="FootnoteReference"/>
        </w:rPr>
        <w:footnoteRef/>
      </w:r>
      <w:r>
        <w:t xml:space="preserve"> Motion at 6.  </w:t>
      </w:r>
      <w:r>
        <w:rPr>
          <w:i/>
        </w:rPr>
        <w:t>See</w:t>
      </w:r>
      <w:r>
        <w:t xml:space="preserve"> </w:t>
      </w:r>
      <w:r w:rsidRPr="005C617E">
        <w:rPr>
          <w:i/>
        </w:rPr>
        <w:t>AT&amp;T Incorporated and Qualcomm Incorporated for Consent to Assign Licenses and Authorizations</w:t>
      </w:r>
      <w:r>
        <w:t>, Order, 26 FCC Rcd 17589, 17622, para. 80 (2011) (</w:t>
      </w:r>
      <w:r>
        <w:rPr>
          <w:i/>
        </w:rPr>
        <w:t>AT&amp;T-Qualcomm</w:t>
      </w:r>
      <w:r>
        <w:t>).</w:t>
      </w:r>
    </w:p>
  </w:footnote>
  <w:footnote w:id="21">
    <w:p w14:paraId="098A2872" w14:textId="3A2BEF53" w:rsidR="003616E1" w:rsidRPr="003616E1" w:rsidRDefault="003616E1">
      <w:pPr>
        <w:pStyle w:val="FootnoteText"/>
      </w:pPr>
      <w:r>
        <w:rPr>
          <w:rStyle w:val="FootnoteReference"/>
        </w:rPr>
        <w:footnoteRef/>
      </w:r>
      <w:r>
        <w:t xml:space="preserve"> </w:t>
      </w:r>
      <w:r>
        <w:rPr>
          <w:i/>
        </w:rPr>
        <w:t>See</w:t>
      </w:r>
      <w:r>
        <w:t xml:space="preserve"> </w:t>
      </w:r>
      <w:r>
        <w:rPr>
          <w:i/>
        </w:rPr>
        <w:t>Applications of Nextel Communications, Inc. for Transfer of Control of OneComm Corporation, N.A. and C-Call Corp.</w:t>
      </w:r>
      <w:r>
        <w:t>, Order, 10 FCC Rcd 3363, 3364, para. 20 (WTB 1995).</w:t>
      </w:r>
    </w:p>
  </w:footnote>
  <w:footnote w:id="22">
    <w:p w14:paraId="7967E3F9" w14:textId="2D7DB93F" w:rsidR="00A104EE" w:rsidRPr="00A104EE" w:rsidRDefault="00A104EE">
      <w:pPr>
        <w:pStyle w:val="FootnoteText"/>
      </w:pPr>
      <w:r>
        <w:rPr>
          <w:rStyle w:val="FootnoteReference"/>
        </w:rPr>
        <w:footnoteRef/>
      </w:r>
      <w:r>
        <w:t xml:space="preserve"> </w:t>
      </w:r>
      <w:r>
        <w:rPr>
          <w:i/>
        </w:rPr>
        <w:t>See Verizon-Nextlink Leasing Order</w:t>
      </w:r>
      <w:r>
        <w:t>.</w:t>
      </w:r>
    </w:p>
  </w:footnote>
  <w:footnote w:id="23">
    <w:p w14:paraId="18B6AFAF" w14:textId="5E6EA5E7" w:rsidR="00F46BF1" w:rsidRPr="00C90C5B" w:rsidRDefault="00F46BF1" w:rsidP="00F46BF1">
      <w:pPr>
        <w:pStyle w:val="FootnoteText"/>
      </w:pPr>
      <w:r>
        <w:rPr>
          <w:rStyle w:val="FootnoteReference"/>
        </w:rPr>
        <w:footnoteRef/>
      </w:r>
      <w:r>
        <w:t xml:space="preserve"> </w:t>
      </w:r>
      <w:r w:rsidRPr="00F46BF1">
        <w:t xml:space="preserve">We find that the </w:t>
      </w:r>
      <w:r>
        <w:t xml:space="preserve">Commission’s consolidated review of the </w:t>
      </w:r>
      <w:r w:rsidRPr="00F46BF1">
        <w:t xml:space="preserve">Verizon AWS transactions </w:t>
      </w:r>
      <w:r>
        <w:t>cited by CCA is</w:t>
      </w:r>
      <w:r w:rsidRPr="00F46BF1">
        <w:t xml:space="preserve"> distinguishable because there was a significantly greater “commonality of issues” among the Verizon AWS applications</w:t>
      </w:r>
      <w:r>
        <w:t xml:space="preserve">.  </w:t>
      </w:r>
      <w:r w:rsidRPr="00F46BF1">
        <w:t xml:space="preserve"> </w:t>
      </w:r>
      <w:r>
        <w:rPr>
          <w:i/>
        </w:rPr>
        <w:t>See Verizon AWS Applications Public Notice</w:t>
      </w:r>
      <w:r>
        <w:t>, 27 FCC Rcd at 361.</w:t>
      </w:r>
    </w:p>
  </w:footnote>
  <w:footnote w:id="24">
    <w:p w14:paraId="35390E34" w14:textId="79B3053F" w:rsidR="00F60599" w:rsidRPr="00F60599" w:rsidRDefault="00F60599">
      <w:pPr>
        <w:pStyle w:val="FootnoteText"/>
      </w:pPr>
      <w:r>
        <w:rPr>
          <w:rStyle w:val="FootnoteReference"/>
        </w:rPr>
        <w:footnoteRef/>
      </w:r>
      <w:r>
        <w:t xml:space="preserve"> </w:t>
      </w:r>
      <w:r>
        <w:rPr>
          <w:i/>
        </w:rPr>
        <w:t>AT&amp;T-Qualcomm</w:t>
      </w:r>
      <w:r>
        <w:t>, 26 FCC Rcd at 17622, para. 80.</w:t>
      </w:r>
    </w:p>
  </w:footnote>
  <w:footnote w:id="25">
    <w:p w14:paraId="6C9A19AC" w14:textId="410EDE26" w:rsidR="007C41C5" w:rsidRDefault="007C41C5">
      <w:pPr>
        <w:pStyle w:val="FootnoteText"/>
      </w:pPr>
      <w:r>
        <w:rPr>
          <w:rStyle w:val="FootnoteReference"/>
        </w:rPr>
        <w:footnoteRef/>
      </w:r>
      <w:r>
        <w:t xml:space="preserve"> The pleading cycle for the Verizon-Nextlink transaction will remain as announced in the accepted for filing public notice.  Assuming the Bureau finds the Verizon-Straight Path application acceptable for filing, the Bureau will issue a separate public notice announcing that fact and establishing a pleading cycle for that transaction.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670F" w14:textId="77777777" w:rsidR="009A73AB" w:rsidRDefault="009A7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6B01" w14:textId="7C8AD848" w:rsidR="00BE5257" w:rsidRDefault="00BE5257" w:rsidP="00810B6F">
    <w:pPr>
      <w:pStyle w:val="Header"/>
      <w:rPr>
        <w:b w:val="0"/>
      </w:rPr>
    </w:pPr>
    <w:r>
      <w:tab/>
      <w:t>Federal Communications Commission</w:t>
    </w:r>
    <w:r>
      <w:tab/>
      <w:t>DA 1</w:t>
    </w:r>
    <w:r w:rsidR="00A02A04">
      <w:t>7</w:t>
    </w:r>
    <w:r>
      <w:t>-</w:t>
    </w:r>
    <w:r w:rsidR="00D37745">
      <w:t>610</w:t>
    </w:r>
  </w:p>
  <w:p w14:paraId="4F30E01A" w14:textId="77777777" w:rsidR="00BE5257" w:rsidRDefault="00BE5257">
    <w:pPr>
      <w:tabs>
        <w:tab w:val="left" w:pos="-720"/>
      </w:tabs>
      <w:suppressAutoHyphens/>
      <w:spacing w:line="19" w:lineRule="exact"/>
      <w:rPr>
        <w:spacing w:val="-2"/>
      </w:rPr>
    </w:pPr>
    <w:r>
      <w:rPr>
        <w:noProof/>
      </w:rPr>
      <mc:AlternateContent>
        <mc:Choice Requires="wps">
          <w:drawing>
            <wp:anchor distT="0" distB="0" distL="114300" distR="114300" simplePos="0" relativeHeight="251660800" behindDoc="1" locked="0" layoutInCell="0" allowOverlap="1" wp14:anchorId="7244749A" wp14:editId="473A2D0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4082F16" id="Rectangle 1" o:spid="_x0000_s1026" style="position:absolute;margin-left:0;margin-top:0;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1121E03" w14:textId="77777777" w:rsidR="00BE5257" w:rsidRDefault="00BE525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C6C6" w14:textId="5ABB8E9F" w:rsidR="00BE5257" w:rsidRDefault="00BE5257" w:rsidP="00810B6F">
    <w:pPr>
      <w:pStyle w:val="Header"/>
      <w:rPr>
        <w:b w:val="0"/>
      </w:rPr>
    </w:pPr>
    <w:r w:rsidRPr="00CA4BCE">
      <w:rPr>
        <w:noProof/>
        <w:highlight w:val="yellow"/>
      </w:rPr>
      <mc:AlternateContent>
        <mc:Choice Requires="wps">
          <w:drawing>
            <wp:anchor distT="0" distB="0" distL="114300" distR="114300" simplePos="0" relativeHeight="251658240" behindDoc="1" locked="0" layoutInCell="0" allowOverlap="1" wp14:anchorId="1DDF6EB2" wp14:editId="1FA658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CDD9B6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w:t>
    </w:r>
    <w:r w:rsidR="00A02A04">
      <w:rPr>
        <w:spacing w:val="-2"/>
      </w:rPr>
      <w:t>7</w:t>
    </w:r>
    <w:r>
      <w:rPr>
        <w:spacing w:val="-2"/>
      </w:rPr>
      <w:t>-</w:t>
    </w:r>
    <w:r w:rsidR="00D37745">
      <w:rPr>
        <w:spacing w:val="-2"/>
      </w:rPr>
      <w:t>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76F1E2"/>
    <w:lvl w:ilvl="0">
      <w:start w:val="1"/>
      <w:numFmt w:val="upperRoman"/>
      <w:pStyle w:val="Heading1"/>
      <w:lvlText w:val="%1."/>
      <w:lvlJc w:val="left"/>
      <w:pPr>
        <w:tabs>
          <w:tab w:val="num" w:pos="5850"/>
        </w:tabs>
        <w:ind w:left="585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5760"/>
        </w:tabs>
        <w:ind w:left="468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81"/>
    <w:rsid w:val="000009E6"/>
    <w:rsid w:val="00013A2A"/>
    <w:rsid w:val="00023A71"/>
    <w:rsid w:val="00027AC6"/>
    <w:rsid w:val="00030E1D"/>
    <w:rsid w:val="00031AC5"/>
    <w:rsid w:val="00036039"/>
    <w:rsid w:val="00037F90"/>
    <w:rsid w:val="00047060"/>
    <w:rsid w:val="00066144"/>
    <w:rsid w:val="000662D8"/>
    <w:rsid w:val="00072FFB"/>
    <w:rsid w:val="000751E5"/>
    <w:rsid w:val="0007582A"/>
    <w:rsid w:val="0007748A"/>
    <w:rsid w:val="00080128"/>
    <w:rsid w:val="00084B2E"/>
    <w:rsid w:val="000875BF"/>
    <w:rsid w:val="0009080C"/>
    <w:rsid w:val="000935EE"/>
    <w:rsid w:val="00096496"/>
    <w:rsid w:val="00096D8C"/>
    <w:rsid w:val="000A1CD5"/>
    <w:rsid w:val="000B5355"/>
    <w:rsid w:val="000B7BF5"/>
    <w:rsid w:val="000C0B65"/>
    <w:rsid w:val="000C3C0B"/>
    <w:rsid w:val="000C7879"/>
    <w:rsid w:val="000D1B15"/>
    <w:rsid w:val="000D7852"/>
    <w:rsid w:val="000E05FE"/>
    <w:rsid w:val="000E3D42"/>
    <w:rsid w:val="000E4742"/>
    <w:rsid w:val="000E666D"/>
    <w:rsid w:val="000E7B25"/>
    <w:rsid w:val="000F1D9A"/>
    <w:rsid w:val="000F2360"/>
    <w:rsid w:val="000F4611"/>
    <w:rsid w:val="000F48BB"/>
    <w:rsid w:val="0010185A"/>
    <w:rsid w:val="00101FD9"/>
    <w:rsid w:val="001032B7"/>
    <w:rsid w:val="001042F0"/>
    <w:rsid w:val="0011365D"/>
    <w:rsid w:val="00117D5F"/>
    <w:rsid w:val="001210B6"/>
    <w:rsid w:val="00122BD5"/>
    <w:rsid w:val="001244CD"/>
    <w:rsid w:val="00133F79"/>
    <w:rsid w:val="00134B23"/>
    <w:rsid w:val="00136705"/>
    <w:rsid w:val="0013673D"/>
    <w:rsid w:val="001400AC"/>
    <w:rsid w:val="00145B8A"/>
    <w:rsid w:val="00152CC0"/>
    <w:rsid w:val="001537B6"/>
    <w:rsid w:val="001555B0"/>
    <w:rsid w:val="00155A57"/>
    <w:rsid w:val="00160DA6"/>
    <w:rsid w:val="00164B48"/>
    <w:rsid w:val="00166E8A"/>
    <w:rsid w:val="00170A48"/>
    <w:rsid w:val="001772D9"/>
    <w:rsid w:val="00185151"/>
    <w:rsid w:val="001929EC"/>
    <w:rsid w:val="00194A66"/>
    <w:rsid w:val="00194D32"/>
    <w:rsid w:val="00195B07"/>
    <w:rsid w:val="00195D39"/>
    <w:rsid w:val="001A017D"/>
    <w:rsid w:val="001A0519"/>
    <w:rsid w:val="001A1FCF"/>
    <w:rsid w:val="001A24EA"/>
    <w:rsid w:val="001A2ADF"/>
    <w:rsid w:val="001A539C"/>
    <w:rsid w:val="001A6254"/>
    <w:rsid w:val="001A73DC"/>
    <w:rsid w:val="001B0B4B"/>
    <w:rsid w:val="001B10D0"/>
    <w:rsid w:val="001B3722"/>
    <w:rsid w:val="001B7572"/>
    <w:rsid w:val="001C12CC"/>
    <w:rsid w:val="001D05C9"/>
    <w:rsid w:val="001D05FE"/>
    <w:rsid w:val="001D16D8"/>
    <w:rsid w:val="001D3750"/>
    <w:rsid w:val="001D4851"/>
    <w:rsid w:val="001D6A1B"/>
    <w:rsid w:val="001D6BCF"/>
    <w:rsid w:val="001D76F2"/>
    <w:rsid w:val="001E01CA"/>
    <w:rsid w:val="001E125F"/>
    <w:rsid w:val="001E4287"/>
    <w:rsid w:val="001E4ACD"/>
    <w:rsid w:val="001F0EE9"/>
    <w:rsid w:val="001F24F2"/>
    <w:rsid w:val="001F2E23"/>
    <w:rsid w:val="001F36CB"/>
    <w:rsid w:val="001F49F5"/>
    <w:rsid w:val="002107A2"/>
    <w:rsid w:val="002135DD"/>
    <w:rsid w:val="00213F52"/>
    <w:rsid w:val="00214578"/>
    <w:rsid w:val="00215B65"/>
    <w:rsid w:val="00216A03"/>
    <w:rsid w:val="00220916"/>
    <w:rsid w:val="00220B29"/>
    <w:rsid w:val="00221F12"/>
    <w:rsid w:val="002249F3"/>
    <w:rsid w:val="00227968"/>
    <w:rsid w:val="0023409D"/>
    <w:rsid w:val="002345A5"/>
    <w:rsid w:val="00234CD6"/>
    <w:rsid w:val="0023535D"/>
    <w:rsid w:val="002375F3"/>
    <w:rsid w:val="00240A3A"/>
    <w:rsid w:val="0024368B"/>
    <w:rsid w:val="002449E5"/>
    <w:rsid w:val="00244D54"/>
    <w:rsid w:val="00244D9A"/>
    <w:rsid w:val="002549BD"/>
    <w:rsid w:val="00256A1B"/>
    <w:rsid w:val="00257D38"/>
    <w:rsid w:val="00273CE5"/>
    <w:rsid w:val="00275CF5"/>
    <w:rsid w:val="002815FE"/>
    <w:rsid w:val="0028301F"/>
    <w:rsid w:val="00285017"/>
    <w:rsid w:val="002955D4"/>
    <w:rsid w:val="00295BFC"/>
    <w:rsid w:val="00295F89"/>
    <w:rsid w:val="002A2D2E"/>
    <w:rsid w:val="002A63F9"/>
    <w:rsid w:val="002B6C49"/>
    <w:rsid w:val="002C00E8"/>
    <w:rsid w:val="002C07A0"/>
    <w:rsid w:val="002C0920"/>
    <w:rsid w:val="002D0E87"/>
    <w:rsid w:val="002D7CE4"/>
    <w:rsid w:val="002E640B"/>
    <w:rsid w:val="002E658F"/>
    <w:rsid w:val="002E695B"/>
    <w:rsid w:val="002F0A0C"/>
    <w:rsid w:val="002F2246"/>
    <w:rsid w:val="003017B5"/>
    <w:rsid w:val="00302B36"/>
    <w:rsid w:val="003032D9"/>
    <w:rsid w:val="00304FE8"/>
    <w:rsid w:val="003056D7"/>
    <w:rsid w:val="00305FDE"/>
    <w:rsid w:val="0030796D"/>
    <w:rsid w:val="003100C4"/>
    <w:rsid w:val="00313F51"/>
    <w:rsid w:val="0031602F"/>
    <w:rsid w:val="003160A7"/>
    <w:rsid w:val="00323584"/>
    <w:rsid w:val="00327379"/>
    <w:rsid w:val="0033409E"/>
    <w:rsid w:val="003364E5"/>
    <w:rsid w:val="00336825"/>
    <w:rsid w:val="00343749"/>
    <w:rsid w:val="00353499"/>
    <w:rsid w:val="00355A86"/>
    <w:rsid w:val="003616E1"/>
    <w:rsid w:val="003660ED"/>
    <w:rsid w:val="0038019E"/>
    <w:rsid w:val="003858F6"/>
    <w:rsid w:val="00394736"/>
    <w:rsid w:val="0039590C"/>
    <w:rsid w:val="003979CE"/>
    <w:rsid w:val="00397AFE"/>
    <w:rsid w:val="003A2D95"/>
    <w:rsid w:val="003A7714"/>
    <w:rsid w:val="003A7ABB"/>
    <w:rsid w:val="003B0550"/>
    <w:rsid w:val="003B2C2F"/>
    <w:rsid w:val="003B2E0D"/>
    <w:rsid w:val="003B4A1B"/>
    <w:rsid w:val="003B60C5"/>
    <w:rsid w:val="003B614D"/>
    <w:rsid w:val="003B694F"/>
    <w:rsid w:val="003C06BF"/>
    <w:rsid w:val="003C2ACE"/>
    <w:rsid w:val="003C2D59"/>
    <w:rsid w:val="003D2BE7"/>
    <w:rsid w:val="003D60A3"/>
    <w:rsid w:val="003D66C5"/>
    <w:rsid w:val="003D7301"/>
    <w:rsid w:val="003E05CD"/>
    <w:rsid w:val="003E3209"/>
    <w:rsid w:val="003E5A25"/>
    <w:rsid w:val="003F171C"/>
    <w:rsid w:val="003F31EA"/>
    <w:rsid w:val="003F54AB"/>
    <w:rsid w:val="00405672"/>
    <w:rsid w:val="004069F6"/>
    <w:rsid w:val="00407528"/>
    <w:rsid w:val="004123DF"/>
    <w:rsid w:val="00412FC5"/>
    <w:rsid w:val="004131DF"/>
    <w:rsid w:val="00417774"/>
    <w:rsid w:val="00422276"/>
    <w:rsid w:val="004242F1"/>
    <w:rsid w:val="004269C0"/>
    <w:rsid w:val="00427733"/>
    <w:rsid w:val="0044113D"/>
    <w:rsid w:val="00445A00"/>
    <w:rsid w:val="00447ACF"/>
    <w:rsid w:val="00451217"/>
    <w:rsid w:val="00451B0F"/>
    <w:rsid w:val="004615AC"/>
    <w:rsid w:val="00473887"/>
    <w:rsid w:val="004748FE"/>
    <w:rsid w:val="00475C92"/>
    <w:rsid w:val="004809FA"/>
    <w:rsid w:val="004824CF"/>
    <w:rsid w:val="0048603B"/>
    <w:rsid w:val="004960FB"/>
    <w:rsid w:val="004961DA"/>
    <w:rsid w:val="00497DD9"/>
    <w:rsid w:val="004A42DB"/>
    <w:rsid w:val="004A5F11"/>
    <w:rsid w:val="004A75E9"/>
    <w:rsid w:val="004B268C"/>
    <w:rsid w:val="004B3737"/>
    <w:rsid w:val="004C19D1"/>
    <w:rsid w:val="004C2EE3"/>
    <w:rsid w:val="004C3F9D"/>
    <w:rsid w:val="004D03A8"/>
    <w:rsid w:val="004D1423"/>
    <w:rsid w:val="004D14C6"/>
    <w:rsid w:val="004D7AB2"/>
    <w:rsid w:val="004E103E"/>
    <w:rsid w:val="004E4A22"/>
    <w:rsid w:val="004E4A6A"/>
    <w:rsid w:val="004E7EF0"/>
    <w:rsid w:val="004F4F4D"/>
    <w:rsid w:val="005057D5"/>
    <w:rsid w:val="00506037"/>
    <w:rsid w:val="00511968"/>
    <w:rsid w:val="00513B28"/>
    <w:rsid w:val="005163B3"/>
    <w:rsid w:val="00517CED"/>
    <w:rsid w:val="00523C54"/>
    <w:rsid w:val="00525DEB"/>
    <w:rsid w:val="00530264"/>
    <w:rsid w:val="00532073"/>
    <w:rsid w:val="0053362C"/>
    <w:rsid w:val="0053482C"/>
    <w:rsid w:val="00541AF3"/>
    <w:rsid w:val="00541BFD"/>
    <w:rsid w:val="005430F5"/>
    <w:rsid w:val="005441C0"/>
    <w:rsid w:val="00552BB8"/>
    <w:rsid w:val="0055614C"/>
    <w:rsid w:val="00557699"/>
    <w:rsid w:val="005759EC"/>
    <w:rsid w:val="00582092"/>
    <w:rsid w:val="00584151"/>
    <w:rsid w:val="00585E05"/>
    <w:rsid w:val="00586CFB"/>
    <w:rsid w:val="0059071E"/>
    <w:rsid w:val="00595DB1"/>
    <w:rsid w:val="005A05B0"/>
    <w:rsid w:val="005A0987"/>
    <w:rsid w:val="005A0A98"/>
    <w:rsid w:val="005A369F"/>
    <w:rsid w:val="005A592F"/>
    <w:rsid w:val="005A78F0"/>
    <w:rsid w:val="005B0AF3"/>
    <w:rsid w:val="005B126F"/>
    <w:rsid w:val="005B2051"/>
    <w:rsid w:val="005B425F"/>
    <w:rsid w:val="005B55F4"/>
    <w:rsid w:val="005C1600"/>
    <w:rsid w:val="005C617E"/>
    <w:rsid w:val="005D093F"/>
    <w:rsid w:val="005D0BB8"/>
    <w:rsid w:val="005D1488"/>
    <w:rsid w:val="005D53D1"/>
    <w:rsid w:val="005D5627"/>
    <w:rsid w:val="005D5981"/>
    <w:rsid w:val="005E14C2"/>
    <w:rsid w:val="005E2CAF"/>
    <w:rsid w:val="005E58F5"/>
    <w:rsid w:val="005F2E16"/>
    <w:rsid w:val="005F5FB5"/>
    <w:rsid w:val="005F7DCD"/>
    <w:rsid w:val="006021FE"/>
    <w:rsid w:val="006022AD"/>
    <w:rsid w:val="006053A6"/>
    <w:rsid w:val="00606EC9"/>
    <w:rsid w:val="00606F1F"/>
    <w:rsid w:val="0060728A"/>
    <w:rsid w:val="00607BA5"/>
    <w:rsid w:val="00607ED7"/>
    <w:rsid w:val="0061180A"/>
    <w:rsid w:val="00612C28"/>
    <w:rsid w:val="006152A3"/>
    <w:rsid w:val="00615863"/>
    <w:rsid w:val="00617A2F"/>
    <w:rsid w:val="006206E1"/>
    <w:rsid w:val="00620D4B"/>
    <w:rsid w:val="00626EB6"/>
    <w:rsid w:val="006270D9"/>
    <w:rsid w:val="00627A4A"/>
    <w:rsid w:val="00627E44"/>
    <w:rsid w:val="00631A50"/>
    <w:rsid w:val="00631E02"/>
    <w:rsid w:val="006328A6"/>
    <w:rsid w:val="006334C8"/>
    <w:rsid w:val="00636C93"/>
    <w:rsid w:val="00637659"/>
    <w:rsid w:val="00637A6F"/>
    <w:rsid w:val="00641A3D"/>
    <w:rsid w:val="0064228B"/>
    <w:rsid w:val="006460F4"/>
    <w:rsid w:val="0064624E"/>
    <w:rsid w:val="006521B3"/>
    <w:rsid w:val="00655D03"/>
    <w:rsid w:val="00656046"/>
    <w:rsid w:val="0065764A"/>
    <w:rsid w:val="00662B95"/>
    <w:rsid w:val="00663DD8"/>
    <w:rsid w:val="0066488B"/>
    <w:rsid w:val="0067445D"/>
    <w:rsid w:val="00683388"/>
    <w:rsid w:val="00683F84"/>
    <w:rsid w:val="00696F19"/>
    <w:rsid w:val="006975EA"/>
    <w:rsid w:val="006A5B6F"/>
    <w:rsid w:val="006A6A81"/>
    <w:rsid w:val="006B0A7C"/>
    <w:rsid w:val="006B6870"/>
    <w:rsid w:val="006C33C7"/>
    <w:rsid w:val="006C3858"/>
    <w:rsid w:val="006C54C8"/>
    <w:rsid w:val="006C7E53"/>
    <w:rsid w:val="006D1162"/>
    <w:rsid w:val="006E480B"/>
    <w:rsid w:val="006E7481"/>
    <w:rsid w:val="006F2557"/>
    <w:rsid w:val="006F35EA"/>
    <w:rsid w:val="006F435F"/>
    <w:rsid w:val="006F6F38"/>
    <w:rsid w:val="006F7393"/>
    <w:rsid w:val="0070224F"/>
    <w:rsid w:val="00704546"/>
    <w:rsid w:val="00704C87"/>
    <w:rsid w:val="007115F7"/>
    <w:rsid w:val="00711CA4"/>
    <w:rsid w:val="00712455"/>
    <w:rsid w:val="007143C3"/>
    <w:rsid w:val="007176C4"/>
    <w:rsid w:val="00717CF6"/>
    <w:rsid w:val="00720325"/>
    <w:rsid w:val="00732EDA"/>
    <w:rsid w:val="00733666"/>
    <w:rsid w:val="007348C7"/>
    <w:rsid w:val="00734B49"/>
    <w:rsid w:val="00735D18"/>
    <w:rsid w:val="00741E55"/>
    <w:rsid w:val="00750B6A"/>
    <w:rsid w:val="00757D0D"/>
    <w:rsid w:val="0077253A"/>
    <w:rsid w:val="00773821"/>
    <w:rsid w:val="007752C3"/>
    <w:rsid w:val="007768EA"/>
    <w:rsid w:val="00780143"/>
    <w:rsid w:val="00785689"/>
    <w:rsid w:val="00787052"/>
    <w:rsid w:val="00794987"/>
    <w:rsid w:val="00794CD5"/>
    <w:rsid w:val="007958C5"/>
    <w:rsid w:val="0079754B"/>
    <w:rsid w:val="007A0335"/>
    <w:rsid w:val="007A1E6D"/>
    <w:rsid w:val="007B0476"/>
    <w:rsid w:val="007B0B74"/>
    <w:rsid w:val="007B0EB2"/>
    <w:rsid w:val="007B4692"/>
    <w:rsid w:val="007C2876"/>
    <w:rsid w:val="007C41C5"/>
    <w:rsid w:val="007C6005"/>
    <w:rsid w:val="007D1A44"/>
    <w:rsid w:val="007D551D"/>
    <w:rsid w:val="007D5E4F"/>
    <w:rsid w:val="007D7213"/>
    <w:rsid w:val="007F2F89"/>
    <w:rsid w:val="007F6B96"/>
    <w:rsid w:val="00800E41"/>
    <w:rsid w:val="00802E32"/>
    <w:rsid w:val="00803431"/>
    <w:rsid w:val="008062F7"/>
    <w:rsid w:val="00810B6F"/>
    <w:rsid w:val="00816C8E"/>
    <w:rsid w:val="00817E7A"/>
    <w:rsid w:val="00822CE0"/>
    <w:rsid w:val="00830953"/>
    <w:rsid w:val="00834615"/>
    <w:rsid w:val="00834AC3"/>
    <w:rsid w:val="00834E1E"/>
    <w:rsid w:val="008414B4"/>
    <w:rsid w:val="00841AB1"/>
    <w:rsid w:val="0084202B"/>
    <w:rsid w:val="00850350"/>
    <w:rsid w:val="00852035"/>
    <w:rsid w:val="00853AC3"/>
    <w:rsid w:val="00855F12"/>
    <w:rsid w:val="00867C56"/>
    <w:rsid w:val="00872544"/>
    <w:rsid w:val="00874DFA"/>
    <w:rsid w:val="00876273"/>
    <w:rsid w:val="00876D52"/>
    <w:rsid w:val="00880FBB"/>
    <w:rsid w:val="00883237"/>
    <w:rsid w:val="00884756"/>
    <w:rsid w:val="008848AB"/>
    <w:rsid w:val="00885D1B"/>
    <w:rsid w:val="00886331"/>
    <w:rsid w:val="00886DD7"/>
    <w:rsid w:val="0089396C"/>
    <w:rsid w:val="008968A7"/>
    <w:rsid w:val="008968CB"/>
    <w:rsid w:val="008A530C"/>
    <w:rsid w:val="008A7114"/>
    <w:rsid w:val="008B0666"/>
    <w:rsid w:val="008B15B1"/>
    <w:rsid w:val="008B2980"/>
    <w:rsid w:val="008B3744"/>
    <w:rsid w:val="008B40B9"/>
    <w:rsid w:val="008B61E4"/>
    <w:rsid w:val="008B7F10"/>
    <w:rsid w:val="008C60BF"/>
    <w:rsid w:val="008C68F1"/>
    <w:rsid w:val="008D0EFD"/>
    <w:rsid w:val="008D4584"/>
    <w:rsid w:val="008D72E7"/>
    <w:rsid w:val="008E0E71"/>
    <w:rsid w:val="008F1503"/>
    <w:rsid w:val="008F538F"/>
    <w:rsid w:val="008F66FA"/>
    <w:rsid w:val="008F6D6F"/>
    <w:rsid w:val="00903339"/>
    <w:rsid w:val="00915484"/>
    <w:rsid w:val="00921803"/>
    <w:rsid w:val="00924FDC"/>
    <w:rsid w:val="00926503"/>
    <w:rsid w:val="009265DF"/>
    <w:rsid w:val="00926949"/>
    <w:rsid w:val="0093787C"/>
    <w:rsid w:val="00942D43"/>
    <w:rsid w:val="00945327"/>
    <w:rsid w:val="00950A7C"/>
    <w:rsid w:val="009515D2"/>
    <w:rsid w:val="009519EB"/>
    <w:rsid w:val="00952B7B"/>
    <w:rsid w:val="009532F1"/>
    <w:rsid w:val="009533AA"/>
    <w:rsid w:val="00956728"/>
    <w:rsid w:val="00961614"/>
    <w:rsid w:val="00961787"/>
    <w:rsid w:val="00962B66"/>
    <w:rsid w:val="00963692"/>
    <w:rsid w:val="00970DE0"/>
    <w:rsid w:val="00971315"/>
    <w:rsid w:val="00971D0D"/>
    <w:rsid w:val="009726D8"/>
    <w:rsid w:val="00973EB7"/>
    <w:rsid w:val="009762B5"/>
    <w:rsid w:val="0097632E"/>
    <w:rsid w:val="00977D6F"/>
    <w:rsid w:val="009800AF"/>
    <w:rsid w:val="00981846"/>
    <w:rsid w:val="0098200F"/>
    <w:rsid w:val="009827CA"/>
    <w:rsid w:val="009933B2"/>
    <w:rsid w:val="009971D2"/>
    <w:rsid w:val="009A4F4B"/>
    <w:rsid w:val="009A73AB"/>
    <w:rsid w:val="009B0F18"/>
    <w:rsid w:val="009B1F1E"/>
    <w:rsid w:val="009B288D"/>
    <w:rsid w:val="009B5DD9"/>
    <w:rsid w:val="009B7E41"/>
    <w:rsid w:val="009C2609"/>
    <w:rsid w:val="009C2F26"/>
    <w:rsid w:val="009C31D7"/>
    <w:rsid w:val="009C42EC"/>
    <w:rsid w:val="009C5249"/>
    <w:rsid w:val="009C581E"/>
    <w:rsid w:val="009E62E7"/>
    <w:rsid w:val="009F40F8"/>
    <w:rsid w:val="009F476C"/>
    <w:rsid w:val="009F5FB0"/>
    <w:rsid w:val="009F63CB"/>
    <w:rsid w:val="009F66E7"/>
    <w:rsid w:val="009F76DB"/>
    <w:rsid w:val="009F7A45"/>
    <w:rsid w:val="00A02A04"/>
    <w:rsid w:val="00A02E45"/>
    <w:rsid w:val="00A05213"/>
    <w:rsid w:val="00A0547E"/>
    <w:rsid w:val="00A104EE"/>
    <w:rsid w:val="00A16659"/>
    <w:rsid w:val="00A22B4E"/>
    <w:rsid w:val="00A22C7A"/>
    <w:rsid w:val="00A23997"/>
    <w:rsid w:val="00A27DF0"/>
    <w:rsid w:val="00A32B4B"/>
    <w:rsid w:val="00A32C3B"/>
    <w:rsid w:val="00A45F4F"/>
    <w:rsid w:val="00A46B91"/>
    <w:rsid w:val="00A4792A"/>
    <w:rsid w:val="00A534C8"/>
    <w:rsid w:val="00A56AE7"/>
    <w:rsid w:val="00A57FFD"/>
    <w:rsid w:val="00A600A9"/>
    <w:rsid w:val="00A6524E"/>
    <w:rsid w:val="00A72329"/>
    <w:rsid w:val="00A76707"/>
    <w:rsid w:val="00A800BB"/>
    <w:rsid w:val="00A8121A"/>
    <w:rsid w:val="00A85F9E"/>
    <w:rsid w:val="00A876FA"/>
    <w:rsid w:val="00A93528"/>
    <w:rsid w:val="00A972DC"/>
    <w:rsid w:val="00A9790A"/>
    <w:rsid w:val="00AA55B7"/>
    <w:rsid w:val="00AA5B9E"/>
    <w:rsid w:val="00AA5F07"/>
    <w:rsid w:val="00AA7878"/>
    <w:rsid w:val="00AB1DD3"/>
    <w:rsid w:val="00AB2407"/>
    <w:rsid w:val="00AB53DF"/>
    <w:rsid w:val="00AC00CE"/>
    <w:rsid w:val="00AC1B4C"/>
    <w:rsid w:val="00AC677C"/>
    <w:rsid w:val="00AC6F18"/>
    <w:rsid w:val="00AD192F"/>
    <w:rsid w:val="00AD26AA"/>
    <w:rsid w:val="00AD4876"/>
    <w:rsid w:val="00AE1C86"/>
    <w:rsid w:val="00AF03DD"/>
    <w:rsid w:val="00AF1114"/>
    <w:rsid w:val="00AF2499"/>
    <w:rsid w:val="00B04EDB"/>
    <w:rsid w:val="00B07E5C"/>
    <w:rsid w:val="00B2128F"/>
    <w:rsid w:val="00B22BF1"/>
    <w:rsid w:val="00B26897"/>
    <w:rsid w:val="00B3362F"/>
    <w:rsid w:val="00B40F89"/>
    <w:rsid w:val="00B42CC9"/>
    <w:rsid w:val="00B4314C"/>
    <w:rsid w:val="00B4494E"/>
    <w:rsid w:val="00B501B1"/>
    <w:rsid w:val="00B509FE"/>
    <w:rsid w:val="00B52A39"/>
    <w:rsid w:val="00B5624D"/>
    <w:rsid w:val="00B62386"/>
    <w:rsid w:val="00B76011"/>
    <w:rsid w:val="00B763E9"/>
    <w:rsid w:val="00B77BC6"/>
    <w:rsid w:val="00B811F7"/>
    <w:rsid w:val="00B84DDD"/>
    <w:rsid w:val="00B856A6"/>
    <w:rsid w:val="00B913FF"/>
    <w:rsid w:val="00B9479D"/>
    <w:rsid w:val="00BA5DC6"/>
    <w:rsid w:val="00BA6196"/>
    <w:rsid w:val="00BB3A2B"/>
    <w:rsid w:val="00BB6CA4"/>
    <w:rsid w:val="00BB7CCB"/>
    <w:rsid w:val="00BC1FF8"/>
    <w:rsid w:val="00BC6D8C"/>
    <w:rsid w:val="00BD0679"/>
    <w:rsid w:val="00BD63FB"/>
    <w:rsid w:val="00BE037C"/>
    <w:rsid w:val="00BE3B15"/>
    <w:rsid w:val="00BE5257"/>
    <w:rsid w:val="00BF3E34"/>
    <w:rsid w:val="00BF4661"/>
    <w:rsid w:val="00C07CB8"/>
    <w:rsid w:val="00C12018"/>
    <w:rsid w:val="00C15647"/>
    <w:rsid w:val="00C172A0"/>
    <w:rsid w:val="00C17F0E"/>
    <w:rsid w:val="00C21AC5"/>
    <w:rsid w:val="00C22202"/>
    <w:rsid w:val="00C241BE"/>
    <w:rsid w:val="00C26940"/>
    <w:rsid w:val="00C26D48"/>
    <w:rsid w:val="00C27E62"/>
    <w:rsid w:val="00C330FF"/>
    <w:rsid w:val="00C34006"/>
    <w:rsid w:val="00C410C1"/>
    <w:rsid w:val="00C426B1"/>
    <w:rsid w:val="00C4562C"/>
    <w:rsid w:val="00C4666C"/>
    <w:rsid w:val="00C503C2"/>
    <w:rsid w:val="00C50B65"/>
    <w:rsid w:val="00C5166B"/>
    <w:rsid w:val="00C53465"/>
    <w:rsid w:val="00C55B72"/>
    <w:rsid w:val="00C56B95"/>
    <w:rsid w:val="00C5721C"/>
    <w:rsid w:val="00C608DD"/>
    <w:rsid w:val="00C60D81"/>
    <w:rsid w:val="00C6304A"/>
    <w:rsid w:val="00C6429D"/>
    <w:rsid w:val="00C66160"/>
    <w:rsid w:val="00C66C1C"/>
    <w:rsid w:val="00C721AC"/>
    <w:rsid w:val="00C72775"/>
    <w:rsid w:val="00C74B74"/>
    <w:rsid w:val="00C772F2"/>
    <w:rsid w:val="00C77C7D"/>
    <w:rsid w:val="00C82556"/>
    <w:rsid w:val="00C90C5B"/>
    <w:rsid w:val="00C90D6A"/>
    <w:rsid w:val="00CA247E"/>
    <w:rsid w:val="00CA4BCE"/>
    <w:rsid w:val="00CB2A04"/>
    <w:rsid w:val="00CB2DED"/>
    <w:rsid w:val="00CC1785"/>
    <w:rsid w:val="00CC20B8"/>
    <w:rsid w:val="00CC4A5C"/>
    <w:rsid w:val="00CC72B6"/>
    <w:rsid w:val="00CD2847"/>
    <w:rsid w:val="00CD4E7A"/>
    <w:rsid w:val="00CD5749"/>
    <w:rsid w:val="00CD5EF5"/>
    <w:rsid w:val="00CE11E6"/>
    <w:rsid w:val="00CE207D"/>
    <w:rsid w:val="00CE5701"/>
    <w:rsid w:val="00CE58A6"/>
    <w:rsid w:val="00CE79F8"/>
    <w:rsid w:val="00CF6370"/>
    <w:rsid w:val="00D0218D"/>
    <w:rsid w:val="00D0467E"/>
    <w:rsid w:val="00D04FDB"/>
    <w:rsid w:val="00D072D6"/>
    <w:rsid w:val="00D134BE"/>
    <w:rsid w:val="00D15179"/>
    <w:rsid w:val="00D17A0A"/>
    <w:rsid w:val="00D212C3"/>
    <w:rsid w:val="00D2482C"/>
    <w:rsid w:val="00D2591E"/>
    <w:rsid w:val="00D25FB5"/>
    <w:rsid w:val="00D32CB8"/>
    <w:rsid w:val="00D341FD"/>
    <w:rsid w:val="00D35160"/>
    <w:rsid w:val="00D37745"/>
    <w:rsid w:val="00D4167E"/>
    <w:rsid w:val="00D41CC8"/>
    <w:rsid w:val="00D44223"/>
    <w:rsid w:val="00D44F36"/>
    <w:rsid w:val="00D45043"/>
    <w:rsid w:val="00D46AEC"/>
    <w:rsid w:val="00D47BE4"/>
    <w:rsid w:val="00D52C25"/>
    <w:rsid w:val="00D52D32"/>
    <w:rsid w:val="00D57324"/>
    <w:rsid w:val="00D60F65"/>
    <w:rsid w:val="00D62D4C"/>
    <w:rsid w:val="00D63D00"/>
    <w:rsid w:val="00D667A1"/>
    <w:rsid w:val="00D71170"/>
    <w:rsid w:val="00D763A8"/>
    <w:rsid w:val="00D83928"/>
    <w:rsid w:val="00D84CE0"/>
    <w:rsid w:val="00D87EAF"/>
    <w:rsid w:val="00D923FC"/>
    <w:rsid w:val="00D92773"/>
    <w:rsid w:val="00D93943"/>
    <w:rsid w:val="00D9424D"/>
    <w:rsid w:val="00D9744E"/>
    <w:rsid w:val="00DA2529"/>
    <w:rsid w:val="00DA59F0"/>
    <w:rsid w:val="00DB130A"/>
    <w:rsid w:val="00DB2EBB"/>
    <w:rsid w:val="00DB3948"/>
    <w:rsid w:val="00DC10A1"/>
    <w:rsid w:val="00DC5719"/>
    <w:rsid w:val="00DC655F"/>
    <w:rsid w:val="00DD0B59"/>
    <w:rsid w:val="00DD38DB"/>
    <w:rsid w:val="00DD4A54"/>
    <w:rsid w:val="00DD5D5D"/>
    <w:rsid w:val="00DD7EBD"/>
    <w:rsid w:val="00DE026C"/>
    <w:rsid w:val="00DE5424"/>
    <w:rsid w:val="00DE6090"/>
    <w:rsid w:val="00DF582F"/>
    <w:rsid w:val="00DF5944"/>
    <w:rsid w:val="00DF62B6"/>
    <w:rsid w:val="00DF7043"/>
    <w:rsid w:val="00DF7A4D"/>
    <w:rsid w:val="00E010E2"/>
    <w:rsid w:val="00E03105"/>
    <w:rsid w:val="00E03AD8"/>
    <w:rsid w:val="00E07225"/>
    <w:rsid w:val="00E10013"/>
    <w:rsid w:val="00E11D71"/>
    <w:rsid w:val="00E20480"/>
    <w:rsid w:val="00E20645"/>
    <w:rsid w:val="00E20F14"/>
    <w:rsid w:val="00E23034"/>
    <w:rsid w:val="00E307B8"/>
    <w:rsid w:val="00E31C50"/>
    <w:rsid w:val="00E3250C"/>
    <w:rsid w:val="00E33471"/>
    <w:rsid w:val="00E34E91"/>
    <w:rsid w:val="00E4217F"/>
    <w:rsid w:val="00E4641A"/>
    <w:rsid w:val="00E47985"/>
    <w:rsid w:val="00E5400D"/>
    <w:rsid w:val="00E5409F"/>
    <w:rsid w:val="00E54933"/>
    <w:rsid w:val="00E56D00"/>
    <w:rsid w:val="00E610D1"/>
    <w:rsid w:val="00E628C3"/>
    <w:rsid w:val="00E6504B"/>
    <w:rsid w:val="00E65216"/>
    <w:rsid w:val="00E702CC"/>
    <w:rsid w:val="00E731CA"/>
    <w:rsid w:val="00E847B4"/>
    <w:rsid w:val="00E87D65"/>
    <w:rsid w:val="00E9506D"/>
    <w:rsid w:val="00E973FB"/>
    <w:rsid w:val="00EA2D88"/>
    <w:rsid w:val="00EA55C4"/>
    <w:rsid w:val="00EB0210"/>
    <w:rsid w:val="00EB0A67"/>
    <w:rsid w:val="00EC3259"/>
    <w:rsid w:val="00ED3D57"/>
    <w:rsid w:val="00EE5C69"/>
    <w:rsid w:val="00EE6488"/>
    <w:rsid w:val="00EE6938"/>
    <w:rsid w:val="00EE7997"/>
    <w:rsid w:val="00EF1685"/>
    <w:rsid w:val="00EF1767"/>
    <w:rsid w:val="00F021FA"/>
    <w:rsid w:val="00F025A2"/>
    <w:rsid w:val="00F03A85"/>
    <w:rsid w:val="00F04372"/>
    <w:rsid w:val="00F05AC7"/>
    <w:rsid w:val="00F10F6D"/>
    <w:rsid w:val="00F11421"/>
    <w:rsid w:val="00F13836"/>
    <w:rsid w:val="00F14B32"/>
    <w:rsid w:val="00F152F7"/>
    <w:rsid w:val="00F16080"/>
    <w:rsid w:val="00F20E97"/>
    <w:rsid w:val="00F21608"/>
    <w:rsid w:val="00F22777"/>
    <w:rsid w:val="00F2570F"/>
    <w:rsid w:val="00F3459B"/>
    <w:rsid w:val="00F4233A"/>
    <w:rsid w:val="00F4607F"/>
    <w:rsid w:val="00F461E7"/>
    <w:rsid w:val="00F46BF1"/>
    <w:rsid w:val="00F4711C"/>
    <w:rsid w:val="00F51B2E"/>
    <w:rsid w:val="00F5388A"/>
    <w:rsid w:val="00F55096"/>
    <w:rsid w:val="00F56B60"/>
    <w:rsid w:val="00F60599"/>
    <w:rsid w:val="00F60E8E"/>
    <w:rsid w:val="00F6109B"/>
    <w:rsid w:val="00F612FA"/>
    <w:rsid w:val="00F62E97"/>
    <w:rsid w:val="00F63364"/>
    <w:rsid w:val="00F6386C"/>
    <w:rsid w:val="00F64209"/>
    <w:rsid w:val="00F80AA2"/>
    <w:rsid w:val="00F8432C"/>
    <w:rsid w:val="00F87A96"/>
    <w:rsid w:val="00F91E18"/>
    <w:rsid w:val="00F9282C"/>
    <w:rsid w:val="00F93BF5"/>
    <w:rsid w:val="00F94FC4"/>
    <w:rsid w:val="00FA0BE3"/>
    <w:rsid w:val="00FA3B55"/>
    <w:rsid w:val="00FA4764"/>
    <w:rsid w:val="00FA5BF9"/>
    <w:rsid w:val="00FA5CB6"/>
    <w:rsid w:val="00FA5E39"/>
    <w:rsid w:val="00FC005D"/>
    <w:rsid w:val="00FC03AF"/>
    <w:rsid w:val="00FC1B09"/>
    <w:rsid w:val="00FC32BD"/>
    <w:rsid w:val="00FC365A"/>
    <w:rsid w:val="00FD0E18"/>
    <w:rsid w:val="00FD0FDE"/>
    <w:rsid w:val="00FD1033"/>
    <w:rsid w:val="00FD654A"/>
    <w:rsid w:val="00FE2DA6"/>
    <w:rsid w:val="00FE4F68"/>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F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5F7DC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5760"/>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5F7DC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5760"/>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0932">
      <w:bodyDiv w:val="1"/>
      <w:marLeft w:val="0"/>
      <w:marRight w:val="0"/>
      <w:marTop w:val="0"/>
      <w:marBottom w:val="0"/>
      <w:divBdr>
        <w:top w:val="none" w:sz="0" w:space="0" w:color="auto"/>
        <w:left w:val="none" w:sz="0" w:space="0" w:color="auto"/>
        <w:bottom w:val="none" w:sz="0" w:space="0" w:color="auto"/>
        <w:right w:val="none" w:sz="0" w:space="0" w:color="auto"/>
      </w:divBdr>
    </w:div>
    <w:div w:id="1368676957">
      <w:bodyDiv w:val="1"/>
      <w:marLeft w:val="0"/>
      <w:marRight w:val="0"/>
      <w:marTop w:val="0"/>
      <w:marBottom w:val="0"/>
      <w:divBdr>
        <w:top w:val="none" w:sz="0" w:space="0" w:color="auto"/>
        <w:left w:val="none" w:sz="0" w:space="0" w:color="auto"/>
        <w:bottom w:val="none" w:sz="0" w:space="0" w:color="auto"/>
        <w:right w:val="none" w:sz="0" w:space="0" w:color="auto"/>
      </w:divBdr>
    </w:div>
    <w:div w:id="1735666367">
      <w:bodyDiv w:val="1"/>
      <w:marLeft w:val="0"/>
      <w:marRight w:val="0"/>
      <w:marTop w:val="0"/>
      <w:marBottom w:val="0"/>
      <w:divBdr>
        <w:top w:val="none" w:sz="0" w:space="0" w:color="auto"/>
        <w:left w:val="none" w:sz="0" w:space="0" w:color="auto"/>
        <w:bottom w:val="none" w:sz="0" w:space="0" w:color="auto"/>
        <w:right w:val="none" w:sz="0" w:space="0" w:color="auto"/>
      </w:divBdr>
    </w:div>
    <w:div w:id="20955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956</Words>
  <Characters>5350</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2016-07-15T18:20:00Z</cp:lastPrinted>
  <dcterms:created xsi:type="dcterms:W3CDTF">2017-06-22T15:30:00Z</dcterms:created>
  <dcterms:modified xsi:type="dcterms:W3CDTF">2017-06-22T15:30:00Z</dcterms:modified>
  <cp:category> </cp:category>
  <cp:contentStatus> </cp:contentStatus>
</cp:coreProperties>
</file>