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91BC" w14:textId="1A8826E0" w:rsidR="004542AA" w:rsidRPr="001521BD" w:rsidRDefault="00BB156E">
      <w:pPr>
        <w:autoSpaceDE w:val="0"/>
        <w:autoSpaceDN w:val="0"/>
        <w:adjustRightInd w:val="0"/>
        <w:jc w:val="right"/>
        <w:rPr>
          <w:rFonts w:ascii="TimesNewRoman" w:eastAsia="TimesNewRoman" w:hAnsi="TimesNewRoman" w:cs="TimesNewRoman"/>
          <w:b/>
          <w:bCs/>
          <w:color w:val="000000"/>
          <w:sz w:val="22"/>
          <w:szCs w:val="22"/>
        </w:rPr>
      </w:pPr>
      <w:bookmarkStart w:id="0" w:name="_GoBack"/>
      <w:bookmarkEnd w:id="0"/>
      <w:r w:rsidRPr="001521BD">
        <w:rPr>
          <w:rFonts w:ascii="TimesNewRoman" w:eastAsia="TimesNewRoman" w:hAnsi="TimesNewRoman" w:cs="TimesNewRoman"/>
          <w:b/>
          <w:bCs/>
          <w:color w:val="000000"/>
          <w:sz w:val="22"/>
          <w:szCs w:val="22"/>
        </w:rPr>
        <w:t>DA</w:t>
      </w:r>
      <w:r w:rsidR="00D00DFD" w:rsidRPr="001521BD">
        <w:rPr>
          <w:rFonts w:ascii="TimesNewRoman" w:eastAsia="TimesNewRoman" w:hAnsi="TimesNewRoman" w:cs="TimesNewRoman"/>
          <w:b/>
          <w:bCs/>
          <w:color w:val="000000"/>
          <w:sz w:val="22"/>
          <w:szCs w:val="22"/>
        </w:rPr>
        <w:t xml:space="preserve"> </w:t>
      </w:r>
      <w:r w:rsidR="001521BD" w:rsidRPr="001521BD">
        <w:rPr>
          <w:rFonts w:ascii="TimesNewRoman" w:eastAsia="TimesNewRoman" w:hAnsi="TimesNewRoman" w:cs="TimesNewRoman"/>
          <w:b/>
          <w:bCs/>
          <w:color w:val="000000"/>
          <w:sz w:val="22"/>
          <w:szCs w:val="22"/>
        </w:rPr>
        <w:t>17-627</w:t>
      </w:r>
    </w:p>
    <w:p w14:paraId="5E459949" w14:textId="77777777" w:rsidR="004542AA" w:rsidRPr="00CE2218" w:rsidRDefault="004542AA" w:rsidP="00CC2449">
      <w:pPr>
        <w:autoSpaceDE w:val="0"/>
        <w:autoSpaceDN w:val="0"/>
        <w:adjustRightInd w:val="0"/>
        <w:jc w:val="center"/>
        <w:rPr>
          <w:rFonts w:eastAsia="TimesNewRoman"/>
          <w:b/>
          <w:bCs/>
          <w:color w:val="000000"/>
          <w:sz w:val="22"/>
          <w:szCs w:val="22"/>
        </w:rPr>
      </w:pPr>
    </w:p>
    <w:p w14:paraId="5416091D" w14:textId="77777777" w:rsidR="0002026F" w:rsidRPr="0002026F" w:rsidRDefault="0002026F" w:rsidP="0002026F">
      <w:pPr>
        <w:widowControl w:val="0"/>
        <w:spacing w:after="120"/>
        <w:jc w:val="center"/>
        <w:rPr>
          <w:snapToGrid w:val="0"/>
          <w:kern w:val="28"/>
          <w:sz w:val="36"/>
          <w:szCs w:val="36"/>
        </w:rPr>
      </w:pPr>
      <w:r w:rsidRPr="0002026F">
        <w:rPr>
          <w:snapToGrid w:val="0"/>
          <w:kern w:val="28"/>
          <w:sz w:val="36"/>
          <w:szCs w:val="36"/>
        </w:rPr>
        <w:t>Small Entity Compliance Guide</w:t>
      </w:r>
    </w:p>
    <w:p w14:paraId="09075614" w14:textId="77777777" w:rsidR="00FA5E6E" w:rsidRPr="00CE2218" w:rsidRDefault="00FA5E6E" w:rsidP="00CC2449">
      <w:pPr>
        <w:autoSpaceDE w:val="0"/>
        <w:autoSpaceDN w:val="0"/>
        <w:adjustRightInd w:val="0"/>
        <w:jc w:val="center"/>
        <w:rPr>
          <w:rFonts w:eastAsia="TimesNewRoman"/>
          <w:b/>
          <w:bCs/>
          <w:color w:val="000000"/>
          <w:sz w:val="22"/>
          <w:szCs w:val="22"/>
        </w:rPr>
      </w:pPr>
    </w:p>
    <w:p w14:paraId="797DFD53" w14:textId="16BAA769" w:rsidR="00CC2449" w:rsidRPr="001064D9" w:rsidRDefault="00BB156E">
      <w:pPr>
        <w:autoSpaceDE w:val="0"/>
        <w:autoSpaceDN w:val="0"/>
        <w:adjustRightInd w:val="0"/>
        <w:jc w:val="center"/>
        <w:rPr>
          <w:rFonts w:ascii="TimesNewRoman" w:eastAsia="TimesNewRoman" w:hAnsi="TimesNewRoman" w:cs="TimesNewRoman"/>
          <w:b/>
          <w:bCs/>
          <w:color w:val="000000"/>
          <w:sz w:val="28"/>
          <w:szCs w:val="28"/>
        </w:rPr>
      </w:pPr>
      <w:r w:rsidRPr="00183094">
        <w:rPr>
          <w:b/>
          <w:bCs/>
          <w:sz w:val="28"/>
          <w:szCs w:val="28"/>
        </w:rPr>
        <w:t>2014 Quadrennial Regulatory Review – Review of the Commission’s Broadcast Ownership Rule</w:t>
      </w:r>
      <w:r w:rsidR="00FE4CD3" w:rsidRPr="00183094">
        <w:rPr>
          <w:b/>
          <w:bCs/>
          <w:sz w:val="28"/>
          <w:szCs w:val="28"/>
        </w:rPr>
        <w:t>s</w:t>
      </w:r>
      <w:r w:rsidRPr="00183094">
        <w:rPr>
          <w:b/>
          <w:bCs/>
          <w:sz w:val="28"/>
          <w:szCs w:val="28"/>
        </w:rPr>
        <w:t xml:space="preserve"> and Other Rules Adopted Pursuant to Section 202 of the Telecommunications Act of 1996</w:t>
      </w:r>
    </w:p>
    <w:p w14:paraId="716C64F7" w14:textId="77777777" w:rsidR="000A326A" w:rsidRPr="00CE2218" w:rsidRDefault="000A326A" w:rsidP="00CC2449">
      <w:pPr>
        <w:autoSpaceDE w:val="0"/>
        <w:autoSpaceDN w:val="0"/>
        <w:adjustRightInd w:val="0"/>
        <w:jc w:val="center"/>
        <w:rPr>
          <w:rFonts w:eastAsia="TimesNewRoman"/>
          <w:b/>
          <w:bCs/>
          <w:color w:val="000000"/>
          <w:sz w:val="22"/>
          <w:szCs w:val="22"/>
        </w:rPr>
      </w:pPr>
    </w:p>
    <w:p w14:paraId="666A55D5" w14:textId="18A0EE3C" w:rsidR="00E9333D" w:rsidRPr="003524BA" w:rsidRDefault="00615FBE">
      <w:pPr>
        <w:autoSpaceDE w:val="0"/>
        <w:autoSpaceDN w:val="0"/>
        <w:adjustRightInd w:val="0"/>
        <w:jc w:val="center"/>
        <w:rPr>
          <w:rFonts w:eastAsia="TimesNewRoman"/>
          <w:color w:val="000000"/>
          <w:sz w:val="22"/>
          <w:szCs w:val="22"/>
        </w:rPr>
      </w:pPr>
      <w:r w:rsidRPr="003524BA">
        <w:rPr>
          <w:rFonts w:eastAsia="TimesNewRoman"/>
          <w:color w:val="000000"/>
          <w:sz w:val="22"/>
          <w:szCs w:val="22"/>
        </w:rPr>
        <w:t xml:space="preserve">FCC </w:t>
      </w:r>
      <w:r w:rsidR="00E62675">
        <w:rPr>
          <w:rFonts w:eastAsia="TimesNewRoman"/>
          <w:color w:val="000000"/>
          <w:sz w:val="22"/>
          <w:szCs w:val="22"/>
        </w:rPr>
        <w:t>17</w:t>
      </w:r>
      <w:r w:rsidRPr="003524BA">
        <w:rPr>
          <w:rFonts w:eastAsia="TimesNewRoman"/>
          <w:color w:val="000000"/>
          <w:sz w:val="22"/>
          <w:szCs w:val="22"/>
        </w:rPr>
        <w:t>-</w:t>
      </w:r>
      <w:r w:rsidR="00E62675">
        <w:rPr>
          <w:rFonts w:eastAsia="TimesNewRoman"/>
          <w:color w:val="000000"/>
          <w:sz w:val="22"/>
          <w:szCs w:val="22"/>
        </w:rPr>
        <w:t>40</w:t>
      </w:r>
    </w:p>
    <w:p w14:paraId="186BC132" w14:textId="284D8504" w:rsidR="005D5568" w:rsidRPr="003524BA" w:rsidRDefault="00BB156E">
      <w:pPr>
        <w:autoSpaceDE w:val="0"/>
        <w:autoSpaceDN w:val="0"/>
        <w:adjustRightInd w:val="0"/>
        <w:jc w:val="center"/>
        <w:rPr>
          <w:rFonts w:eastAsia="TimesNewRoman"/>
          <w:color w:val="000000"/>
          <w:sz w:val="22"/>
          <w:szCs w:val="22"/>
        </w:rPr>
      </w:pPr>
      <w:r w:rsidRPr="003524BA">
        <w:rPr>
          <w:sz w:val="22"/>
          <w:szCs w:val="22"/>
        </w:rPr>
        <w:t xml:space="preserve">MB Docket No. </w:t>
      </w:r>
      <w:r w:rsidR="0098532D">
        <w:rPr>
          <w:sz w:val="22"/>
          <w:szCs w:val="22"/>
        </w:rPr>
        <w:t>13</w:t>
      </w:r>
      <w:r w:rsidRPr="003524BA">
        <w:rPr>
          <w:sz w:val="22"/>
          <w:szCs w:val="22"/>
        </w:rPr>
        <w:t>-</w:t>
      </w:r>
      <w:r w:rsidR="0098532D">
        <w:rPr>
          <w:sz w:val="22"/>
          <w:szCs w:val="22"/>
        </w:rPr>
        <w:t>236</w:t>
      </w:r>
    </w:p>
    <w:p w14:paraId="78DF5575" w14:textId="6D96AE00" w:rsidR="00E73CD0" w:rsidRPr="003524BA" w:rsidRDefault="00FA5E6E">
      <w:pPr>
        <w:autoSpaceDE w:val="0"/>
        <w:autoSpaceDN w:val="0"/>
        <w:adjustRightInd w:val="0"/>
        <w:jc w:val="center"/>
        <w:rPr>
          <w:rFonts w:eastAsia="TimesNewRoman"/>
          <w:color w:val="000000"/>
          <w:sz w:val="22"/>
          <w:szCs w:val="22"/>
        </w:rPr>
      </w:pPr>
      <w:r w:rsidRPr="003524BA">
        <w:rPr>
          <w:rFonts w:eastAsia="TimesNewRoman"/>
          <w:color w:val="000000"/>
          <w:sz w:val="22"/>
          <w:szCs w:val="22"/>
        </w:rPr>
        <w:t xml:space="preserve">Released: </w:t>
      </w:r>
      <w:r w:rsidR="0098532D">
        <w:rPr>
          <w:rFonts w:eastAsia="TimesNewRoman"/>
          <w:color w:val="000000"/>
          <w:sz w:val="22"/>
          <w:szCs w:val="22"/>
        </w:rPr>
        <w:t xml:space="preserve"> April 21</w:t>
      </w:r>
      <w:r w:rsidR="00615FBE" w:rsidRPr="003524BA">
        <w:rPr>
          <w:rFonts w:eastAsia="TimesNewRoman"/>
          <w:color w:val="000000"/>
          <w:sz w:val="22"/>
          <w:szCs w:val="22"/>
        </w:rPr>
        <w:t>,</w:t>
      </w:r>
      <w:r w:rsidRPr="003524BA">
        <w:rPr>
          <w:rFonts w:eastAsia="TimesNewRoman"/>
          <w:color w:val="000000"/>
          <w:sz w:val="22"/>
          <w:szCs w:val="22"/>
        </w:rPr>
        <w:t xml:space="preserve"> 201</w:t>
      </w:r>
      <w:r w:rsidR="0098532D">
        <w:rPr>
          <w:rFonts w:eastAsia="TimesNewRoman"/>
          <w:color w:val="000000"/>
          <w:sz w:val="22"/>
          <w:szCs w:val="22"/>
        </w:rPr>
        <w:t>7</w:t>
      </w:r>
    </w:p>
    <w:p w14:paraId="773A770E" w14:textId="77777777" w:rsidR="00CC2449" w:rsidRPr="003524BA" w:rsidRDefault="00CC2449" w:rsidP="00CC2449">
      <w:pPr>
        <w:autoSpaceDE w:val="0"/>
        <w:autoSpaceDN w:val="0"/>
        <w:adjustRightInd w:val="0"/>
        <w:rPr>
          <w:rFonts w:eastAsia="TimesNewRoman"/>
          <w:b/>
          <w:bCs/>
          <w:color w:val="000000"/>
          <w:sz w:val="22"/>
          <w:szCs w:val="22"/>
        </w:rPr>
      </w:pPr>
    </w:p>
    <w:p w14:paraId="18F64B86" w14:textId="5265873F" w:rsidR="00CC2449" w:rsidRPr="003524BA" w:rsidRDefault="00CC2449">
      <w:pPr>
        <w:autoSpaceDE w:val="0"/>
        <w:autoSpaceDN w:val="0"/>
        <w:adjustRightInd w:val="0"/>
        <w:jc w:val="both"/>
        <w:rPr>
          <w:rFonts w:eastAsia="TimesNewRoman"/>
          <w:color w:val="000000"/>
          <w:sz w:val="22"/>
          <w:szCs w:val="22"/>
        </w:rPr>
      </w:pPr>
      <w:r w:rsidRPr="003524BA">
        <w:rPr>
          <w:rFonts w:eastAsia="TimesNewRoman"/>
          <w:color w:val="000000"/>
          <w:sz w:val="22"/>
          <w:szCs w:val="22"/>
        </w:rPr>
        <w:t xml:space="preserve">This Guide is prepared in accordance with the requirements of Section 212 of the Small Business Regulatory Enforcement Fairness Act of 1996. </w:t>
      </w:r>
      <w:r w:rsidR="00980FB4" w:rsidRPr="003524BA">
        <w:rPr>
          <w:rFonts w:eastAsia="TimesNewRoman"/>
          <w:color w:val="000000"/>
          <w:sz w:val="22"/>
          <w:szCs w:val="22"/>
        </w:rPr>
        <w:t xml:space="preserve"> </w:t>
      </w:r>
      <w:r w:rsidRPr="003524BA">
        <w:rPr>
          <w:rFonts w:eastAsia="TimesNewRoman"/>
          <w:color w:val="000000"/>
          <w:sz w:val="22"/>
          <w:szCs w:val="22"/>
        </w:rPr>
        <w:t xml:space="preserve">It is </w:t>
      </w:r>
      <w:r w:rsidR="00520FA7" w:rsidRPr="003524BA">
        <w:rPr>
          <w:rFonts w:eastAsia="TimesNewRoman"/>
          <w:color w:val="000000"/>
          <w:sz w:val="22"/>
          <w:szCs w:val="22"/>
        </w:rPr>
        <w:t>intended to help small entities</w:t>
      </w:r>
      <w:r w:rsidR="004542AA" w:rsidRPr="003524BA">
        <w:rPr>
          <w:sz w:val="22"/>
          <w:szCs w:val="22"/>
        </w:rPr>
        <w:t>—</w:t>
      </w:r>
      <w:r w:rsidRPr="003524BA">
        <w:rPr>
          <w:rFonts w:eastAsia="TimesNewRoman"/>
          <w:color w:val="000000"/>
          <w:sz w:val="22"/>
          <w:szCs w:val="22"/>
        </w:rPr>
        <w:t>small businesses, small organizations (non-profits), and small governmental jurisdictions</w:t>
      </w:r>
      <w:r w:rsidR="004542AA" w:rsidRPr="003524BA">
        <w:rPr>
          <w:sz w:val="22"/>
          <w:szCs w:val="22"/>
        </w:rPr>
        <w:t>—</w:t>
      </w:r>
      <w:r w:rsidRPr="003524BA">
        <w:rPr>
          <w:rFonts w:eastAsia="TimesNewRoman"/>
          <w:color w:val="000000"/>
          <w:sz w:val="22"/>
          <w:szCs w:val="22"/>
        </w:rPr>
        <w:t xml:space="preserve">comply with the revised rules adopted in the above referenced </w:t>
      </w:r>
      <w:r w:rsidR="009F711D" w:rsidRPr="003524BA">
        <w:rPr>
          <w:rFonts w:eastAsia="TimesNewRoman"/>
          <w:color w:val="000000"/>
          <w:sz w:val="22"/>
          <w:szCs w:val="22"/>
        </w:rPr>
        <w:t>Federal Communications Commission (</w:t>
      </w:r>
      <w:r w:rsidRPr="003524BA">
        <w:rPr>
          <w:rFonts w:eastAsia="TimesNewRoman"/>
          <w:color w:val="000000"/>
          <w:sz w:val="22"/>
          <w:szCs w:val="22"/>
        </w:rPr>
        <w:t xml:space="preserve">FCC </w:t>
      </w:r>
      <w:r w:rsidR="009F711D" w:rsidRPr="003524BA">
        <w:rPr>
          <w:rFonts w:eastAsia="TimesNewRoman"/>
          <w:color w:val="000000"/>
          <w:sz w:val="22"/>
          <w:szCs w:val="22"/>
        </w:rPr>
        <w:t xml:space="preserve">or Commission) </w:t>
      </w:r>
      <w:r w:rsidRPr="003524BA">
        <w:rPr>
          <w:rFonts w:eastAsia="TimesNewRoman"/>
          <w:color w:val="000000"/>
          <w:sz w:val="22"/>
          <w:szCs w:val="22"/>
        </w:rPr>
        <w:t xml:space="preserve">rulemaking docket(s). </w:t>
      </w:r>
      <w:r w:rsidR="00980FB4" w:rsidRPr="003524BA">
        <w:rPr>
          <w:rFonts w:eastAsia="TimesNewRoman"/>
          <w:color w:val="000000"/>
          <w:sz w:val="22"/>
          <w:szCs w:val="22"/>
        </w:rPr>
        <w:t xml:space="preserve"> </w:t>
      </w:r>
      <w:r w:rsidRPr="003524BA">
        <w:rPr>
          <w:rFonts w:eastAsia="TimesNewRoman"/>
          <w:color w:val="000000"/>
          <w:sz w:val="22"/>
          <w:szCs w:val="22"/>
        </w:rPr>
        <w:t>This Guide is not intended to replace the rules</w:t>
      </w:r>
      <w:r w:rsidR="00980FB4" w:rsidRPr="003524BA">
        <w:rPr>
          <w:rFonts w:eastAsia="TimesNewRoman"/>
          <w:color w:val="000000"/>
          <w:sz w:val="22"/>
          <w:szCs w:val="22"/>
        </w:rPr>
        <w:t xml:space="preserve">.  The Guide is intended to facilitate compliance with the rules, not to supersede the rules.  </w:t>
      </w:r>
      <w:r w:rsidRPr="003524BA">
        <w:rPr>
          <w:rFonts w:eastAsia="TimesNewRoman"/>
          <w:color w:val="000000"/>
          <w:sz w:val="22"/>
          <w:szCs w:val="22"/>
        </w:rPr>
        <w:t xml:space="preserve">Although we have attempted to cover all parts of the rules that might be especially important to small entities, the coverage may not be exhaustive. </w:t>
      </w:r>
      <w:r w:rsidR="00980FB4" w:rsidRPr="003524BA">
        <w:rPr>
          <w:rFonts w:eastAsia="TimesNewRoman"/>
          <w:color w:val="000000"/>
          <w:sz w:val="22"/>
          <w:szCs w:val="22"/>
        </w:rPr>
        <w:t xml:space="preserve"> </w:t>
      </w:r>
      <w:r w:rsidRPr="003524BA">
        <w:rPr>
          <w:rFonts w:eastAsia="TimesNewRoman"/>
          <w:color w:val="000000"/>
          <w:sz w:val="22"/>
          <w:szCs w:val="22"/>
        </w:rPr>
        <w:t xml:space="preserve">This Guide </w:t>
      </w:r>
      <w:r w:rsidR="009F711D" w:rsidRPr="003524BA">
        <w:rPr>
          <w:rFonts w:eastAsia="TimesNewRoman"/>
          <w:color w:val="000000"/>
          <w:sz w:val="22"/>
          <w:szCs w:val="22"/>
        </w:rPr>
        <w:t xml:space="preserve">cannot anticipate all situations in which the rules apply.  Furthermore, </w:t>
      </w:r>
      <w:r w:rsidRPr="003524BA">
        <w:rPr>
          <w:rFonts w:eastAsia="TimesNewRoman"/>
          <w:color w:val="000000"/>
          <w:sz w:val="22"/>
          <w:szCs w:val="22"/>
        </w:rPr>
        <w:t xml:space="preserve">the </w:t>
      </w:r>
      <w:r w:rsidR="009F711D" w:rsidRPr="003524BA">
        <w:rPr>
          <w:rFonts w:eastAsia="TimesNewRoman"/>
          <w:color w:val="000000"/>
          <w:sz w:val="22"/>
          <w:szCs w:val="22"/>
        </w:rPr>
        <w:t xml:space="preserve">Commission </w:t>
      </w:r>
      <w:r w:rsidRPr="003524BA">
        <w:rPr>
          <w:rFonts w:eastAsia="TimesNewRoman"/>
          <w:color w:val="000000"/>
          <w:sz w:val="22"/>
          <w:szCs w:val="22"/>
        </w:rPr>
        <w:t>retains the discretion to adopt approaches on a case-by-case basis that may differ from this Guide, where appropriate. A</w:t>
      </w:r>
      <w:r w:rsidR="009F711D" w:rsidRPr="003524BA">
        <w:rPr>
          <w:rFonts w:eastAsia="TimesNewRoman"/>
          <w:color w:val="000000"/>
          <w:sz w:val="22"/>
          <w:szCs w:val="22"/>
        </w:rPr>
        <w:t>ll</w:t>
      </w:r>
      <w:r w:rsidRPr="003524BA">
        <w:rPr>
          <w:rFonts w:eastAsia="TimesNewRoman"/>
          <w:color w:val="000000"/>
          <w:sz w:val="22"/>
          <w:szCs w:val="22"/>
        </w:rPr>
        <w:t xml:space="preserve"> decisions regarding a particular small entity will be based on the statute and </w:t>
      </w:r>
      <w:r w:rsidR="009F711D" w:rsidRPr="003524BA">
        <w:rPr>
          <w:rFonts w:eastAsia="TimesNewRoman"/>
          <w:color w:val="000000"/>
          <w:sz w:val="22"/>
          <w:szCs w:val="22"/>
        </w:rPr>
        <w:t xml:space="preserve">relevant rules. </w:t>
      </w:r>
    </w:p>
    <w:p w14:paraId="3BBC1BD6" w14:textId="77777777" w:rsidR="00CC2449" w:rsidRPr="003524BA" w:rsidRDefault="00CC2449" w:rsidP="004542AA">
      <w:pPr>
        <w:autoSpaceDE w:val="0"/>
        <w:autoSpaceDN w:val="0"/>
        <w:adjustRightInd w:val="0"/>
        <w:jc w:val="both"/>
        <w:rPr>
          <w:rFonts w:eastAsia="TimesNewRoman"/>
          <w:bCs/>
          <w:color w:val="000000"/>
          <w:sz w:val="22"/>
          <w:szCs w:val="22"/>
        </w:rPr>
      </w:pPr>
    </w:p>
    <w:p w14:paraId="3A84B783" w14:textId="0A76FD08" w:rsidR="00CC2449" w:rsidRPr="003524BA" w:rsidRDefault="00CC2449">
      <w:pPr>
        <w:autoSpaceDE w:val="0"/>
        <w:autoSpaceDN w:val="0"/>
        <w:adjustRightInd w:val="0"/>
        <w:jc w:val="both"/>
        <w:rPr>
          <w:rFonts w:eastAsia="TimesNewRoman"/>
          <w:color w:val="000000"/>
          <w:sz w:val="22"/>
          <w:szCs w:val="22"/>
        </w:rPr>
      </w:pPr>
      <w:r w:rsidRPr="003524BA">
        <w:rPr>
          <w:rFonts w:eastAsia="TimesNewRoman"/>
          <w:color w:val="000000"/>
          <w:sz w:val="22"/>
          <w:szCs w:val="22"/>
        </w:rPr>
        <w:t>In any civil or administrative action against a small entity for a violation of rules,</w:t>
      </w:r>
      <w:r w:rsidR="001A7743" w:rsidRPr="003524BA">
        <w:rPr>
          <w:rFonts w:eastAsia="TimesNewRoman"/>
          <w:color w:val="000000"/>
          <w:sz w:val="22"/>
          <w:szCs w:val="22"/>
        </w:rPr>
        <w:t xml:space="preserve"> </w:t>
      </w:r>
      <w:r w:rsidRPr="003524BA">
        <w:rPr>
          <w:rFonts w:eastAsia="TimesNewRoman"/>
          <w:color w:val="000000"/>
          <w:sz w:val="22"/>
          <w:szCs w:val="22"/>
        </w:rPr>
        <w:t>the content of the Small Entity Compliance Guide may be considered as evidence of</w:t>
      </w:r>
      <w:r w:rsidR="001A7743" w:rsidRPr="003524BA">
        <w:rPr>
          <w:rFonts w:eastAsia="TimesNewRoman"/>
          <w:color w:val="000000"/>
          <w:sz w:val="22"/>
          <w:szCs w:val="22"/>
        </w:rPr>
        <w:t xml:space="preserve"> </w:t>
      </w:r>
      <w:r w:rsidRPr="003524BA">
        <w:rPr>
          <w:rFonts w:eastAsia="TimesNewRoman"/>
          <w:color w:val="000000"/>
          <w:sz w:val="22"/>
          <w:szCs w:val="22"/>
        </w:rPr>
        <w:t>the reasonableness or appropriatene</w:t>
      </w:r>
      <w:r w:rsidR="00051E99" w:rsidRPr="003524BA">
        <w:rPr>
          <w:rFonts w:eastAsia="TimesNewRoman"/>
          <w:color w:val="000000"/>
          <w:sz w:val="22"/>
          <w:szCs w:val="22"/>
        </w:rPr>
        <w:t>ss of proposed fines, penalties</w:t>
      </w:r>
      <w:r w:rsidRPr="003524BA">
        <w:rPr>
          <w:rFonts w:eastAsia="TimesNewRoman"/>
          <w:color w:val="000000"/>
          <w:sz w:val="22"/>
          <w:szCs w:val="22"/>
        </w:rPr>
        <w:t>, or damages.</w:t>
      </w:r>
      <w:r w:rsidR="001A7743" w:rsidRPr="003524BA">
        <w:rPr>
          <w:rFonts w:eastAsia="TimesNewRoman"/>
          <w:color w:val="000000"/>
          <w:sz w:val="22"/>
          <w:szCs w:val="22"/>
        </w:rPr>
        <w:t xml:space="preserve"> </w:t>
      </w:r>
      <w:r w:rsidR="009F711D" w:rsidRPr="003524BA">
        <w:rPr>
          <w:rFonts w:eastAsia="TimesNewRoman"/>
          <w:color w:val="000000"/>
          <w:sz w:val="22"/>
          <w:szCs w:val="22"/>
        </w:rPr>
        <w:t xml:space="preserve"> </w:t>
      </w:r>
      <w:r w:rsidRPr="003524BA">
        <w:rPr>
          <w:rFonts w:eastAsia="TimesNewRoman"/>
          <w:color w:val="000000"/>
          <w:sz w:val="22"/>
          <w:szCs w:val="22"/>
        </w:rPr>
        <w:t>Interested parties are free to file comments regarding this Guide and the</w:t>
      </w:r>
      <w:r w:rsidR="001A7743" w:rsidRPr="003524BA">
        <w:rPr>
          <w:rFonts w:eastAsia="TimesNewRoman"/>
          <w:color w:val="000000"/>
          <w:sz w:val="22"/>
          <w:szCs w:val="22"/>
        </w:rPr>
        <w:t xml:space="preserve"> </w:t>
      </w:r>
      <w:r w:rsidRPr="003524BA">
        <w:rPr>
          <w:rFonts w:eastAsia="TimesNewRoman"/>
          <w:color w:val="000000"/>
          <w:sz w:val="22"/>
          <w:szCs w:val="22"/>
        </w:rPr>
        <w:t>appropriateness of its application to a particular situation; the FCC will consider</w:t>
      </w:r>
      <w:r w:rsidR="001A7743" w:rsidRPr="003524BA">
        <w:rPr>
          <w:rFonts w:eastAsia="TimesNewRoman"/>
          <w:color w:val="000000"/>
          <w:sz w:val="22"/>
          <w:szCs w:val="22"/>
        </w:rPr>
        <w:t xml:space="preserve"> </w:t>
      </w:r>
      <w:r w:rsidRPr="003524BA">
        <w:rPr>
          <w:rFonts w:eastAsia="TimesNewRoman"/>
          <w:color w:val="000000"/>
          <w:sz w:val="22"/>
          <w:szCs w:val="22"/>
        </w:rPr>
        <w:t>whether the recommendations or interpretations in the Guide are appropriate in</w:t>
      </w:r>
      <w:r w:rsidR="001A7743" w:rsidRPr="003524BA">
        <w:rPr>
          <w:rFonts w:eastAsia="TimesNewRoman"/>
          <w:color w:val="000000"/>
          <w:sz w:val="22"/>
          <w:szCs w:val="22"/>
        </w:rPr>
        <w:t xml:space="preserve"> </w:t>
      </w:r>
      <w:r w:rsidRPr="003524BA">
        <w:rPr>
          <w:rFonts w:eastAsia="TimesNewRoman"/>
          <w:color w:val="000000"/>
          <w:sz w:val="22"/>
          <w:szCs w:val="22"/>
        </w:rPr>
        <w:t>that situation. The FCC may decide to revise</w:t>
      </w:r>
      <w:r w:rsidR="001A7743" w:rsidRPr="003524BA">
        <w:rPr>
          <w:rFonts w:eastAsia="TimesNewRoman"/>
          <w:color w:val="000000"/>
          <w:sz w:val="22"/>
          <w:szCs w:val="22"/>
        </w:rPr>
        <w:t xml:space="preserve"> this Guide without public noti</w:t>
      </w:r>
      <w:r w:rsidRPr="003524BA">
        <w:rPr>
          <w:rFonts w:eastAsia="TimesNewRoman"/>
          <w:color w:val="000000"/>
          <w:sz w:val="22"/>
          <w:szCs w:val="22"/>
        </w:rPr>
        <w:t>ce to</w:t>
      </w:r>
      <w:r w:rsidR="001A7743" w:rsidRPr="003524BA">
        <w:rPr>
          <w:rFonts w:eastAsia="TimesNewRoman"/>
          <w:color w:val="000000"/>
          <w:sz w:val="22"/>
          <w:szCs w:val="22"/>
        </w:rPr>
        <w:t xml:space="preserve"> </w:t>
      </w:r>
      <w:r w:rsidRPr="003524BA">
        <w:rPr>
          <w:rFonts w:eastAsia="TimesNewRoman"/>
          <w:color w:val="000000"/>
          <w:sz w:val="22"/>
          <w:szCs w:val="22"/>
        </w:rPr>
        <w:t>reflect changes in the FCC’s approach to implementing a rule, or to clarify or</w:t>
      </w:r>
      <w:r w:rsidR="001A7743" w:rsidRPr="003524BA">
        <w:rPr>
          <w:rFonts w:eastAsia="TimesNewRoman"/>
          <w:color w:val="000000"/>
          <w:sz w:val="22"/>
          <w:szCs w:val="22"/>
        </w:rPr>
        <w:t xml:space="preserve"> </w:t>
      </w:r>
      <w:r w:rsidRPr="003524BA">
        <w:rPr>
          <w:rFonts w:eastAsia="TimesNewRoman"/>
          <w:color w:val="000000"/>
          <w:sz w:val="22"/>
          <w:szCs w:val="22"/>
        </w:rPr>
        <w:t xml:space="preserve">update the text of the Guide. </w:t>
      </w:r>
      <w:r w:rsidR="009F711D" w:rsidRPr="003524BA">
        <w:rPr>
          <w:rFonts w:eastAsia="TimesNewRoman"/>
          <w:color w:val="000000"/>
          <w:sz w:val="22"/>
          <w:szCs w:val="22"/>
        </w:rPr>
        <w:t xml:space="preserve"> </w:t>
      </w:r>
      <w:r w:rsidRPr="003524BA">
        <w:rPr>
          <w:rFonts w:eastAsia="TimesNewRoman"/>
          <w:color w:val="000000"/>
          <w:sz w:val="22"/>
          <w:szCs w:val="22"/>
        </w:rPr>
        <w:t>Direct your comments and recommendations, or calls</w:t>
      </w:r>
      <w:r w:rsidR="001A7743" w:rsidRPr="003524BA">
        <w:rPr>
          <w:rFonts w:eastAsia="TimesNewRoman"/>
          <w:color w:val="000000"/>
          <w:sz w:val="22"/>
          <w:szCs w:val="22"/>
        </w:rPr>
        <w:t xml:space="preserve"> </w:t>
      </w:r>
      <w:r w:rsidRPr="003524BA">
        <w:rPr>
          <w:rFonts w:eastAsia="TimesNewRoman"/>
          <w:color w:val="000000"/>
          <w:sz w:val="22"/>
          <w:szCs w:val="22"/>
        </w:rPr>
        <w:t>for further assistance, to the FCC’s Consumer Center:</w:t>
      </w:r>
    </w:p>
    <w:p w14:paraId="1080DD1B" w14:textId="77777777" w:rsidR="001A7743" w:rsidRPr="00B254F2" w:rsidRDefault="001A7743" w:rsidP="00CC2449">
      <w:pPr>
        <w:autoSpaceDE w:val="0"/>
        <w:autoSpaceDN w:val="0"/>
        <w:adjustRightInd w:val="0"/>
        <w:rPr>
          <w:rFonts w:eastAsia="TimesNewRoman"/>
          <w:b/>
          <w:bCs/>
          <w:color w:val="000000"/>
          <w:sz w:val="22"/>
          <w:szCs w:val="22"/>
        </w:rPr>
      </w:pPr>
    </w:p>
    <w:p w14:paraId="3AAF1758" w14:textId="77777777" w:rsidR="00CC2449" w:rsidRPr="001064D9" w:rsidRDefault="00CC2449">
      <w:pPr>
        <w:autoSpaceDE w:val="0"/>
        <w:autoSpaceDN w:val="0"/>
        <w:adjustRightInd w:val="0"/>
        <w:jc w:val="center"/>
        <w:rPr>
          <w:rFonts w:ascii="TimesNewRoman" w:eastAsia="TimesNewRoman" w:hAnsi="TimesNewRoman" w:cs="TimesNewRoman"/>
          <w:b/>
          <w:bCs/>
          <w:color w:val="000000"/>
          <w:sz w:val="22"/>
          <w:szCs w:val="22"/>
        </w:rPr>
      </w:pPr>
      <w:r w:rsidRPr="001064D9">
        <w:rPr>
          <w:rFonts w:ascii="TimesNewRoman" w:eastAsia="TimesNewRoman" w:hAnsi="TimesNewRoman" w:cs="TimesNewRoman"/>
          <w:b/>
          <w:bCs/>
          <w:color w:val="000000"/>
          <w:sz w:val="22"/>
          <w:szCs w:val="22"/>
        </w:rPr>
        <w:t>1-888-CALL-FCC (1-888-225-5322)</w:t>
      </w:r>
    </w:p>
    <w:p w14:paraId="6A1F7032" w14:textId="77777777" w:rsidR="00CC2449" w:rsidRPr="001064D9" w:rsidRDefault="00CC2449">
      <w:pPr>
        <w:autoSpaceDE w:val="0"/>
        <w:autoSpaceDN w:val="0"/>
        <w:adjustRightInd w:val="0"/>
        <w:jc w:val="center"/>
        <w:rPr>
          <w:rFonts w:ascii="TimesNewRoman" w:eastAsia="TimesNewRoman" w:hAnsi="TimesNewRoman" w:cs="TimesNewRoman"/>
          <w:b/>
          <w:bCs/>
          <w:color w:val="000000"/>
          <w:sz w:val="22"/>
          <w:szCs w:val="22"/>
        </w:rPr>
      </w:pPr>
      <w:r w:rsidRPr="001064D9">
        <w:rPr>
          <w:rFonts w:ascii="TimesNewRoman" w:eastAsia="TimesNewRoman" w:hAnsi="TimesNewRoman" w:cs="TimesNewRoman"/>
          <w:b/>
          <w:bCs/>
          <w:color w:val="000000"/>
          <w:sz w:val="22"/>
          <w:szCs w:val="22"/>
        </w:rPr>
        <w:t>TTY: 1-888-TELL-FCC (1-888-835-5322)</w:t>
      </w:r>
    </w:p>
    <w:p w14:paraId="34D81375" w14:textId="77777777" w:rsidR="00EA68FC" w:rsidRPr="001064D9" w:rsidRDefault="00CC2449">
      <w:pPr>
        <w:autoSpaceDE w:val="0"/>
        <w:autoSpaceDN w:val="0"/>
        <w:adjustRightInd w:val="0"/>
        <w:jc w:val="center"/>
        <w:rPr>
          <w:rFonts w:ascii="TimesNewRoman" w:eastAsia="TimesNewRoman" w:hAnsi="TimesNewRoman" w:cs="TimesNewRoman"/>
          <w:b/>
          <w:bCs/>
          <w:color w:val="000000"/>
          <w:sz w:val="22"/>
          <w:szCs w:val="22"/>
        </w:rPr>
        <w:sectPr w:rsidR="00EA68FC" w:rsidRPr="001064D9" w:rsidSect="00722D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r w:rsidRPr="001064D9">
        <w:rPr>
          <w:rFonts w:ascii="TimesNewRoman" w:eastAsia="TimesNewRoman" w:hAnsi="TimesNewRoman" w:cs="TimesNewRoman"/>
          <w:b/>
          <w:bCs/>
          <w:color w:val="000000"/>
          <w:sz w:val="22"/>
          <w:szCs w:val="22"/>
        </w:rPr>
        <w:t>Fax: 1-866-418-0232</w:t>
      </w:r>
    </w:p>
    <w:p w14:paraId="639B7D64" w14:textId="340A9F6D" w:rsidR="0098532D" w:rsidRPr="00397D37" w:rsidRDefault="0098532D" w:rsidP="00397D37">
      <w:pPr>
        <w:pStyle w:val="ListParagraph"/>
        <w:numPr>
          <w:ilvl w:val="0"/>
          <w:numId w:val="38"/>
        </w:numPr>
        <w:spacing w:after="240"/>
        <w:jc w:val="center"/>
        <w:rPr>
          <w:b/>
          <w:bCs/>
          <w:sz w:val="22"/>
          <w:szCs w:val="22"/>
          <w:u w:val="single"/>
        </w:rPr>
      </w:pPr>
      <w:r w:rsidRPr="00D5636A">
        <w:rPr>
          <w:b/>
          <w:bCs/>
          <w:sz w:val="22"/>
          <w:szCs w:val="22"/>
          <w:u w:val="single"/>
        </w:rPr>
        <w:lastRenderedPageBreak/>
        <w:t>OBJECTIVES OF THE PROCEEDING</w:t>
      </w:r>
    </w:p>
    <w:p w14:paraId="5F26447C" w14:textId="34D888DC" w:rsidR="0098532D" w:rsidRDefault="0098532D" w:rsidP="0098532D">
      <w:pPr>
        <w:pStyle w:val="ParaNum"/>
        <w:widowControl/>
        <w:numPr>
          <w:ilvl w:val="0"/>
          <w:numId w:val="31"/>
        </w:numPr>
        <w:ind w:left="360"/>
      </w:pPr>
      <w:r>
        <w:t xml:space="preserve">In the Order on Reconsideration in MB Docket No. 13-236, released </w:t>
      </w:r>
      <w:r w:rsidR="00FA372B">
        <w:t xml:space="preserve">on </w:t>
      </w:r>
      <w:r>
        <w:t xml:space="preserve">April 21, 2017, the Commission reinstated the UHF discount portion of the national television multiple ownership rule.  </w:t>
      </w:r>
      <w:r w:rsidRPr="00734F42">
        <w:t xml:space="preserve">The reinstatement of the UHF discount </w:t>
      </w:r>
      <w:r w:rsidR="000D70D4">
        <w:t>became</w:t>
      </w:r>
      <w:r w:rsidR="00552966">
        <w:t xml:space="preserve"> </w:t>
      </w:r>
      <w:r>
        <w:t xml:space="preserve">effective </w:t>
      </w:r>
      <w:r w:rsidR="000D70D4">
        <w:t xml:space="preserve">on </w:t>
      </w:r>
      <w:r>
        <w:t xml:space="preserve">June </w:t>
      </w:r>
      <w:r w:rsidR="001E23C6">
        <w:t>1</w:t>
      </w:r>
      <w:r>
        <w:t xml:space="preserve">5, 2017.  </w:t>
      </w:r>
    </w:p>
    <w:p w14:paraId="5A1E3D1C" w14:textId="48660943" w:rsidR="0098532D" w:rsidRDefault="0098532D" w:rsidP="0098532D">
      <w:pPr>
        <w:pStyle w:val="ParaNum"/>
        <w:widowControl/>
        <w:numPr>
          <w:ilvl w:val="0"/>
          <w:numId w:val="31"/>
        </w:numPr>
        <w:ind w:left="360"/>
      </w:pPr>
      <w:r w:rsidRPr="001B4CB1">
        <w:t xml:space="preserve">The national television </w:t>
      </w:r>
      <w:r>
        <w:t xml:space="preserve">multiple </w:t>
      </w:r>
      <w:r w:rsidRPr="001B4CB1">
        <w:t xml:space="preserve">ownership rule prohibits a single </w:t>
      </w:r>
      <w:r w:rsidRPr="000D70D4">
        <w:t>entity</w:t>
      </w:r>
      <w:r w:rsidRPr="001B4CB1">
        <w:t xml:space="preserve"> from owning television stations that, in the aggregate, reach more than 39 percent of the total television households in the nation.  </w:t>
      </w:r>
      <w:r>
        <w:t>“Reach” is defined as the number of television households in the television Designated Market Area (DMA) to which each station is assigned.  No market is counted more than once, even if a station owner holds more than one station in the market.</w:t>
      </w:r>
    </w:p>
    <w:p w14:paraId="551B42DF" w14:textId="77777777" w:rsidR="0098532D" w:rsidRDefault="0098532D" w:rsidP="0098532D">
      <w:pPr>
        <w:pStyle w:val="ParaNum"/>
        <w:widowControl/>
        <w:numPr>
          <w:ilvl w:val="0"/>
          <w:numId w:val="31"/>
        </w:numPr>
        <w:ind w:left="360"/>
      </w:pPr>
      <w:r>
        <w:t>In 1941, the Commission first began limiting the number of stations that could be commonly owned and then, in 1985, supplemented the station number limit with a national television audience reach cap.  In 1985, television stations all broadcast in analog format and stations operating in the UHF spectrum band were considered technically inferior and at a competitive disadvantage relative to stations broadcasting in the VHF band.  UHF stations produced weaker over-the-air signals, reached smaller audiences, and cost more to build and operate.  Therefore, the Commission allowed UHF stations</w:t>
      </w:r>
      <w:r w:rsidRPr="001B4CB1">
        <w:t xml:space="preserve"> </w:t>
      </w:r>
      <w:r>
        <w:t>to count only</w:t>
      </w:r>
      <w:r w:rsidRPr="001B4CB1">
        <w:t xml:space="preserve"> 50 percent of the television households in their D</w:t>
      </w:r>
      <w:r>
        <w:t xml:space="preserve">MAs when calculating compliance with the national television audience reach cap.  This was called the UHF discount. </w:t>
      </w:r>
    </w:p>
    <w:p w14:paraId="11E14DD7" w14:textId="77777777" w:rsidR="0098532D" w:rsidRDefault="0098532D" w:rsidP="0098532D">
      <w:pPr>
        <w:pStyle w:val="ParaNum"/>
        <w:widowControl/>
        <w:numPr>
          <w:ilvl w:val="0"/>
          <w:numId w:val="31"/>
        </w:numPr>
        <w:ind w:left="360"/>
      </w:pPr>
      <w:r>
        <w:t>In August 2016, in a previous Report and Order, the Commission eliminated the UHF discount, finding that UHF stations are no longer technically inferior to VHF stations following the transition to digital television broadcasting, and that any competitive disparity between UHF and VHF stations had been eliminated</w:t>
      </w:r>
      <w:r w:rsidRPr="00734F42">
        <w:t>.  The elimination of the UHF discount became effective on November 23, 2016.</w:t>
      </w:r>
      <w:r>
        <w:t xml:space="preserve">  The Commission declined at that time to review whether the overall national audience reach cap of 39 percent was still in the public interest, or to consider the options consumers have today for receiving and viewing video programming, which have changed significantly since Congress directed the FCC to set the cap at 39 percent in 2004.</w:t>
      </w:r>
    </w:p>
    <w:p w14:paraId="78BE922B" w14:textId="0DFB4C0F" w:rsidR="0098532D" w:rsidRDefault="0098532D" w:rsidP="00645084">
      <w:pPr>
        <w:pStyle w:val="ParaNum"/>
        <w:widowControl/>
        <w:numPr>
          <w:ilvl w:val="0"/>
          <w:numId w:val="31"/>
        </w:numPr>
        <w:ind w:left="360"/>
      </w:pPr>
      <w:r>
        <w:t>In this Order on Reconsideration the Commission reinstate</w:t>
      </w:r>
      <w:r w:rsidR="0058169B">
        <w:t>d</w:t>
      </w:r>
      <w:r>
        <w:t xml:space="preserve"> the UHF discount, finding that </w:t>
      </w:r>
      <w:r w:rsidR="0058169B">
        <w:t xml:space="preserve">the Commission’s prior </w:t>
      </w:r>
      <w:r>
        <w:t>eliminat</w:t>
      </w:r>
      <w:r w:rsidR="0058169B">
        <w:t xml:space="preserve">ion </w:t>
      </w:r>
      <w:r w:rsidR="0058600F">
        <w:t>of the</w:t>
      </w:r>
      <w:r>
        <w:t xml:space="preserve"> discount effectively tighten</w:t>
      </w:r>
      <w:r w:rsidR="0058169B">
        <w:t>ed</w:t>
      </w:r>
      <w:r>
        <w:t xml:space="preserve"> the 39 percent national television audience reach cap.  The Order also finds that the cap and the UHF discount, which is used by broadcast television station owners to calculate compliance with the cap, are inextricably linked, and that the Commission erred when it eliminated the UHF discount without also considering whether effectively tightening the cap was in the public interest.  The </w:t>
      </w:r>
      <w:r w:rsidR="0058169B">
        <w:t xml:space="preserve">Order also finds that the prior </w:t>
      </w:r>
      <w:r>
        <w:t xml:space="preserve">Commission presented no </w:t>
      </w:r>
      <w:r w:rsidR="0058169B">
        <w:t>examples of how</w:t>
      </w:r>
      <w:r>
        <w:t xml:space="preserve"> the 39 percent cap</w:t>
      </w:r>
      <w:r w:rsidR="0058169B">
        <w:t>, including the</w:t>
      </w:r>
      <w:r>
        <w:t xml:space="preserve"> discount</w:t>
      </w:r>
      <w:r w:rsidR="0058169B">
        <w:t>,</w:t>
      </w:r>
      <w:r>
        <w:t xml:space="preserve"> was harming the public interest goals of competition, diversity, or localism.  </w:t>
      </w:r>
    </w:p>
    <w:p w14:paraId="41FA6E69" w14:textId="77777777" w:rsidR="0098532D" w:rsidRDefault="0098532D" w:rsidP="0098532D">
      <w:pPr>
        <w:pStyle w:val="ParaNum"/>
        <w:widowControl/>
        <w:numPr>
          <w:ilvl w:val="0"/>
          <w:numId w:val="31"/>
        </w:numPr>
        <w:spacing w:after="100" w:afterAutospacing="1"/>
        <w:ind w:left="360"/>
        <w:rPr>
          <w:b/>
          <w:bCs/>
          <w:szCs w:val="22"/>
          <w:u w:val="single"/>
        </w:rPr>
      </w:pPr>
      <w:r>
        <w:t>The Order on Reconsideration states that the Commission will open a comprehensive rulemaking proceeding later this year to determine whether the 39 percent national audience reach cap, including the UHF discount, remains in the public interest.</w:t>
      </w:r>
    </w:p>
    <w:p w14:paraId="771B821C" w14:textId="447029C7" w:rsidR="0098532D" w:rsidRDefault="0098532D" w:rsidP="0098532D">
      <w:pPr>
        <w:pStyle w:val="ListParagraph"/>
        <w:numPr>
          <w:ilvl w:val="0"/>
          <w:numId w:val="38"/>
        </w:numPr>
        <w:spacing w:before="240"/>
        <w:jc w:val="center"/>
        <w:rPr>
          <w:b/>
          <w:bCs/>
          <w:sz w:val="22"/>
          <w:szCs w:val="22"/>
          <w:u w:val="single"/>
        </w:rPr>
      </w:pPr>
      <w:r w:rsidRPr="00D5636A">
        <w:rPr>
          <w:b/>
          <w:bCs/>
          <w:sz w:val="22"/>
          <w:szCs w:val="22"/>
          <w:u w:val="single"/>
        </w:rPr>
        <w:t>PRACTICAL IMPACT</w:t>
      </w:r>
    </w:p>
    <w:p w14:paraId="1DFF9AA6" w14:textId="77777777" w:rsidR="00397D37" w:rsidRPr="00397D37" w:rsidRDefault="00397D37" w:rsidP="00397D37">
      <w:pPr>
        <w:pStyle w:val="ListParagraph"/>
        <w:spacing w:before="240"/>
        <w:rPr>
          <w:b/>
          <w:bCs/>
          <w:sz w:val="22"/>
          <w:szCs w:val="22"/>
          <w:u w:val="single"/>
        </w:rPr>
      </w:pPr>
    </w:p>
    <w:p w14:paraId="4F0EB3FC" w14:textId="08B01ABC" w:rsidR="0098532D" w:rsidRDefault="0098532D" w:rsidP="0098532D">
      <w:pPr>
        <w:pStyle w:val="ListParagraph"/>
        <w:numPr>
          <w:ilvl w:val="0"/>
          <w:numId w:val="32"/>
        </w:numPr>
        <w:spacing w:before="240" w:after="100" w:afterAutospacing="1"/>
        <w:ind w:left="360"/>
        <w:rPr>
          <w:bCs/>
          <w:sz w:val="22"/>
          <w:szCs w:val="22"/>
        </w:rPr>
      </w:pPr>
      <w:r w:rsidRPr="005D5A88">
        <w:rPr>
          <w:bCs/>
          <w:sz w:val="22"/>
          <w:szCs w:val="22"/>
        </w:rPr>
        <w:t xml:space="preserve">Reinstatement of the UHF discount returns broadcasters to the status quo that existed prior to elimination of the UHF discount. </w:t>
      </w:r>
    </w:p>
    <w:p w14:paraId="66FE4D0D" w14:textId="77777777" w:rsidR="00397D37" w:rsidRPr="00397D37" w:rsidRDefault="00397D37" w:rsidP="00397D37">
      <w:pPr>
        <w:pStyle w:val="ListParagraph"/>
        <w:spacing w:before="240" w:after="100" w:afterAutospacing="1"/>
        <w:ind w:left="360"/>
        <w:rPr>
          <w:bCs/>
          <w:sz w:val="22"/>
          <w:szCs w:val="22"/>
        </w:rPr>
      </w:pPr>
    </w:p>
    <w:p w14:paraId="021BA30B" w14:textId="6231BB84" w:rsidR="0098532D" w:rsidRDefault="0098532D" w:rsidP="0098532D">
      <w:pPr>
        <w:pStyle w:val="ListParagraph"/>
        <w:numPr>
          <w:ilvl w:val="0"/>
          <w:numId w:val="32"/>
        </w:numPr>
        <w:spacing w:before="240" w:after="100" w:afterAutospacing="1"/>
        <w:ind w:left="360"/>
        <w:rPr>
          <w:bCs/>
          <w:sz w:val="22"/>
          <w:szCs w:val="22"/>
        </w:rPr>
      </w:pPr>
      <w:r>
        <w:rPr>
          <w:bCs/>
          <w:sz w:val="22"/>
          <w:szCs w:val="22"/>
        </w:rPr>
        <w:t xml:space="preserve">Reinstatement of the UHF discount will permit the Commission to conduct a comprehensive evaluation of whether the national audience reach cap, including the UHF discount used to calculate compliance with the cap, remains in the public interest, and </w:t>
      </w:r>
      <w:r w:rsidR="0058169B">
        <w:rPr>
          <w:bCs/>
          <w:sz w:val="22"/>
          <w:szCs w:val="22"/>
        </w:rPr>
        <w:t xml:space="preserve">whether to </w:t>
      </w:r>
      <w:r>
        <w:rPr>
          <w:bCs/>
          <w:sz w:val="22"/>
          <w:szCs w:val="22"/>
        </w:rPr>
        <w:t>maintain or adjust it accordingly.</w:t>
      </w:r>
    </w:p>
    <w:p w14:paraId="794A7DF6" w14:textId="77777777" w:rsidR="0098532D" w:rsidRPr="00F4458A" w:rsidRDefault="0098532D" w:rsidP="0098532D">
      <w:pPr>
        <w:pStyle w:val="ListParagraph"/>
        <w:rPr>
          <w:bCs/>
          <w:sz w:val="22"/>
          <w:szCs w:val="22"/>
        </w:rPr>
      </w:pPr>
    </w:p>
    <w:p w14:paraId="39CF4393" w14:textId="6A81E0E3" w:rsidR="0098532D" w:rsidRPr="00F4458A" w:rsidRDefault="0098532D" w:rsidP="0098532D">
      <w:pPr>
        <w:pStyle w:val="ListParagraph"/>
        <w:numPr>
          <w:ilvl w:val="0"/>
          <w:numId w:val="32"/>
        </w:numPr>
        <w:spacing w:before="240" w:after="100" w:afterAutospacing="1"/>
        <w:ind w:left="360"/>
        <w:rPr>
          <w:bCs/>
          <w:sz w:val="22"/>
          <w:szCs w:val="22"/>
        </w:rPr>
      </w:pPr>
      <w:r w:rsidRPr="00F4458A">
        <w:rPr>
          <w:bCs/>
          <w:sz w:val="22"/>
          <w:szCs w:val="22"/>
        </w:rPr>
        <w:lastRenderedPageBreak/>
        <w:t xml:space="preserve">Reinstating the UHF discount eliminates any potential harmful impact on </w:t>
      </w:r>
      <w:r w:rsidR="007609F8">
        <w:rPr>
          <w:bCs/>
          <w:sz w:val="22"/>
          <w:szCs w:val="22"/>
        </w:rPr>
        <w:t xml:space="preserve">some </w:t>
      </w:r>
      <w:r w:rsidRPr="00F4458A">
        <w:rPr>
          <w:bCs/>
          <w:sz w:val="22"/>
          <w:szCs w:val="22"/>
        </w:rPr>
        <w:t>broadcasters, including those that are small businesses, from what was effectively a tightening of the cap.</w:t>
      </w:r>
    </w:p>
    <w:p w14:paraId="5F603CE3" w14:textId="77777777" w:rsidR="0098532D" w:rsidRDefault="0098532D" w:rsidP="0098532D">
      <w:pPr>
        <w:pStyle w:val="ListParagraph"/>
        <w:spacing w:before="240" w:after="100" w:afterAutospacing="1"/>
        <w:ind w:left="360"/>
        <w:rPr>
          <w:bCs/>
          <w:sz w:val="22"/>
          <w:szCs w:val="22"/>
        </w:rPr>
      </w:pPr>
    </w:p>
    <w:p w14:paraId="0A0CAC2E" w14:textId="77777777" w:rsidR="0098532D" w:rsidRDefault="0098532D" w:rsidP="0098532D">
      <w:pPr>
        <w:pStyle w:val="ListParagraph"/>
        <w:numPr>
          <w:ilvl w:val="0"/>
          <w:numId w:val="32"/>
        </w:numPr>
        <w:spacing w:before="240" w:after="100" w:afterAutospacing="1"/>
        <w:ind w:left="360"/>
        <w:rPr>
          <w:bCs/>
          <w:sz w:val="22"/>
          <w:szCs w:val="22"/>
        </w:rPr>
      </w:pPr>
      <w:r w:rsidRPr="005D5A88">
        <w:rPr>
          <w:bCs/>
          <w:sz w:val="22"/>
          <w:szCs w:val="22"/>
        </w:rPr>
        <w:t xml:space="preserve">Broadcast station groups that </w:t>
      </w:r>
      <w:r>
        <w:rPr>
          <w:bCs/>
          <w:sz w:val="22"/>
          <w:szCs w:val="22"/>
        </w:rPr>
        <w:t>exceeded</w:t>
      </w:r>
      <w:r w:rsidRPr="005D5A88">
        <w:rPr>
          <w:bCs/>
          <w:sz w:val="22"/>
          <w:szCs w:val="22"/>
        </w:rPr>
        <w:t xml:space="preserve"> the cap</w:t>
      </w:r>
      <w:r>
        <w:rPr>
          <w:bCs/>
          <w:sz w:val="22"/>
          <w:szCs w:val="22"/>
        </w:rPr>
        <w:t xml:space="preserve"> because the discount was eliminated will no longer exceed the cap, and those station groups can be transferred intact as a result of the reinstatement of the discount</w:t>
      </w:r>
      <w:r w:rsidRPr="005D5A88">
        <w:rPr>
          <w:bCs/>
          <w:sz w:val="22"/>
          <w:szCs w:val="22"/>
        </w:rPr>
        <w:t xml:space="preserve">.  Additionally, station groups below the cap that still have “head room” before </w:t>
      </w:r>
      <w:r>
        <w:rPr>
          <w:bCs/>
          <w:sz w:val="22"/>
          <w:szCs w:val="22"/>
        </w:rPr>
        <w:t>approaching the limit can acquire additional stations that they might not have been able to acquire without exceeding the cap, absent reinstatement of the discount</w:t>
      </w:r>
      <w:r w:rsidRPr="005D5A88">
        <w:rPr>
          <w:bCs/>
          <w:sz w:val="22"/>
          <w:szCs w:val="22"/>
        </w:rPr>
        <w:t xml:space="preserve">. </w:t>
      </w:r>
    </w:p>
    <w:p w14:paraId="233620C7" w14:textId="77777777" w:rsidR="0098532D" w:rsidRPr="005D5A88" w:rsidRDefault="0098532D" w:rsidP="0098532D">
      <w:pPr>
        <w:pStyle w:val="ListParagraph"/>
        <w:spacing w:before="240" w:after="100" w:afterAutospacing="1"/>
        <w:ind w:left="360"/>
        <w:rPr>
          <w:bCs/>
          <w:sz w:val="22"/>
          <w:szCs w:val="22"/>
        </w:rPr>
      </w:pPr>
      <w:r w:rsidRPr="005D5A88">
        <w:rPr>
          <w:bCs/>
          <w:sz w:val="22"/>
          <w:szCs w:val="22"/>
        </w:rPr>
        <w:t xml:space="preserve"> </w:t>
      </w:r>
    </w:p>
    <w:p w14:paraId="6E943161" w14:textId="37F57B79" w:rsidR="0098532D" w:rsidRPr="00D5636A" w:rsidRDefault="0098532D" w:rsidP="0098532D">
      <w:pPr>
        <w:pStyle w:val="ListParagraph"/>
        <w:numPr>
          <w:ilvl w:val="0"/>
          <w:numId w:val="32"/>
        </w:numPr>
        <w:spacing w:before="240" w:after="100" w:afterAutospacing="1"/>
        <w:ind w:left="360"/>
        <w:rPr>
          <w:b/>
          <w:bCs/>
          <w:sz w:val="22"/>
          <w:szCs w:val="22"/>
          <w:u w:val="single"/>
        </w:rPr>
      </w:pPr>
      <w:r w:rsidRPr="005D5A88">
        <w:rPr>
          <w:bCs/>
          <w:sz w:val="22"/>
          <w:szCs w:val="22"/>
        </w:rPr>
        <w:t xml:space="preserve">These </w:t>
      </w:r>
      <w:r>
        <w:rPr>
          <w:bCs/>
          <w:sz w:val="22"/>
          <w:szCs w:val="22"/>
        </w:rPr>
        <w:t xml:space="preserve">effects </w:t>
      </w:r>
      <w:r w:rsidRPr="005D5A88">
        <w:rPr>
          <w:bCs/>
          <w:sz w:val="22"/>
          <w:szCs w:val="22"/>
        </w:rPr>
        <w:t xml:space="preserve">will continue </w:t>
      </w:r>
      <w:r>
        <w:rPr>
          <w:bCs/>
          <w:sz w:val="22"/>
          <w:szCs w:val="22"/>
        </w:rPr>
        <w:t>while</w:t>
      </w:r>
      <w:r w:rsidRPr="005D5A88">
        <w:rPr>
          <w:bCs/>
          <w:sz w:val="22"/>
          <w:szCs w:val="22"/>
        </w:rPr>
        <w:t xml:space="preserve"> the Commission completes its comprehensive review of the national audience reach cap and UHF discount in tandem, and determines whether the cap, including the UHF discount, remains in the public interest.</w:t>
      </w:r>
    </w:p>
    <w:p w14:paraId="4C59B3B7" w14:textId="77777777" w:rsidR="00D5636A" w:rsidRPr="00D5636A" w:rsidRDefault="00D5636A" w:rsidP="00D5636A">
      <w:pPr>
        <w:pStyle w:val="ListParagraph"/>
        <w:rPr>
          <w:b/>
          <w:bCs/>
          <w:sz w:val="22"/>
          <w:szCs w:val="22"/>
          <w:u w:val="single"/>
        </w:rPr>
      </w:pPr>
    </w:p>
    <w:p w14:paraId="5F8EA3C0" w14:textId="77777777" w:rsidR="00D5636A" w:rsidRPr="005D5A88" w:rsidRDefault="00D5636A" w:rsidP="00D5636A">
      <w:pPr>
        <w:pStyle w:val="ListParagraph"/>
        <w:spacing w:before="240" w:after="100" w:afterAutospacing="1"/>
        <w:ind w:left="360"/>
        <w:rPr>
          <w:b/>
          <w:bCs/>
          <w:sz w:val="22"/>
          <w:szCs w:val="22"/>
          <w:u w:val="single"/>
        </w:rPr>
      </w:pPr>
    </w:p>
    <w:p w14:paraId="46375431" w14:textId="77777777" w:rsidR="0098532D" w:rsidRPr="00D5636A" w:rsidRDefault="0098532D" w:rsidP="00D5636A">
      <w:pPr>
        <w:pStyle w:val="ListParagraph"/>
        <w:numPr>
          <w:ilvl w:val="0"/>
          <w:numId w:val="38"/>
        </w:numPr>
        <w:spacing w:before="240"/>
        <w:jc w:val="center"/>
        <w:rPr>
          <w:b/>
          <w:bCs/>
          <w:sz w:val="22"/>
          <w:szCs w:val="22"/>
          <w:u w:val="single"/>
        </w:rPr>
      </w:pPr>
      <w:r w:rsidRPr="00D5636A">
        <w:rPr>
          <w:b/>
          <w:bCs/>
          <w:sz w:val="22"/>
          <w:szCs w:val="22"/>
          <w:u w:val="single"/>
        </w:rPr>
        <w:t>COMPLIANCE REQUIREMENTS</w:t>
      </w:r>
    </w:p>
    <w:p w14:paraId="53A5C2AD" w14:textId="77777777" w:rsidR="0098532D" w:rsidRPr="00183094" w:rsidRDefault="0098532D" w:rsidP="0098532D">
      <w:pPr>
        <w:spacing w:after="240"/>
        <w:jc w:val="center"/>
        <w:rPr>
          <w:b/>
          <w:bCs/>
          <w:sz w:val="22"/>
          <w:szCs w:val="22"/>
          <w:u w:val="single"/>
        </w:rPr>
      </w:pPr>
    </w:p>
    <w:p w14:paraId="192A4FC0" w14:textId="77777777" w:rsidR="0098532D" w:rsidRPr="002D4D39" w:rsidRDefault="0098532D" w:rsidP="0098532D">
      <w:pPr>
        <w:pStyle w:val="ListParagraph"/>
        <w:numPr>
          <w:ilvl w:val="0"/>
          <w:numId w:val="19"/>
        </w:numPr>
        <w:spacing w:after="120"/>
        <w:ind w:left="360"/>
        <w:contextualSpacing w:val="0"/>
        <w:outlineLvl w:val="1"/>
        <w:rPr>
          <w:b/>
          <w:bCs/>
          <w:sz w:val="22"/>
          <w:szCs w:val="22"/>
          <w:u w:val="single"/>
        </w:rPr>
      </w:pPr>
      <w:r w:rsidRPr="00183094">
        <w:rPr>
          <w:b/>
          <w:bCs/>
          <w:sz w:val="22"/>
          <w:szCs w:val="22"/>
        </w:rPr>
        <w:t>Entities Required to T</w:t>
      </w:r>
      <w:r w:rsidRPr="001064D9">
        <w:rPr>
          <w:b/>
          <w:bCs/>
          <w:sz w:val="22"/>
          <w:szCs w:val="22"/>
        </w:rPr>
        <w:t>ake Action under this Proceeding</w:t>
      </w:r>
    </w:p>
    <w:p w14:paraId="0742379E" w14:textId="0DFBB383" w:rsidR="0098532D" w:rsidRDefault="0098532D" w:rsidP="0098532D">
      <w:pPr>
        <w:pStyle w:val="ListParagraph"/>
        <w:numPr>
          <w:ilvl w:val="0"/>
          <w:numId w:val="34"/>
        </w:numPr>
        <w:spacing w:after="120"/>
        <w:outlineLvl w:val="1"/>
        <w:rPr>
          <w:bCs/>
          <w:sz w:val="22"/>
          <w:szCs w:val="22"/>
        </w:rPr>
      </w:pPr>
      <w:r w:rsidRPr="00D01A0B">
        <w:rPr>
          <w:bCs/>
          <w:sz w:val="22"/>
          <w:szCs w:val="22"/>
        </w:rPr>
        <w:t xml:space="preserve">All commercial broadcast station groups </w:t>
      </w:r>
      <w:r w:rsidR="007A7E08">
        <w:rPr>
          <w:bCs/>
          <w:sz w:val="22"/>
          <w:szCs w:val="22"/>
        </w:rPr>
        <w:t>are</w:t>
      </w:r>
      <w:r w:rsidRPr="00D01A0B">
        <w:rPr>
          <w:bCs/>
          <w:sz w:val="22"/>
          <w:szCs w:val="22"/>
        </w:rPr>
        <w:t xml:space="preserve"> required to comply with the national audience reach cap.  Because the Order on Reconsideration reinstates the UHF discount, broadcasters can return to calculating compliance with the national audience reach cap in the manner they used</w:t>
      </w:r>
      <w:r>
        <w:rPr>
          <w:bCs/>
          <w:sz w:val="22"/>
          <w:szCs w:val="22"/>
        </w:rPr>
        <w:t xml:space="preserve"> before the UHF discount was eliminated</w:t>
      </w:r>
      <w:r w:rsidRPr="00D01A0B">
        <w:rPr>
          <w:bCs/>
          <w:sz w:val="22"/>
          <w:szCs w:val="22"/>
        </w:rPr>
        <w:t>.</w:t>
      </w:r>
    </w:p>
    <w:p w14:paraId="125C6B16" w14:textId="77777777" w:rsidR="0098532D" w:rsidRPr="00D01A0B" w:rsidRDefault="0098532D" w:rsidP="0098532D">
      <w:pPr>
        <w:pStyle w:val="ListParagraph"/>
        <w:spacing w:after="120"/>
        <w:outlineLvl w:val="1"/>
        <w:rPr>
          <w:bCs/>
          <w:sz w:val="22"/>
          <w:szCs w:val="22"/>
        </w:rPr>
      </w:pPr>
    </w:p>
    <w:p w14:paraId="7E84F7CA" w14:textId="77777777" w:rsidR="0098532D" w:rsidRDefault="0098532D" w:rsidP="0098532D">
      <w:pPr>
        <w:pStyle w:val="ListParagraph"/>
        <w:numPr>
          <w:ilvl w:val="0"/>
          <w:numId w:val="19"/>
        </w:numPr>
        <w:spacing w:after="120"/>
        <w:ind w:left="360"/>
        <w:contextualSpacing w:val="0"/>
        <w:outlineLvl w:val="1"/>
        <w:rPr>
          <w:b/>
          <w:bCs/>
          <w:sz w:val="22"/>
          <w:szCs w:val="22"/>
        </w:rPr>
      </w:pPr>
      <w:r w:rsidRPr="00183094">
        <w:rPr>
          <w:b/>
          <w:bCs/>
          <w:sz w:val="22"/>
          <w:szCs w:val="22"/>
        </w:rPr>
        <w:t xml:space="preserve">Rules </w:t>
      </w:r>
      <w:r w:rsidRPr="001064D9">
        <w:rPr>
          <w:b/>
          <w:bCs/>
          <w:sz w:val="22"/>
          <w:szCs w:val="22"/>
        </w:rPr>
        <w:t>Reviewed by the Commission</w:t>
      </w:r>
    </w:p>
    <w:p w14:paraId="4E23078E" w14:textId="77777777" w:rsidR="0098532D" w:rsidRDefault="0098532D" w:rsidP="0098532D">
      <w:pPr>
        <w:pStyle w:val="ListParagraph"/>
        <w:numPr>
          <w:ilvl w:val="0"/>
          <w:numId w:val="33"/>
        </w:numPr>
        <w:spacing w:after="120"/>
        <w:contextualSpacing w:val="0"/>
        <w:outlineLvl w:val="1"/>
        <w:rPr>
          <w:bCs/>
          <w:sz w:val="22"/>
          <w:szCs w:val="22"/>
        </w:rPr>
      </w:pPr>
      <w:r>
        <w:rPr>
          <w:bCs/>
          <w:sz w:val="22"/>
          <w:szCs w:val="22"/>
        </w:rPr>
        <w:t>The Order on Reconsideration reinstates the UHF discount as part of the national television multiple ownership rule</w:t>
      </w:r>
      <w:r w:rsidRPr="00734F42">
        <w:rPr>
          <w:bCs/>
          <w:sz w:val="22"/>
          <w:szCs w:val="22"/>
        </w:rPr>
        <w:t>, 47 CFR § 73.3555(e).</w:t>
      </w:r>
      <w:r>
        <w:rPr>
          <w:bCs/>
          <w:sz w:val="22"/>
          <w:szCs w:val="22"/>
        </w:rPr>
        <w:t xml:space="preserve">  </w:t>
      </w:r>
    </w:p>
    <w:p w14:paraId="30E5A023" w14:textId="77777777" w:rsidR="0098532D" w:rsidRDefault="0098532D" w:rsidP="0098532D">
      <w:pPr>
        <w:pStyle w:val="ListParagraph"/>
        <w:numPr>
          <w:ilvl w:val="0"/>
          <w:numId w:val="33"/>
        </w:numPr>
        <w:spacing w:after="120"/>
        <w:contextualSpacing w:val="0"/>
        <w:outlineLvl w:val="1"/>
        <w:rPr>
          <w:bCs/>
          <w:sz w:val="22"/>
          <w:szCs w:val="22"/>
        </w:rPr>
      </w:pPr>
      <w:r>
        <w:rPr>
          <w:bCs/>
          <w:sz w:val="22"/>
          <w:szCs w:val="22"/>
        </w:rPr>
        <w:t xml:space="preserve">As indicated, the rule states that no license for a commercial television broadcast station shall be granted, transferred, or assigned to any party, including all parties under common control, if the grant, transfer, or assignment would result in such party or any of its stockholders, partners, members, officers, or directors having an interest in television stations that have an aggregate national audience reach exceeding 39 percent.  </w:t>
      </w:r>
    </w:p>
    <w:p w14:paraId="743D387A" w14:textId="16EA3ADA" w:rsidR="0098532D" w:rsidRDefault="0098532D" w:rsidP="0098532D">
      <w:pPr>
        <w:pStyle w:val="ListParagraph"/>
        <w:numPr>
          <w:ilvl w:val="0"/>
          <w:numId w:val="33"/>
        </w:numPr>
        <w:spacing w:after="120"/>
        <w:contextualSpacing w:val="0"/>
        <w:outlineLvl w:val="1"/>
        <w:rPr>
          <w:bCs/>
          <w:sz w:val="22"/>
          <w:szCs w:val="22"/>
        </w:rPr>
      </w:pPr>
      <w:r w:rsidRPr="00F4458A">
        <w:rPr>
          <w:bCs/>
          <w:sz w:val="22"/>
          <w:szCs w:val="22"/>
        </w:rPr>
        <w:t>Before the Commission eliminated the UHF discount, national audience reach was defined as the total number of television households in the Nielsen DMA in which the relevant stations are located divided by the total national television households as measured by DMA data at the time of a grant, transfer</w:t>
      </w:r>
      <w:r w:rsidR="00316181">
        <w:rPr>
          <w:bCs/>
          <w:sz w:val="22"/>
          <w:szCs w:val="22"/>
        </w:rPr>
        <w:t>, or</w:t>
      </w:r>
      <w:r w:rsidRPr="00F4458A">
        <w:rPr>
          <w:bCs/>
          <w:sz w:val="22"/>
          <w:szCs w:val="22"/>
        </w:rPr>
        <w:t xml:space="preserve"> assignment of a license.  For purposes of making this calculation, UHF television stations are attributed with 50 percent of the television household</w:t>
      </w:r>
      <w:r w:rsidR="00FA372B">
        <w:rPr>
          <w:bCs/>
          <w:sz w:val="22"/>
          <w:szCs w:val="22"/>
        </w:rPr>
        <w:t>s</w:t>
      </w:r>
      <w:r w:rsidRPr="00F4458A">
        <w:rPr>
          <w:bCs/>
          <w:sz w:val="22"/>
          <w:szCs w:val="22"/>
        </w:rPr>
        <w:t xml:space="preserve"> in their DMA.  The Order on Reconsideration reinstates this definition.</w:t>
      </w:r>
    </w:p>
    <w:p w14:paraId="5072B0D6" w14:textId="77777777" w:rsidR="00FA372B" w:rsidRPr="00F4458A" w:rsidRDefault="00FA372B" w:rsidP="00FA372B">
      <w:pPr>
        <w:pStyle w:val="ListParagraph"/>
        <w:spacing w:after="120"/>
        <w:contextualSpacing w:val="0"/>
        <w:outlineLvl w:val="1"/>
        <w:rPr>
          <w:bCs/>
          <w:sz w:val="22"/>
          <w:szCs w:val="22"/>
        </w:rPr>
      </w:pPr>
    </w:p>
    <w:p w14:paraId="6BAC9163" w14:textId="77777777" w:rsidR="0098532D" w:rsidRDefault="0098532D" w:rsidP="004C593B">
      <w:pPr>
        <w:pStyle w:val="ListParagraph"/>
        <w:numPr>
          <w:ilvl w:val="0"/>
          <w:numId w:val="38"/>
        </w:numPr>
        <w:spacing w:before="240"/>
        <w:contextualSpacing w:val="0"/>
        <w:jc w:val="center"/>
        <w:outlineLvl w:val="1"/>
        <w:rPr>
          <w:b/>
          <w:bCs/>
          <w:sz w:val="22"/>
          <w:szCs w:val="22"/>
          <w:u w:val="single"/>
        </w:rPr>
      </w:pPr>
      <w:r w:rsidRPr="00734397">
        <w:rPr>
          <w:b/>
          <w:bCs/>
          <w:sz w:val="22"/>
          <w:szCs w:val="22"/>
          <w:u w:val="single"/>
        </w:rPr>
        <w:t>RECORDKEEPING</w:t>
      </w:r>
    </w:p>
    <w:p w14:paraId="5652608D" w14:textId="77777777" w:rsidR="0098532D" w:rsidRPr="00734397" w:rsidRDefault="0098532D" w:rsidP="0098532D">
      <w:pPr>
        <w:pStyle w:val="ListParagraph"/>
        <w:spacing w:after="240"/>
        <w:ind w:left="360"/>
        <w:contextualSpacing w:val="0"/>
        <w:jc w:val="center"/>
        <w:outlineLvl w:val="1"/>
        <w:rPr>
          <w:b/>
          <w:bCs/>
          <w:sz w:val="22"/>
          <w:szCs w:val="22"/>
          <w:u w:val="single"/>
        </w:rPr>
      </w:pPr>
    </w:p>
    <w:p w14:paraId="314ED61E" w14:textId="304EB5AE" w:rsidR="0098532D" w:rsidRDefault="0098532D" w:rsidP="0098532D">
      <w:pPr>
        <w:pStyle w:val="ListParagraph"/>
        <w:numPr>
          <w:ilvl w:val="0"/>
          <w:numId w:val="36"/>
        </w:numPr>
        <w:spacing w:after="120"/>
        <w:contextualSpacing w:val="0"/>
        <w:outlineLvl w:val="1"/>
        <w:rPr>
          <w:bCs/>
          <w:sz w:val="22"/>
          <w:szCs w:val="22"/>
        </w:rPr>
      </w:pPr>
      <w:r>
        <w:rPr>
          <w:bCs/>
          <w:sz w:val="22"/>
          <w:szCs w:val="22"/>
        </w:rPr>
        <w:t xml:space="preserve">The Order on Reconsideration imposes no increased reporting, recordkeeping, or other compliance requirements. </w:t>
      </w:r>
    </w:p>
    <w:p w14:paraId="569CB1B8" w14:textId="77777777" w:rsidR="00552966" w:rsidRDefault="00552966" w:rsidP="00552966">
      <w:pPr>
        <w:pStyle w:val="ListParagraph"/>
        <w:spacing w:after="120"/>
        <w:ind w:left="360"/>
        <w:contextualSpacing w:val="0"/>
        <w:outlineLvl w:val="1"/>
        <w:rPr>
          <w:bCs/>
          <w:sz w:val="22"/>
          <w:szCs w:val="22"/>
        </w:rPr>
      </w:pPr>
    </w:p>
    <w:p w14:paraId="38790F05" w14:textId="77777777" w:rsidR="0098532D" w:rsidRDefault="0098532D" w:rsidP="0098532D">
      <w:pPr>
        <w:pStyle w:val="ListParagraph"/>
        <w:spacing w:after="120"/>
        <w:ind w:left="360"/>
        <w:contextualSpacing w:val="0"/>
        <w:outlineLvl w:val="1"/>
        <w:rPr>
          <w:bCs/>
          <w:sz w:val="22"/>
          <w:szCs w:val="22"/>
        </w:rPr>
      </w:pPr>
    </w:p>
    <w:p w14:paraId="17420FA8" w14:textId="77777777" w:rsidR="0098532D" w:rsidRDefault="0098532D" w:rsidP="004C593B">
      <w:pPr>
        <w:pStyle w:val="ListParagraph"/>
        <w:numPr>
          <w:ilvl w:val="0"/>
          <w:numId w:val="38"/>
        </w:numPr>
        <w:spacing w:before="240"/>
        <w:contextualSpacing w:val="0"/>
        <w:jc w:val="center"/>
        <w:outlineLvl w:val="1"/>
        <w:rPr>
          <w:b/>
          <w:bCs/>
          <w:sz w:val="22"/>
          <w:szCs w:val="22"/>
          <w:u w:val="single"/>
        </w:rPr>
      </w:pPr>
      <w:r w:rsidRPr="00734397">
        <w:rPr>
          <w:b/>
          <w:bCs/>
          <w:sz w:val="22"/>
          <w:szCs w:val="22"/>
          <w:u w:val="single"/>
        </w:rPr>
        <w:t>IMPACT ON SMALL BUSINESSES</w:t>
      </w:r>
    </w:p>
    <w:p w14:paraId="5C5F5587" w14:textId="77777777" w:rsidR="0098532D" w:rsidRDefault="0098532D" w:rsidP="0098532D">
      <w:pPr>
        <w:pStyle w:val="ListParagraph"/>
        <w:spacing w:after="240"/>
        <w:ind w:left="0"/>
        <w:contextualSpacing w:val="0"/>
        <w:jc w:val="center"/>
        <w:outlineLvl w:val="1"/>
        <w:rPr>
          <w:b/>
          <w:bCs/>
          <w:sz w:val="22"/>
          <w:szCs w:val="22"/>
          <w:u w:val="single"/>
        </w:rPr>
      </w:pPr>
    </w:p>
    <w:p w14:paraId="50611068" w14:textId="77777777" w:rsidR="0098532D" w:rsidRDefault="0098532D" w:rsidP="0098532D">
      <w:pPr>
        <w:pStyle w:val="ListParagraph"/>
        <w:numPr>
          <w:ilvl w:val="0"/>
          <w:numId w:val="35"/>
        </w:numPr>
        <w:spacing w:after="120"/>
        <w:contextualSpacing w:val="0"/>
        <w:outlineLvl w:val="1"/>
        <w:rPr>
          <w:bCs/>
          <w:sz w:val="22"/>
          <w:szCs w:val="22"/>
        </w:rPr>
      </w:pPr>
      <w:r>
        <w:rPr>
          <w:bCs/>
          <w:sz w:val="22"/>
          <w:szCs w:val="22"/>
        </w:rPr>
        <w:t xml:space="preserve">Reinstatement of the UHF discount will not impose additional obligations or expenditure of resources on small businesses.  </w:t>
      </w:r>
    </w:p>
    <w:p w14:paraId="36BF42FE" w14:textId="0C225301" w:rsidR="0098532D" w:rsidRPr="00734397" w:rsidRDefault="0098532D" w:rsidP="0098532D">
      <w:pPr>
        <w:pStyle w:val="ListParagraph"/>
        <w:numPr>
          <w:ilvl w:val="0"/>
          <w:numId w:val="35"/>
        </w:numPr>
        <w:spacing w:after="120"/>
        <w:contextualSpacing w:val="0"/>
        <w:outlineLvl w:val="1"/>
        <w:rPr>
          <w:bCs/>
          <w:sz w:val="22"/>
          <w:szCs w:val="22"/>
        </w:rPr>
      </w:pPr>
      <w:r>
        <w:rPr>
          <w:bCs/>
          <w:sz w:val="22"/>
          <w:szCs w:val="22"/>
        </w:rPr>
        <w:t>The Commission anticipates that a new, comprehensive rulemaking proceeding to examine the national television audience reach cap and UHF discount in tandem will positively impact broadcasters, including small entities, and eliminate</w:t>
      </w:r>
      <w:r w:rsidR="00316181">
        <w:rPr>
          <w:bCs/>
          <w:sz w:val="22"/>
          <w:szCs w:val="22"/>
        </w:rPr>
        <w:t xml:space="preserve"> the</w:t>
      </w:r>
      <w:r>
        <w:rPr>
          <w:bCs/>
          <w:sz w:val="22"/>
          <w:szCs w:val="22"/>
        </w:rPr>
        <w:t xml:space="preserve"> potential harm </w:t>
      </w:r>
      <w:r w:rsidR="00316181">
        <w:rPr>
          <w:bCs/>
          <w:sz w:val="22"/>
          <w:szCs w:val="22"/>
        </w:rPr>
        <w:t xml:space="preserve">posed by </w:t>
      </w:r>
      <w:r>
        <w:rPr>
          <w:bCs/>
          <w:sz w:val="22"/>
          <w:szCs w:val="22"/>
        </w:rPr>
        <w:t xml:space="preserve">eliminating the discount piecemeal.  The new proceeding </w:t>
      </w:r>
      <w:r w:rsidR="00316181">
        <w:rPr>
          <w:bCs/>
          <w:sz w:val="22"/>
          <w:szCs w:val="22"/>
        </w:rPr>
        <w:t>will also</w:t>
      </w:r>
      <w:r>
        <w:rPr>
          <w:bCs/>
          <w:sz w:val="22"/>
          <w:szCs w:val="22"/>
        </w:rPr>
        <w:t xml:space="preserve"> allow the Commission to examine whether the national audience reach cap, including the UHF discount, should be modified in light of changes in the video programming marketplace, and their effect on broadcasters, including small broadcasters. </w:t>
      </w:r>
    </w:p>
    <w:p w14:paraId="6279E29D" w14:textId="77777777" w:rsidR="0098532D" w:rsidRDefault="0098532D" w:rsidP="00D5636A">
      <w:pPr>
        <w:pStyle w:val="ListParagraph"/>
        <w:numPr>
          <w:ilvl w:val="0"/>
          <w:numId w:val="38"/>
        </w:numPr>
        <w:spacing w:before="240"/>
        <w:contextualSpacing w:val="0"/>
        <w:jc w:val="center"/>
        <w:outlineLvl w:val="1"/>
        <w:rPr>
          <w:b/>
          <w:bCs/>
          <w:sz w:val="22"/>
          <w:szCs w:val="22"/>
          <w:u w:val="single"/>
        </w:rPr>
      </w:pPr>
      <w:r>
        <w:rPr>
          <w:b/>
          <w:bCs/>
          <w:sz w:val="22"/>
          <w:szCs w:val="22"/>
          <w:u w:val="single"/>
        </w:rPr>
        <w:t>INTERNET LINKS</w:t>
      </w:r>
    </w:p>
    <w:p w14:paraId="78F780CA" w14:textId="77777777" w:rsidR="0098532D" w:rsidRDefault="0098532D" w:rsidP="0098532D">
      <w:pPr>
        <w:pStyle w:val="ListParagraph"/>
        <w:spacing w:after="240"/>
        <w:ind w:left="0"/>
        <w:contextualSpacing w:val="0"/>
        <w:jc w:val="center"/>
        <w:outlineLvl w:val="1"/>
        <w:rPr>
          <w:b/>
          <w:bCs/>
          <w:sz w:val="22"/>
          <w:szCs w:val="22"/>
          <w:u w:val="single"/>
        </w:rPr>
      </w:pPr>
    </w:p>
    <w:p w14:paraId="4A14CAD4" w14:textId="77777777" w:rsidR="0098532D" w:rsidRDefault="0098532D" w:rsidP="0098532D">
      <w:pPr>
        <w:pStyle w:val="ListParagraph"/>
        <w:spacing w:after="120"/>
        <w:ind w:left="0"/>
        <w:contextualSpacing w:val="0"/>
        <w:outlineLvl w:val="1"/>
        <w:rPr>
          <w:b/>
          <w:bCs/>
          <w:sz w:val="22"/>
          <w:szCs w:val="22"/>
        </w:rPr>
      </w:pPr>
      <w:r w:rsidRPr="00301D52">
        <w:rPr>
          <w:b/>
          <w:bCs/>
          <w:sz w:val="22"/>
          <w:szCs w:val="22"/>
        </w:rPr>
        <w:t>Order on Reconsideration</w:t>
      </w:r>
    </w:p>
    <w:p w14:paraId="1AB61430" w14:textId="3C1BA2C1" w:rsidR="0098532D" w:rsidRPr="00F4458A" w:rsidRDefault="006D74FE" w:rsidP="0098532D">
      <w:pPr>
        <w:pStyle w:val="ListParagraph"/>
        <w:spacing w:after="120"/>
        <w:ind w:left="0"/>
        <w:contextualSpacing w:val="0"/>
        <w:outlineLvl w:val="1"/>
        <w:rPr>
          <w:bCs/>
          <w:sz w:val="22"/>
          <w:szCs w:val="22"/>
        </w:rPr>
      </w:pPr>
      <w:hyperlink r:id="rId14" w:history="1">
        <w:r w:rsidR="0098532D" w:rsidRPr="00F4458A">
          <w:rPr>
            <w:rStyle w:val="Hyperlink"/>
            <w:bCs/>
            <w:sz w:val="22"/>
            <w:szCs w:val="22"/>
          </w:rPr>
          <w:t>https://ecfsapi.fcc.gov/file/0426267477284/FCC-17-40A1.pdf</w:t>
        </w:r>
      </w:hyperlink>
      <w:r w:rsidR="0098532D" w:rsidRPr="00F4458A">
        <w:rPr>
          <w:bCs/>
          <w:sz w:val="22"/>
          <w:szCs w:val="22"/>
        </w:rPr>
        <w:t xml:space="preserve"> </w:t>
      </w:r>
    </w:p>
    <w:p w14:paraId="563141DD" w14:textId="77777777" w:rsidR="0098532D" w:rsidRDefault="0098532D" w:rsidP="0098532D">
      <w:pPr>
        <w:pStyle w:val="ListParagraph"/>
        <w:spacing w:after="120"/>
        <w:ind w:left="0"/>
        <w:contextualSpacing w:val="0"/>
        <w:outlineLvl w:val="1"/>
        <w:rPr>
          <w:b/>
          <w:bCs/>
          <w:sz w:val="22"/>
          <w:szCs w:val="22"/>
        </w:rPr>
      </w:pPr>
      <w:r w:rsidRPr="00301D52">
        <w:rPr>
          <w:b/>
          <w:bCs/>
          <w:sz w:val="22"/>
          <w:szCs w:val="22"/>
        </w:rPr>
        <w:t>Commissioner Statements</w:t>
      </w:r>
    </w:p>
    <w:p w14:paraId="3AB89F9D" w14:textId="1A35A4DF" w:rsidR="0098532D" w:rsidRDefault="0098532D" w:rsidP="0098532D">
      <w:pPr>
        <w:pStyle w:val="ListParagraph"/>
        <w:ind w:left="0"/>
        <w:contextualSpacing w:val="0"/>
        <w:outlineLvl w:val="1"/>
        <w:rPr>
          <w:bCs/>
          <w:sz w:val="22"/>
          <w:szCs w:val="22"/>
        </w:rPr>
      </w:pPr>
      <w:r>
        <w:rPr>
          <w:bCs/>
          <w:sz w:val="22"/>
          <w:szCs w:val="22"/>
        </w:rPr>
        <w:t xml:space="preserve">Chairman Pai:  </w:t>
      </w:r>
      <w:hyperlink r:id="rId15" w:history="1">
        <w:r w:rsidRPr="008558F3">
          <w:rPr>
            <w:rStyle w:val="Hyperlink"/>
            <w:bCs/>
            <w:sz w:val="22"/>
            <w:szCs w:val="22"/>
          </w:rPr>
          <w:t>https://ecfsapi.fcc.gov/file/042023833856/DOC-344490A2.pdf</w:t>
        </w:r>
      </w:hyperlink>
      <w:r w:rsidRPr="008558F3">
        <w:rPr>
          <w:bCs/>
          <w:sz w:val="22"/>
          <w:szCs w:val="22"/>
        </w:rPr>
        <w:t xml:space="preserve"> </w:t>
      </w:r>
    </w:p>
    <w:p w14:paraId="57D02C31" w14:textId="44374B9B" w:rsidR="0098532D" w:rsidRDefault="0098532D" w:rsidP="0098532D">
      <w:pPr>
        <w:pStyle w:val="ListParagraph"/>
        <w:ind w:left="0"/>
        <w:contextualSpacing w:val="0"/>
        <w:outlineLvl w:val="1"/>
        <w:rPr>
          <w:bCs/>
          <w:sz w:val="22"/>
          <w:szCs w:val="22"/>
        </w:rPr>
      </w:pPr>
      <w:r>
        <w:rPr>
          <w:bCs/>
          <w:sz w:val="22"/>
          <w:szCs w:val="22"/>
        </w:rPr>
        <w:t>Commissioner Clyburn:</w:t>
      </w:r>
      <w:r>
        <w:rPr>
          <w:bCs/>
          <w:sz w:val="22"/>
          <w:szCs w:val="22"/>
        </w:rPr>
        <w:tab/>
        <w:t xml:space="preserve"> </w:t>
      </w:r>
      <w:hyperlink r:id="rId16" w:history="1">
        <w:r w:rsidRPr="00097420">
          <w:rPr>
            <w:rStyle w:val="Hyperlink"/>
            <w:bCs/>
            <w:sz w:val="22"/>
            <w:szCs w:val="22"/>
          </w:rPr>
          <w:t>https://ecfsapi.fcc.gov/file/042023833856/DOC-344490A3.pdf</w:t>
        </w:r>
      </w:hyperlink>
      <w:r>
        <w:rPr>
          <w:bCs/>
          <w:sz w:val="22"/>
          <w:szCs w:val="22"/>
        </w:rPr>
        <w:t xml:space="preserve"> </w:t>
      </w:r>
      <w:r>
        <w:rPr>
          <w:bCs/>
          <w:sz w:val="22"/>
          <w:szCs w:val="22"/>
        </w:rPr>
        <w:tab/>
      </w:r>
    </w:p>
    <w:p w14:paraId="683C2BB1" w14:textId="12AF50B5" w:rsidR="0098532D" w:rsidRDefault="0098532D" w:rsidP="0098532D">
      <w:pPr>
        <w:pStyle w:val="ListParagraph"/>
        <w:ind w:left="0"/>
        <w:contextualSpacing w:val="0"/>
        <w:outlineLvl w:val="1"/>
        <w:rPr>
          <w:bCs/>
          <w:sz w:val="22"/>
          <w:szCs w:val="22"/>
        </w:rPr>
      </w:pPr>
      <w:r>
        <w:rPr>
          <w:bCs/>
          <w:sz w:val="22"/>
          <w:szCs w:val="22"/>
        </w:rPr>
        <w:t xml:space="preserve">Commissioner O’Rielly:  </w:t>
      </w:r>
      <w:hyperlink r:id="rId17" w:history="1">
        <w:r w:rsidRPr="00097420">
          <w:rPr>
            <w:rStyle w:val="Hyperlink"/>
            <w:bCs/>
            <w:sz w:val="22"/>
            <w:szCs w:val="22"/>
          </w:rPr>
          <w:t>https://ecfsapi.fcc.gov/file/042023833856/DOC-344490A4.pdf</w:t>
        </w:r>
      </w:hyperlink>
      <w:r>
        <w:rPr>
          <w:bCs/>
          <w:sz w:val="22"/>
          <w:szCs w:val="22"/>
        </w:rPr>
        <w:t xml:space="preserve"> </w:t>
      </w:r>
    </w:p>
    <w:p w14:paraId="6765019C" w14:textId="77777777" w:rsidR="0098532D" w:rsidRPr="008558F3" w:rsidRDefault="0098532D" w:rsidP="0098532D">
      <w:pPr>
        <w:pStyle w:val="ListParagraph"/>
        <w:ind w:left="0"/>
        <w:contextualSpacing w:val="0"/>
        <w:outlineLvl w:val="1"/>
        <w:rPr>
          <w:bCs/>
          <w:sz w:val="22"/>
          <w:szCs w:val="22"/>
        </w:rPr>
      </w:pPr>
    </w:p>
    <w:p w14:paraId="28FBB57C" w14:textId="77777777" w:rsidR="0098532D" w:rsidRPr="00F4458A" w:rsidRDefault="0098532D" w:rsidP="0098532D"/>
    <w:p w14:paraId="2FFC706C" w14:textId="014CA4C0" w:rsidR="66A0994F" w:rsidRPr="00183094" w:rsidRDefault="66A0994F" w:rsidP="0098532D">
      <w:pPr>
        <w:spacing w:after="240"/>
        <w:contextualSpacing/>
        <w:jc w:val="center"/>
        <w:rPr>
          <w:sz w:val="22"/>
          <w:szCs w:val="22"/>
        </w:rPr>
      </w:pPr>
    </w:p>
    <w:sectPr w:rsidR="66A0994F" w:rsidRPr="00183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E154" w14:textId="77777777" w:rsidR="00AB6914" w:rsidRDefault="00AB6914" w:rsidP="00342953">
      <w:r>
        <w:separator/>
      </w:r>
    </w:p>
  </w:endnote>
  <w:endnote w:type="continuationSeparator" w:id="0">
    <w:p w14:paraId="1131FC67" w14:textId="77777777" w:rsidR="00AB6914" w:rsidRDefault="00AB6914" w:rsidP="00342953">
      <w:r>
        <w:continuationSeparator/>
      </w:r>
    </w:p>
  </w:endnote>
  <w:endnote w:type="continuationNotice" w:id="1">
    <w:p w14:paraId="1028318D" w14:textId="77777777" w:rsidR="00AB6914" w:rsidRDefault="00AB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C508" w14:textId="77777777" w:rsidR="00DB7329" w:rsidRDefault="00DB7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67015"/>
      <w:docPartObj>
        <w:docPartGallery w:val="Page Numbers (Bottom of Page)"/>
        <w:docPartUnique/>
      </w:docPartObj>
    </w:sdtPr>
    <w:sdtEndPr>
      <w:rPr>
        <w:noProof/>
        <w:sz w:val="22"/>
      </w:rPr>
    </w:sdtEndPr>
    <w:sdtContent>
      <w:p w14:paraId="7E98CF34" w14:textId="70DE50BA" w:rsidR="00342953" w:rsidRPr="004B7D54" w:rsidRDefault="00342953">
        <w:pPr>
          <w:pStyle w:val="Footer"/>
          <w:jc w:val="center"/>
          <w:rPr>
            <w:sz w:val="22"/>
          </w:rPr>
        </w:pPr>
        <w:r w:rsidRPr="004B7D54">
          <w:rPr>
            <w:sz w:val="22"/>
          </w:rPr>
          <w:fldChar w:fldCharType="begin"/>
        </w:r>
        <w:r w:rsidRPr="004B7D54">
          <w:rPr>
            <w:sz w:val="22"/>
          </w:rPr>
          <w:instrText xml:space="preserve"> PAGE   \* MERGEFORMAT </w:instrText>
        </w:r>
        <w:r w:rsidRPr="004B7D54">
          <w:rPr>
            <w:sz w:val="22"/>
          </w:rPr>
          <w:fldChar w:fldCharType="separate"/>
        </w:r>
        <w:r w:rsidR="006D74FE">
          <w:rPr>
            <w:noProof/>
            <w:sz w:val="22"/>
          </w:rPr>
          <w:t>2</w:t>
        </w:r>
        <w:r w:rsidRPr="004B7D54">
          <w:rPr>
            <w:noProof/>
            <w:sz w:val="22"/>
          </w:rPr>
          <w:fldChar w:fldCharType="end"/>
        </w:r>
      </w:p>
    </w:sdtContent>
  </w:sdt>
  <w:p w14:paraId="4751F51A" w14:textId="77777777" w:rsidR="00342953" w:rsidRDefault="00342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0806" w14:textId="77777777" w:rsidR="00DB7329" w:rsidRDefault="00DB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027B" w14:textId="77777777" w:rsidR="00AB6914" w:rsidRDefault="00AB6914" w:rsidP="00342953">
      <w:r>
        <w:separator/>
      </w:r>
    </w:p>
  </w:footnote>
  <w:footnote w:type="continuationSeparator" w:id="0">
    <w:p w14:paraId="481492E7" w14:textId="77777777" w:rsidR="00AB6914" w:rsidRDefault="00AB6914" w:rsidP="00342953">
      <w:r>
        <w:continuationSeparator/>
      </w:r>
    </w:p>
  </w:footnote>
  <w:footnote w:type="continuationNotice" w:id="1">
    <w:p w14:paraId="3BF48D4E" w14:textId="77777777" w:rsidR="00AB6914" w:rsidRDefault="00AB69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8AFA" w14:textId="77777777" w:rsidR="00DB7329" w:rsidRDefault="00DB7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639D" w14:textId="77777777" w:rsidR="00DB7329" w:rsidRDefault="00DB7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02B6" w14:textId="7608C647" w:rsidR="00ED71E3" w:rsidRDefault="00ED71E3" w:rsidP="00ED71E3">
    <w:pPr>
      <w:pStyle w:val="Header"/>
      <w:spacing w:before="360" w:line="228" w:lineRule="auto"/>
      <w:jc w:val="center"/>
    </w:pPr>
    <w:r>
      <w:rPr>
        <w:noProof/>
      </w:rPr>
      <w:drawing>
        <wp:anchor distT="0" distB="0" distL="114300" distR="114300" simplePos="0" relativeHeight="251659264" behindDoc="0" locked="0" layoutInCell="0" allowOverlap="1" wp14:anchorId="2AF266CC" wp14:editId="4E8B8217">
          <wp:simplePos x="0" y="0"/>
          <wp:positionH relativeFrom="column">
            <wp:posOffset>-400050</wp:posOffset>
          </wp:positionH>
          <wp:positionV relativeFrom="paragraph">
            <wp:posOffset>0</wp:posOffset>
          </wp:positionV>
          <wp:extent cx="865505" cy="8229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Pr="001064D9">
      <w:rPr>
        <w:rFonts w:ascii="CG Times (W1)" w:eastAsia="CG Times (W1)" w:hAnsi="CG Times (W1)" w:cs="CG Times (W1)"/>
        <w:sz w:val="28"/>
        <w:szCs w:val="28"/>
      </w:rPr>
      <w:t>Federal Communications Commission</w:t>
    </w:r>
  </w:p>
  <w:p w14:paraId="3992C3A1" w14:textId="52EAB964" w:rsidR="00ED71E3" w:rsidRDefault="00ED71E3" w:rsidP="00ED71E3">
    <w:pPr>
      <w:jc w:val="center"/>
    </w:pPr>
    <w:r w:rsidRPr="001064D9">
      <w:rPr>
        <w:rFonts w:ascii="CG Times (W1)" w:eastAsia="CG Times (W1)" w:hAnsi="CG Times (W1)" w:cs="CG Times (W1)"/>
        <w:sz w:val="28"/>
        <w:szCs w:val="28"/>
      </w:rPr>
      <w:t>Washington, D.C. 20554</w:t>
    </w:r>
  </w:p>
  <w:p w14:paraId="4E67C437" w14:textId="2E111A85" w:rsidR="00ED71E3" w:rsidRDefault="00ED71E3" w:rsidP="00ED71E3">
    <w:pPr>
      <w:pStyle w:val="Header"/>
      <w:jc w:val="center"/>
      <w:rPr>
        <w:sz w:val="22"/>
      </w:rPr>
    </w:pPr>
  </w:p>
  <w:p w14:paraId="7DDF4BD1" w14:textId="2C7D263F" w:rsidR="00ED71E3" w:rsidRDefault="00D5636A" w:rsidP="00ED71E3">
    <w:pPr>
      <w:pStyle w:val="Header"/>
      <w:jc w:val="center"/>
    </w:pPr>
    <w:r>
      <w:t>June</w:t>
    </w:r>
    <w:r w:rsidR="00E62675">
      <w:t xml:space="preserve"> </w:t>
    </w:r>
    <w:r w:rsidR="001521BD">
      <w:t>28</w:t>
    </w:r>
    <w:r w:rsidR="00675C45">
      <w:t>, 2017</w:t>
    </w:r>
  </w:p>
  <w:p w14:paraId="0661DAE2" w14:textId="77777777" w:rsidR="002D4C7C" w:rsidRDefault="002D4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E2F"/>
    <w:multiLevelType w:val="hybridMultilevel"/>
    <w:tmpl w:val="49F4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375FA"/>
    <w:multiLevelType w:val="hybridMultilevel"/>
    <w:tmpl w:val="F8241378"/>
    <w:lvl w:ilvl="0" w:tplc="E6667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F0973"/>
    <w:multiLevelType w:val="hybridMultilevel"/>
    <w:tmpl w:val="780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2056D"/>
    <w:multiLevelType w:val="hybridMultilevel"/>
    <w:tmpl w:val="2D28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B615C"/>
    <w:multiLevelType w:val="hybridMultilevel"/>
    <w:tmpl w:val="97A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57105"/>
    <w:multiLevelType w:val="hybridMultilevel"/>
    <w:tmpl w:val="35AC8C4A"/>
    <w:lvl w:ilvl="0" w:tplc="DA8231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52F84"/>
    <w:multiLevelType w:val="hybridMultilevel"/>
    <w:tmpl w:val="8962F2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B285C"/>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417D4"/>
    <w:multiLevelType w:val="hybridMultilevel"/>
    <w:tmpl w:val="270A2638"/>
    <w:lvl w:ilvl="0" w:tplc="819EF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A26DE"/>
    <w:multiLevelType w:val="hybridMultilevel"/>
    <w:tmpl w:val="AFB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C3752"/>
    <w:multiLevelType w:val="hybridMultilevel"/>
    <w:tmpl w:val="F7C4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60D31"/>
    <w:multiLevelType w:val="hybridMultilevel"/>
    <w:tmpl w:val="AC6E72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84690"/>
    <w:multiLevelType w:val="hybridMultilevel"/>
    <w:tmpl w:val="771855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DC264AA"/>
    <w:multiLevelType w:val="hybridMultilevel"/>
    <w:tmpl w:val="3F983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60D35"/>
    <w:multiLevelType w:val="hybridMultilevel"/>
    <w:tmpl w:val="AA8A0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D4598"/>
    <w:multiLevelType w:val="hybridMultilevel"/>
    <w:tmpl w:val="9938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214E4"/>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53B5E"/>
    <w:multiLevelType w:val="hybridMultilevel"/>
    <w:tmpl w:val="A4BC28FA"/>
    <w:lvl w:ilvl="0" w:tplc="D3A2A1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9549E"/>
    <w:multiLevelType w:val="hybridMultilevel"/>
    <w:tmpl w:val="CDE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928AB"/>
    <w:multiLevelType w:val="hybridMultilevel"/>
    <w:tmpl w:val="2B0CE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B339D"/>
    <w:multiLevelType w:val="hybridMultilevel"/>
    <w:tmpl w:val="47C01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551ECF"/>
    <w:multiLevelType w:val="hybridMultilevel"/>
    <w:tmpl w:val="5CA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A2DA7"/>
    <w:multiLevelType w:val="hybridMultilevel"/>
    <w:tmpl w:val="20E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461980"/>
    <w:multiLevelType w:val="hybridMultilevel"/>
    <w:tmpl w:val="E136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90C9C"/>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ABC4B1B"/>
    <w:multiLevelType w:val="hybridMultilevel"/>
    <w:tmpl w:val="139A77D0"/>
    <w:lvl w:ilvl="0" w:tplc="EF66D3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2656C"/>
    <w:multiLevelType w:val="hybridMultilevel"/>
    <w:tmpl w:val="044C4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875F51"/>
    <w:multiLevelType w:val="hybridMultilevel"/>
    <w:tmpl w:val="CD9A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92570E3"/>
    <w:multiLevelType w:val="hybridMultilevel"/>
    <w:tmpl w:val="0E96D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D67BD0"/>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AD35E69"/>
    <w:multiLevelType w:val="hybridMultilevel"/>
    <w:tmpl w:val="6B784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A17F32"/>
    <w:multiLevelType w:val="hybridMultilevel"/>
    <w:tmpl w:val="CAD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A79F6"/>
    <w:multiLevelType w:val="hybridMultilevel"/>
    <w:tmpl w:val="3D5C5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3A2B81"/>
    <w:multiLevelType w:val="hybridMultilevel"/>
    <w:tmpl w:val="52C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34E65"/>
    <w:multiLevelType w:val="hybridMultilevel"/>
    <w:tmpl w:val="7D64FE7C"/>
    <w:lvl w:ilvl="0" w:tplc="C7406EF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F1926"/>
    <w:multiLevelType w:val="hybridMultilevel"/>
    <w:tmpl w:val="F6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4"/>
  </w:num>
  <w:num w:numId="4">
    <w:abstractNumId w:val="13"/>
  </w:num>
  <w:num w:numId="5">
    <w:abstractNumId w:val="1"/>
  </w:num>
  <w:num w:numId="6">
    <w:abstractNumId w:val="3"/>
  </w:num>
  <w:num w:numId="7">
    <w:abstractNumId w:val="28"/>
  </w:num>
  <w:num w:numId="8">
    <w:abstractNumId w:val="28"/>
    <w:lvlOverride w:ilvl="0">
      <w:startOverride w:val="1"/>
    </w:lvlOverride>
  </w:num>
  <w:num w:numId="9">
    <w:abstractNumId w:val="10"/>
  </w:num>
  <w:num w:numId="10">
    <w:abstractNumId w:val="36"/>
  </w:num>
  <w:num w:numId="11">
    <w:abstractNumId w:val="16"/>
  </w:num>
  <w:num w:numId="12">
    <w:abstractNumId w:val="7"/>
  </w:num>
  <w:num w:numId="13">
    <w:abstractNumId w:val="15"/>
  </w:num>
  <w:num w:numId="14">
    <w:abstractNumId w:val="12"/>
  </w:num>
  <w:num w:numId="15">
    <w:abstractNumId w:val="20"/>
  </w:num>
  <w:num w:numId="16">
    <w:abstractNumId w:val="24"/>
  </w:num>
  <w:num w:numId="17">
    <w:abstractNumId w:val="30"/>
  </w:num>
  <w:num w:numId="18">
    <w:abstractNumId w:val="18"/>
  </w:num>
  <w:num w:numId="19">
    <w:abstractNumId w:val="25"/>
  </w:num>
  <w:num w:numId="20">
    <w:abstractNumId w:val="8"/>
  </w:num>
  <w:num w:numId="21">
    <w:abstractNumId w:val="17"/>
  </w:num>
  <w:num w:numId="22">
    <w:abstractNumId w:val="26"/>
  </w:num>
  <w:num w:numId="23">
    <w:abstractNumId w:val="35"/>
  </w:num>
  <w:num w:numId="24">
    <w:abstractNumId w:val="5"/>
  </w:num>
  <w:num w:numId="25">
    <w:abstractNumId w:val="19"/>
  </w:num>
  <w:num w:numId="26">
    <w:abstractNumId w:val="14"/>
  </w:num>
  <w:num w:numId="27">
    <w:abstractNumId w:val="4"/>
  </w:num>
  <w:num w:numId="28">
    <w:abstractNumId w:val="21"/>
  </w:num>
  <w:num w:numId="29">
    <w:abstractNumId w:val="33"/>
  </w:num>
  <w:num w:numId="30">
    <w:abstractNumId w:val="31"/>
  </w:num>
  <w:num w:numId="31">
    <w:abstractNumId w:val="32"/>
  </w:num>
  <w:num w:numId="32">
    <w:abstractNumId w:val="9"/>
  </w:num>
  <w:num w:numId="33">
    <w:abstractNumId w:val="23"/>
  </w:num>
  <w:num w:numId="34">
    <w:abstractNumId w:val="2"/>
  </w:num>
  <w:num w:numId="35">
    <w:abstractNumId w:val="22"/>
  </w:num>
  <w:num w:numId="36">
    <w:abstractNumId w:val="27"/>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A"/>
    <w:rsid w:val="000052FB"/>
    <w:rsid w:val="0000767F"/>
    <w:rsid w:val="00011BC0"/>
    <w:rsid w:val="00015E67"/>
    <w:rsid w:val="0002026F"/>
    <w:rsid w:val="0002284D"/>
    <w:rsid w:val="00025531"/>
    <w:rsid w:val="0003295A"/>
    <w:rsid w:val="00032AF7"/>
    <w:rsid w:val="000346F1"/>
    <w:rsid w:val="0004564D"/>
    <w:rsid w:val="00051E99"/>
    <w:rsid w:val="000652E6"/>
    <w:rsid w:val="00065CE5"/>
    <w:rsid w:val="0006615B"/>
    <w:rsid w:val="000661CD"/>
    <w:rsid w:val="000713E8"/>
    <w:rsid w:val="00072371"/>
    <w:rsid w:val="0007667F"/>
    <w:rsid w:val="00076B13"/>
    <w:rsid w:val="00077D82"/>
    <w:rsid w:val="00077E74"/>
    <w:rsid w:val="000805CB"/>
    <w:rsid w:val="00090312"/>
    <w:rsid w:val="0009228E"/>
    <w:rsid w:val="0009623F"/>
    <w:rsid w:val="000A06EA"/>
    <w:rsid w:val="000A29CF"/>
    <w:rsid w:val="000A326A"/>
    <w:rsid w:val="000A7EBC"/>
    <w:rsid w:val="000B1CAA"/>
    <w:rsid w:val="000B361C"/>
    <w:rsid w:val="000B3B48"/>
    <w:rsid w:val="000B3D23"/>
    <w:rsid w:val="000B47B3"/>
    <w:rsid w:val="000B632D"/>
    <w:rsid w:val="000B7E86"/>
    <w:rsid w:val="000C2242"/>
    <w:rsid w:val="000C5668"/>
    <w:rsid w:val="000D2DCC"/>
    <w:rsid w:val="000D61C7"/>
    <w:rsid w:val="000D70D4"/>
    <w:rsid w:val="000E1F67"/>
    <w:rsid w:val="000E65AA"/>
    <w:rsid w:val="000E667D"/>
    <w:rsid w:val="000F4CE5"/>
    <w:rsid w:val="000F4F0E"/>
    <w:rsid w:val="00101A74"/>
    <w:rsid w:val="00102BB8"/>
    <w:rsid w:val="001064D9"/>
    <w:rsid w:val="0010756B"/>
    <w:rsid w:val="001104E0"/>
    <w:rsid w:val="00111A40"/>
    <w:rsid w:val="001154BC"/>
    <w:rsid w:val="001158E3"/>
    <w:rsid w:val="00117CCE"/>
    <w:rsid w:val="00121BB0"/>
    <w:rsid w:val="0012691E"/>
    <w:rsid w:val="00126A40"/>
    <w:rsid w:val="00134D56"/>
    <w:rsid w:val="00136256"/>
    <w:rsid w:val="001364AC"/>
    <w:rsid w:val="0013710A"/>
    <w:rsid w:val="00142ED2"/>
    <w:rsid w:val="0014452C"/>
    <w:rsid w:val="00144E8B"/>
    <w:rsid w:val="00144F5F"/>
    <w:rsid w:val="001521BD"/>
    <w:rsid w:val="001579AC"/>
    <w:rsid w:val="00162D02"/>
    <w:rsid w:val="00166645"/>
    <w:rsid w:val="001674C1"/>
    <w:rsid w:val="00173886"/>
    <w:rsid w:val="001757CC"/>
    <w:rsid w:val="00183094"/>
    <w:rsid w:val="00191BA4"/>
    <w:rsid w:val="00192FAE"/>
    <w:rsid w:val="00195F6D"/>
    <w:rsid w:val="0019793C"/>
    <w:rsid w:val="001A1AA0"/>
    <w:rsid w:val="001A386A"/>
    <w:rsid w:val="001A38AE"/>
    <w:rsid w:val="001A41D7"/>
    <w:rsid w:val="001A72C8"/>
    <w:rsid w:val="001A7743"/>
    <w:rsid w:val="001C1DA3"/>
    <w:rsid w:val="001D09C4"/>
    <w:rsid w:val="001D542D"/>
    <w:rsid w:val="001D60C2"/>
    <w:rsid w:val="001D7C26"/>
    <w:rsid w:val="001E0496"/>
    <w:rsid w:val="001E23C6"/>
    <w:rsid w:val="001E2970"/>
    <w:rsid w:val="001E4396"/>
    <w:rsid w:val="001E51E1"/>
    <w:rsid w:val="001F02FC"/>
    <w:rsid w:val="001F5B32"/>
    <w:rsid w:val="0020108D"/>
    <w:rsid w:val="0020772F"/>
    <w:rsid w:val="002144F0"/>
    <w:rsid w:val="00217214"/>
    <w:rsid w:val="00222815"/>
    <w:rsid w:val="0022424B"/>
    <w:rsid w:val="00226DAD"/>
    <w:rsid w:val="00227B32"/>
    <w:rsid w:val="002307D8"/>
    <w:rsid w:val="002310A2"/>
    <w:rsid w:val="002435C1"/>
    <w:rsid w:val="002457CA"/>
    <w:rsid w:val="00250071"/>
    <w:rsid w:val="002517BD"/>
    <w:rsid w:val="002522CB"/>
    <w:rsid w:val="002531BD"/>
    <w:rsid w:val="00253803"/>
    <w:rsid w:val="00262754"/>
    <w:rsid w:val="00262DD6"/>
    <w:rsid w:val="00270D1E"/>
    <w:rsid w:val="00271145"/>
    <w:rsid w:val="002713F5"/>
    <w:rsid w:val="002721BE"/>
    <w:rsid w:val="002747D8"/>
    <w:rsid w:val="00282A2D"/>
    <w:rsid w:val="00286D39"/>
    <w:rsid w:val="00293265"/>
    <w:rsid w:val="0029580F"/>
    <w:rsid w:val="00295DE4"/>
    <w:rsid w:val="0029662D"/>
    <w:rsid w:val="00297EB5"/>
    <w:rsid w:val="002A637E"/>
    <w:rsid w:val="002B76E6"/>
    <w:rsid w:val="002B7FAC"/>
    <w:rsid w:val="002C346C"/>
    <w:rsid w:val="002C4FED"/>
    <w:rsid w:val="002C7F24"/>
    <w:rsid w:val="002D34D9"/>
    <w:rsid w:val="002D4C7C"/>
    <w:rsid w:val="002D5A62"/>
    <w:rsid w:val="002D6913"/>
    <w:rsid w:val="002E0E17"/>
    <w:rsid w:val="002E1230"/>
    <w:rsid w:val="002E32D3"/>
    <w:rsid w:val="002F1BE5"/>
    <w:rsid w:val="002F4EB0"/>
    <w:rsid w:val="002F5C83"/>
    <w:rsid w:val="002F66C4"/>
    <w:rsid w:val="00303F23"/>
    <w:rsid w:val="00304383"/>
    <w:rsid w:val="0031055E"/>
    <w:rsid w:val="00310642"/>
    <w:rsid w:val="00316181"/>
    <w:rsid w:val="0031647A"/>
    <w:rsid w:val="003178FA"/>
    <w:rsid w:val="00320337"/>
    <w:rsid w:val="00321CF7"/>
    <w:rsid w:val="00331F3A"/>
    <w:rsid w:val="0034098C"/>
    <w:rsid w:val="00342953"/>
    <w:rsid w:val="003436CB"/>
    <w:rsid w:val="003516AB"/>
    <w:rsid w:val="003524BA"/>
    <w:rsid w:val="00354973"/>
    <w:rsid w:val="00360DA0"/>
    <w:rsid w:val="00362C59"/>
    <w:rsid w:val="003642C8"/>
    <w:rsid w:val="003722BE"/>
    <w:rsid w:val="00373B5E"/>
    <w:rsid w:val="00375362"/>
    <w:rsid w:val="0037639B"/>
    <w:rsid w:val="00377019"/>
    <w:rsid w:val="0038095B"/>
    <w:rsid w:val="00381B33"/>
    <w:rsid w:val="00383407"/>
    <w:rsid w:val="00384D2F"/>
    <w:rsid w:val="003852EB"/>
    <w:rsid w:val="00393604"/>
    <w:rsid w:val="003943C0"/>
    <w:rsid w:val="003944B7"/>
    <w:rsid w:val="00396397"/>
    <w:rsid w:val="003974B3"/>
    <w:rsid w:val="003978B2"/>
    <w:rsid w:val="00397D37"/>
    <w:rsid w:val="003A0037"/>
    <w:rsid w:val="003A1B9D"/>
    <w:rsid w:val="003A1C88"/>
    <w:rsid w:val="003A3C5B"/>
    <w:rsid w:val="003A59F6"/>
    <w:rsid w:val="003A755E"/>
    <w:rsid w:val="003A7674"/>
    <w:rsid w:val="003B177E"/>
    <w:rsid w:val="003B1B55"/>
    <w:rsid w:val="003B1B8F"/>
    <w:rsid w:val="003B6DFD"/>
    <w:rsid w:val="003C30F2"/>
    <w:rsid w:val="003C4FB7"/>
    <w:rsid w:val="003C5819"/>
    <w:rsid w:val="003C6044"/>
    <w:rsid w:val="003D052D"/>
    <w:rsid w:val="003D38DB"/>
    <w:rsid w:val="003D597B"/>
    <w:rsid w:val="003D664B"/>
    <w:rsid w:val="003D7F04"/>
    <w:rsid w:val="003E1679"/>
    <w:rsid w:val="003E3D0B"/>
    <w:rsid w:val="003F1EF5"/>
    <w:rsid w:val="003F3E8A"/>
    <w:rsid w:val="003F41B7"/>
    <w:rsid w:val="0040091B"/>
    <w:rsid w:val="0040120D"/>
    <w:rsid w:val="00407CFB"/>
    <w:rsid w:val="00411683"/>
    <w:rsid w:val="00416FE7"/>
    <w:rsid w:val="00417F40"/>
    <w:rsid w:val="00420A93"/>
    <w:rsid w:val="00425897"/>
    <w:rsid w:val="00427BE1"/>
    <w:rsid w:val="00430102"/>
    <w:rsid w:val="00430522"/>
    <w:rsid w:val="004452F4"/>
    <w:rsid w:val="0044543D"/>
    <w:rsid w:val="00451BE2"/>
    <w:rsid w:val="004542AA"/>
    <w:rsid w:val="0045449E"/>
    <w:rsid w:val="004545CB"/>
    <w:rsid w:val="004546E5"/>
    <w:rsid w:val="00455BCB"/>
    <w:rsid w:val="0046257B"/>
    <w:rsid w:val="00465871"/>
    <w:rsid w:val="00465F9F"/>
    <w:rsid w:val="00475F3C"/>
    <w:rsid w:val="00486901"/>
    <w:rsid w:val="004923D0"/>
    <w:rsid w:val="00492460"/>
    <w:rsid w:val="004926FD"/>
    <w:rsid w:val="004956FD"/>
    <w:rsid w:val="004A32FA"/>
    <w:rsid w:val="004B3DF6"/>
    <w:rsid w:val="004B3FCA"/>
    <w:rsid w:val="004B58F4"/>
    <w:rsid w:val="004B7D54"/>
    <w:rsid w:val="004C02BA"/>
    <w:rsid w:val="004C1455"/>
    <w:rsid w:val="004C20BD"/>
    <w:rsid w:val="004C593B"/>
    <w:rsid w:val="004D2B80"/>
    <w:rsid w:val="004D5543"/>
    <w:rsid w:val="004D55CD"/>
    <w:rsid w:val="004D6DFA"/>
    <w:rsid w:val="004E0E6A"/>
    <w:rsid w:val="004E27C2"/>
    <w:rsid w:val="004E2915"/>
    <w:rsid w:val="004E4F98"/>
    <w:rsid w:val="004E51BB"/>
    <w:rsid w:val="004E532A"/>
    <w:rsid w:val="004E6CEF"/>
    <w:rsid w:val="004F282B"/>
    <w:rsid w:val="004F6A94"/>
    <w:rsid w:val="00500256"/>
    <w:rsid w:val="0050058D"/>
    <w:rsid w:val="00500809"/>
    <w:rsid w:val="00510303"/>
    <w:rsid w:val="00510BEE"/>
    <w:rsid w:val="00511910"/>
    <w:rsid w:val="0051551B"/>
    <w:rsid w:val="00516BD8"/>
    <w:rsid w:val="00520299"/>
    <w:rsid w:val="00520FA7"/>
    <w:rsid w:val="0052250A"/>
    <w:rsid w:val="005241D5"/>
    <w:rsid w:val="00526C5B"/>
    <w:rsid w:val="005307CD"/>
    <w:rsid w:val="0053593C"/>
    <w:rsid w:val="005369B0"/>
    <w:rsid w:val="00540AFF"/>
    <w:rsid w:val="00544764"/>
    <w:rsid w:val="00552966"/>
    <w:rsid w:val="00555CB2"/>
    <w:rsid w:val="00556178"/>
    <w:rsid w:val="0056080F"/>
    <w:rsid w:val="00560DA4"/>
    <w:rsid w:val="005618CA"/>
    <w:rsid w:val="005621FE"/>
    <w:rsid w:val="00570824"/>
    <w:rsid w:val="00574079"/>
    <w:rsid w:val="00574A89"/>
    <w:rsid w:val="005757BC"/>
    <w:rsid w:val="0057595E"/>
    <w:rsid w:val="005761A5"/>
    <w:rsid w:val="0058169B"/>
    <w:rsid w:val="00584A77"/>
    <w:rsid w:val="00585264"/>
    <w:rsid w:val="0058600F"/>
    <w:rsid w:val="00591CCC"/>
    <w:rsid w:val="00593C27"/>
    <w:rsid w:val="0059519C"/>
    <w:rsid w:val="005A27C4"/>
    <w:rsid w:val="005B0E2E"/>
    <w:rsid w:val="005B3BAB"/>
    <w:rsid w:val="005B3D85"/>
    <w:rsid w:val="005B6055"/>
    <w:rsid w:val="005B73D0"/>
    <w:rsid w:val="005C5C97"/>
    <w:rsid w:val="005C5EEB"/>
    <w:rsid w:val="005C77C8"/>
    <w:rsid w:val="005D0E24"/>
    <w:rsid w:val="005D4583"/>
    <w:rsid w:val="005D5568"/>
    <w:rsid w:val="005D6474"/>
    <w:rsid w:val="005D6C3F"/>
    <w:rsid w:val="005E6D6E"/>
    <w:rsid w:val="005F40FC"/>
    <w:rsid w:val="005F585C"/>
    <w:rsid w:val="00600643"/>
    <w:rsid w:val="00606DDE"/>
    <w:rsid w:val="00607908"/>
    <w:rsid w:val="00612893"/>
    <w:rsid w:val="00615FBE"/>
    <w:rsid w:val="00621DDA"/>
    <w:rsid w:val="0063281A"/>
    <w:rsid w:val="00632CB5"/>
    <w:rsid w:val="00634E54"/>
    <w:rsid w:val="00637585"/>
    <w:rsid w:val="0064155B"/>
    <w:rsid w:val="00642BD1"/>
    <w:rsid w:val="00645084"/>
    <w:rsid w:val="0064590D"/>
    <w:rsid w:val="006514B1"/>
    <w:rsid w:val="006519F9"/>
    <w:rsid w:val="0065555A"/>
    <w:rsid w:val="0066309C"/>
    <w:rsid w:val="00663CEB"/>
    <w:rsid w:val="00663FF8"/>
    <w:rsid w:val="00665F42"/>
    <w:rsid w:val="006752DD"/>
    <w:rsid w:val="00675C45"/>
    <w:rsid w:val="00685BA9"/>
    <w:rsid w:val="00687A8A"/>
    <w:rsid w:val="00691579"/>
    <w:rsid w:val="00691DB4"/>
    <w:rsid w:val="00696843"/>
    <w:rsid w:val="006978DD"/>
    <w:rsid w:val="006A0882"/>
    <w:rsid w:val="006A261E"/>
    <w:rsid w:val="006A35EE"/>
    <w:rsid w:val="006A3614"/>
    <w:rsid w:val="006A3DCB"/>
    <w:rsid w:val="006A4E39"/>
    <w:rsid w:val="006A6CD3"/>
    <w:rsid w:val="006B10C7"/>
    <w:rsid w:val="006B5710"/>
    <w:rsid w:val="006B6925"/>
    <w:rsid w:val="006C008C"/>
    <w:rsid w:val="006C17A4"/>
    <w:rsid w:val="006C2892"/>
    <w:rsid w:val="006C345E"/>
    <w:rsid w:val="006C7678"/>
    <w:rsid w:val="006C79A7"/>
    <w:rsid w:val="006C7CE0"/>
    <w:rsid w:val="006D2ABD"/>
    <w:rsid w:val="006D41D3"/>
    <w:rsid w:val="006D5E48"/>
    <w:rsid w:val="006D74FE"/>
    <w:rsid w:val="006D770E"/>
    <w:rsid w:val="006D7E36"/>
    <w:rsid w:val="006E0D50"/>
    <w:rsid w:val="006E153A"/>
    <w:rsid w:val="006E59C2"/>
    <w:rsid w:val="006E655A"/>
    <w:rsid w:val="006F737C"/>
    <w:rsid w:val="00701168"/>
    <w:rsid w:val="007034C7"/>
    <w:rsid w:val="00706DEC"/>
    <w:rsid w:val="00706F4B"/>
    <w:rsid w:val="00710ACB"/>
    <w:rsid w:val="00711651"/>
    <w:rsid w:val="00711DD4"/>
    <w:rsid w:val="0071371B"/>
    <w:rsid w:val="00714818"/>
    <w:rsid w:val="00715907"/>
    <w:rsid w:val="007173B2"/>
    <w:rsid w:val="00722D28"/>
    <w:rsid w:val="00723F09"/>
    <w:rsid w:val="00725015"/>
    <w:rsid w:val="00727978"/>
    <w:rsid w:val="00732656"/>
    <w:rsid w:val="00736306"/>
    <w:rsid w:val="00740113"/>
    <w:rsid w:val="00740E65"/>
    <w:rsid w:val="00741AD8"/>
    <w:rsid w:val="00741D5C"/>
    <w:rsid w:val="007438B3"/>
    <w:rsid w:val="00743EC9"/>
    <w:rsid w:val="0074409F"/>
    <w:rsid w:val="00744231"/>
    <w:rsid w:val="00751893"/>
    <w:rsid w:val="00755325"/>
    <w:rsid w:val="0075745C"/>
    <w:rsid w:val="00757A1C"/>
    <w:rsid w:val="0076067D"/>
    <w:rsid w:val="007609F8"/>
    <w:rsid w:val="00764445"/>
    <w:rsid w:val="007650AF"/>
    <w:rsid w:val="007716D0"/>
    <w:rsid w:val="00773CC8"/>
    <w:rsid w:val="00776B44"/>
    <w:rsid w:val="00777069"/>
    <w:rsid w:val="00783DD7"/>
    <w:rsid w:val="007925B2"/>
    <w:rsid w:val="00793281"/>
    <w:rsid w:val="00793FC1"/>
    <w:rsid w:val="00795C60"/>
    <w:rsid w:val="007A11CB"/>
    <w:rsid w:val="007A7E08"/>
    <w:rsid w:val="007B044B"/>
    <w:rsid w:val="007B1790"/>
    <w:rsid w:val="007C6ACC"/>
    <w:rsid w:val="007D4583"/>
    <w:rsid w:val="007D49F7"/>
    <w:rsid w:val="007D4CF4"/>
    <w:rsid w:val="007D59D2"/>
    <w:rsid w:val="007D6E8F"/>
    <w:rsid w:val="007D773B"/>
    <w:rsid w:val="007E0986"/>
    <w:rsid w:val="007E1077"/>
    <w:rsid w:val="007E3BED"/>
    <w:rsid w:val="007E4436"/>
    <w:rsid w:val="007E5235"/>
    <w:rsid w:val="007E78DC"/>
    <w:rsid w:val="007F44C5"/>
    <w:rsid w:val="007F4FA4"/>
    <w:rsid w:val="007F7B49"/>
    <w:rsid w:val="00801101"/>
    <w:rsid w:val="00807A9E"/>
    <w:rsid w:val="008114D4"/>
    <w:rsid w:val="0081344C"/>
    <w:rsid w:val="00822DAF"/>
    <w:rsid w:val="0082302A"/>
    <w:rsid w:val="00825219"/>
    <w:rsid w:val="00826181"/>
    <w:rsid w:val="0083129B"/>
    <w:rsid w:val="00833296"/>
    <w:rsid w:val="00852425"/>
    <w:rsid w:val="0085457E"/>
    <w:rsid w:val="00875615"/>
    <w:rsid w:val="00876F9F"/>
    <w:rsid w:val="00884E76"/>
    <w:rsid w:val="00885A4B"/>
    <w:rsid w:val="008867A0"/>
    <w:rsid w:val="00890525"/>
    <w:rsid w:val="00893073"/>
    <w:rsid w:val="008930E3"/>
    <w:rsid w:val="00897E1B"/>
    <w:rsid w:val="008A2E0C"/>
    <w:rsid w:val="008A4A77"/>
    <w:rsid w:val="008B0C72"/>
    <w:rsid w:val="008C1B9B"/>
    <w:rsid w:val="008C2F8B"/>
    <w:rsid w:val="008C5D15"/>
    <w:rsid w:val="008D3F9F"/>
    <w:rsid w:val="008E072F"/>
    <w:rsid w:val="008E0E42"/>
    <w:rsid w:val="008E4929"/>
    <w:rsid w:val="008E786F"/>
    <w:rsid w:val="008E7EBA"/>
    <w:rsid w:val="008F078A"/>
    <w:rsid w:val="008F1C50"/>
    <w:rsid w:val="008F33E5"/>
    <w:rsid w:val="008F3787"/>
    <w:rsid w:val="008F4353"/>
    <w:rsid w:val="008F54B7"/>
    <w:rsid w:val="008F5E46"/>
    <w:rsid w:val="00906A39"/>
    <w:rsid w:val="009073F1"/>
    <w:rsid w:val="009127B3"/>
    <w:rsid w:val="00920AE2"/>
    <w:rsid w:val="00921836"/>
    <w:rsid w:val="009239D1"/>
    <w:rsid w:val="00946C4C"/>
    <w:rsid w:val="0095125C"/>
    <w:rsid w:val="00955AD4"/>
    <w:rsid w:val="00955F03"/>
    <w:rsid w:val="009621E9"/>
    <w:rsid w:val="00973800"/>
    <w:rsid w:val="0097592C"/>
    <w:rsid w:val="00980609"/>
    <w:rsid w:val="00980FB4"/>
    <w:rsid w:val="00981A38"/>
    <w:rsid w:val="0098532D"/>
    <w:rsid w:val="00990CF9"/>
    <w:rsid w:val="009916C8"/>
    <w:rsid w:val="0099179A"/>
    <w:rsid w:val="00992E7C"/>
    <w:rsid w:val="00994C47"/>
    <w:rsid w:val="00997164"/>
    <w:rsid w:val="009A37B9"/>
    <w:rsid w:val="009A5AB6"/>
    <w:rsid w:val="009B11DF"/>
    <w:rsid w:val="009B6F18"/>
    <w:rsid w:val="009C3D9E"/>
    <w:rsid w:val="009C3E07"/>
    <w:rsid w:val="009C4590"/>
    <w:rsid w:val="009C4C9D"/>
    <w:rsid w:val="009C52CC"/>
    <w:rsid w:val="009D45E2"/>
    <w:rsid w:val="009D64AA"/>
    <w:rsid w:val="009E06C8"/>
    <w:rsid w:val="009E0D82"/>
    <w:rsid w:val="009E26FE"/>
    <w:rsid w:val="009E5C5E"/>
    <w:rsid w:val="009F2D88"/>
    <w:rsid w:val="009F4855"/>
    <w:rsid w:val="009F577E"/>
    <w:rsid w:val="009F711D"/>
    <w:rsid w:val="00A00B98"/>
    <w:rsid w:val="00A06030"/>
    <w:rsid w:val="00A06910"/>
    <w:rsid w:val="00A10036"/>
    <w:rsid w:val="00A20E5A"/>
    <w:rsid w:val="00A231A4"/>
    <w:rsid w:val="00A23E93"/>
    <w:rsid w:val="00A247D6"/>
    <w:rsid w:val="00A25E16"/>
    <w:rsid w:val="00A26754"/>
    <w:rsid w:val="00A30885"/>
    <w:rsid w:val="00A31A23"/>
    <w:rsid w:val="00A33810"/>
    <w:rsid w:val="00A37348"/>
    <w:rsid w:val="00A37D8D"/>
    <w:rsid w:val="00A41870"/>
    <w:rsid w:val="00A62C2A"/>
    <w:rsid w:val="00A70684"/>
    <w:rsid w:val="00A74066"/>
    <w:rsid w:val="00A81E4E"/>
    <w:rsid w:val="00A86399"/>
    <w:rsid w:val="00A86E87"/>
    <w:rsid w:val="00A93F91"/>
    <w:rsid w:val="00A95362"/>
    <w:rsid w:val="00A95C66"/>
    <w:rsid w:val="00A95F69"/>
    <w:rsid w:val="00AA3ADE"/>
    <w:rsid w:val="00AA3F5E"/>
    <w:rsid w:val="00AB4E91"/>
    <w:rsid w:val="00AB6914"/>
    <w:rsid w:val="00AC448D"/>
    <w:rsid w:val="00AD1318"/>
    <w:rsid w:val="00AD18CF"/>
    <w:rsid w:val="00AD2561"/>
    <w:rsid w:val="00AD529C"/>
    <w:rsid w:val="00AD5B7B"/>
    <w:rsid w:val="00AE14A3"/>
    <w:rsid w:val="00AE18C7"/>
    <w:rsid w:val="00AE3FB2"/>
    <w:rsid w:val="00AE5E27"/>
    <w:rsid w:val="00AE738B"/>
    <w:rsid w:val="00B00ED5"/>
    <w:rsid w:val="00B02842"/>
    <w:rsid w:val="00B05809"/>
    <w:rsid w:val="00B072E9"/>
    <w:rsid w:val="00B10C1B"/>
    <w:rsid w:val="00B12C92"/>
    <w:rsid w:val="00B13F1E"/>
    <w:rsid w:val="00B15316"/>
    <w:rsid w:val="00B16A2D"/>
    <w:rsid w:val="00B236A6"/>
    <w:rsid w:val="00B254F2"/>
    <w:rsid w:val="00B32809"/>
    <w:rsid w:val="00B3547D"/>
    <w:rsid w:val="00B41D77"/>
    <w:rsid w:val="00B43219"/>
    <w:rsid w:val="00B476E4"/>
    <w:rsid w:val="00B530A4"/>
    <w:rsid w:val="00B54A37"/>
    <w:rsid w:val="00B5564D"/>
    <w:rsid w:val="00B56747"/>
    <w:rsid w:val="00B61797"/>
    <w:rsid w:val="00B62468"/>
    <w:rsid w:val="00B648FB"/>
    <w:rsid w:val="00B6607D"/>
    <w:rsid w:val="00B66A19"/>
    <w:rsid w:val="00B71743"/>
    <w:rsid w:val="00B72310"/>
    <w:rsid w:val="00B76DCD"/>
    <w:rsid w:val="00B85DC1"/>
    <w:rsid w:val="00B97BDE"/>
    <w:rsid w:val="00BA14E2"/>
    <w:rsid w:val="00BA329B"/>
    <w:rsid w:val="00BA32B3"/>
    <w:rsid w:val="00BA53D8"/>
    <w:rsid w:val="00BA6013"/>
    <w:rsid w:val="00BA71E9"/>
    <w:rsid w:val="00BB156E"/>
    <w:rsid w:val="00BC0C08"/>
    <w:rsid w:val="00BC144F"/>
    <w:rsid w:val="00BD050C"/>
    <w:rsid w:val="00BD19F1"/>
    <w:rsid w:val="00BD36D9"/>
    <w:rsid w:val="00BD4A0C"/>
    <w:rsid w:val="00BD51C5"/>
    <w:rsid w:val="00BD5285"/>
    <w:rsid w:val="00BE07AC"/>
    <w:rsid w:val="00BE279E"/>
    <w:rsid w:val="00BE45ED"/>
    <w:rsid w:val="00BF0B5F"/>
    <w:rsid w:val="00BF242F"/>
    <w:rsid w:val="00BF3189"/>
    <w:rsid w:val="00BF3DDE"/>
    <w:rsid w:val="00BF6D44"/>
    <w:rsid w:val="00C03F18"/>
    <w:rsid w:val="00C04586"/>
    <w:rsid w:val="00C04747"/>
    <w:rsid w:val="00C04A3B"/>
    <w:rsid w:val="00C077DB"/>
    <w:rsid w:val="00C107BD"/>
    <w:rsid w:val="00C142EC"/>
    <w:rsid w:val="00C16940"/>
    <w:rsid w:val="00C22F1E"/>
    <w:rsid w:val="00C24F67"/>
    <w:rsid w:val="00C33DCD"/>
    <w:rsid w:val="00C345E2"/>
    <w:rsid w:val="00C368FF"/>
    <w:rsid w:val="00C37C0F"/>
    <w:rsid w:val="00C456EF"/>
    <w:rsid w:val="00C45D32"/>
    <w:rsid w:val="00C5189C"/>
    <w:rsid w:val="00C5206D"/>
    <w:rsid w:val="00C63ACF"/>
    <w:rsid w:val="00C677A7"/>
    <w:rsid w:val="00C7278D"/>
    <w:rsid w:val="00C74078"/>
    <w:rsid w:val="00C74F4D"/>
    <w:rsid w:val="00C77C9F"/>
    <w:rsid w:val="00C803F9"/>
    <w:rsid w:val="00C82805"/>
    <w:rsid w:val="00C874DA"/>
    <w:rsid w:val="00CA0A77"/>
    <w:rsid w:val="00CA2CA5"/>
    <w:rsid w:val="00CA4340"/>
    <w:rsid w:val="00CA481F"/>
    <w:rsid w:val="00CA5AE5"/>
    <w:rsid w:val="00CB0764"/>
    <w:rsid w:val="00CB24A2"/>
    <w:rsid w:val="00CB667C"/>
    <w:rsid w:val="00CC2449"/>
    <w:rsid w:val="00CC305E"/>
    <w:rsid w:val="00CC4D44"/>
    <w:rsid w:val="00CC50AA"/>
    <w:rsid w:val="00CC65F1"/>
    <w:rsid w:val="00CC6DD6"/>
    <w:rsid w:val="00CD4010"/>
    <w:rsid w:val="00CD6B87"/>
    <w:rsid w:val="00CE2218"/>
    <w:rsid w:val="00CF0548"/>
    <w:rsid w:val="00CF3F52"/>
    <w:rsid w:val="00D00DFD"/>
    <w:rsid w:val="00D01E7B"/>
    <w:rsid w:val="00D0454E"/>
    <w:rsid w:val="00D049F6"/>
    <w:rsid w:val="00D0586A"/>
    <w:rsid w:val="00D1019F"/>
    <w:rsid w:val="00D1140B"/>
    <w:rsid w:val="00D24543"/>
    <w:rsid w:val="00D265C2"/>
    <w:rsid w:val="00D276DE"/>
    <w:rsid w:val="00D35020"/>
    <w:rsid w:val="00D3553A"/>
    <w:rsid w:val="00D45FFE"/>
    <w:rsid w:val="00D47BD2"/>
    <w:rsid w:val="00D51AD4"/>
    <w:rsid w:val="00D5636A"/>
    <w:rsid w:val="00D57479"/>
    <w:rsid w:val="00D57DAE"/>
    <w:rsid w:val="00D62803"/>
    <w:rsid w:val="00D6340A"/>
    <w:rsid w:val="00D66094"/>
    <w:rsid w:val="00D75AE0"/>
    <w:rsid w:val="00D76C94"/>
    <w:rsid w:val="00D81355"/>
    <w:rsid w:val="00D83898"/>
    <w:rsid w:val="00D84366"/>
    <w:rsid w:val="00D86FAC"/>
    <w:rsid w:val="00D87145"/>
    <w:rsid w:val="00D913B0"/>
    <w:rsid w:val="00D922D6"/>
    <w:rsid w:val="00D93BB5"/>
    <w:rsid w:val="00D944D9"/>
    <w:rsid w:val="00D958BA"/>
    <w:rsid w:val="00D96FC4"/>
    <w:rsid w:val="00DA08D1"/>
    <w:rsid w:val="00DA1D2A"/>
    <w:rsid w:val="00DA382E"/>
    <w:rsid w:val="00DA7DAB"/>
    <w:rsid w:val="00DB2B1F"/>
    <w:rsid w:val="00DB52F3"/>
    <w:rsid w:val="00DB72CC"/>
    <w:rsid w:val="00DB7329"/>
    <w:rsid w:val="00DB738C"/>
    <w:rsid w:val="00DC1784"/>
    <w:rsid w:val="00DC1901"/>
    <w:rsid w:val="00DC1A19"/>
    <w:rsid w:val="00DC1B77"/>
    <w:rsid w:val="00DC326A"/>
    <w:rsid w:val="00DC62C0"/>
    <w:rsid w:val="00DC77E7"/>
    <w:rsid w:val="00DD14D1"/>
    <w:rsid w:val="00DD62C8"/>
    <w:rsid w:val="00DE13E2"/>
    <w:rsid w:val="00DE35ED"/>
    <w:rsid w:val="00DE39C7"/>
    <w:rsid w:val="00DE5EB5"/>
    <w:rsid w:val="00DE64B8"/>
    <w:rsid w:val="00DF02D6"/>
    <w:rsid w:val="00DF4021"/>
    <w:rsid w:val="00DF5328"/>
    <w:rsid w:val="00E04819"/>
    <w:rsid w:val="00E102AB"/>
    <w:rsid w:val="00E115CC"/>
    <w:rsid w:val="00E13D72"/>
    <w:rsid w:val="00E149BB"/>
    <w:rsid w:val="00E14E95"/>
    <w:rsid w:val="00E179B3"/>
    <w:rsid w:val="00E21375"/>
    <w:rsid w:val="00E30364"/>
    <w:rsid w:val="00E30BFA"/>
    <w:rsid w:val="00E34660"/>
    <w:rsid w:val="00E4565C"/>
    <w:rsid w:val="00E5343A"/>
    <w:rsid w:val="00E56B0B"/>
    <w:rsid w:val="00E56DFF"/>
    <w:rsid w:val="00E56F55"/>
    <w:rsid w:val="00E5746D"/>
    <w:rsid w:val="00E62675"/>
    <w:rsid w:val="00E6590D"/>
    <w:rsid w:val="00E703A8"/>
    <w:rsid w:val="00E73150"/>
    <w:rsid w:val="00E73CD0"/>
    <w:rsid w:val="00E809A1"/>
    <w:rsid w:val="00E81194"/>
    <w:rsid w:val="00E86F94"/>
    <w:rsid w:val="00E872F9"/>
    <w:rsid w:val="00E90A46"/>
    <w:rsid w:val="00E90C87"/>
    <w:rsid w:val="00E924FE"/>
    <w:rsid w:val="00E92FA3"/>
    <w:rsid w:val="00E9333D"/>
    <w:rsid w:val="00E93416"/>
    <w:rsid w:val="00EA4BD0"/>
    <w:rsid w:val="00EA68FC"/>
    <w:rsid w:val="00EB3AE0"/>
    <w:rsid w:val="00EB3BA1"/>
    <w:rsid w:val="00EB441D"/>
    <w:rsid w:val="00EB4CB1"/>
    <w:rsid w:val="00EB4F96"/>
    <w:rsid w:val="00EB6C3A"/>
    <w:rsid w:val="00EC0231"/>
    <w:rsid w:val="00EC0991"/>
    <w:rsid w:val="00EC1445"/>
    <w:rsid w:val="00ED19A9"/>
    <w:rsid w:val="00ED447C"/>
    <w:rsid w:val="00ED5402"/>
    <w:rsid w:val="00ED71E3"/>
    <w:rsid w:val="00EE23CD"/>
    <w:rsid w:val="00EE5B08"/>
    <w:rsid w:val="00EE734A"/>
    <w:rsid w:val="00EE7946"/>
    <w:rsid w:val="00EF2B0F"/>
    <w:rsid w:val="00EF7459"/>
    <w:rsid w:val="00F00540"/>
    <w:rsid w:val="00F011C2"/>
    <w:rsid w:val="00F020D5"/>
    <w:rsid w:val="00F11120"/>
    <w:rsid w:val="00F27D47"/>
    <w:rsid w:val="00F3184F"/>
    <w:rsid w:val="00F55D4E"/>
    <w:rsid w:val="00F64E11"/>
    <w:rsid w:val="00F67A3F"/>
    <w:rsid w:val="00F72F2E"/>
    <w:rsid w:val="00F8248F"/>
    <w:rsid w:val="00F8480F"/>
    <w:rsid w:val="00F873DC"/>
    <w:rsid w:val="00F90DF1"/>
    <w:rsid w:val="00F96145"/>
    <w:rsid w:val="00F961E3"/>
    <w:rsid w:val="00FA0A44"/>
    <w:rsid w:val="00FA0EAA"/>
    <w:rsid w:val="00FA372B"/>
    <w:rsid w:val="00FA424C"/>
    <w:rsid w:val="00FA4901"/>
    <w:rsid w:val="00FA560F"/>
    <w:rsid w:val="00FA5E6E"/>
    <w:rsid w:val="00FA6E38"/>
    <w:rsid w:val="00FA6F12"/>
    <w:rsid w:val="00FA718F"/>
    <w:rsid w:val="00FB07BF"/>
    <w:rsid w:val="00FB0F1E"/>
    <w:rsid w:val="00FB435C"/>
    <w:rsid w:val="00FC4A18"/>
    <w:rsid w:val="00FC5D37"/>
    <w:rsid w:val="00FC6054"/>
    <w:rsid w:val="00FC66CF"/>
    <w:rsid w:val="00FC69F2"/>
    <w:rsid w:val="00FD1569"/>
    <w:rsid w:val="00FD4143"/>
    <w:rsid w:val="00FE2E93"/>
    <w:rsid w:val="00FE46B2"/>
    <w:rsid w:val="00FE4CD3"/>
    <w:rsid w:val="00FF2F6F"/>
    <w:rsid w:val="00FF31E4"/>
    <w:rsid w:val="00FF6053"/>
    <w:rsid w:val="0928DF5E"/>
    <w:rsid w:val="0A33A77D"/>
    <w:rsid w:val="0B436C43"/>
    <w:rsid w:val="0C887461"/>
    <w:rsid w:val="0F79ADBE"/>
    <w:rsid w:val="11B8840B"/>
    <w:rsid w:val="14AAE740"/>
    <w:rsid w:val="14E355E3"/>
    <w:rsid w:val="1A4D4609"/>
    <w:rsid w:val="1EF87CA9"/>
    <w:rsid w:val="20BB6C6A"/>
    <w:rsid w:val="234DC245"/>
    <w:rsid w:val="2754E72A"/>
    <w:rsid w:val="2AD13899"/>
    <w:rsid w:val="2D29D794"/>
    <w:rsid w:val="2D79AF6B"/>
    <w:rsid w:val="31A84B61"/>
    <w:rsid w:val="368CD01D"/>
    <w:rsid w:val="36959284"/>
    <w:rsid w:val="3B08E2E8"/>
    <w:rsid w:val="3D179BFB"/>
    <w:rsid w:val="3F2754EE"/>
    <w:rsid w:val="3F7E2B22"/>
    <w:rsid w:val="3FBA2B76"/>
    <w:rsid w:val="40A0198C"/>
    <w:rsid w:val="41AE32D1"/>
    <w:rsid w:val="427570B6"/>
    <w:rsid w:val="4C18B35A"/>
    <w:rsid w:val="4C513E04"/>
    <w:rsid w:val="4EB1D8DE"/>
    <w:rsid w:val="576B1676"/>
    <w:rsid w:val="58C47F9E"/>
    <w:rsid w:val="5B0CD44E"/>
    <w:rsid w:val="61FDD8C1"/>
    <w:rsid w:val="64655096"/>
    <w:rsid w:val="664CE2D3"/>
    <w:rsid w:val="66A0994F"/>
    <w:rsid w:val="6C336E42"/>
    <w:rsid w:val="6E43EB03"/>
    <w:rsid w:val="70FB48A0"/>
    <w:rsid w:val="745818BE"/>
    <w:rsid w:val="74BC529A"/>
    <w:rsid w:val="758F3376"/>
    <w:rsid w:val="79F89CB3"/>
    <w:rsid w:val="7C744F4F"/>
    <w:rsid w:val="7DEC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53E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qFormat/>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 w:type="paragraph" w:styleId="Revision">
    <w:name w:val="Revision"/>
    <w:hidden/>
    <w:uiPriority w:val="99"/>
    <w:semiHidden/>
    <w:rsid w:val="00B254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nhideWhenUsed/>
    <w:rsid w:val="006A0882"/>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6A0882"/>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 w:type="paragraph" w:customStyle="1" w:styleId="ParaNum">
    <w:name w:val="ParaNum"/>
    <w:basedOn w:val="Normal"/>
    <w:link w:val="ParaNumCharChar1"/>
    <w:qFormat/>
    <w:rsid w:val="008B0C72"/>
    <w:pPr>
      <w:widowControl w:val="0"/>
      <w:numPr>
        <w:numId w:val="7"/>
      </w:numPr>
      <w:tabs>
        <w:tab w:val="clear" w:pos="1080"/>
        <w:tab w:val="num" w:pos="1440"/>
      </w:tabs>
      <w:spacing w:after="120"/>
    </w:pPr>
    <w:rPr>
      <w:snapToGrid w:val="0"/>
      <w:kern w:val="28"/>
      <w:sz w:val="22"/>
      <w:szCs w:val="20"/>
    </w:rPr>
  </w:style>
  <w:style w:type="character" w:customStyle="1" w:styleId="ParaNumCharChar1">
    <w:name w:val="ParaNum Char Char1"/>
    <w:link w:val="ParaNum"/>
    <w:locked/>
    <w:rsid w:val="008B0C72"/>
    <w:rPr>
      <w:snapToGrid w:val="0"/>
      <w:kern w:val="28"/>
      <w:sz w:val="22"/>
    </w:rPr>
  </w:style>
  <w:style w:type="paragraph" w:styleId="NormalWeb">
    <w:name w:val="Normal (Web)"/>
    <w:basedOn w:val="Normal"/>
    <w:uiPriority w:val="99"/>
    <w:rsid w:val="008F3787"/>
    <w:rPr>
      <w:snapToGrid w:val="0"/>
    </w:rPr>
  </w:style>
  <w:style w:type="paragraph" w:styleId="TOC1">
    <w:name w:val="toc 1"/>
    <w:basedOn w:val="Normal"/>
    <w:next w:val="Normal"/>
    <w:rsid w:val="00FF2F6F"/>
    <w:pPr>
      <w:widowControl w:val="0"/>
      <w:tabs>
        <w:tab w:val="left" w:pos="360"/>
        <w:tab w:val="right" w:leader="dot" w:pos="9360"/>
      </w:tabs>
      <w:suppressAutoHyphens/>
      <w:ind w:left="360" w:right="720" w:hanging="360"/>
    </w:pPr>
    <w:rPr>
      <w:caps/>
      <w:noProof/>
      <w:snapToGrid w:val="0"/>
      <w:kern w:val="28"/>
      <w:sz w:val="22"/>
      <w:szCs w:val="20"/>
    </w:rPr>
  </w:style>
  <w:style w:type="paragraph" w:styleId="PlainText">
    <w:name w:val="Plain Text"/>
    <w:basedOn w:val="Normal"/>
    <w:link w:val="PlainTextChar"/>
    <w:uiPriority w:val="99"/>
    <w:rsid w:val="00FF2F6F"/>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FF2F6F"/>
    <w:rPr>
      <w:rFonts w:ascii="Courier New" w:eastAsia="MS Mincho" w:hAnsi="Courier New" w:cs="Courier New"/>
      <w:lang w:eastAsia="ja-JP"/>
    </w:rPr>
  </w:style>
  <w:style w:type="paragraph" w:styleId="Revision">
    <w:name w:val="Revision"/>
    <w:hidden/>
    <w:uiPriority w:val="99"/>
    <w:semiHidden/>
    <w:rsid w:val="00B254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fsapi.fcc.gov/file/042023833856/DOC-344490A4.pdf" TargetMode="External"/><Relationship Id="rId2" Type="http://schemas.openxmlformats.org/officeDocument/2006/relationships/styles" Target="styles.xml"/><Relationship Id="rId16" Type="http://schemas.openxmlformats.org/officeDocument/2006/relationships/hyperlink" Target="https://ecfsapi.fcc.gov/file/042023833856/DOC-344490A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fsapi.fcc.gov/file/042023833856/DOC-344490A2.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fsapi.fcc.gov/file/0426267477284/FCC-17-40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8096</Characters>
  <Application>Microsoft Office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2017-06-28T12:31:00Z</dcterms:created>
  <dcterms:modified xsi:type="dcterms:W3CDTF">2017-06-28T12:31:00Z</dcterms:modified>
  <cp:category> </cp:category>
  <cp:contentStatus> </cp:contentStatus>
</cp:coreProperties>
</file>