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EE3" w:rsidRDefault="00994EE3" w:rsidP="007374AD">
      <w:pPr>
        <w:pStyle w:val="Title"/>
        <w:jc w:val="left"/>
      </w:pPr>
      <w:bookmarkStart w:id="0" w:name="_GoBack"/>
      <w:bookmarkEnd w:id="0"/>
    </w:p>
    <w:p w:rsidR="008B3B05" w:rsidRDefault="008B3B05">
      <w:pPr>
        <w:pStyle w:val="Title"/>
      </w:pPr>
      <w:r>
        <w:t>Before the</w:t>
      </w:r>
    </w:p>
    <w:p w:rsidR="008B3B05" w:rsidRDefault="008B3B05">
      <w:pPr>
        <w:jc w:val="center"/>
        <w:rPr>
          <w:b/>
        </w:rPr>
      </w:pPr>
      <w:r>
        <w:rPr>
          <w:b/>
        </w:rPr>
        <w:t>Federal Communications Commission</w:t>
      </w:r>
    </w:p>
    <w:p w:rsidR="008B3B05" w:rsidRDefault="008B3B05">
      <w:pPr>
        <w:jc w:val="cente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8B3B05" w:rsidRDefault="008B3B05">
      <w:pPr>
        <w:rPr>
          <w:spacing w:val="-2"/>
          <w:sz w:val="24"/>
        </w:rPr>
      </w:pPr>
    </w:p>
    <w:tbl>
      <w:tblPr>
        <w:tblW w:w="0" w:type="auto"/>
        <w:tblLayout w:type="fixed"/>
        <w:tblLook w:val="0000" w:firstRow="0" w:lastRow="0" w:firstColumn="0" w:lastColumn="0" w:noHBand="0" w:noVBand="0"/>
      </w:tblPr>
      <w:tblGrid>
        <w:gridCol w:w="4698"/>
        <w:gridCol w:w="720"/>
        <w:gridCol w:w="4158"/>
      </w:tblGrid>
      <w:tr w:rsidR="008B3B05" w:rsidTr="0057294A">
        <w:trPr>
          <w:trHeight w:val="783"/>
        </w:trPr>
        <w:tc>
          <w:tcPr>
            <w:tcW w:w="4698" w:type="dxa"/>
          </w:tcPr>
          <w:p w:rsidR="008B3B05" w:rsidRDefault="008B3B05">
            <w:pPr>
              <w:rPr>
                <w:spacing w:val="-2"/>
              </w:rPr>
            </w:pPr>
            <w:r>
              <w:rPr>
                <w:spacing w:val="-2"/>
              </w:rPr>
              <w:t>In the Matter of</w:t>
            </w:r>
          </w:p>
          <w:p w:rsidR="008B3B05" w:rsidRDefault="008B3B05">
            <w:pPr>
              <w:rPr>
                <w:spacing w:val="-2"/>
              </w:rPr>
            </w:pPr>
          </w:p>
          <w:p w:rsidR="008B3B05" w:rsidRDefault="0057294A">
            <w:pPr>
              <w:rPr>
                <w:spacing w:val="-2"/>
              </w:rPr>
            </w:pPr>
            <w:r>
              <w:rPr>
                <w:spacing w:val="-2"/>
              </w:rPr>
              <w:t>INTERNATIONAL MUNICIPAL SIGNAL ASSOCIATION</w:t>
            </w:r>
          </w:p>
          <w:p w:rsidR="00DC5AA9" w:rsidRDefault="00DC5AA9">
            <w:pPr>
              <w:rPr>
                <w:spacing w:val="-2"/>
              </w:rPr>
            </w:pPr>
          </w:p>
          <w:p w:rsidR="0057294A" w:rsidRDefault="0057294A">
            <w:pPr>
              <w:rPr>
                <w:spacing w:val="-2"/>
              </w:rPr>
            </w:pPr>
            <w:r>
              <w:rPr>
                <w:spacing w:val="-2"/>
              </w:rPr>
              <w:t>Implementation of Section 309(j) and 337 of the Communications Act of 1934 as Amended</w:t>
            </w:r>
          </w:p>
          <w:p w:rsidR="0057294A" w:rsidRDefault="0057294A">
            <w:pPr>
              <w:rPr>
                <w:spacing w:val="-2"/>
              </w:rPr>
            </w:pPr>
          </w:p>
          <w:p w:rsidR="0057294A" w:rsidRDefault="0057294A">
            <w:pPr>
              <w:rPr>
                <w:spacing w:val="-2"/>
              </w:rPr>
            </w:pPr>
            <w:r>
              <w:rPr>
                <w:spacing w:val="-2"/>
              </w:rPr>
              <w:t>Promotion of Spectrum Efficient Technologies on Certain Part 90 Frequencies</w:t>
            </w:r>
          </w:p>
          <w:p w:rsidR="0057294A" w:rsidRDefault="0057294A">
            <w:pPr>
              <w:rPr>
                <w:spacing w:val="-2"/>
              </w:rPr>
            </w:pPr>
          </w:p>
          <w:p w:rsidR="00DC5AA9" w:rsidRPr="00F95A30" w:rsidRDefault="0057294A" w:rsidP="003466FF">
            <w:pPr>
              <w:rPr>
                <w:spacing w:val="-2"/>
              </w:rPr>
            </w:pPr>
            <w:r>
              <w:rPr>
                <w:spacing w:val="-2"/>
              </w:rPr>
              <w:t xml:space="preserve">Request for Waiver </w:t>
            </w:r>
            <w:r w:rsidR="003466FF">
              <w:rPr>
                <w:spacing w:val="-2"/>
              </w:rPr>
              <w:t>of</w:t>
            </w:r>
            <w:r>
              <w:rPr>
                <w:spacing w:val="-2"/>
              </w:rPr>
              <w:t xml:space="preserve"> Section 90.203(j)(4)-(5) of the Commissions’ Rules</w:t>
            </w:r>
          </w:p>
        </w:tc>
        <w:tc>
          <w:tcPr>
            <w:tcW w:w="720" w:type="dxa"/>
          </w:tcPr>
          <w:p w:rsidR="008B3B05" w:rsidRDefault="008B3B05">
            <w:pPr>
              <w:rPr>
                <w:spacing w:val="-2"/>
              </w:rPr>
            </w:pPr>
            <w:r>
              <w:rPr>
                <w:spacing w:val="-2"/>
              </w:rPr>
              <w:t>)</w:t>
            </w:r>
          </w:p>
          <w:p w:rsidR="008B3B05" w:rsidRDefault="008B3B05">
            <w:pPr>
              <w:rPr>
                <w:spacing w:val="-2"/>
              </w:rPr>
            </w:pPr>
            <w:r>
              <w:rPr>
                <w:spacing w:val="-2"/>
              </w:rPr>
              <w:t>)</w:t>
            </w:r>
          </w:p>
          <w:p w:rsidR="008B3B05" w:rsidRDefault="008B3B05">
            <w:pPr>
              <w:rPr>
                <w:spacing w:val="-2"/>
              </w:rPr>
            </w:pPr>
            <w:r>
              <w:rPr>
                <w:spacing w:val="-2"/>
              </w:rPr>
              <w:t>)</w:t>
            </w:r>
          </w:p>
          <w:p w:rsidR="008B3B05" w:rsidRDefault="008B3B05">
            <w:pPr>
              <w:rPr>
                <w:spacing w:val="-2"/>
              </w:rPr>
            </w:pPr>
            <w:r>
              <w:rPr>
                <w:spacing w:val="-2"/>
              </w:rPr>
              <w:t>)</w:t>
            </w:r>
          </w:p>
          <w:p w:rsidR="008B3B05" w:rsidRDefault="00F95A30" w:rsidP="00F95A30">
            <w:pPr>
              <w:rPr>
                <w:spacing w:val="-2"/>
              </w:rPr>
            </w:pPr>
            <w:r>
              <w:rPr>
                <w:spacing w:val="-2"/>
              </w:rPr>
              <w:t>)</w:t>
            </w:r>
          </w:p>
          <w:p w:rsidR="00DC5AA9" w:rsidRDefault="00DC5AA9" w:rsidP="00F95A30">
            <w:pPr>
              <w:rPr>
                <w:spacing w:val="-2"/>
              </w:rPr>
            </w:pPr>
            <w:r>
              <w:rPr>
                <w:spacing w:val="-2"/>
              </w:rPr>
              <w:t>)</w:t>
            </w:r>
          </w:p>
          <w:p w:rsidR="0057294A" w:rsidRDefault="0057294A" w:rsidP="0057294A">
            <w:pPr>
              <w:rPr>
                <w:spacing w:val="-2"/>
              </w:rPr>
            </w:pPr>
            <w:r>
              <w:rPr>
                <w:spacing w:val="-2"/>
              </w:rPr>
              <w:t>)</w:t>
            </w:r>
          </w:p>
          <w:p w:rsidR="0057294A" w:rsidRDefault="0057294A" w:rsidP="00F95A30">
            <w:pPr>
              <w:rPr>
                <w:spacing w:val="-2"/>
              </w:rPr>
            </w:pPr>
            <w:r>
              <w:rPr>
                <w:spacing w:val="-2"/>
              </w:rPr>
              <w:t>)</w:t>
            </w:r>
          </w:p>
          <w:p w:rsidR="0057294A" w:rsidRDefault="0057294A" w:rsidP="0057294A">
            <w:pPr>
              <w:rPr>
                <w:spacing w:val="-2"/>
              </w:rPr>
            </w:pPr>
            <w:r>
              <w:rPr>
                <w:spacing w:val="-2"/>
              </w:rPr>
              <w:t>)</w:t>
            </w:r>
          </w:p>
          <w:p w:rsidR="0057294A" w:rsidRDefault="0057294A" w:rsidP="0057294A">
            <w:pPr>
              <w:rPr>
                <w:spacing w:val="-2"/>
              </w:rPr>
            </w:pPr>
            <w:r>
              <w:rPr>
                <w:spacing w:val="-2"/>
              </w:rPr>
              <w:t>)</w:t>
            </w:r>
          </w:p>
          <w:p w:rsidR="0057294A" w:rsidRDefault="0057294A" w:rsidP="0057294A">
            <w:pPr>
              <w:rPr>
                <w:spacing w:val="-2"/>
              </w:rPr>
            </w:pPr>
            <w:r>
              <w:rPr>
                <w:spacing w:val="-2"/>
              </w:rPr>
              <w:t xml:space="preserve">) </w:t>
            </w:r>
          </w:p>
          <w:p w:rsidR="0057294A" w:rsidRDefault="0057294A" w:rsidP="0057294A">
            <w:pPr>
              <w:rPr>
                <w:spacing w:val="-2"/>
              </w:rPr>
            </w:pPr>
            <w:r>
              <w:rPr>
                <w:spacing w:val="-2"/>
              </w:rPr>
              <w:t>)</w:t>
            </w:r>
          </w:p>
          <w:p w:rsidR="0057294A" w:rsidRDefault="0057294A" w:rsidP="0057294A">
            <w:pPr>
              <w:rPr>
                <w:spacing w:val="-2"/>
              </w:rPr>
            </w:pPr>
            <w:r>
              <w:rPr>
                <w:spacing w:val="-2"/>
              </w:rPr>
              <w:t>)</w:t>
            </w:r>
          </w:p>
          <w:p w:rsidR="0057294A" w:rsidRDefault="0057294A" w:rsidP="00F95A30">
            <w:pPr>
              <w:rPr>
                <w:spacing w:val="-2"/>
              </w:rPr>
            </w:pPr>
          </w:p>
        </w:tc>
        <w:tc>
          <w:tcPr>
            <w:tcW w:w="4158" w:type="dxa"/>
          </w:tcPr>
          <w:p w:rsidR="0057294A" w:rsidRDefault="0057294A" w:rsidP="0057294A">
            <w:pPr>
              <w:rPr>
                <w:spacing w:val="-2"/>
              </w:rPr>
            </w:pPr>
          </w:p>
          <w:p w:rsidR="0057294A" w:rsidRDefault="0057294A" w:rsidP="0057294A">
            <w:pPr>
              <w:rPr>
                <w:spacing w:val="-2"/>
              </w:rPr>
            </w:pPr>
          </w:p>
          <w:p w:rsidR="0057294A" w:rsidRDefault="0057294A" w:rsidP="0057294A">
            <w:pPr>
              <w:rPr>
                <w:spacing w:val="-2"/>
              </w:rPr>
            </w:pPr>
          </w:p>
          <w:p w:rsidR="0057294A" w:rsidRDefault="0057294A" w:rsidP="0057294A">
            <w:pPr>
              <w:rPr>
                <w:spacing w:val="-2"/>
              </w:rPr>
            </w:pPr>
          </w:p>
          <w:p w:rsidR="0057294A" w:rsidRDefault="0057294A" w:rsidP="0057294A">
            <w:pPr>
              <w:rPr>
                <w:spacing w:val="-2"/>
              </w:rPr>
            </w:pPr>
          </w:p>
          <w:p w:rsidR="0057294A" w:rsidRDefault="0057294A" w:rsidP="0057294A">
            <w:pPr>
              <w:rPr>
                <w:spacing w:val="-2"/>
              </w:rPr>
            </w:pPr>
            <w:r>
              <w:rPr>
                <w:spacing w:val="-2"/>
              </w:rPr>
              <w:t>WT Docket No. 99-87</w:t>
            </w:r>
          </w:p>
          <w:p w:rsidR="008B3B05" w:rsidRDefault="008B3B05">
            <w:pPr>
              <w:rPr>
                <w:spacing w:val="-2"/>
                <w:sz w:val="24"/>
              </w:rPr>
            </w:pPr>
          </w:p>
          <w:p w:rsidR="0057294A" w:rsidRDefault="0057294A">
            <w:pPr>
              <w:rPr>
                <w:spacing w:val="-2"/>
                <w:sz w:val="24"/>
              </w:rPr>
            </w:pPr>
          </w:p>
          <w:p w:rsidR="0057294A" w:rsidRPr="00C174C7" w:rsidRDefault="0057294A">
            <w:pPr>
              <w:rPr>
                <w:spacing w:val="-2"/>
                <w:szCs w:val="22"/>
              </w:rPr>
            </w:pPr>
            <w:r w:rsidRPr="00C174C7">
              <w:rPr>
                <w:spacing w:val="-2"/>
                <w:szCs w:val="22"/>
              </w:rPr>
              <w:t>RM-9332</w:t>
            </w:r>
          </w:p>
          <w:p w:rsidR="0057294A" w:rsidRDefault="0057294A">
            <w:pPr>
              <w:rPr>
                <w:spacing w:val="-2"/>
                <w:sz w:val="24"/>
              </w:rPr>
            </w:pPr>
          </w:p>
          <w:p w:rsidR="0057294A" w:rsidRDefault="0057294A">
            <w:pPr>
              <w:rPr>
                <w:spacing w:val="-2"/>
                <w:sz w:val="24"/>
              </w:rPr>
            </w:pPr>
          </w:p>
          <w:p w:rsidR="0057294A" w:rsidRDefault="0057294A">
            <w:pPr>
              <w:rPr>
                <w:spacing w:val="-2"/>
                <w:sz w:val="24"/>
              </w:rPr>
            </w:pPr>
          </w:p>
        </w:tc>
      </w:tr>
    </w:tbl>
    <w:p w:rsidR="00B657FC" w:rsidRPr="00F95A30" w:rsidRDefault="00B720FD" w:rsidP="00F95A30">
      <w:pPr>
        <w:spacing w:before="120"/>
        <w:jc w:val="center"/>
        <w:rPr>
          <w:b/>
          <w:spacing w:val="-2"/>
        </w:rPr>
      </w:pPr>
      <w:r>
        <w:rPr>
          <w:b/>
          <w:spacing w:val="-2"/>
        </w:rPr>
        <w:t>ORDER</w:t>
      </w:r>
    </w:p>
    <w:p w:rsidR="00B720FD" w:rsidRDefault="00621E81" w:rsidP="00B720FD">
      <w:pPr>
        <w:tabs>
          <w:tab w:val="left" w:pos="5760"/>
        </w:tabs>
        <w:rPr>
          <w:b/>
        </w:rPr>
      </w:pPr>
      <w:r>
        <w:rPr>
          <w:b/>
        </w:rPr>
        <w:t xml:space="preserve">  </w:t>
      </w:r>
      <w:r w:rsidR="00B720FD">
        <w:rPr>
          <w:b/>
        </w:rPr>
        <w:t xml:space="preserve">Adopted:  </w:t>
      </w:r>
      <w:r w:rsidR="0049468E">
        <w:rPr>
          <w:b/>
        </w:rPr>
        <w:t xml:space="preserve"> </w:t>
      </w:r>
      <w:r w:rsidR="003C1034">
        <w:rPr>
          <w:b/>
        </w:rPr>
        <w:t>June 29</w:t>
      </w:r>
      <w:r w:rsidR="00592526">
        <w:rPr>
          <w:b/>
        </w:rPr>
        <w:t>, 2017</w:t>
      </w:r>
      <w:r w:rsidR="00DD2878">
        <w:rPr>
          <w:b/>
        </w:rPr>
        <w:tab/>
      </w:r>
      <w:r w:rsidR="00B720FD">
        <w:rPr>
          <w:b/>
        </w:rPr>
        <w:t xml:space="preserve">Released:  </w:t>
      </w:r>
      <w:r w:rsidR="003C1034">
        <w:rPr>
          <w:b/>
        </w:rPr>
        <w:t xml:space="preserve"> June 30</w:t>
      </w:r>
      <w:r w:rsidR="00592526">
        <w:rPr>
          <w:b/>
        </w:rPr>
        <w:t>, 2017</w:t>
      </w:r>
    </w:p>
    <w:p w:rsidR="00DD2878" w:rsidRDefault="00DD2878" w:rsidP="00B720FD">
      <w:pPr>
        <w:tabs>
          <w:tab w:val="left" w:pos="5760"/>
        </w:tabs>
        <w:rPr>
          <w:b/>
        </w:rPr>
      </w:pPr>
    </w:p>
    <w:p w:rsidR="00033827" w:rsidRDefault="00D31E9E" w:rsidP="00AB0004">
      <w:pPr>
        <w:autoSpaceDE w:val="0"/>
        <w:autoSpaceDN w:val="0"/>
        <w:adjustRightInd w:val="0"/>
        <w:rPr>
          <w:color w:val="010101"/>
          <w:szCs w:val="22"/>
        </w:rPr>
      </w:pPr>
      <w:r w:rsidRPr="00D31E9E">
        <w:rPr>
          <w:color w:val="010101"/>
          <w:szCs w:val="22"/>
        </w:rPr>
        <w:t>By the</w:t>
      </w:r>
      <w:r w:rsidR="0030389C">
        <w:rPr>
          <w:color w:val="010101"/>
          <w:szCs w:val="22"/>
        </w:rPr>
        <w:t xml:space="preserve"> </w:t>
      </w:r>
      <w:r w:rsidRPr="00D31E9E">
        <w:rPr>
          <w:color w:val="010101"/>
          <w:szCs w:val="22"/>
        </w:rPr>
        <w:t xml:space="preserve">Chief, </w:t>
      </w:r>
      <w:r w:rsidR="00FE406C">
        <w:rPr>
          <w:color w:val="010101"/>
          <w:szCs w:val="22"/>
        </w:rPr>
        <w:t xml:space="preserve">Wireless </w:t>
      </w:r>
      <w:r w:rsidRPr="00D31E9E">
        <w:rPr>
          <w:color w:val="010101"/>
          <w:szCs w:val="22"/>
        </w:rPr>
        <w:t>Telecommunica</w:t>
      </w:r>
      <w:r w:rsidR="00F91677">
        <w:rPr>
          <w:color w:val="010101"/>
          <w:szCs w:val="22"/>
        </w:rPr>
        <w:t>tions Bureau</w:t>
      </w:r>
      <w:r w:rsidR="00EB5A41">
        <w:rPr>
          <w:color w:val="010101"/>
          <w:szCs w:val="22"/>
        </w:rPr>
        <w:t>; Chief, Public Safety and Homeland Security Bureau; and Chief, Office of Engineering and Technology</w:t>
      </w:r>
      <w:r w:rsidRPr="00D31E9E">
        <w:rPr>
          <w:color w:val="010101"/>
          <w:szCs w:val="22"/>
        </w:rPr>
        <w:t>:</w:t>
      </w:r>
    </w:p>
    <w:p w:rsidR="00AB0004" w:rsidRPr="00AB0004" w:rsidRDefault="00AB0004" w:rsidP="00AB0004">
      <w:pPr>
        <w:autoSpaceDE w:val="0"/>
        <w:autoSpaceDN w:val="0"/>
        <w:adjustRightInd w:val="0"/>
        <w:rPr>
          <w:color w:val="010101"/>
          <w:szCs w:val="22"/>
        </w:rPr>
      </w:pPr>
    </w:p>
    <w:p w:rsidR="00145990" w:rsidRPr="00145990" w:rsidRDefault="00F97DEC" w:rsidP="00145990">
      <w:pPr>
        <w:pStyle w:val="ParaNum"/>
        <w:ind w:left="0"/>
        <w:jc w:val="left"/>
      </w:pPr>
      <w:r>
        <w:t xml:space="preserve">We have </w:t>
      </w:r>
      <w:r w:rsidR="0035579D">
        <w:t xml:space="preserve">before us </w:t>
      </w:r>
      <w:r w:rsidR="00F8599C">
        <w:t xml:space="preserve">the </w:t>
      </w:r>
      <w:r w:rsidR="0057294A">
        <w:t xml:space="preserve">above-captioned </w:t>
      </w:r>
      <w:r w:rsidR="00F8599C">
        <w:t>r</w:t>
      </w:r>
      <w:r w:rsidR="0035579D">
        <w:t xml:space="preserve">equest for </w:t>
      </w:r>
      <w:r w:rsidR="00F8599C">
        <w:t>w</w:t>
      </w:r>
      <w:r w:rsidR="00226C87">
        <w:t>aiver of s</w:t>
      </w:r>
      <w:r>
        <w:t>ection</w:t>
      </w:r>
      <w:r w:rsidR="0057294A">
        <w:t xml:space="preserve"> 90.203(j)(4</w:t>
      </w:r>
      <w:r w:rsidR="00F8599C">
        <w:t>)</w:t>
      </w:r>
      <w:r w:rsidR="0057294A">
        <w:t>-(5)</w:t>
      </w:r>
      <w:r w:rsidR="0035579D">
        <w:t xml:space="preserve"> </w:t>
      </w:r>
      <w:r w:rsidR="00226C87">
        <w:t>of the Commission’s r</w:t>
      </w:r>
      <w:r w:rsidR="00AB0004">
        <w:t>ules</w:t>
      </w:r>
      <w:r w:rsidR="00F8599C">
        <w:rPr>
          <w:rStyle w:val="FootnoteReference"/>
        </w:rPr>
        <w:footnoteReference w:id="2"/>
      </w:r>
      <w:r w:rsidR="005104D2">
        <w:t xml:space="preserve"> filed</w:t>
      </w:r>
      <w:r w:rsidR="0057294A">
        <w:t xml:space="preserve"> by the International Municipal Signal Association (IMSA</w:t>
      </w:r>
      <w:r w:rsidR="005D5433">
        <w:t>)</w:t>
      </w:r>
      <w:r w:rsidR="00226C87">
        <w:t>,</w:t>
      </w:r>
      <w:r w:rsidR="003C3482">
        <w:t xml:space="preserve"> seeking to </w:t>
      </w:r>
      <w:r w:rsidR="00A31AE3">
        <w:t>delay</w:t>
      </w:r>
      <w:r w:rsidR="003C3482">
        <w:t xml:space="preserve"> the implementation of </w:t>
      </w:r>
      <w:r w:rsidR="00CE5905">
        <w:t>section</w:t>
      </w:r>
      <w:r w:rsidR="003C3482">
        <w:t xml:space="preserve"> 90.203(j)(4)-(5)</w:t>
      </w:r>
      <w:r w:rsidR="00F30153">
        <w:t xml:space="preserve"> </w:t>
      </w:r>
      <w:r w:rsidR="003C3482">
        <w:t xml:space="preserve">until </w:t>
      </w:r>
      <w:r w:rsidR="00A31AE3">
        <w:t xml:space="preserve">at least </w:t>
      </w:r>
      <w:r w:rsidR="003C3482">
        <w:t>January 1,</w:t>
      </w:r>
      <w:r w:rsidR="00EB5A41">
        <w:t xml:space="preserve"> </w:t>
      </w:r>
      <w:r w:rsidR="003C3482">
        <w:t>2020</w:t>
      </w:r>
      <w:r w:rsidR="000865B3">
        <w:rPr>
          <w:szCs w:val="22"/>
        </w:rPr>
        <w:t>.</w:t>
      </w:r>
      <w:r w:rsidR="000865B3">
        <w:rPr>
          <w:rStyle w:val="FootnoteReference"/>
          <w:szCs w:val="22"/>
        </w:rPr>
        <w:footnoteReference w:id="3"/>
      </w:r>
      <w:r w:rsidR="00DC06B7">
        <w:t xml:space="preserve">  </w:t>
      </w:r>
      <w:r w:rsidR="00465E0F">
        <w:t>For the reasons set forth below, we deny the request.</w:t>
      </w:r>
    </w:p>
    <w:p w:rsidR="00481E0D" w:rsidRPr="006157D4" w:rsidRDefault="00DA491F" w:rsidP="00C44EE8">
      <w:pPr>
        <w:pStyle w:val="ParaNum"/>
        <w:ind w:left="0"/>
        <w:jc w:val="left"/>
      </w:pPr>
      <w:r w:rsidRPr="00145990">
        <w:rPr>
          <w:i/>
        </w:rPr>
        <w:t>Background</w:t>
      </w:r>
      <w:r w:rsidR="00E67488" w:rsidRPr="00145990">
        <w:rPr>
          <w:color w:val="000000"/>
          <w:szCs w:val="22"/>
        </w:rPr>
        <w:t>.</w:t>
      </w:r>
      <w:r w:rsidR="002F7F84">
        <w:rPr>
          <w:color w:val="000000"/>
          <w:szCs w:val="22"/>
        </w:rPr>
        <w:t xml:space="preserve">  </w:t>
      </w:r>
      <w:r w:rsidR="00481E0D">
        <w:rPr>
          <w:color w:val="000000"/>
          <w:szCs w:val="22"/>
        </w:rPr>
        <w:t>In 1995, the Commission decided that</w:t>
      </w:r>
      <w:r w:rsidR="00706C13">
        <w:rPr>
          <w:color w:val="000000"/>
          <w:szCs w:val="22"/>
        </w:rPr>
        <w:t>,</w:t>
      </w:r>
      <w:r w:rsidR="00481E0D">
        <w:rPr>
          <w:color w:val="000000"/>
          <w:szCs w:val="22"/>
        </w:rPr>
        <w:t xml:space="preserve"> as of August 1, 1996, it would no longer certify equipment that could not operate on 12.5 kilohertz channels or with equivalent efficiency</w:t>
      </w:r>
      <w:r w:rsidR="00EF6B4C">
        <w:rPr>
          <w:color w:val="000000"/>
          <w:szCs w:val="22"/>
        </w:rPr>
        <w:t>,</w:t>
      </w:r>
      <w:r w:rsidR="00BD7C77">
        <w:rPr>
          <w:color w:val="000000"/>
          <w:szCs w:val="22"/>
        </w:rPr>
        <w:t xml:space="preserve"> </w:t>
      </w:r>
      <w:r w:rsidR="00481E0D">
        <w:rPr>
          <w:color w:val="000000"/>
          <w:szCs w:val="22"/>
        </w:rPr>
        <w:t xml:space="preserve">and </w:t>
      </w:r>
      <w:r w:rsidR="00EF6B4C">
        <w:rPr>
          <w:color w:val="000000"/>
          <w:szCs w:val="22"/>
        </w:rPr>
        <w:t xml:space="preserve">that </w:t>
      </w:r>
      <w:r w:rsidR="00481E0D">
        <w:rPr>
          <w:color w:val="000000"/>
          <w:szCs w:val="22"/>
        </w:rPr>
        <w:t>as of January 1, 2005, it would no longer certify equipment that could not operate on 6.25 kilohertz channels or with equivalent efficiency</w:t>
      </w:r>
      <w:r w:rsidR="00F07485">
        <w:rPr>
          <w:color w:val="000000"/>
          <w:szCs w:val="22"/>
        </w:rPr>
        <w:t>.</w:t>
      </w:r>
      <w:r w:rsidR="00F07485">
        <w:rPr>
          <w:rStyle w:val="FootnoteReference"/>
          <w:color w:val="000000"/>
          <w:szCs w:val="22"/>
        </w:rPr>
        <w:footnoteReference w:id="4"/>
      </w:r>
    </w:p>
    <w:p w:rsidR="006157D4" w:rsidRPr="00EB5A41" w:rsidRDefault="006157D4" w:rsidP="00A802C0">
      <w:pPr>
        <w:pStyle w:val="ParaNum"/>
        <w:keepNext/>
        <w:widowControl/>
        <w:ind w:left="0"/>
        <w:jc w:val="left"/>
      </w:pPr>
      <w:r>
        <w:t xml:space="preserve">In 2003, however, the Commission </w:t>
      </w:r>
      <w:r w:rsidR="00DF030E">
        <w:t xml:space="preserve">concluded that the pace of migration to 12.5 kilohertz technology had </w:t>
      </w:r>
      <w:r w:rsidR="00A31AE3">
        <w:t>been slower than</w:t>
      </w:r>
      <w:r w:rsidR="00DF030E">
        <w:t xml:space="preserve"> it had anticipated, and </w:t>
      </w:r>
      <w:r w:rsidR="00EF6B4C">
        <w:t xml:space="preserve">that </w:t>
      </w:r>
      <w:r w:rsidR="00DF030E">
        <w:t xml:space="preserve">the equipment approval process </w:t>
      </w:r>
      <w:r w:rsidR="00A31AE3">
        <w:t xml:space="preserve">alone </w:t>
      </w:r>
      <w:r w:rsidR="00DF030E">
        <w:t>was not sufficient to bring about a timely transition to narrowband technology</w:t>
      </w:r>
      <w:r w:rsidR="00EF6B4C">
        <w:t xml:space="preserve">.  The Commission </w:t>
      </w:r>
      <w:r w:rsidR="00980DA5">
        <w:t>therefore amended</w:t>
      </w:r>
      <w:r>
        <w:t xml:space="preserve"> the rules to require licensees to migrate to 12.5 kilohertz technology or equipment that achieves equivalent efficiency by January 1, 2013</w:t>
      </w:r>
      <w:r w:rsidR="0070753F">
        <w:t xml:space="preserve">.  Later, </w:t>
      </w:r>
      <w:r w:rsidR="00935150">
        <w:t xml:space="preserve">the Commission </w:t>
      </w:r>
      <w:r w:rsidR="00033A33">
        <w:t xml:space="preserve">stayed the requirement that </w:t>
      </w:r>
      <w:r w:rsidR="00F57835">
        <w:rPr>
          <w:color w:val="000000"/>
          <w:szCs w:val="22"/>
        </w:rPr>
        <w:t xml:space="preserve">private land mobile radio (PLMR) </w:t>
      </w:r>
      <w:r w:rsidR="00033A33">
        <w:t xml:space="preserve"> equipment be capable of </w:t>
      </w:r>
      <w:r w:rsidR="00033A33">
        <w:rPr>
          <w:color w:val="000000"/>
          <w:szCs w:val="22"/>
        </w:rPr>
        <w:t xml:space="preserve">operating on 6.25 kilohertz channels or with equivalent </w:t>
      </w:r>
      <w:r w:rsidR="00033A33">
        <w:rPr>
          <w:color w:val="000000"/>
          <w:szCs w:val="22"/>
        </w:rPr>
        <w:lastRenderedPageBreak/>
        <w:t>efficiency in order to obtain equipment authorization, pending the Commission’s consideration of whether to impose a deadline for migration to 6.25 kilohertz technology</w:t>
      </w:r>
      <w:r w:rsidR="00054EFA">
        <w:rPr>
          <w:color w:val="000000"/>
          <w:szCs w:val="22"/>
        </w:rPr>
        <w:t>.</w:t>
      </w:r>
      <w:r w:rsidR="00EB5A41">
        <w:rPr>
          <w:rStyle w:val="FootnoteReference"/>
          <w:color w:val="000000"/>
          <w:szCs w:val="22"/>
        </w:rPr>
        <w:footnoteReference w:id="5"/>
      </w:r>
    </w:p>
    <w:p w:rsidR="00BB2B0C" w:rsidRPr="00BB2B0C" w:rsidRDefault="00EB5A41" w:rsidP="0070753F">
      <w:pPr>
        <w:pStyle w:val="ParaNum"/>
        <w:ind w:left="0"/>
        <w:jc w:val="left"/>
      </w:pPr>
      <w:r w:rsidRPr="0070753F">
        <w:rPr>
          <w:color w:val="000000"/>
          <w:szCs w:val="22"/>
        </w:rPr>
        <w:t xml:space="preserve">In 2007, the Commission </w:t>
      </w:r>
      <w:r w:rsidR="001423DA" w:rsidRPr="0070753F">
        <w:rPr>
          <w:color w:val="000000"/>
          <w:szCs w:val="22"/>
        </w:rPr>
        <w:t xml:space="preserve">declined to establish a fixed date for users to transition to 6.25 kilohertz technology, but reiterated that </w:t>
      </w:r>
      <w:r w:rsidR="001423DA">
        <w:t xml:space="preserve">12.5 kilohertz operation </w:t>
      </w:r>
      <w:r w:rsidR="00C80BA7">
        <w:t>i</w:t>
      </w:r>
      <w:r w:rsidR="001423DA">
        <w:t xml:space="preserve">s </w:t>
      </w:r>
      <w:r w:rsidR="008941DB">
        <w:t xml:space="preserve">only </w:t>
      </w:r>
      <w:r w:rsidR="001423DA">
        <w:t>a transitional st</w:t>
      </w:r>
      <w:r w:rsidR="00C80BA7">
        <w:t>ep in the eventual</w:t>
      </w:r>
      <w:r w:rsidR="001423DA">
        <w:t xml:space="preserve"> migration to 6.25 kilohertz technology</w:t>
      </w:r>
      <w:r w:rsidR="008941DB">
        <w:t>.</w:t>
      </w:r>
      <w:r w:rsidR="008941DB">
        <w:rPr>
          <w:rStyle w:val="FootnoteReference"/>
        </w:rPr>
        <w:footnoteReference w:id="6"/>
      </w:r>
      <w:r w:rsidR="008941DB">
        <w:t xml:space="preserve">  It therefore</w:t>
      </w:r>
      <w:r w:rsidR="001423DA">
        <w:t xml:space="preserve"> encouraged users to consider migrating directly to 6.25 kilohertz technology</w:t>
      </w:r>
      <w:r w:rsidR="00C80BA7">
        <w:t xml:space="preserve"> by January 1, 2013</w:t>
      </w:r>
      <w:r w:rsidR="001423DA" w:rsidRPr="0070753F">
        <w:rPr>
          <w:color w:val="000000"/>
          <w:szCs w:val="22"/>
        </w:rPr>
        <w:t>.</w:t>
      </w:r>
      <w:r w:rsidR="001423DA">
        <w:rPr>
          <w:rStyle w:val="FootnoteReference"/>
          <w:color w:val="000000"/>
          <w:szCs w:val="22"/>
        </w:rPr>
        <w:footnoteReference w:id="7"/>
      </w:r>
      <w:r w:rsidR="001423DA" w:rsidRPr="0070753F">
        <w:rPr>
          <w:color w:val="000000"/>
          <w:szCs w:val="22"/>
        </w:rPr>
        <w:t xml:space="preserve">  </w:t>
      </w:r>
      <w:r w:rsidR="00C80BA7" w:rsidRPr="0070753F">
        <w:rPr>
          <w:color w:val="000000"/>
          <w:szCs w:val="22"/>
        </w:rPr>
        <w:t xml:space="preserve"> It selected January 1, 2011</w:t>
      </w:r>
      <w:r w:rsidR="00CE29D8" w:rsidRPr="0070753F">
        <w:rPr>
          <w:color w:val="000000"/>
          <w:szCs w:val="22"/>
        </w:rPr>
        <w:t>,</w:t>
      </w:r>
      <w:r w:rsidR="00C80BA7" w:rsidRPr="0070753F">
        <w:rPr>
          <w:color w:val="000000"/>
          <w:szCs w:val="22"/>
        </w:rPr>
        <w:t xml:space="preserve"> as the new date after which </w:t>
      </w:r>
      <w:r w:rsidR="00BB2B0C" w:rsidRPr="0027214E">
        <w:rPr>
          <w:color w:val="000000"/>
          <w:szCs w:val="22"/>
        </w:rPr>
        <w:t xml:space="preserve">it </w:t>
      </w:r>
      <w:r w:rsidR="00C80BA7" w:rsidRPr="0027214E">
        <w:rPr>
          <w:color w:val="000000"/>
          <w:szCs w:val="22"/>
        </w:rPr>
        <w:t>would no longer certify equipment that could not operate on 6.25 kilohertz channels or with equivalent efficiency</w:t>
      </w:r>
      <w:r w:rsidR="0070753F" w:rsidRPr="0027214E">
        <w:rPr>
          <w:color w:val="000000"/>
          <w:szCs w:val="22"/>
        </w:rPr>
        <w:t>.</w:t>
      </w:r>
      <w:r w:rsidR="00831083">
        <w:rPr>
          <w:rStyle w:val="FootnoteReference"/>
          <w:color w:val="000000"/>
          <w:szCs w:val="22"/>
        </w:rPr>
        <w:footnoteReference w:id="8"/>
      </w:r>
      <w:r w:rsidR="00831083" w:rsidRPr="0070753F">
        <w:rPr>
          <w:color w:val="000000"/>
          <w:szCs w:val="22"/>
        </w:rPr>
        <w:t xml:space="preserve">  </w:t>
      </w:r>
      <w:r w:rsidR="0092411F" w:rsidRPr="0070753F">
        <w:rPr>
          <w:color w:val="000000"/>
          <w:szCs w:val="22"/>
        </w:rPr>
        <w:t xml:space="preserve">In 2010, the Commission </w:t>
      </w:r>
      <w:r w:rsidR="00E62F88" w:rsidRPr="0070753F">
        <w:rPr>
          <w:color w:val="000000"/>
          <w:szCs w:val="22"/>
        </w:rPr>
        <w:t xml:space="preserve">temporarily waived the </w:t>
      </w:r>
      <w:r w:rsidR="00831083" w:rsidRPr="0070753F">
        <w:rPr>
          <w:color w:val="000000"/>
          <w:szCs w:val="22"/>
        </w:rPr>
        <w:t xml:space="preserve">6.25 kilohertz </w:t>
      </w:r>
      <w:r w:rsidR="003A5F00" w:rsidRPr="0070753F">
        <w:rPr>
          <w:color w:val="000000"/>
          <w:szCs w:val="22"/>
        </w:rPr>
        <w:t>deadline</w:t>
      </w:r>
      <w:r w:rsidR="00E62F88" w:rsidRPr="0070753F">
        <w:rPr>
          <w:color w:val="000000"/>
          <w:szCs w:val="22"/>
        </w:rPr>
        <w:t xml:space="preserve"> until </w:t>
      </w:r>
      <w:r w:rsidR="0092411F" w:rsidRPr="0070753F">
        <w:rPr>
          <w:color w:val="000000"/>
          <w:szCs w:val="22"/>
        </w:rPr>
        <w:t xml:space="preserve">January 1, </w:t>
      </w:r>
      <w:r w:rsidR="00E62F88" w:rsidRPr="0070753F">
        <w:rPr>
          <w:color w:val="000000"/>
          <w:szCs w:val="22"/>
        </w:rPr>
        <w:t>2013, to avoid any impediment to</w:t>
      </w:r>
      <w:r w:rsidR="00831083" w:rsidRPr="0070753F">
        <w:rPr>
          <w:color w:val="000000"/>
          <w:szCs w:val="22"/>
        </w:rPr>
        <w:t xml:space="preserve"> licensees’ migration to 12.5 kilohert</w:t>
      </w:r>
      <w:r w:rsidR="00E62F88" w:rsidRPr="0070753F">
        <w:rPr>
          <w:color w:val="000000"/>
          <w:szCs w:val="22"/>
        </w:rPr>
        <w:t>z technology by January 1, 2013.</w:t>
      </w:r>
      <w:r w:rsidR="00E62F88" w:rsidRPr="00E62F88">
        <w:rPr>
          <w:color w:val="000000"/>
          <w:vertAlign w:val="superscript"/>
        </w:rPr>
        <w:footnoteReference w:id="9"/>
      </w:r>
      <w:r w:rsidR="00E62F88" w:rsidRPr="0070753F">
        <w:rPr>
          <w:color w:val="000000"/>
          <w:szCs w:val="22"/>
        </w:rPr>
        <w:t xml:space="preserve">  </w:t>
      </w:r>
    </w:p>
    <w:p w:rsidR="000308FC" w:rsidRPr="000308FC" w:rsidRDefault="00E62F88" w:rsidP="0070753F">
      <w:pPr>
        <w:pStyle w:val="ParaNum"/>
        <w:ind w:left="0"/>
        <w:jc w:val="left"/>
      </w:pPr>
      <w:r w:rsidRPr="00C44EE8">
        <w:rPr>
          <w:color w:val="000000"/>
          <w:szCs w:val="22"/>
        </w:rPr>
        <w:t>In 2013, the Wireless Telecommunications Bureau</w:t>
      </w:r>
      <w:r w:rsidR="00D63639">
        <w:rPr>
          <w:color w:val="000000"/>
          <w:szCs w:val="22"/>
        </w:rPr>
        <w:t xml:space="preserve"> (WTB)</w:t>
      </w:r>
      <w:r w:rsidRPr="00C44EE8">
        <w:rPr>
          <w:color w:val="000000"/>
          <w:szCs w:val="22"/>
        </w:rPr>
        <w:t>, Public Safety and Homeland Security Bureau</w:t>
      </w:r>
      <w:r w:rsidR="00D63639">
        <w:rPr>
          <w:color w:val="000000"/>
          <w:szCs w:val="22"/>
        </w:rPr>
        <w:t xml:space="preserve"> (PSHSB)</w:t>
      </w:r>
      <w:r w:rsidRPr="00C44EE8">
        <w:rPr>
          <w:color w:val="000000"/>
          <w:szCs w:val="22"/>
        </w:rPr>
        <w:t xml:space="preserve">, and Office of Engineering and Technology </w:t>
      </w:r>
      <w:r w:rsidR="002B4B84">
        <w:rPr>
          <w:color w:val="000000"/>
          <w:szCs w:val="22"/>
        </w:rPr>
        <w:t xml:space="preserve">(OET) </w:t>
      </w:r>
      <w:r w:rsidR="0074062A">
        <w:rPr>
          <w:color w:val="000000"/>
          <w:szCs w:val="22"/>
        </w:rPr>
        <w:t xml:space="preserve">denied a request that the prohibition </w:t>
      </w:r>
      <w:r w:rsidR="00831083">
        <w:rPr>
          <w:color w:val="000000"/>
          <w:szCs w:val="22"/>
        </w:rPr>
        <w:t>against</w:t>
      </w:r>
      <w:r w:rsidR="0074062A">
        <w:rPr>
          <w:color w:val="000000"/>
          <w:szCs w:val="22"/>
        </w:rPr>
        <w:t xml:space="preserve"> approval of </w:t>
      </w:r>
      <w:r w:rsidR="00F57835">
        <w:rPr>
          <w:color w:val="000000"/>
          <w:szCs w:val="22"/>
        </w:rPr>
        <w:t xml:space="preserve">PLMR </w:t>
      </w:r>
      <w:r w:rsidR="0074062A">
        <w:rPr>
          <w:color w:val="000000"/>
          <w:szCs w:val="22"/>
        </w:rPr>
        <w:t>equipment that is not capable of 6.25 kilohertz operation be delayed indefinitely</w:t>
      </w:r>
      <w:r w:rsidR="002B4B84">
        <w:rPr>
          <w:color w:val="000000"/>
          <w:szCs w:val="22"/>
        </w:rPr>
        <w:t>.</w:t>
      </w:r>
      <w:r w:rsidR="002B4B84">
        <w:rPr>
          <w:rStyle w:val="FootnoteReference"/>
          <w:color w:val="000000"/>
          <w:szCs w:val="22"/>
        </w:rPr>
        <w:footnoteReference w:id="10"/>
      </w:r>
      <w:r w:rsidR="0074062A">
        <w:rPr>
          <w:color w:val="000000"/>
          <w:szCs w:val="22"/>
        </w:rPr>
        <w:t xml:space="preserve"> </w:t>
      </w:r>
      <w:r w:rsidR="002B4B84">
        <w:rPr>
          <w:color w:val="000000"/>
          <w:szCs w:val="22"/>
        </w:rPr>
        <w:t xml:space="preserve"> </w:t>
      </w:r>
      <w:r w:rsidR="0070753F">
        <w:rPr>
          <w:color w:val="000000"/>
          <w:szCs w:val="22"/>
        </w:rPr>
        <w:t>The</w:t>
      </w:r>
      <w:r w:rsidR="00D63639">
        <w:rPr>
          <w:color w:val="000000"/>
          <w:szCs w:val="22"/>
        </w:rPr>
        <w:t xml:space="preserve"> </w:t>
      </w:r>
      <w:r w:rsidR="00D63639">
        <w:rPr>
          <w:i/>
          <w:color w:val="000000"/>
          <w:szCs w:val="22"/>
        </w:rPr>
        <w:t>2013 Order</w:t>
      </w:r>
      <w:r w:rsidR="00E77553">
        <w:rPr>
          <w:color w:val="000000"/>
          <w:szCs w:val="22"/>
        </w:rPr>
        <w:t xml:space="preserve"> </w:t>
      </w:r>
      <w:r w:rsidR="00BC5541">
        <w:rPr>
          <w:color w:val="000000"/>
          <w:szCs w:val="22"/>
        </w:rPr>
        <w:t xml:space="preserve">concluded that </w:t>
      </w:r>
      <w:r w:rsidR="00831083">
        <w:rPr>
          <w:color w:val="000000"/>
          <w:szCs w:val="22"/>
        </w:rPr>
        <w:t>it was unnecessary to delay the transition to 6.25 kilohertz technology</w:t>
      </w:r>
      <w:r w:rsidR="00BC5541">
        <w:rPr>
          <w:color w:val="000000"/>
          <w:szCs w:val="22"/>
        </w:rPr>
        <w:t xml:space="preserve"> until a single industry-wide 6.25 kilohertz standard emerged in the marketplac</w:t>
      </w:r>
      <w:r w:rsidR="0070753F">
        <w:rPr>
          <w:color w:val="000000"/>
          <w:szCs w:val="22"/>
        </w:rPr>
        <w:t>e.</w:t>
      </w:r>
      <w:r w:rsidR="00E77553">
        <w:rPr>
          <w:rStyle w:val="FootnoteReference"/>
          <w:color w:val="000000"/>
          <w:szCs w:val="22"/>
        </w:rPr>
        <w:footnoteReference w:id="11"/>
      </w:r>
      <w:r w:rsidR="0070753F">
        <w:rPr>
          <w:color w:val="000000"/>
          <w:szCs w:val="22"/>
        </w:rPr>
        <w:t xml:space="preserve"> </w:t>
      </w:r>
      <w:r w:rsidR="00E77553">
        <w:rPr>
          <w:color w:val="000000"/>
          <w:szCs w:val="22"/>
        </w:rPr>
        <w:t xml:space="preserve"> </w:t>
      </w:r>
      <w:r w:rsidR="00D63639">
        <w:rPr>
          <w:color w:val="000000"/>
          <w:szCs w:val="22"/>
        </w:rPr>
        <w:t>It</w:t>
      </w:r>
      <w:r w:rsidR="00E77553" w:rsidRPr="000B305F">
        <w:rPr>
          <w:color w:val="000000"/>
          <w:szCs w:val="22"/>
        </w:rPr>
        <w:t xml:space="preserve"> </w:t>
      </w:r>
      <w:r w:rsidR="002B4B84" w:rsidRPr="000B305F">
        <w:rPr>
          <w:color w:val="000000"/>
          <w:szCs w:val="22"/>
        </w:rPr>
        <w:t>did, however,</w:t>
      </w:r>
      <w:r w:rsidR="0074062A" w:rsidRPr="000B305F">
        <w:rPr>
          <w:color w:val="000000"/>
          <w:szCs w:val="22"/>
        </w:rPr>
        <w:t xml:space="preserve"> </w:t>
      </w:r>
      <w:r w:rsidR="00D63639">
        <w:rPr>
          <w:color w:val="000000"/>
          <w:szCs w:val="22"/>
        </w:rPr>
        <w:t>postpone the</w:t>
      </w:r>
      <w:r w:rsidR="00D63639" w:rsidRPr="000B305F">
        <w:rPr>
          <w:color w:val="000000"/>
          <w:szCs w:val="22"/>
        </w:rPr>
        <w:t xml:space="preserve"> </w:t>
      </w:r>
      <w:r w:rsidRPr="000B305F">
        <w:rPr>
          <w:color w:val="000000"/>
          <w:szCs w:val="22"/>
        </w:rPr>
        <w:t xml:space="preserve">implementation of the </w:t>
      </w:r>
      <w:r w:rsidR="00831083">
        <w:rPr>
          <w:color w:val="000000"/>
          <w:szCs w:val="22"/>
        </w:rPr>
        <w:t xml:space="preserve">6.25 kilohertz </w:t>
      </w:r>
      <w:r w:rsidRPr="000B305F">
        <w:rPr>
          <w:color w:val="000000"/>
          <w:szCs w:val="22"/>
        </w:rPr>
        <w:t>requirement until January 1, 2015, to allow additional time for standards bodies to complete the ANSI 102 “Project 25 Phase II” standard</w:t>
      </w:r>
      <w:r w:rsidR="0070753F">
        <w:rPr>
          <w:color w:val="000000"/>
          <w:szCs w:val="22"/>
        </w:rPr>
        <w:t>.</w:t>
      </w:r>
      <w:r w:rsidR="005236EB">
        <w:rPr>
          <w:rStyle w:val="FootnoteReference"/>
          <w:color w:val="000000"/>
          <w:szCs w:val="22"/>
        </w:rPr>
        <w:footnoteReference w:id="12"/>
      </w:r>
      <w:r w:rsidRPr="000B305F">
        <w:rPr>
          <w:color w:val="000000"/>
          <w:szCs w:val="22"/>
        </w:rPr>
        <w:t xml:space="preserve"> </w:t>
      </w:r>
    </w:p>
    <w:p w:rsidR="000B305F" w:rsidRDefault="000B305F" w:rsidP="00780DE0">
      <w:pPr>
        <w:pStyle w:val="ParaNum"/>
        <w:ind w:left="0"/>
        <w:jc w:val="left"/>
      </w:pPr>
      <w:r w:rsidRPr="00780DE0">
        <w:rPr>
          <w:color w:val="000000"/>
          <w:szCs w:val="22"/>
        </w:rPr>
        <w:t xml:space="preserve">The Commission subsequently eliminated the 6.25 kilohertz capability requirement for </w:t>
      </w:r>
      <w:r w:rsidR="00013526" w:rsidRPr="00780DE0">
        <w:rPr>
          <w:color w:val="000000"/>
          <w:szCs w:val="22"/>
        </w:rPr>
        <w:t xml:space="preserve">700 MHz band </w:t>
      </w:r>
      <w:r w:rsidRPr="00780DE0">
        <w:rPr>
          <w:color w:val="000000"/>
          <w:szCs w:val="22"/>
        </w:rPr>
        <w:t>Public Safety equipment</w:t>
      </w:r>
      <w:r w:rsidR="0070753F" w:rsidRPr="00780DE0">
        <w:rPr>
          <w:color w:val="000000"/>
          <w:szCs w:val="22"/>
        </w:rPr>
        <w:t>,</w:t>
      </w:r>
      <w:r>
        <w:rPr>
          <w:rStyle w:val="FootnoteReference"/>
          <w:color w:val="000000"/>
          <w:szCs w:val="22"/>
        </w:rPr>
        <w:footnoteReference w:id="13"/>
      </w:r>
      <w:r w:rsidR="00705B20" w:rsidRPr="00780DE0">
        <w:rPr>
          <w:color w:val="000000"/>
          <w:szCs w:val="22"/>
        </w:rPr>
        <w:t xml:space="preserve"> </w:t>
      </w:r>
      <w:r w:rsidR="0070753F" w:rsidRPr="00780DE0">
        <w:rPr>
          <w:color w:val="000000"/>
          <w:szCs w:val="22"/>
        </w:rPr>
        <w:t xml:space="preserve">concluding </w:t>
      </w:r>
      <w:r w:rsidR="00705B20" w:rsidRPr="00780DE0">
        <w:rPr>
          <w:color w:val="000000"/>
          <w:szCs w:val="22"/>
        </w:rPr>
        <w:t>that the Regional Planning Committees (RPCs), which administer the 700 MHz narrowband interoper</w:t>
      </w:r>
      <w:r w:rsidR="00705B20" w:rsidRPr="0027214E">
        <w:rPr>
          <w:color w:val="000000"/>
          <w:szCs w:val="22"/>
        </w:rPr>
        <w:t>ability channels, were in the best position to evaluate the need for 6.25 kilohertz technology</w:t>
      </w:r>
      <w:r w:rsidR="00780DE0" w:rsidRPr="0027214E">
        <w:rPr>
          <w:color w:val="000000"/>
          <w:szCs w:val="22"/>
        </w:rPr>
        <w:t>.</w:t>
      </w:r>
      <w:r w:rsidR="00705B20">
        <w:rPr>
          <w:rStyle w:val="FootnoteReference"/>
          <w:color w:val="000000"/>
          <w:szCs w:val="22"/>
        </w:rPr>
        <w:footnoteReference w:id="14"/>
      </w:r>
      <w:r w:rsidR="00705B20" w:rsidRPr="00780DE0">
        <w:rPr>
          <w:color w:val="000000"/>
          <w:szCs w:val="22"/>
        </w:rPr>
        <w:t xml:space="preserve">  </w:t>
      </w:r>
      <w:r w:rsidR="002A746C" w:rsidRPr="00780DE0">
        <w:rPr>
          <w:color w:val="000000"/>
          <w:szCs w:val="22"/>
        </w:rPr>
        <w:t xml:space="preserve">On January 1, 2015, the prohibition </w:t>
      </w:r>
      <w:r w:rsidR="00705B20" w:rsidRPr="00780DE0">
        <w:rPr>
          <w:color w:val="000000"/>
          <w:szCs w:val="22"/>
        </w:rPr>
        <w:t>against</w:t>
      </w:r>
      <w:r w:rsidR="002A746C" w:rsidRPr="00780DE0">
        <w:rPr>
          <w:color w:val="000000"/>
          <w:szCs w:val="22"/>
        </w:rPr>
        <w:t xml:space="preserve"> certification of PLMR equipment that is not capable of operating on 6.25 kilohertz </w:t>
      </w:r>
      <w:r w:rsidR="00013526" w:rsidRPr="00780DE0">
        <w:rPr>
          <w:color w:val="000000"/>
          <w:szCs w:val="22"/>
        </w:rPr>
        <w:t>operation</w:t>
      </w:r>
      <w:r w:rsidR="002A746C" w:rsidRPr="00780DE0">
        <w:rPr>
          <w:color w:val="000000"/>
          <w:szCs w:val="22"/>
        </w:rPr>
        <w:t xml:space="preserve"> went into effect.</w:t>
      </w:r>
      <w:r w:rsidR="00CE5905" w:rsidRPr="00780DE0">
        <w:rPr>
          <w:color w:val="000000"/>
          <w:szCs w:val="22"/>
        </w:rPr>
        <w:t xml:space="preserve">  </w:t>
      </w:r>
    </w:p>
    <w:p w:rsidR="00E62F88" w:rsidRDefault="004F526E" w:rsidP="000B305F">
      <w:pPr>
        <w:pStyle w:val="ParaNum"/>
        <w:ind w:left="0"/>
        <w:jc w:val="left"/>
      </w:pPr>
      <w:r>
        <w:lastRenderedPageBreak/>
        <w:t xml:space="preserve">IMSA filed </w:t>
      </w:r>
      <w:r w:rsidR="00E62F88">
        <w:t>its waiver request</w:t>
      </w:r>
      <w:r>
        <w:t xml:space="preserve"> in mid-2016.</w:t>
      </w:r>
      <w:r w:rsidR="00E62F88">
        <w:t xml:space="preserve"> </w:t>
      </w:r>
      <w:r>
        <w:t xml:space="preserve"> </w:t>
      </w:r>
      <w:r w:rsidR="00E62F88">
        <w:t>I</w:t>
      </w:r>
      <w:r w:rsidR="00844259">
        <w:t>t</w:t>
      </w:r>
      <w:r w:rsidR="00E62F88">
        <w:t xml:space="preserve"> argues that the 6.25 </w:t>
      </w:r>
      <w:r w:rsidR="00DF59D1">
        <w:t xml:space="preserve">kilohertz </w:t>
      </w:r>
      <w:r w:rsidR="00E62F88">
        <w:t xml:space="preserve">capability requirement </w:t>
      </w:r>
      <w:r>
        <w:t>w</w:t>
      </w:r>
      <w:r w:rsidR="00CA58F5">
        <w:t>ould</w:t>
      </w:r>
      <w:r>
        <w:t xml:space="preserve"> </w:t>
      </w:r>
      <w:r w:rsidR="00E62F88">
        <w:t>significantly raise prices and reduce deployment, especially for volunteer firefighters and ski patrols.</w:t>
      </w:r>
      <w:r w:rsidR="00112817">
        <w:rPr>
          <w:rStyle w:val="FootnoteReference"/>
        </w:rPr>
        <w:footnoteReference w:id="15"/>
      </w:r>
      <w:r w:rsidR="00E62F88">
        <w:t xml:space="preserve">  I</w:t>
      </w:r>
      <w:r w:rsidR="0056543F">
        <w:t>t</w:t>
      </w:r>
      <w:r w:rsidR="00E62F88">
        <w:t xml:space="preserve"> states that</w:t>
      </w:r>
      <w:r w:rsidR="00785514">
        <w:t>,</w:t>
      </w:r>
      <w:r w:rsidR="00E62F88">
        <w:t xml:space="preserve"> </w:t>
      </w:r>
      <w:r>
        <w:t>because</w:t>
      </w:r>
      <w:r w:rsidR="00E62F88">
        <w:t xml:space="preserve"> Public Safety users are required to continue using radios with FM analog capabilities</w:t>
      </w:r>
      <w:r w:rsidR="00196620">
        <w:t xml:space="preserve"> on mutual aid and interoperability channels</w:t>
      </w:r>
      <w:r w:rsidR="00E62F88">
        <w:t>,</w:t>
      </w:r>
      <w:r w:rsidR="00E62F88">
        <w:rPr>
          <w:rStyle w:val="FootnoteReference"/>
          <w:szCs w:val="22"/>
        </w:rPr>
        <w:footnoteReference w:id="16"/>
      </w:r>
      <w:r w:rsidR="00E62F88">
        <w:t xml:space="preserve"> there is no operational need to mandate digital capabilities as well.</w:t>
      </w:r>
      <w:r w:rsidR="00112817">
        <w:rPr>
          <w:rStyle w:val="FootnoteReference"/>
        </w:rPr>
        <w:footnoteReference w:id="17"/>
      </w:r>
      <w:r w:rsidR="00E62F88">
        <w:t xml:space="preserve">  Further, it contends the 6.25 </w:t>
      </w:r>
      <w:r w:rsidR="00DF59D1">
        <w:t xml:space="preserve">kilohertz </w:t>
      </w:r>
      <w:r w:rsidR="00E62F88">
        <w:t>capability requirement could harm interoperability by allowing incompatible equipment to proliferate.</w:t>
      </w:r>
      <w:r w:rsidR="00112817">
        <w:rPr>
          <w:rStyle w:val="FootnoteReference"/>
        </w:rPr>
        <w:footnoteReference w:id="18"/>
      </w:r>
      <w:r w:rsidR="00E62F88">
        <w:t xml:space="preserve">  Consequently, IMSA asserts that the implementation of section 90.203(j)(4)-(5) should be delayed until January 1, 2020, at which time the Commission should reassess the decision to impose the 6.25 k</w:t>
      </w:r>
      <w:r w:rsidR="00831083">
        <w:t>ilohert</w:t>
      </w:r>
      <w:r w:rsidR="00E62F88">
        <w:t>z capability requirement.</w:t>
      </w:r>
      <w:r w:rsidR="00112817">
        <w:rPr>
          <w:rStyle w:val="FootnoteReference"/>
        </w:rPr>
        <w:footnoteReference w:id="19"/>
      </w:r>
      <w:r w:rsidR="002943B4">
        <w:t xml:space="preserve">  </w:t>
      </w:r>
      <w:r w:rsidR="00D63639">
        <w:t xml:space="preserve">In a joint Public Notice, </w:t>
      </w:r>
      <w:r w:rsidR="002943B4" w:rsidRPr="002943B4">
        <w:rPr>
          <w:color w:val="000000"/>
          <w:szCs w:val="22"/>
        </w:rPr>
        <w:t>WTB</w:t>
      </w:r>
      <w:r w:rsidR="00D63639">
        <w:rPr>
          <w:color w:val="000000"/>
          <w:szCs w:val="22"/>
        </w:rPr>
        <w:t xml:space="preserve">, </w:t>
      </w:r>
      <w:r w:rsidR="002943B4" w:rsidRPr="002943B4">
        <w:rPr>
          <w:color w:val="000000"/>
          <w:szCs w:val="22"/>
        </w:rPr>
        <w:t>PSHSB</w:t>
      </w:r>
      <w:r w:rsidR="00D63639">
        <w:rPr>
          <w:color w:val="000000"/>
          <w:szCs w:val="22"/>
        </w:rPr>
        <w:t xml:space="preserve">, and </w:t>
      </w:r>
      <w:r w:rsidR="002943B4" w:rsidRPr="002943B4">
        <w:rPr>
          <w:color w:val="000000"/>
          <w:szCs w:val="22"/>
        </w:rPr>
        <w:t xml:space="preserve">OET </w:t>
      </w:r>
      <w:r w:rsidR="002943B4" w:rsidRPr="002943B4">
        <w:rPr>
          <w:szCs w:val="22"/>
          <w:lang w:val="en"/>
        </w:rPr>
        <w:t>sought comment on IMSA’s request.</w:t>
      </w:r>
      <w:r w:rsidR="002943B4" w:rsidRPr="00983A21">
        <w:rPr>
          <w:rStyle w:val="FootnoteReference"/>
          <w:szCs w:val="22"/>
          <w:lang w:val="en"/>
        </w:rPr>
        <w:footnoteReference w:id="20"/>
      </w:r>
      <w:r w:rsidR="002943B4" w:rsidRPr="002943B4">
        <w:rPr>
          <w:szCs w:val="22"/>
          <w:lang w:val="en"/>
        </w:rPr>
        <w:t xml:space="preserve">  </w:t>
      </w:r>
    </w:p>
    <w:p w:rsidR="000D4280" w:rsidRPr="002943B4" w:rsidRDefault="00DA491F" w:rsidP="00861685">
      <w:pPr>
        <w:pStyle w:val="ParaNum"/>
        <w:ind w:left="0"/>
        <w:jc w:val="left"/>
        <w:rPr>
          <w:i/>
        </w:rPr>
      </w:pPr>
      <w:r w:rsidRPr="00DA491F">
        <w:rPr>
          <w:i/>
        </w:rPr>
        <w:t>Discussion</w:t>
      </w:r>
      <w:r>
        <w:t>.</w:t>
      </w:r>
      <w:r w:rsidR="000C67D4">
        <w:t xml:space="preserve">  </w:t>
      </w:r>
      <w:r w:rsidR="00BE1579" w:rsidRPr="007F634C">
        <w:t xml:space="preserve">To obtain a waiver of the Commission’s </w:t>
      </w:r>
      <w:r w:rsidR="00BE1579">
        <w:t>r</w:t>
      </w:r>
      <w:r w:rsidR="00BE1579" w:rsidRPr="007F634C">
        <w:t>ules</w:t>
      </w:r>
      <w:r w:rsidR="000D4280">
        <w:t>,</w:t>
      </w:r>
      <w:r w:rsidR="00BE1579" w:rsidRPr="007F634C">
        <w:t xml:space="preserve"> a petitione</w:t>
      </w:r>
      <w:r w:rsidR="00BE1579">
        <w:t xml:space="preserve">r must demonstrate either that </w:t>
      </w:r>
      <w:r w:rsidR="00BE1579" w:rsidRPr="007F634C">
        <w:t>(i) the underlying purpose of the rule(s) would not be served or would be frustrated by application to the present case, and that a grant of the waiver would be in the public interest; or (ii) in view of unique or unusual factual circumstances of the instant case, application of the rule(s) would be inequitable, unduly burdensome, or contrary to the public interest or the applicant has no reasonable alternative</w:t>
      </w:r>
      <w:r w:rsidR="00BE1579" w:rsidRPr="007F634C">
        <w:rPr>
          <w:color w:val="000000"/>
          <w:szCs w:val="22"/>
        </w:rPr>
        <w:t>.</w:t>
      </w:r>
      <w:r w:rsidR="00BE1579" w:rsidRPr="007F634C">
        <w:rPr>
          <w:rStyle w:val="FootnoteReference"/>
          <w:bCs/>
          <w:color w:val="000000"/>
          <w:szCs w:val="22"/>
        </w:rPr>
        <w:footnoteReference w:id="21"/>
      </w:r>
      <w:r w:rsidR="00BE1579" w:rsidRPr="00BE1579">
        <w:rPr>
          <w:color w:val="000000"/>
          <w:szCs w:val="22"/>
        </w:rPr>
        <w:t xml:space="preserve"> </w:t>
      </w:r>
      <w:r w:rsidR="00226C87">
        <w:rPr>
          <w:color w:val="000000"/>
          <w:szCs w:val="22"/>
        </w:rPr>
        <w:t xml:space="preserve"> </w:t>
      </w:r>
      <w:r w:rsidR="002943B4">
        <w:rPr>
          <w:color w:val="000000"/>
          <w:szCs w:val="22"/>
        </w:rPr>
        <w:t>We conclude, based on the record before us, that a waiver is not warranted.</w:t>
      </w:r>
    </w:p>
    <w:p w:rsidR="002943B4" w:rsidRPr="00DF59D1" w:rsidRDefault="00780DE0" w:rsidP="00861685">
      <w:pPr>
        <w:pStyle w:val="ParaNum"/>
        <w:ind w:left="0"/>
        <w:jc w:val="left"/>
        <w:rPr>
          <w:i/>
        </w:rPr>
      </w:pPr>
      <w:r>
        <w:t xml:space="preserve">The </w:t>
      </w:r>
      <w:r w:rsidR="002943B4">
        <w:t xml:space="preserve">Commission has stated repeatedly that the migration to 12.5 kilohertz operation was </w:t>
      </w:r>
      <w:r w:rsidR="00C94F89">
        <w:t xml:space="preserve">only </w:t>
      </w:r>
      <w:r w:rsidR="002943B4">
        <w:t>a transitional step in the eventual migration to 6.25 kilohertz technology</w:t>
      </w:r>
      <w:r w:rsidR="0056543F">
        <w:t>,</w:t>
      </w:r>
      <w:r w:rsidR="002943B4">
        <w:t xml:space="preserve"> and </w:t>
      </w:r>
      <w:r w:rsidR="00C94F89">
        <w:t xml:space="preserve">that </w:t>
      </w:r>
      <w:r w:rsidR="002943B4">
        <w:t>it intends</w:t>
      </w:r>
      <w:r w:rsidR="00C94F89">
        <w:t>,</w:t>
      </w:r>
      <w:r w:rsidR="002943B4">
        <w:t xml:space="preserve"> </w:t>
      </w:r>
      <w:r w:rsidR="00E72486">
        <w:t>if necessary</w:t>
      </w:r>
      <w:r w:rsidR="00C94F89">
        <w:t>,</w:t>
      </w:r>
      <w:r w:rsidR="00E72486">
        <w:t xml:space="preserve"> </w:t>
      </w:r>
      <w:r w:rsidR="002943B4">
        <w:t xml:space="preserve">to </w:t>
      </w:r>
      <w:r w:rsidR="00C94F89">
        <w:t>establish a deadline</w:t>
      </w:r>
      <w:r w:rsidR="002943B4">
        <w:t xml:space="preserve"> for mandatory migrati</w:t>
      </w:r>
      <w:r w:rsidR="0056543F">
        <w:t>on to 6.25 kilohertz technology</w:t>
      </w:r>
      <w:r w:rsidR="00844259">
        <w:t>.</w:t>
      </w:r>
      <w:r w:rsidR="00D63639">
        <w:rPr>
          <w:rStyle w:val="FootnoteReference"/>
        </w:rPr>
        <w:footnoteReference w:id="22"/>
      </w:r>
      <w:r w:rsidR="00CE5905">
        <w:t xml:space="preserve">  We </w:t>
      </w:r>
      <w:r w:rsidR="00340793">
        <w:t xml:space="preserve">find </w:t>
      </w:r>
      <w:r w:rsidR="00CE5905">
        <w:t>that r</w:t>
      </w:r>
      <w:r w:rsidR="00DF59D1">
        <w:t xml:space="preserve">esuming the certification of PLMR equipment that is not capable of operating on 6.25 kilohertz channels or with equivalent efficiency would </w:t>
      </w:r>
      <w:r w:rsidR="00340793">
        <w:t xml:space="preserve">not serve the public interest.  Such an action would </w:t>
      </w:r>
      <w:r w:rsidR="00985524">
        <w:t xml:space="preserve">increase the embedded base of equipment that is not </w:t>
      </w:r>
      <w:r w:rsidR="00DF59D1">
        <w:t>6.25 kilohertz-capable</w:t>
      </w:r>
      <w:r w:rsidR="00340793">
        <w:t>,</w:t>
      </w:r>
      <w:r w:rsidR="0056543F">
        <w:t xml:space="preserve"> and </w:t>
      </w:r>
      <w:r w:rsidR="00340793">
        <w:t xml:space="preserve">such equipment </w:t>
      </w:r>
      <w:r w:rsidR="0056543F">
        <w:t xml:space="preserve">would </w:t>
      </w:r>
      <w:r w:rsidR="00C94F89">
        <w:t xml:space="preserve">eventually </w:t>
      </w:r>
      <w:r w:rsidR="0056543F">
        <w:t>have to be replaced as part of the migration to 6.25 kilohertz technology</w:t>
      </w:r>
      <w:r w:rsidR="00DF59D1">
        <w:t>, thus delay</w:t>
      </w:r>
      <w:r w:rsidR="0056543F">
        <w:t>ing</w:t>
      </w:r>
      <w:r w:rsidR="00DF59D1">
        <w:t xml:space="preserve"> th</w:t>
      </w:r>
      <w:r w:rsidR="00C94F89">
        <w:t>e</w:t>
      </w:r>
      <w:r w:rsidR="00DF59D1">
        <w:t xml:space="preserve"> </w:t>
      </w:r>
      <w:r w:rsidR="00E72486">
        <w:t>transition</w:t>
      </w:r>
      <w:r w:rsidR="00DF59D1">
        <w:t xml:space="preserve">.  </w:t>
      </w:r>
      <w:r w:rsidR="00C94F89">
        <w:t>We conclude, therefore, that d</w:t>
      </w:r>
      <w:r w:rsidR="00E72486">
        <w:t>elay</w:t>
      </w:r>
      <w:r w:rsidR="0056543F">
        <w:t>ing</w:t>
      </w:r>
      <w:r w:rsidR="00E72486">
        <w:t xml:space="preserve"> the 6.25 kilo</w:t>
      </w:r>
      <w:r w:rsidR="00DF59D1">
        <w:t xml:space="preserve">hertz capability requirement </w:t>
      </w:r>
      <w:r w:rsidR="0056543F">
        <w:t xml:space="preserve">again </w:t>
      </w:r>
      <w:r w:rsidR="00C94F89">
        <w:t>would be</w:t>
      </w:r>
      <w:r w:rsidR="00DF59D1">
        <w:t xml:space="preserve"> contrary to the intent of the Commission</w:t>
      </w:r>
      <w:r w:rsidR="00C94F89">
        <w:t xml:space="preserve"> in establishing the</w:t>
      </w:r>
      <w:r w:rsidR="00DF59D1">
        <w:t xml:space="preserve"> narrowbanding rules</w:t>
      </w:r>
      <w:r w:rsidR="00340793">
        <w:t xml:space="preserve"> and </w:t>
      </w:r>
      <w:r w:rsidR="00433F6E">
        <w:t xml:space="preserve">would </w:t>
      </w:r>
      <w:r w:rsidR="00340793">
        <w:t>frustrate the purpose of the underlying rule</w:t>
      </w:r>
      <w:r w:rsidR="00DF59D1">
        <w:t>.</w:t>
      </w:r>
    </w:p>
    <w:p w:rsidR="00C94F89" w:rsidRPr="00C94F89" w:rsidRDefault="00DF59D1" w:rsidP="00A802C0">
      <w:pPr>
        <w:pStyle w:val="ParaNum"/>
        <w:keepNext/>
        <w:widowControl/>
        <w:ind w:left="0"/>
        <w:jc w:val="left"/>
        <w:rPr>
          <w:i/>
        </w:rPr>
      </w:pPr>
      <w:r>
        <w:t xml:space="preserve">Moreover, we are not persuaded by IMSA’s specific arguments.  </w:t>
      </w:r>
      <w:r w:rsidR="00C94F89">
        <w:t>That mandatory</w:t>
      </w:r>
      <w:r>
        <w:t xml:space="preserve"> standards for 6.25 kilohertz technology still are not in place</w:t>
      </w:r>
      <w:r w:rsidR="00C94F89">
        <w:t xml:space="preserve"> </w:t>
      </w:r>
      <w:r w:rsidR="00985524">
        <w:t>does not preclude continued implementation of the 6.25 kilohertz certification requirement</w:t>
      </w:r>
      <w:r w:rsidR="00C94F89">
        <w:t>.  A</w:t>
      </w:r>
      <w:r w:rsidR="00985524">
        <w:t xml:space="preserve">s </w:t>
      </w:r>
      <w:r w:rsidR="00340793">
        <w:rPr>
          <w:color w:val="000000"/>
          <w:szCs w:val="22"/>
        </w:rPr>
        <w:t xml:space="preserve">the </w:t>
      </w:r>
      <w:r w:rsidR="00340793">
        <w:rPr>
          <w:i/>
          <w:color w:val="000000"/>
          <w:szCs w:val="22"/>
        </w:rPr>
        <w:t>2013 Order</w:t>
      </w:r>
      <w:r w:rsidR="00985524">
        <w:rPr>
          <w:color w:val="000000"/>
          <w:szCs w:val="22"/>
        </w:rPr>
        <w:t xml:space="preserve"> explained, the Commission never suggested that it fores</w:t>
      </w:r>
      <w:r w:rsidR="00C94F89">
        <w:rPr>
          <w:color w:val="000000"/>
          <w:szCs w:val="22"/>
        </w:rPr>
        <w:t>aw</w:t>
      </w:r>
      <w:r w:rsidR="00985524">
        <w:rPr>
          <w:color w:val="000000"/>
          <w:szCs w:val="22"/>
        </w:rPr>
        <w:t xml:space="preserve"> or w</w:t>
      </w:r>
      <w:r w:rsidR="00C94F89">
        <w:rPr>
          <w:color w:val="000000"/>
          <w:szCs w:val="22"/>
        </w:rPr>
        <w:t>ould</w:t>
      </w:r>
      <w:r w:rsidR="00985524">
        <w:rPr>
          <w:color w:val="000000"/>
          <w:szCs w:val="22"/>
        </w:rPr>
        <w:t xml:space="preserve"> require adoption of a single mandatory </w:t>
      </w:r>
      <w:r w:rsidR="00C94F89" w:rsidRPr="003168E4">
        <w:rPr>
          <w:color w:val="000000"/>
        </w:rPr>
        <w:t xml:space="preserve">6.25 kilohertz </w:t>
      </w:r>
      <w:r w:rsidR="00985524">
        <w:rPr>
          <w:color w:val="000000"/>
          <w:szCs w:val="22"/>
        </w:rPr>
        <w:t>standard.</w:t>
      </w:r>
      <w:r w:rsidR="00340793">
        <w:rPr>
          <w:rStyle w:val="FootnoteReference"/>
          <w:color w:val="000000"/>
          <w:szCs w:val="22"/>
        </w:rPr>
        <w:footnoteReference w:id="23"/>
      </w:r>
      <w:r w:rsidR="00985524">
        <w:rPr>
          <w:color w:val="000000"/>
          <w:szCs w:val="22"/>
        </w:rPr>
        <w:t xml:space="preserve">  </w:t>
      </w:r>
    </w:p>
    <w:p w:rsidR="00DF59D1" w:rsidRPr="00985524" w:rsidRDefault="00C94F89" w:rsidP="0030389C">
      <w:pPr>
        <w:pStyle w:val="ParaNum"/>
        <w:ind w:left="0"/>
        <w:jc w:val="left"/>
        <w:rPr>
          <w:i/>
        </w:rPr>
      </w:pPr>
      <w:r>
        <w:rPr>
          <w:color w:val="000000"/>
          <w:szCs w:val="22"/>
        </w:rPr>
        <w:t xml:space="preserve">Contrary to IMSA’s contention, </w:t>
      </w:r>
      <w:r w:rsidR="00DF59D1">
        <w:t>the Commission</w:t>
      </w:r>
      <w:r w:rsidR="0042224A">
        <w:t>’</w:t>
      </w:r>
      <w:r w:rsidR="00DF59D1">
        <w:t>s eliminat</w:t>
      </w:r>
      <w:r w:rsidR="0042224A">
        <w:t>ion of</w:t>
      </w:r>
      <w:r w:rsidR="00DF59D1">
        <w:t xml:space="preserve"> the 6.25 kilohertz capability requirement for </w:t>
      </w:r>
      <w:r w:rsidR="0042224A">
        <w:t xml:space="preserve">the </w:t>
      </w:r>
      <w:r w:rsidR="0056543F">
        <w:t xml:space="preserve">700 MHz band </w:t>
      </w:r>
      <w:r w:rsidR="00DF59D1">
        <w:t xml:space="preserve">Public Safety </w:t>
      </w:r>
      <w:r w:rsidR="0042224A">
        <w:t>band</w:t>
      </w:r>
      <w:r w:rsidR="00DF59D1">
        <w:t xml:space="preserve"> </w:t>
      </w:r>
      <w:r w:rsidR="0042224A">
        <w:t>is not a predicate for eliminating or delaying the transition to 6.25 kilohertz technolo</w:t>
      </w:r>
      <w:r w:rsidR="005236EB">
        <w:t xml:space="preserve">gy in the bands below 512 MHz.  </w:t>
      </w:r>
      <w:r w:rsidR="00780DE0">
        <w:t xml:space="preserve">The </w:t>
      </w:r>
      <w:r w:rsidR="0042224A">
        <w:t>Commission decided that the transition to 6.25 kilohertz technology for the 700 MHz Public Safety channels was best placed in the hands of the RPCs, which have superior knowledge of</w:t>
      </w:r>
      <w:r w:rsidR="004F0FF6">
        <w:t xml:space="preserve"> </w:t>
      </w:r>
      <w:r w:rsidR="0042224A">
        <w:t xml:space="preserve">local spectrum requirements.  No such consideration exists in the bands below 512 MHz, </w:t>
      </w:r>
      <w:r w:rsidR="004F0FF6">
        <w:t xml:space="preserve">which, rather </w:t>
      </w:r>
      <w:r w:rsidR="000308FC">
        <w:t xml:space="preserve">than </w:t>
      </w:r>
      <w:r w:rsidR="004F0FF6">
        <w:t xml:space="preserve">being used by one class of users and administered regionally by a single RPC, </w:t>
      </w:r>
      <w:r w:rsidR="000308FC">
        <w:t xml:space="preserve">are </w:t>
      </w:r>
      <w:r w:rsidR="0042224A">
        <w:t xml:space="preserve">shared by multiple classes of users and </w:t>
      </w:r>
      <w:r w:rsidR="004F0FF6">
        <w:t>coordinated by multiple entities</w:t>
      </w:r>
      <w:r w:rsidR="0042224A">
        <w:t>.  Similarly, anticipating the possible future conversion of the 700 MHz Public Safety band to broadband, the Commission elected not to impede such a convers</w:t>
      </w:r>
      <w:r w:rsidR="007D0012">
        <w:t>ion</w:t>
      </w:r>
      <w:r w:rsidR="0042224A">
        <w:t xml:space="preserve"> by mandating 6.25 kilohertz technology in the band.  Here, too, IMSA has not convinced us that there is a parallel between the 700 MHz Public Safety channels</w:t>
      </w:r>
      <w:r w:rsidR="00054719">
        <w:t>, where the Commission expressly sought to leave RPCs with the option of considering broadband use,</w:t>
      </w:r>
      <w:r w:rsidR="0042224A">
        <w:t xml:space="preserve"> and channels in the bands below 512 MHz, </w:t>
      </w:r>
      <w:r w:rsidR="00054719">
        <w:t xml:space="preserve">where the Commission contemplates further narrowbanding. </w:t>
      </w:r>
    </w:p>
    <w:p w:rsidR="00E67488" w:rsidRPr="00BD7C77" w:rsidRDefault="00985524" w:rsidP="00BD7C77">
      <w:pPr>
        <w:pStyle w:val="ParaNum"/>
        <w:ind w:left="0"/>
        <w:jc w:val="left"/>
        <w:rPr>
          <w:i/>
        </w:rPr>
      </w:pPr>
      <w:r w:rsidRPr="00BD7C77">
        <w:rPr>
          <w:color w:val="000000"/>
          <w:szCs w:val="22"/>
        </w:rPr>
        <w:t xml:space="preserve">Finally, </w:t>
      </w:r>
      <w:r w:rsidR="009D195B" w:rsidRPr="00BD7C77">
        <w:rPr>
          <w:color w:val="000000"/>
          <w:szCs w:val="22"/>
        </w:rPr>
        <w:t xml:space="preserve">we conclude that the record does not substantiate IMSA’s </w:t>
      </w:r>
      <w:r w:rsidR="0056543F" w:rsidRPr="00BD7C77">
        <w:rPr>
          <w:color w:val="000000"/>
          <w:szCs w:val="22"/>
        </w:rPr>
        <w:t>assertion</w:t>
      </w:r>
      <w:r w:rsidR="009D195B" w:rsidRPr="00BD7C77">
        <w:rPr>
          <w:color w:val="000000"/>
          <w:szCs w:val="22"/>
        </w:rPr>
        <w:t xml:space="preserve"> that continued implementation of the </w:t>
      </w:r>
      <w:r w:rsidR="009D195B">
        <w:t>6.25 kilohertz capability requirement for PLMR equipment will significantly raise prices and reduce deployment.  I</w:t>
      </w:r>
      <w:r w:rsidR="00433F6E">
        <w:t>n its waiver request I</w:t>
      </w:r>
      <w:r w:rsidR="009D195B">
        <w:t xml:space="preserve">MSA </w:t>
      </w:r>
      <w:r w:rsidR="00E923CE">
        <w:t>did</w:t>
      </w:r>
      <w:r w:rsidR="009D195B">
        <w:t xml:space="preserve"> no</w:t>
      </w:r>
      <w:r w:rsidR="00E923CE">
        <w:t>t</w:t>
      </w:r>
      <w:r w:rsidR="009D195B">
        <w:t xml:space="preserve"> quantify the </w:t>
      </w:r>
      <w:r w:rsidR="0056543F">
        <w:t xml:space="preserve">requirement’s </w:t>
      </w:r>
      <w:r w:rsidR="009D195B">
        <w:t>effect on equipment costs</w:t>
      </w:r>
      <w:r w:rsidR="00054719">
        <w:t xml:space="preserve"> or deployment</w:t>
      </w:r>
      <w:r w:rsidR="009D195B">
        <w:t xml:space="preserve">.  </w:t>
      </w:r>
      <w:r w:rsidR="00054719">
        <w:t xml:space="preserve">It also did not demonstrate that continued implementation of the 6.25 kilohertz capability requirement would be inequitable, unduly burdensome, or contrary to the public interest in view of the unique or unusual factual circumstances of the instant case.  The </w:t>
      </w:r>
      <w:r w:rsidR="00054719" w:rsidRPr="00BD7C77">
        <w:rPr>
          <w:i/>
        </w:rPr>
        <w:t xml:space="preserve">Public Notice </w:t>
      </w:r>
      <w:r w:rsidR="009D195B" w:rsidRPr="00BD7C77">
        <w:rPr>
          <w:color w:val="000000"/>
          <w:szCs w:val="22"/>
        </w:rPr>
        <w:t xml:space="preserve">specifically sought comment on the </w:t>
      </w:r>
      <w:r w:rsidR="00BD7C77" w:rsidRPr="00BD7C77">
        <w:rPr>
          <w:color w:val="000000"/>
          <w:szCs w:val="22"/>
        </w:rPr>
        <w:t xml:space="preserve">cost and other </w:t>
      </w:r>
      <w:r w:rsidR="009D195B" w:rsidRPr="00BD7C77">
        <w:rPr>
          <w:color w:val="000000"/>
          <w:szCs w:val="22"/>
        </w:rPr>
        <w:t>issue</w:t>
      </w:r>
      <w:r w:rsidR="00BD7C77" w:rsidRPr="00BD7C77">
        <w:rPr>
          <w:color w:val="000000"/>
          <w:szCs w:val="22"/>
        </w:rPr>
        <w:t>s.</w:t>
      </w:r>
      <w:r w:rsidR="009D195B">
        <w:rPr>
          <w:rStyle w:val="FootnoteReference"/>
          <w:color w:val="000000"/>
          <w:szCs w:val="22"/>
        </w:rPr>
        <w:footnoteReference w:id="24"/>
      </w:r>
      <w:r w:rsidR="009D195B" w:rsidRPr="00BD7C77">
        <w:rPr>
          <w:color w:val="000000"/>
          <w:szCs w:val="22"/>
        </w:rPr>
        <w:t xml:space="preserve"> </w:t>
      </w:r>
      <w:r w:rsidR="00BD7C77" w:rsidRPr="00BD7C77">
        <w:rPr>
          <w:color w:val="000000"/>
          <w:szCs w:val="22"/>
        </w:rPr>
        <w:t xml:space="preserve"> T</w:t>
      </w:r>
      <w:r w:rsidR="009D195B" w:rsidRPr="00BD7C77">
        <w:rPr>
          <w:color w:val="000000"/>
          <w:szCs w:val="22"/>
        </w:rPr>
        <w:t>he record</w:t>
      </w:r>
      <w:r w:rsidR="00F60DD3">
        <w:rPr>
          <w:color w:val="000000"/>
          <w:szCs w:val="22"/>
        </w:rPr>
        <w:t xml:space="preserve"> </w:t>
      </w:r>
      <w:r w:rsidR="00BD7C77" w:rsidRPr="00BF595A">
        <w:rPr>
          <w:color w:val="000000"/>
          <w:szCs w:val="22"/>
        </w:rPr>
        <w:t>includes some conflicting assertions, but there is no clear evidence supporting IMSA’s assertions</w:t>
      </w:r>
      <w:r w:rsidR="009D195B" w:rsidRPr="00BF595A">
        <w:rPr>
          <w:color w:val="000000"/>
          <w:szCs w:val="22"/>
        </w:rPr>
        <w:t>.  Some commenters state</w:t>
      </w:r>
      <w:r w:rsidR="009D195B" w:rsidRPr="00BF595A">
        <w:rPr>
          <w:szCs w:val="22"/>
          <w:lang w:val="en"/>
        </w:rPr>
        <w:t xml:space="preserve"> that </w:t>
      </w:r>
      <w:r w:rsidR="00E72486" w:rsidRPr="00BF595A">
        <w:rPr>
          <w:szCs w:val="22"/>
          <w:lang w:val="en"/>
        </w:rPr>
        <w:t xml:space="preserve">manufacturer investment and </w:t>
      </w:r>
      <w:r w:rsidR="009D195B" w:rsidRPr="00BF595A">
        <w:rPr>
          <w:szCs w:val="22"/>
          <w:lang w:val="en"/>
        </w:rPr>
        <w:t>market competition ha</w:t>
      </w:r>
      <w:r w:rsidR="007D0012" w:rsidRPr="00BF595A">
        <w:rPr>
          <w:szCs w:val="22"/>
          <w:lang w:val="en"/>
        </w:rPr>
        <w:t>ve</w:t>
      </w:r>
      <w:r w:rsidR="009D195B" w:rsidRPr="00BF595A">
        <w:rPr>
          <w:szCs w:val="22"/>
          <w:lang w:val="en"/>
        </w:rPr>
        <w:t xml:space="preserve"> </w:t>
      </w:r>
      <w:r w:rsidR="00CE5905" w:rsidRPr="00BF595A">
        <w:rPr>
          <w:szCs w:val="22"/>
          <w:lang w:val="en"/>
        </w:rPr>
        <w:t xml:space="preserve">kept the price of </w:t>
      </w:r>
      <w:r w:rsidR="009D195B" w:rsidRPr="00BF595A">
        <w:rPr>
          <w:szCs w:val="22"/>
          <w:lang w:val="en"/>
        </w:rPr>
        <w:t xml:space="preserve">6.25 </w:t>
      </w:r>
      <w:r w:rsidR="00CE5905" w:rsidRPr="00BF595A">
        <w:rPr>
          <w:szCs w:val="22"/>
          <w:lang w:val="en"/>
        </w:rPr>
        <w:t xml:space="preserve">kilohertz-capable equipment comparable to </w:t>
      </w:r>
      <w:r w:rsidR="00E923CE" w:rsidRPr="00BF595A">
        <w:rPr>
          <w:szCs w:val="22"/>
          <w:lang w:val="en"/>
        </w:rPr>
        <w:t xml:space="preserve">that of </w:t>
      </w:r>
      <w:r w:rsidR="00CE5905" w:rsidRPr="00BF595A">
        <w:rPr>
          <w:szCs w:val="22"/>
          <w:lang w:val="en"/>
        </w:rPr>
        <w:t xml:space="preserve">similar equipment </w:t>
      </w:r>
      <w:r w:rsidR="00E923CE" w:rsidRPr="00BF595A">
        <w:rPr>
          <w:szCs w:val="22"/>
          <w:lang w:val="en"/>
        </w:rPr>
        <w:t>without</w:t>
      </w:r>
      <w:r w:rsidR="00CE5905" w:rsidRPr="00BF595A">
        <w:rPr>
          <w:szCs w:val="22"/>
          <w:lang w:val="en"/>
        </w:rPr>
        <w:t xml:space="preserve"> 6.25 kilohertz c</w:t>
      </w:r>
      <w:r w:rsidR="00E923CE" w:rsidRPr="00BF595A">
        <w:rPr>
          <w:szCs w:val="22"/>
          <w:lang w:val="en"/>
        </w:rPr>
        <w:t>apability</w:t>
      </w:r>
      <w:r w:rsidR="00CE5905" w:rsidRPr="00BF595A">
        <w:rPr>
          <w:szCs w:val="22"/>
          <w:lang w:val="en"/>
        </w:rPr>
        <w:t>.</w:t>
      </w:r>
      <w:r w:rsidR="00CE5905">
        <w:rPr>
          <w:rStyle w:val="FootnoteReference"/>
          <w:szCs w:val="22"/>
          <w:lang w:val="en"/>
        </w:rPr>
        <w:footnoteReference w:id="25"/>
      </w:r>
      <w:r w:rsidR="00CE5905" w:rsidRPr="00BD7C77">
        <w:rPr>
          <w:szCs w:val="22"/>
          <w:lang w:val="en"/>
        </w:rPr>
        <w:t xml:space="preserve">  </w:t>
      </w:r>
      <w:r w:rsidR="00E923CE" w:rsidRPr="00BD7C77">
        <w:rPr>
          <w:szCs w:val="22"/>
          <w:lang w:val="en"/>
        </w:rPr>
        <w:t>Others assert that complying with the 6.25 kilohertz capability requirement adds more than a thousand dollars to the cost of a radio,</w:t>
      </w:r>
      <w:r w:rsidR="00E923CE">
        <w:rPr>
          <w:rStyle w:val="FootnoteReference"/>
          <w:szCs w:val="22"/>
          <w:lang w:val="en"/>
        </w:rPr>
        <w:footnoteReference w:id="26"/>
      </w:r>
      <w:r w:rsidR="00E923CE" w:rsidRPr="00BD7C77">
        <w:rPr>
          <w:szCs w:val="22"/>
          <w:lang w:val="en"/>
        </w:rPr>
        <w:t xml:space="preserve"> but they appear to be comparing low-end models with high-end models.</w:t>
      </w:r>
      <w:r w:rsidR="00E923CE">
        <w:rPr>
          <w:rStyle w:val="FootnoteReference"/>
          <w:szCs w:val="22"/>
          <w:lang w:val="en"/>
        </w:rPr>
        <w:footnoteReference w:id="27"/>
      </w:r>
      <w:r w:rsidR="00BD7C77" w:rsidRPr="00BD7C77">
        <w:rPr>
          <w:szCs w:val="22"/>
          <w:lang w:val="en"/>
        </w:rPr>
        <w:t xml:space="preserve">  </w:t>
      </w:r>
      <w:r w:rsidR="00BE1579" w:rsidRPr="00BD7C77">
        <w:rPr>
          <w:color w:val="000000"/>
          <w:szCs w:val="22"/>
        </w:rPr>
        <w:t>Based on the re</w:t>
      </w:r>
      <w:r w:rsidR="004D0517" w:rsidRPr="00BD7C77">
        <w:rPr>
          <w:color w:val="000000"/>
          <w:szCs w:val="22"/>
        </w:rPr>
        <w:t>cord before us, we conclude that IMSA</w:t>
      </w:r>
      <w:r w:rsidR="00BE1579" w:rsidRPr="00BD7C77">
        <w:rPr>
          <w:color w:val="000000"/>
          <w:szCs w:val="22"/>
        </w:rPr>
        <w:t xml:space="preserve"> </w:t>
      </w:r>
      <w:r w:rsidR="004113E4" w:rsidRPr="00BD7C77">
        <w:rPr>
          <w:rStyle w:val="documentbody"/>
          <w:color w:val="000000"/>
        </w:rPr>
        <w:t>has not</w:t>
      </w:r>
      <w:r w:rsidR="00BE1579" w:rsidRPr="007F634C">
        <w:rPr>
          <w:rStyle w:val="documentbody"/>
        </w:rPr>
        <w:t xml:space="preserve"> presented </w:t>
      </w:r>
      <w:r w:rsidR="00BD7C77">
        <w:rPr>
          <w:rStyle w:val="documentbody"/>
        </w:rPr>
        <w:t>any compelling</w:t>
      </w:r>
      <w:r w:rsidR="00BD7C77" w:rsidRPr="007F634C">
        <w:rPr>
          <w:rStyle w:val="documentbody"/>
        </w:rPr>
        <w:t xml:space="preserve"> </w:t>
      </w:r>
      <w:r w:rsidR="00BE1579" w:rsidRPr="007F634C">
        <w:rPr>
          <w:rStyle w:val="documentbody"/>
        </w:rPr>
        <w:t xml:space="preserve">facts </w:t>
      </w:r>
      <w:r w:rsidR="00BD7C77">
        <w:rPr>
          <w:rStyle w:val="documentbody"/>
        </w:rPr>
        <w:t xml:space="preserve">or demonstrated that continued implementation of the 6.25 kilohertz capability requirement would be inequitable, unduly burdensome, or contrary to the public interest in the instant case.  </w:t>
      </w:r>
      <w:r w:rsidR="00A01120" w:rsidRPr="00BD7C77">
        <w:rPr>
          <w:color w:val="000000"/>
          <w:szCs w:val="22"/>
        </w:rPr>
        <w:t>Moreover, a waiver request generally is not the appropriate vehicle for seeking a substantial change in the rules applicable to all licensees in a particular service</w:t>
      </w:r>
      <w:r w:rsidR="00BD7C77">
        <w:rPr>
          <w:color w:val="000000"/>
          <w:szCs w:val="22"/>
        </w:rPr>
        <w:t>; this sort of fundamental change is the province of rulemaking</w:t>
      </w:r>
      <w:r w:rsidR="00A01120" w:rsidRPr="00BD7C77">
        <w:rPr>
          <w:color w:val="000000"/>
          <w:szCs w:val="22"/>
        </w:rPr>
        <w:t>.</w:t>
      </w:r>
      <w:r w:rsidR="00A01120">
        <w:rPr>
          <w:rStyle w:val="FootnoteReference"/>
          <w:color w:val="000000"/>
          <w:szCs w:val="22"/>
        </w:rPr>
        <w:footnoteReference w:id="28"/>
      </w:r>
      <w:r w:rsidR="00A01120" w:rsidRPr="00BD7C77">
        <w:rPr>
          <w:color w:val="000000"/>
          <w:szCs w:val="22"/>
        </w:rPr>
        <w:t xml:space="preserve">  </w:t>
      </w:r>
    </w:p>
    <w:p w:rsidR="007A0787" w:rsidRDefault="00C77281" w:rsidP="00792533">
      <w:pPr>
        <w:pStyle w:val="ParaNum"/>
        <w:ind w:left="0"/>
        <w:jc w:val="left"/>
      </w:pPr>
      <w:r>
        <w:t>Accordingly</w:t>
      </w:r>
      <w:r w:rsidR="009D195B">
        <w:t>, IT IS ORDERED pursuant to s</w:t>
      </w:r>
      <w:r w:rsidR="00B720FD">
        <w:t>ections 4(i), 303(g), and 303(r) of the Communications Act of 1934, as amended, 47 U.S.C. §§ 154(i), 303(g</w:t>
      </w:r>
      <w:r w:rsidR="00086EE2">
        <w:t>), and 303(r</w:t>
      </w:r>
      <w:r w:rsidR="000014DA">
        <w:t xml:space="preserve">), </w:t>
      </w:r>
      <w:r w:rsidR="009D195B">
        <w:t xml:space="preserve">and section 1.925 of the Commission’s rules, 47 CFR § 1.925, </w:t>
      </w:r>
      <w:r w:rsidR="000014DA">
        <w:t xml:space="preserve">that the Request for </w:t>
      </w:r>
      <w:r w:rsidR="00086EE2">
        <w:t>Waiver</w:t>
      </w:r>
      <w:r w:rsidR="00AB0004">
        <w:t xml:space="preserve"> </w:t>
      </w:r>
      <w:r w:rsidR="00B720FD">
        <w:t>filed by</w:t>
      </w:r>
      <w:r w:rsidR="0084581F">
        <w:t xml:space="preserve"> </w:t>
      </w:r>
      <w:r w:rsidR="004D0517">
        <w:t>the International Signal Association</w:t>
      </w:r>
      <w:r>
        <w:t xml:space="preserve"> </w:t>
      </w:r>
      <w:r w:rsidR="004D0517">
        <w:t>on August 19</w:t>
      </w:r>
      <w:r w:rsidR="00F93DAF">
        <w:t>, 2016</w:t>
      </w:r>
      <w:r w:rsidR="004D0517">
        <w:t xml:space="preserve">, </w:t>
      </w:r>
      <w:r w:rsidR="00F93DAF">
        <w:t>IS</w:t>
      </w:r>
      <w:r w:rsidR="004113E4">
        <w:t xml:space="preserve"> </w:t>
      </w:r>
      <w:r w:rsidR="004D0517">
        <w:t>DENIED</w:t>
      </w:r>
      <w:r w:rsidR="00B720FD">
        <w:t xml:space="preserve">.  </w:t>
      </w:r>
    </w:p>
    <w:p w:rsidR="00C02398" w:rsidRDefault="00C02398">
      <w:r>
        <w:br w:type="page"/>
      </w:r>
    </w:p>
    <w:p w:rsidR="000D01DC" w:rsidRDefault="000D01DC" w:rsidP="00792533">
      <w:pPr>
        <w:pStyle w:val="ParaNum"/>
        <w:ind w:left="0"/>
        <w:jc w:val="left"/>
      </w:pPr>
      <w:r>
        <w:t>This action is taken under d</w:t>
      </w:r>
      <w:r w:rsidR="007A0787">
        <w:t>elegated authority pursuant to s</w:t>
      </w:r>
      <w:r>
        <w:t>ections 0.131</w:t>
      </w:r>
      <w:r w:rsidR="00226C87">
        <w:t xml:space="preserve"> and </w:t>
      </w:r>
      <w:r>
        <w:t xml:space="preserve">0.331 </w:t>
      </w:r>
      <w:r w:rsidR="00226C87">
        <w:t>of the Commission’s r</w:t>
      </w:r>
      <w:r>
        <w:t xml:space="preserve">ules, 47 CFR §§ 0.131, </w:t>
      </w:r>
      <w:r w:rsidR="00226C87">
        <w:t>0.331</w:t>
      </w:r>
      <w:r>
        <w:t>.</w:t>
      </w:r>
    </w:p>
    <w:p w:rsidR="00B720FD" w:rsidRDefault="00084091" w:rsidP="00B720FD">
      <w:pPr>
        <w:pStyle w:val="Numberedparagraph"/>
        <w:numPr>
          <w:ilvl w:val="0"/>
          <w:numId w:val="0"/>
        </w:numPr>
      </w:pPr>
      <w:r>
        <w:t xml:space="preserve">                                                                              </w:t>
      </w:r>
      <w:r w:rsidR="00B720FD">
        <w:t>FEDERAL COMMUNICATIONS COMMISSION</w:t>
      </w:r>
    </w:p>
    <w:p w:rsidR="00B57BAF" w:rsidRDefault="00B57BAF" w:rsidP="00B720FD">
      <w:pPr>
        <w:tabs>
          <w:tab w:val="left" w:pos="720"/>
          <w:tab w:val="left" w:pos="1440"/>
          <w:tab w:val="left" w:pos="2160"/>
          <w:tab w:val="left" w:pos="2880"/>
          <w:tab w:val="left" w:pos="3600"/>
        </w:tabs>
        <w:ind w:firstLine="720"/>
      </w:pPr>
    </w:p>
    <w:p w:rsidR="00AB0004" w:rsidRPr="00AB0004" w:rsidRDefault="00303BAB" w:rsidP="00AB212F">
      <w:pPr>
        <w:autoSpaceDE w:val="0"/>
        <w:autoSpaceDN w:val="0"/>
        <w:adjustRightInd w:val="0"/>
        <w:rPr>
          <w:color w:val="010101"/>
          <w:szCs w:val="22"/>
        </w:rPr>
      </w:pPr>
      <w:r>
        <w:tab/>
      </w:r>
      <w:r>
        <w:tab/>
      </w:r>
    </w:p>
    <w:p w:rsidR="00971396" w:rsidRDefault="00971396" w:rsidP="00971396">
      <w:pPr>
        <w:tabs>
          <w:tab w:val="left" w:pos="720"/>
          <w:tab w:val="left" w:pos="1440"/>
          <w:tab w:val="left" w:pos="2160"/>
          <w:tab w:val="left" w:pos="2880"/>
          <w:tab w:val="left" w:pos="3600"/>
        </w:tabs>
        <w:ind w:firstLine="720"/>
      </w:pPr>
    </w:p>
    <w:p w:rsidR="00971396" w:rsidRPr="00AB0004" w:rsidRDefault="00971396" w:rsidP="00971396">
      <w:pPr>
        <w:autoSpaceDE w:val="0"/>
        <w:autoSpaceDN w:val="0"/>
        <w:adjustRightInd w:val="0"/>
        <w:rPr>
          <w:color w:val="010101"/>
          <w:szCs w:val="22"/>
        </w:rPr>
      </w:pPr>
      <w:r>
        <w:tab/>
      </w:r>
      <w:r>
        <w:tab/>
      </w:r>
      <w:r>
        <w:tab/>
      </w:r>
      <w:r>
        <w:tab/>
      </w:r>
      <w:r>
        <w:tab/>
      </w:r>
      <w:r>
        <w:tab/>
      </w:r>
      <w:r w:rsidR="00F60DD3">
        <w:rPr>
          <w:color w:val="010101"/>
          <w:szCs w:val="22"/>
        </w:rPr>
        <w:t>Donald K. Stockdale, Jr.</w:t>
      </w:r>
    </w:p>
    <w:p w:rsidR="00971396" w:rsidRPr="00AB0004" w:rsidRDefault="00971396" w:rsidP="00971396">
      <w:pPr>
        <w:autoSpaceDE w:val="0"/>
        <w:autoSpaceDN w:val="0"/>
        <w:adjustRightInd w:val="0"/>
        <w:ind w:left="3600" w:firstLine="720"/>
        <w:rPr>
          <w:color w:val="010101"/>
          <w:szCs w:val="22"/>
        </w:rPr>
      </w:pPr>
      <w:r w:rsidRPr="00AB0004">
        <w:rPr>
          <w:color w:val="010101"/>
          <w:szCs w:val="22"/>
        </w:rPr>
        <w:t>Chief</w:t>
      </w:r>
    </w:p>
    <w:p w:rsidR="00971396" w:rsidRPr="00AB0004" w:rsidRDefault="00971396" w:rsidP="00971396">
      <w:pPr>
        <w:autoSpaceDE w:val="0"/>
        <w:autoSpaceDN w:val="0"/>
        <w:adjustRightInd w:val="0"/>
        <w:ind w:left="3600" w:firstLine="720"/>
        <w:rPr>
          <w:color w:val="010101"/>
          <w:szCs w:val="22"/>
        </w:rPr>
      </w:pPr>
      <w:r w:rsidRPr="00AB0004">
        <w:rPr>
          <w:color w:val="010101"/>
          <w:szCs w:val="22"/>
        </w:rPr>
        <w:t>Wireless Telecommunications Bureau</w:t>
      </w:r>
    </w:p>
    <w:p w:rsidR="00971396" w:rsidRDefault="00971396" w:rsidP="00971396">
      <w:pPr>
        <w:autoSpaceDE w:val="0"/>
        <w:autoSpaceDN w:val="0"/>
        <w:adjustRightInd w:val="0"/>
        <w:rPr>
          <w:color w:val="010101"/>
          <w:szCs w:val="22"/>
        </w:rPr>
      </w:pPr>
    </w:p>
    <w:p w:rsidR="00971396" w:rsidRDefault="00971396" w:rsidP="00971396">
      <w:pPr>
        <w:autoSpaceDE w:val="0"/>
        <w:autoSpaceDN w:val="0"/>
        <w:adjustRightInd w:val="0"/>
        <w:rPr>
          <w:color w:val="010101"/>
          <w:szCs w:val="22"/>
        </w:rPr>
      </w:pPr>
    </w:p>
    <w:p w:rsidR="00971396" w:rsidRDefault="00971396" w:rsidP="00971396">
      <w:pPr>
        <w:autoSpaceDE w:val="0"/>
        <w:autoSpaceDN w:val="0"/>
        <w:adjustRightInd w:val="0"/>
        <w:rPr>
          <w:color w:val="010101"/>
          <w:szCs w:val="22"/>
        </w:rPr>
      </w:pPr>
    </w:p>
    <w:p w:rsidR="00971396" w:rsidRDefault="00971396" w:rsidP="00971396">
      <w:pPr>
        <w:autoSpaceDE w:val="0"/>
        <w:autoSpaceDN w:val="0"/>
        <w:adjustRightInd w:val="0"/>
        <w:rPr>
          <w:color w:val="010101"/>
          <w:szCs w:val="22"/>
        </w:rPr>
      </w:pPr>
    </w:p>
    <w:p w:rsidR="00971396" w:rsidRPr="00AB0004" w:rsidRDefault="0030389C" w:rsidP="00971396">
      <w:pPr>
        <w:autoSpaceDE w:val="0"/>
        <w:autoSpaceDN w:val="0"/>
        <w:adjustRightInd w:val="0"/>
        <w:ind w:left="3600" w:firstLine="720"/>
        <w:rPr>
          <w:color w:val="010101"/>
          <w:szCs w:val="22"/>
        </w:rPr>
      </w:pPr>
      <w:r>
        <w:rPr>
          <w:color w:val="010101"/>
          <w:szCs w:val="22"/>
        </w:rPr>
        <w:t>Lisa M. Fowlkes</w:t>
      </w:r>
    </w:p>
    <w:p w:rsidR="00971396" w:rsidRPr="00AB0004" w:rsidRDefault="00971396" w:rsidP="00971396">
      <w:pPr>
        <w:autoSpaceDE w:val="0"/>
        <w:autoSpaceDN w:val="0"/>
        <w:adjustRightInd w:val="0"/>
        <w:ind w:left="3600" w:firstLine="720"/>
        <w:rPr>
          <w:color w:val="010101"/>
          <w:szCs w:val="22"/>
        </w:rPr>
      </w:pPr>
      <w:r w:rsidRPr="00AB0004">
        <w:rPr>
          <w:color w:val="010101"/>
          <w:szCs w:val="22"/>
        </w:rPr>
        <w:t>Chief</w:t>
      </w:r>
    </w:p>
    <w:p w:rsidR="00971396" w:rsidRPr="00AB0004" w:rsidRDefault="00971396" w:rsidP="00971396">
      <w:pPr>
        <w:autoSpaceDE w:val="0"/>
        <w:autoSpaceDN w:val="0"/>
        <w:adjustRightInd w:val="0"/>
        <w:ind w:left="3600" w:firstLine="720"/>
        <w:rPr>
          <w:color w:val="010101"/>
          <w:szCs w:val="22"/>
        </w:rPr>
      </w:pPr>
      <w:r w:rsidRPr="00AB0004">
        <w:rPr>
          <w:color w:val="010101"/>
          <w:szCs w:val="22"/>
        </w:rPr>
        <w:t>Public Safety and Homeland Security Bureau</w:t>
      </w:r>
    </w:p>
    <w:p w:rsidR="00971396" w:rsidRDefault="00971396" w:rsidP="00971396">
      <w:pPr>
        <w:autoSpaceDE w:val="0"/>
        <w:autoSpaceDN w:val="0"/>
        <w:adjustRightInd w:val="0"/>
        <w:rPr>
          <w:color w:val="010101"/>
          <w:szCs w:val="22"/>
        </w:rPr>
      </w:pPr>
    </w:p>
    <w:p w:rsidR="00971396" w:rsidRDefault="00971396" w:rsidP="00971396">
      <w:pPr>
        <w:autoSpaceDE w:val="0"/>
        <w:autoSpaceDN w:val="0"/>
        <w:adjustRightInd w:val="0"/>
        <w:rPr>
          <w:color w:val="010101"/>
          <w:szCs w:val="22"/>
        </w:rPr>
      </w:pPr>
    </w:p>
    <w:p w:rsidR="00971396" w:rsidRDefault="00971396" w:rsidP="00971396">
      <w:pPr>
        <w:autoSpaceDE w:val="0"/>
        <w:autoSpaceDN w:val="0"/>
        <w:adjustRightInd w:val="0"/>
        <w:rPr>
          <w:color w:val="010101"/>
          <w:szCs w:val="22"/>
        </w:rPr>
      </w:pPr>
    </w:p>
    <w:p w:rsidR="00971396" w:rsidRDefault="00971396" w:rsidP="00971396">
      <w:pPr>
        <w:autoSpaceDE w:val="0"/>
        <w:autoSpaceDN w:val="0"/>
        <w:adjustRightInd w:val="0"/>
        <w:rPr>
          <w:color w:val="010101"/>
          <w:szCs w:val="22"/>
        </w:rPr>
      </w:pPr>
    </w:p>
    <w:p w:rsidR="00971396" w:rsidRPr="00AB0004" w:rsidRDefault="00971396" w:rsidP="00971396">
      <w:pPr>
        <w:autoSpaceDE w:val="0"/>
        <w:autoSpaceDN w:val="0"/>
        <w:adjustRightInd w:val="0"/>
        <w:ind w:left="3600" w:firstLine="720"/>
        <w:rPr>
          <w:color w:val="010101"/>
          <w:szCs w:val="22"/>
        </w:rPr>
      </w:pPr>
      <w:r w:rsidRPr="00AB0004">
        <w:rPr>
          <w:color w:val="010101"/>
          <w:szCs w:val="22"/>
        </w:rPr>
        <w:t>Julius P. Knapp</w:t>
      </w:r>
    </w:p>
    <w:p w:rsidR="00971396" w:rsidRPr="00AB0004" w:rsidRDefault="00971396" w:rsidP="00971396">
      <w:pPr>
        <w:autoSpaceDE w:val="0"/>
        <w:autoSpaceDN w:val="0"/>
        <w:adjustRightInd w:val="0"/>
        <w:ind w:left="3600" w:firstLine="720"/>
        <w:rPr>
          <w:color w:val="010101"/>
          <w:szCs w:val="22"/>
        </w:rPr>
      </w:pPr>
      <w:r w:rsidRPr="00AB0004">
        <w:rPr>
          <w:color w:val="010101"/>
          <w:szCs w:val="22"/>
        </w:rPr>
        <w:t>Chief</w:t>
      </w:r>
    </w:p>
    <w:p w:rsidR="00EA2030" w:rsidRPr="00E67488" w:rsidRDefault="00971396" w:rsidP="005236EB">
      <w:pPr>
        <w:ind w:left="3600" w:firstLine="720"/>
        <w:rPr>
          <w:color w:val="010101"/>
          <w:szCs w:val="22"/>
        </w:rPr>
      </w:pPr>
      <w:r w:rsidRPr="00AB0004">
        <w:rPr>
          <w:color w:val="010101"/>
          <w:szCs w:val="22"/>
        </w:rPr>
        <w:t>Office of Engineering and Technology</w:t>
      </w:r>
    </w:p>
    <w:sectPr w:rsidR="00EA2030" w:rsidRPr="00E67488">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546" w:rsidRDefault="00E52546">
      <w:r>
        <w:separator/>
      </w:r>
    </w:p>
  </w:endnote>
  <w:endnote w:type="continuationSeparator" w:id="0">
    <w:p w:rsidR="00E52546" w:rsidRDefault="00E52546">
      <w:r>
        <w:continuationSeparator/>
      </w:r>
    </w:p>
  </w:endnote>
  <w:endnote w:type="continuationNotice" w:id="1">
    <w:p w:rsidR="00E52546" w:rsidRDefault="00E525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87" w:rsidRDefault="00C74787" w:rsidP="001B68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2979">
      <w:rPr>
        <w:rStyle w:val="PageNumber"/>
        <w:noProof/>
      </w:rPr>
      <w:t>1</w:t>
    </w:r>
    <w:r>
      <w:rPr>
        <w:rStyle w:val="PageNumber"/>
      </w:rPr>
      <w:fldChar w:fldCharType="end"/>
    </w:r>
  </w:p>
  <w:p w:rsidR="00C74787" w:rsidRDefault="00C747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87" w:rsidRDefault="00C74787" w:rsidP="001B68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44DE">
      <w:rPr>
        <w:rStyle w:val="PageNumber"/>
        <w:noProof/>
      </w:rPr>
      <w:t>2</w:t>
    </w:r>
    <w:r>
      <w:rPr>
        <w:rStyle w:val="PageNumber"/>
      </w:rPr>
      <w:fldChar w:fldCharType="end"/>
    </w:r>
  </w:p>
  <w:p w:rsidR="00C74787" w:rsidRDefault="00C747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AC" w:rsidRDefault="003E6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546" w:rsidRDefault="00E52546">
      <w:pPr>
        <w:rPr>
          <w:sz w:val="20"/>
        </w:rPr>
      </w:pPr>
      <w:r>
        <w:rPr>
          <w:sz w:val="20"/>
        </w:rPr>
        <w:separator/>
      </w:r>
    </w:p>
  </w:footnote>
  <w:footnote w:type="continuationSeparator" w:id="0">
    <w:p w:rsidR="00E52546" w:rsidRDefault="00E52546">
      <w:pPr>
        <w:rPr>
          <w:sz w:val="20"/>
        </w:rPr>
      </w:pPr>
      <w:r>
        <w:rPr>
          <w:sz w:val="20"/>
        </w:rPr>
        <w:separator/>
      </w:r>
    </w:p>
    <w:p w:rsidR="00E52546" w:rsidRDefault="00E52546">
      <w:pPr>
        <w:rPr>
          <w:sz w:val="20"/>
        </w:rPr>
      </w:pPr>
      <w:r>
        <w:rPr>
          <w:sz w:val="20"/>
        </w:rPr>
        <w:t>(...continued from previous page)</w:t>
      </w:r>
    </w:p>
  </w:footnote>
  <w:footnote w:type="continuationNotice" w:id="1">
    <w:p w:rsidR="00E52546" w:rsidRDefault="00E52546">
      <w:pPr>
        <w:jc w:val="right"/>
        <w:rPr>
          <w:sz w:val="20"/>
        </w:rPr>
      </w:pPr>
      <w:r>
        <w:rPr>
          <w:sz w:val="20"/>
        </w:rPr>
        <w:t>(continued....)</w:t>
      </w:r>
    </w:p>
  </w:footnote>
  <w:footnote w:id="2">
    <w:p w:rsidR="00F8599C" w:rsidRDefault="00F8599C" w:rsidP="003A5F00">
      <w:pPr>
        <w:pStyle w:val="FootnoteText"/>
        <w:jc w:val="left"/>
      </w:pPr>
      <w:r>
        <w:rPr>
          <w:rStyle w:val="FootnoteReference"/>
        </w:rPr>
        <w:footnoteRef/>
      </w:r>
      <w:r w:rsidR="00226C87">
        <w:t xml:space="preserve"> 47 C</w:t>
      </w:r>
      <w:r w:rsidR="003466FF">
        <w:t>FR § 90.203(j)</w:t>
      </w:r>
      <w:r w:rsidR="0057294A">
        <w:t>(4</w:t>
      </w:r>
      <w:r>
        <w:t>)</w:t>
      </w:r>
      <w:r w:rsidR="0057294A">
        <w:t>-(5)</w:t>
      </w:r>
      <w:r>
        <w:t>.</w:t>
      </w:r>
    </w:p>
  </w:footnote>
  <w:footnote w:id="3">
    <w:p w:rsidR="000865B3" w:rsidRPr="00F26DA1" w:rsidRDefault="000865B3" w:rsidP="003A5F00">
      <w:pPr>
        <w:pStyle w:val="FootnoteText"/>
        <w:jc w:val="left"/>
      </w:pPr>
      <w:r w:rsidRPr="00F26DA1">
        <w:rPr>
          <w:rStyle w:val="FootnoteReference"/>
        </w:rPr>
        <w:footnoteRef/>
      </w:r>
      <w:r w:rsidRPr="00F26DA1">
        <w:t xml:space="preserve"> </w:t>
      </w:r>
      <w:r w:rsidR="003C3482">
        <w:t xml:space="preserve">Request </w:t>
      </w:r>
      <w:r w:rsidR="00A31AE3">
        <w:t xml:space="preserve">of the International Municipal Signal Association </w:t>
      </w:r>
      <w:r w:rsidR="003C3482">
        <w:t xml:space="preserve">for Waiver </w:t>
      </w:r>
      <w:r w:rsidR="00B927B5">
        <w:t xml:space="preserve">(filed </w:t>
      </w:r>
      <w:r w:rsidR="003C3482">
        <w:t>Aug</w:t>
      </w:r>
      <w:r w:rsidR="003466FF">
        <w:t>.</w:t>
      </w:r>
      <w:r w:rsidR="003C3482">
        <w:t xml:space="preserve"> 19, 2016</w:t>
      </w:r>
      <w:r w:rsidR="00B927B5">
        <w:t>)</w:t>
      </w:r>
      <w:r w:rsidR="00A31AE3">
        <w:t xml:space="preserve"> </w:t>
      </w:r>
      <w:r w:rsidRPr="00F26DA1">
        <w:t xml:space="preserve">(Waiver Request).  </w:t>
      </w:r>
    </w:p>
  </w:footnote>
  <w:footnote w:id="4">
    <w:p w:rsidR="00F07485" w:rsidRPr="00F07485" w:rsidRDefault="00F07485">
      <w:pPr>
        <w:pStyle w:val="FootnoteText"/>
      </w:pPr>
      <w:r>
        <w:rPr>
          <w:rStyle w:val="FootnoteReference"/>
        </w:rPr>
        <w:footnoteRef/>
      </w:r>
      <w:r>
        <w:t xml:space="preserve"> </w:t>
      </w:r>
      <w:r>
        <w:rPr>
          <w:i/>
        </w:rPr>
        <w:t>See Replacement of Part 90 by Part 88 to Revise the Private Land Mobile Radio Services and Modify the Policies Governing Them; Examination of Exclusivity and Frequency Assignment Policies of the Private Land Mobile Radio Services</w:t>
      </w:r>
      <w:r>
        <w:t>, Report and Order and Further Notice of Proposed Rule Making, 10 FCC Rcd 10076, 10099, para. 38 (1995).</w:t>
      </w:r>
    </w:p>
  </w:footnote>
  <w:footnote w:id="5">
    <w:p w:rsidR="00EB5A41" w:rsidRPr="00EB5A41" w:rsidRDefault="00EB5A41" w:rsidP="003A5F00">
      <w:pPr>
        <w:pStyle w:val="FootnoteText"/>
        <w:jc w:val="left"/>
      </w:pPr>
      <w:r>
        <w:rPr>
          <w:rStyle w:val="FootnoteReference"/>
        </w:rPr>
        <w:footnoteRef/>
      </w:r>
      <w:r>
        <w:t xml:space="preserve"> </w:t>
      </w:r>
      <w:r w:rsidR="00F07485">
        <w:rPr>
          <w:i/>
        </w:rPr>
        <w:t xml:space="preserve">See Implementation of Sections 309(j) and 337 of the Communications Act of 1934 as Amended; Promotion of Spectrum Efficient Technologies on Certain Part 90 </w:t>
      </w:r>
      <w:r w:rsidR="00F07485" w:rsidRPr="00F07485">
        <w:rPr>
          <w:i/>
        </w:rPr>
        <w:t>Frequencies</w:t>
      </w:r>
      <w:r w:rsidR="00F07485">
        <w:t>, Third Memorandum Opinion and Order, Third Further Notice of Proposed Rule Making and Order, 19 FCC Rcd</w:t>
      </w:r>
      <w:r w:rsidR="00F358F9">
        <w:t xml:space="preserve"> 25045,</w:t>
      </w:r>
      <w:r>
        <w:t xml:space="preserve"> 25063-64, paras. 44-47</w:t>
      </w:r>
      <w:r w:rsidR="00F358F9">
        <w:t xml:space="preserve"> (2004)</w:t>
      </w:r>
      <w:r>
        <w:t>.</w:t>
      </w:r>
      <w:r w:rsidR="008941DB">
        <w:t xml:space="preserve">  </w:t>
      </w:r>
    </w:p>
  </w:footnote>
  <w:footnote w:id="6">
    <w:p w:rsidR="008941DB" w:rsidRDefault="008941DB" w:rsidP="00F358F9">
      <w:pPr>
        <w:pStyle w:val="FootnoteText"/>
        <w:jc w:val="left"/>
      </w:pPr>
      <w:r>
        <w:rPr>
          <w:rStyle w:val="FootnoteReference"/>
        </w:rPr>
        <w:footnoteRef/>
      </w:r>
      <w:r>
        <w:t xml:space="preserve"> </w:t>
      </w:r>
      <w:r>
        <w:rPr>
          <w:i/>
        </w:rPr>
        <w:t xml:space="preserve">See </w:t>
      </w:r>
      <w:r w:rsidRPr="002977C2">
        <w:rPr>
          <w:i/>
        </w:rPr>
        <w:t>Implementation of Sections 309(j) and 337 of the Communications Act of 1934 as Amended</w:t>
      </w:r>
      <w:r>
        <w:rPr>
          <w:i/>
        </w:rPr>
        <w:t>; Promotion of Spectrum Efficient Technologies on Certain Part 90 Frequencies</w:t>
      </w:r>
      <w:r>
        <w:t>, Third Report and Order, 22 FCC Rcd 6083, 6088, paras. 10-11 (2007)</w:t>
      </w:r>
      <w:r w:rsidR="000F5A76">
        <w:t xml:space="preserve"> (</w:t>
      </w:r>
      <w:r w:rsidR="000F5A76">
        <w:rPr>
          <w:i/>
        </w:rPr>
        <w:t>Narrowbanding 3</w:t>
      </w:r>
      <w:r w:rsidR="000F5A76" w:rsidRPr="000F5A76">
        <w:rPr>
          <w:i/>
          <w:vertAlign w:val="superscript"/>
        </w:rPr>
        <w:t>rd</w:t>
      </w:r>
      <w:r w:rsidR="000F5A76">
        <w:rPr>
          <w:i/>
          <w:vertAlign w:val="superscript"/>
        </w:rPr>
        <w:t xml:space="preserve"> </w:t>
      </w:r>
      <w:r w:rsidR="000F5A76">
        <w:rPr>
          <w:i/>
        </w:rPr>
        <w:t>R&amp;O</w:t>
      </w:r>
      <w:r w:rsidR="000F5A76">
        <w:t xml:space="preserve">); </w:t>
      </w:r>
      <w:r w:rsidR="000F5A76">
        <w:rPr>
          <w:i/>
        </w:rPr>
        <w:t xml:space="preserve">see also </w:t>
      </w:r>
      <w:r w:rsidR="000F5A76" w:rsidRPr="002977C2">
        <w:rPr>
          <w:i/>
        </w:rPr>
        <w:t>Implementation of Sections 309(j) and 337 of the Communications Act of 1934 as Amended</w:t>
      </w:r>
      <w:r w:rsidR="000F5A76">
        <w:rPr>
          <w:i/>
        </w:rPr>
        <w:t>; Promotion of Spectrum Efficient Technologies on Certain Part 90 Frequencies</w:t>
      </w:r>
      <w:r w:rsidR="000F5A76">
        <w:t>, Second Report and Order and Second Further Notice of Proposed Rule Making, 18 FCC Rcd 3034, 3038, paras. 11-23 (2003)</w:t>
      </w:r>
      <w:r>
        <w:t>.</w:t>
      </w:r>
    </w:p>
  </w:footnote>
  <w:footnote w:id="7">
    <w:p w:rsidR="001423DA" w:rsidRPr="001423DA" w:rsidRDefault="001423DA" w:rsidP="003A5F00">
      <w:pPr>
        <w:pStyle w:val="FootnoteText"/>
        <w:jc w:val="left"/>
      </w:pPr>
      <w:r>
        <w:rPr>
          <w:rStyle w:val="FootnoteReference"/>
        </w:rPr>
        <w:footnoteRef/>
      </w:r>
      <w:r w:rsidR="008941DB">
        <w:t xml:space="preserve"> </w:t>
      </w:r>
      <w:r w:rsidR="008941DB">
        <w:rPr>
          <w:i/>
        </w:rPr>
        <w:t xml:space="preserve">See </w:t>
      </w:r>
      <w:r w:rsidR="00E77553">
        <w:rPr>
          <w:i/>
        </w:rPr>
        <w:t>Narrowbanding 3</w:t>
      </w:r>
      <w:r w:rsidR="00E77553" w:rsidRPr="000F5A76">
        <w:rPr>
          <w:i/>
          <w:vertAlign w:val="superscript"/>
        </w:rPr>
        <w:t>rd</w:t>
      </w:r>
      <w:r w:rsidR="00E77553">
        <w:rPr>
          <w:i/>
          <w:vertAlign w:val="superscript"/>
        </w:rPr>
        <w:t xml:space="preserve"> </w:t>
      </w:r>
      <w:r w:rsidR="00E77553">
        <w:rPr>
          <w:i/>
        </w:rPr>
        <w:t>R&amp;O</w:t>
      </w:r>
      <w:r w:rsidR="00E77553">
        <w:t>, 22 FCC Rcd</w:t>
      </w:r>
      <w:r w:rsidR="008941DB">
        <w:rPr>
          <w:i/>
        </w:rPr>
        <w:t xml:space="preserve"> </w:t>
      </w:r>
      <w:r w:rsidR="008941DB">
        <w:t>at 6088-89, para. 11</w:t>
      </w:r>
      <w:r w:rsidR="00501CC6">
        <w:t xml:space="preserve">; </w:t>
      </w:r>
      <w:r w:rsidR="00501CC6">
        <w:rPr>
          <w:i/>
        </w:rPr>
        <w:t xml:space="preserve">see also </w:t>
      </w:r>
      <w:r w:rsidR="00501CC6" w:rsidRPr="002977C2">
        <w:rPr>
          <w:i/>
        </w:rPr>
        <w:t>Implementation of Sections 309(j) and 337 of the Communications Act of 1934 as Amended</w:t>
      </w:r>
      <w:r w:rsidR="00501CC6">
        <w:rPr>
          <w:i/>
        </w:rPr>
        <w:t>; Promotion of Spectrum Efficient Technologies on Certain Part 90 Frequencies</w:t>
      </w:r>
      <w:r w:rsidR="00501CC6">
        <w:t>, Fourth Memorandum Opinion and Order, 23 FCC Rcd 8042, 8044-45, para. 8 (2008)</w:t>
      </w:r>
      <w:r>
        <w:t>.</w:t>
      </w:r>
    </w:p>
  </w:footnote>
  <w:footnote w:id="8">
    <w:p w:rsidR="00831083" w:rsidRDefault="00831083" w:rsidP="00831083">
      <w:pPr>
        <w:pStyle w:val="FootnoteText"/>
        <w:jc w:val="left"/>
      </w:pPr>
      <w:r>
        <w:rPr>
          <w:rStyle w:val="FootnoteReference"/>
        </w:rPr>
        <w:footnoteRef/>
      </w:r>
      <w:r>
        <w:t xml:space="preserve"> </w:t>
      </w:r>
      <w:r w:rsidR="00E77553">
        <w:rPr>
          <w:i/>
        </w:rPr>
        <w:t>See Narrowbanding 3</w:t>
      </w:r>
      <w:r w:rsidR="00E77553" w:rsidRPr="000F5A76">
        <w:rPr>
          <w:i/>
          <w:vertAlign w:val="superscript"/>
        </w:rPr>
        <w:t>rd</w:t>
      </w:r>
      <w:r w:rsidR="00E77553">
        <w:rPr>
          <w:i/>
          <w:vertAlign w:val="superscript"/>
        </w:rPr>
        <w:t xml:space="preserve"> </w:t>
      </w:r>
      <w:r w:rsidR="00E77553">
        <w:rPr>
          <w:i/>
        </w:rPr>
        <w:t>R&amp;O</w:t>
      </w:r>
      <w:r w:rsidR="00E77553">
        <w:t>, 22 FCC Rcd</w:t>
      </w:r>
      <w:r w:rsidR="00E77553">
        <w:rPr>
          <w:i/>
        </w:rPr>
        <w:t xml:space="preserve"> </w:t>
      </w:r>
      <w:r w:rsidR="00E77553">
        <w:t>a</w:t>
      </w:r>
      <w:r>
        <w:t>t 6090, para. 16.</w:t>
      </w:r>
    </w:p>
  </w:footnote>
  <w:footnote w:id="9">
    <w:p w:rsidR="00E62F88" w:rsidRDefault="00E62F88" w:rsidP="003A5F00">
      <w:pPr>
        <w:pStyle w:val="FootnoteText"/>
        <w:jc w:val="left"/>
      </w:pPr>
      <w:r>
        <w:rPr>
          <w:rStyle w:val="FootnoteReference"/>
        </w:rPr>
        <w:footnoteRef/>
      </w:r>
      <w:r>
        <w:t xml:space="preserve"> </w:t>
      </w:r>
      <w:r>
        <w:rPr>
          <w:i/>
        </w:rPr>
        <w:t xml:space="preserve">See </w:t>
      </w:r>
      <w:r w:rsidRPr="002977C2">
        <w:rPr>
          <w:i/>
        </w:rPr>
        <w:t>Implementation of Sections 309(j) and 337 of the Communications Act of 1934 as Amended</w:t>
      </w:r>
      <w:r w:rsidR="0092411F">
        <w:rPr>
          <w:i/>
        </w:rPr>
        <w:t>; Promotion of Spectrum Efficient Technologies on Certain Part 90 Frequencies</w:t>
      </w:r>
      <w:r>
        <w:t xml:space="preserve">, </w:t>
      </w:r>
      <w:r w:rsidRPr="002977C2">
        <w:t>Order</w:t>
      </w:r>
      <w:r>
        <w:t xml:space="preserve">, 25 FCC Rcd 8861, 8865-66, para. 11 (2010).  </w:t>
      </w:r>
    </w:p>
  </w:footnote>
  <w:footnote w:id="10">
    <w:p w:rsidR="002B4B84" w:rsidRDefault="002B4B84" w:rsidP="003A5F00">
      <w:pPr>
        <w:pStyle w:val="FootnoteText"/>
        <w:jc w:val="left"/>
      </w:pPr>
      <w:r>
        <w:rPr>
          <w:rStyle w:val="FootnoteReference"/>
        </w:rPr>
        <w:footnoteRef/>
      </w:r>
      <w:r>
        <w:t xml:space="preserve"> </w:t>
      </w:r>
      <w:r>
        <w:rPr>
          <w:i/>
        </w:rPr>
        <w:t xml:space="preserve">See </w:t>
      </w:r>
      <w:r w:rsidRPr="00D7296B">
        <w:rPr>
          <w:i/>
        </w:rPr>
        <w:t>Implementation of Sections 309(j) and 337 of the Communications Act of 1934 as Amended</w:t>
      </w:r>
      <w:r>
        <w:rPr>
          <w:i/>
        </w:rPr>
        <w:t>; Promotion of Spectrum Efficient Technologies on Certain Part 90 Frequencies</w:t>
      </w:r>
      <w:r>
        <w:t xml:space="preserve">, </w:t>
      </w:r>
      <w:r w:rsidRPr="00D7296B">
        <w:t>Order</w:t>
      </w:r>
      <w:r>
        <w:t>, 28 FCC Rcd 2811, 281</w:t>
      </w:r>
      <w:r w:rsidR="005236EB">
        <w:t>4</w:t>
      </w:r>
      <w:r>
        <w:t>, para. 11 (WTB/PSHSB/OET 2013)</w:t>
      </w:r>
      <w:r w:rsidR="00D63639">
        <w:t xml:space="preserve"> (</w:t>
      </w:r>
      <w:r w:rsidR="00D63639">
        <w:rPr>
          <w:i/>
        </w:rPr>
        <w:t>2013 Order</w:t>
      </w:r>
      <w:r w:rsidR="00D63639">
        <w:t>)</w:t>
      </w:r>
      <w:r>
        <w:t>.</w:t>
      </w:r>
    </w:p>
  </w:footnote>
  <w:footnote w:id="11">
    <w:p w:rsidR="00E77553" w:rsidRPr="00E77553" w:rsidRDefault="00E77553">
      <w:pPr>
        <w:pStyle w:val="FootnoteText"/>
      </w:pPr>
      <w:r>
        <w:rPr>
          <w:rStyle w:val="FootnoteReference"/>
        </w:rPr>
        <w:footnoteRef/>
      </w:r>
      <w:r>
        <w:t xml:space="preserve"> </w:t>
      </w:r>
      <w:r>
        <w:rPr>
          <w:i/>
        </w:rPr>
        <w:t>Id.</w:t>
      </w:r>
      <w:r>
        <w:t xml:space="preserve"> at 2813-14, para. 9.</w:t>
      </w:r>
    </w:p>
  </w:footnote>
  <w:footnote w:id="12">
    <w:p w:rsidR="005236EB" w:rsidRPr="005236EB" w:rsidRDefault="005236EB" w:rsidP="005236EB">
      <w:pPr>
        <w:rPr>
          <w:sz w:val="20"/>
        </w:rPr>
      </w:pPr>
      <w:r w:rsidRPr="005236EB">
        <w:rPr>
          <w:rStyle w:val="FootnoteReference"/>
          <w:sz w:val="20"/>
        </w:rPr>
        <w:footnoteRef/>
      </w:r>
      <w:r w:rsidRPr="005236EB">
        <w:rPr>
          <w:sz w:val="20"/>
        </w:rPr>
        <w:t xml:space="preserve"> </w:t>
      </w:r>
      <w:r w:rsidRPr="005236EB">
        <w:rPr>
          <w:i/>
          <w:sz w:val="20"/>
        </w:rPr>
        <w:t>Id</w:t>
      </w:r>
      <w:r w:rsidRPr="005236EB">
        <w:rPr>
          <w:sz w:val="20"/>
        </w:rPr>
        <w:t>.</w:t>
      </w:r>
      <w:r w:rsidR="00E77553">
        <w:rPr>
          <w:sz w:val="20"/>
        </w:rPr>
        <w:t xml:space="preserve"> at 2814, para. 10.</w:t>
      </w:r>
    </w:p>
  </w:footnote>
  <w:footnote w:id="13">
    <w:p w:rsidR="000B305F" w:rsidRDefault="000B305F" w:rsidP="005236EB">
      <w:pPr>
        <w:pStyle w:val="FootnoteText"/>
        <w:spacing w:before="120"/>
        <w:jc w:val="left"/>
      </w:pPr>
      <w:r>
        <w:rPr>
          <w:rStyle w:val="FootnoteReference"/>
        </w:rPr>
        <w:footnoteRef/>
      </w:r>
      <w:r>
        <w:t xml:space="preserve"> </w:t>
      </w:r>
      <w:r w:rsidR="00013526">
        <w:rPr>
          <w:i/>
        </w:rPr>
        <w:t>See P</w:t>
      </w:r>
      <w:r>
        <w:rPr>
          <w:i/>
        </w:rPr>
        <w:t>roposed Amendments to the Service Rules Governing Public Safety Narrowband Operations in the 769-775/799-805 MHz Bands</w:t>
      </w:r>
      <w:r>
        <w:t>, Report and Order, 29 FCC Rcd 13283, 13289, para</w:t>
      </w:r>
      <w:r w:rsidR="00705B20">
        <w:t>s</w:t>
      </w:r>
      <w:r>
        <w:t xml:space="preserve">. </w:t>
      </w:r>
      <w:r w:rsidR="00705B20">
        <w:t>9-1</w:t>
      </w:r>
      <w:r>
        <w:t>1 (2014).</w:t>
      </w:r>
    </w:p>
  </w:footnote>
  <w:footnote w:id="14">
    <w:p w:rsidR="00705B20" w:rsidRPr="00705B20" w:rsidRDefault="00705B20">
      <w:pPr>
        <w:pStyle w:val="FootnoteText"/>
      </w:pPr>
      <w:r>
        <w:rPr>
          <w:rStyle w:val="FootnoteReference"/>
        </w:rPr>
        <w:footnoteRef/>
      </w:r>
      <w:r>
        <w:t xml:space="preserve"> </w:t>
      </w:r>
      <w:r>
        <w:rPr>
          <w:i/>
        </w:rPr>
        <w:t xml:space="preserve">Id. </w:t>
      </w:r>
      <w:r>
        <w:t>at 13289, para. 11.</w:t>
      </w:r>
    </w:p>
  </w:footnote>
  <w:footnote w:id="15">
    <w:p w:rsidR="00112817" w:rsidRPr="00112817" w:rsidRDefault="00112817" w:rsidP="003A5F00">
      <w:pPr>
        <w:pStyle w:val="FootnoteText"/>
        <w:jc w:val="left"/>
      </w:pPr>
      <w:r>
        <w:rPr>
          <w:rStyle w:val="FootnoteReference"/>
        </w:rPr>
        <w:footnoteRef/>
      </w:r>
      <w:r>
        <w:t xml:space="preserve"> </w:t>
      </w:r>
      <w:r w:rsidR="00844259">
        <w:rPr>
          <w:i/>
        </w:rPr>
        <w:t xml:space="preserve">See </w:t>
      </w:r>
      <w:r w:rsidR="00844259">
        <w:t xml:space="preserve">Waiver Request </w:t>
      </w:r>
      <w:r>
        <w:t>at 3-4.</w:t>
      </w:r>
    </w:p>
  </w:footnote>
  <w:footnote w:id="16">
    <w:p w:rsidR="00E62F88" w:rsidRDefault="00E62F88" w:rsidP="003A5F00">
      <w:pPr>
        <w:pStyle w:val="FootnoteText"/>
        <w:jc w:val="left"/>
      </w:pPr>
      <w:r>
        <w:rPr>
          <w:rStyle w:val="FootnoteReference"/>
        </w:rPr>
        <w:footnoteRef/>
      </w:r>
      <w:r>
        <w:t xml:space="preserve"> </w:t>
      </w:r>
      <w:r>
        <w:rPr>
          <w:i/>
        </w:rPr>
        <w:t xml:space="preserve">See </w:t>
      </w:r>
      <w:r w:rsidRPr="002977C2">
        <w:rPr>
          <w:i/>
        </w:rPr>
        <w:t>Emission Mask Requirements for Digital Technologies on 800 MHz NPSPAC Channels</w:t>
      </w:r>
      <w:r>
        <w:rPr>
          <w:i/>
        </w:rPr>
        <w:t>; Analog FM Capability on Mutual Aid and Interoperability Channels</w:t>
      </w:r>
      <w:r>
        <w:t>,</w:t>
      </w:r>
      <w:r w:rsidRPr="00D57736">
        <w:rPr>
          <w:i/>
        </w:rPr>
        <w:t xml:space="preserve"> </w:t>
      </w:r>
      <w:r w:rsidRPr="002977C2">
        <w:t>Report and Order</w:t>
      </w:r>
      <w:r>
        <w:t>, 31 FCC Rcd 4250, 4272-76, paras. 56-65 (2016).</w:t>
      </w:r>
    </w:p>
  </w:footnote>
  <w:footnote w:id="17">
    <w:p w:rsidR="00112817" w:rsidRDefault="00112817" w:rsidP="003A5F00">
      <w:pPr>
        <w:pStyle w:val="FootnoteText"/>
        <w:jc w:val="left"/>
      </w:pPr>
      <w:r>
        <w:rPr>
          <w:rStyle w:val="FootnoteReference"/>
        </w:rPr>
        <w:footnoteRef/>
      </w:r>
      <w:r>
        <w:t xml:space="preserve"> Waiver Request at 4-5.</w:t>
      </w:r>
    </w:p>
  </w:footnote>
  <w:footnote w:id="18">
    <w:p w:rsidR="00112817" w:rsidRDefault="00112817" w:rsidP="003A5F00">
      <w:pPr>
        <w:pStyle w:val="FootnoteText"/>
        <w:jc w:val="left"/>
      </w:pPr>
      <w:r>
        <w:rPr>
          <w:rStyle w:val="FootnoteReference"/>
        </w:rPr>
        <w:footnoteRef/>
      </w:r>
      <w:r>
        <w:t xml:space="preserve"> </w:t>
      </w:r>
      <w:r>
        <w:rPr>
          <w:i/>
        </w:rPr>
        <w:t>Id.</w:t>
      </w:r>
      <w:r>
        <w:t xml:space="preserve"> at 7.</w:t>
      </w:r>
    </w:p>
  </w:footnote>
  <w:footnote w:id="19">
    <w:p w:rsidR="00112817" w:rsidRDefault="00112817" w:rsidP="003A5F00">
      <w:pPr>
        <w:pStyle w:val="FootnoteText"/>
        <w:jc w:val="left"/>
      </w:pPr>
      <w:r>
        <w:rPr>
          <w:rStyle w:val="FootnoteReference"/>
        </w:rPr>
        <w:footnoteRef/>
      </w:r>
      <w:r>
        <w:t xml:space="preserve"> </w:t>
      </w:r>
      <w:r>
        <w:rPr>
          <w:i/>
        </w:rPr>
        <w:t>Id.</w:t>
      </w:r>
      <w:r>
        <w:t xml:space="preserve"> at 8-9.</w:t>
      </w:r>
    </w:p>
  </w:footnote>
  <w:footnote w:id="20">
    <w:p w:rsidR="002943B4" w:rsidRPr="00CE5905" w:rsidRDefault="002943B4" w:rsidP="003A5F00">
      <w:pPr>
        <w:pStyle w:val="FootnoteText"/>
        <w:jc w:val="left"/>
      </w:pPr>
      <w:r>
        <w:rPr>
          <w:rStyle w:val="FootnoteReference"/>
        </w:rPr>
        <w:footnoteRef/>
      </w:r>
      <w:r>
        <w:t xml:space="preserve"> </w:t>
      </w:r>
      <w:r>
        <w:rPr>
          <w:i/>
          <w:iCs/>
          <w:lang w:val="en"/>
        </w:rPr>
        <w:t xml:space="preserve">See </w:t>
      </w:r>
      <w:r w:rsidRPr="00566CA7">
        <w:rPr>
          <w:i/>
          <w:lang w:val="en"/>
        </w:rPr>
        <w:t>Wireless Telecommunications Bureau, Public Safety and Homeland Security Bureau</w:t>
      </w:r>
      <w:r w:rsidR="0056543F">
        <w:rPr>
          <w:i/>
          <w:lang w:val="en"/>
        </w:rPr>
        <w:t>,</w:t>
      </w:r>
      <w:r w:rsidRPr="00566CA7">
        <w:rPr>
          <w:i/>
          <w:lang w:val="en"/>
        </w:rPr>
        <w:t xml:space="preserve"> and Office of Engineering and Technology Seek Comment on </w:t>
      </w:r>
      <w:r w:rsidR="0056543F">
        <w:rPr>
          <w:i/>
          <w:lang w:val="en"/>
        </w:rPr>
        <w:t>Request F</w:t>
      </w:r>
      <w:r>
        <w:rPr>
          <w:i/>
          <w:lang w:val="en"/>
        </w:rPr>
        <w:t>iled by the International Municipal Signal Association for Waiver of Section 90.203(j)(4)-(5)</w:t>
      </w:r>
      <w:r w:rsidRPr="00566CA7">
        <w:rPr>
          <w:i/>
          <w:lang w:val="en"/>
        </w:rPr>
        <w:t xml:space="preserve"> of the Commission’s Rules</w:t>
      </w:r>
      <w:r>
        <w:rPr>
          <w:lang w:val="en"/>
        </w:rPr>
        <w:t>, Public Notice, 31 FCC Rcd 10768 (WTB/PSHSB/OET 2016) (</w:t>
      </w:r>
      <w:r>
        <w:rPr>
          <w:i/>
          <w:lang w:val="en"/>
        </w:rPr>
        <w:t>Public Notice</w:t>
      </w:r>
      <w:r>
        <w:rPr>
          <w:lang w:val="en"/>
        </w:rPr>
        <w:t>).</w:t>
      </w:r>
      <w:r w:rsidR="00985524">
        <w:rPr>
          <w:lang w:val="en"/>
        </w:rPr>
        <w:t xml:space="preserve">  Comments or reply comments were filed by Ritron, Inc.; the</w:t>
      </w:r>
      <w:r w:rsidR="00CE5905">
        <w:rPr>
          <w:lang w:val="en"/>
        </w:rPr>
        <w:t xml:space="preserve"> </w:t>
      </w:r>
      <w:r w:rsidR="00985524">
        <w:rPr>
          <w:lang w:val="en"/>
        </w:rPr>
        <w:t>National Ski Patrol System, Inc.</w:t>
      </w:r>
      <w:r w:rsidR="00E923CE">
        <w:rPr>
          <w:lang w:val="en"/>
        </w:rPr>
        <w:t xml:space="preserve"> (Ski Patrol)</w:t>
      </w:r>
      <w:r w:rsidR="00985524">
        <w:rPr>
          <w:lang w:val="en"/>
        </w:rPr>
        <w:t xml:space="preserve">; Powerwerx; the </w:t>
      </w:r>
      <w:r w:rsidR="00985524">
        <w:t>Government Wireless Technology &amp; Communications Association</w:t>
      </w:r>
      <w:r w:rsidR="00CE5905">
        <w:t xml:space="preserve"> (GWTCA)</w:t>
      </w:r>
      <w:r w:rsidR="00985524">
        <w:t>; Icom America, Inc.</w:t>
      </w:r>
      <w:r w:rsidR="00CE5905">
        <w:t xml:space="preserve"> (Icom)</w:t>
      </w:r>
      <w:r w:rsidR="00985524">
        <w:t>; and IMSA.</w:t>
      </w:r>
      <w:r w:rsidR="00CE5905">
        <w:t xml:space="preserve">  The National Public Safety Telecommunications Council filed </w:t>
      </w:r>
      <w:r w:rsidR="00CE5905">
        <w:rPr>
          <w:i/>
        </w:rPr>
        <w:t xml:space="preserve">ex parte </w:t>
      </w:r>
      <w:r w:rsidR="00CE5905">
        <w:t>comments.</w:t>
      </w:r>
    </w:p>
  </w:footnote>
  <w:footnote w:id="21">
    <w:p w:rsidR="00BE1579" w:rsidRDefault="00BE1579" w:rsidP="003A5F00">
      <w:pPr>
        <w:pStyle w:val="FootnoteText"/>
        <w:jc w:val="left"/>
      </w:pPr>
      <w:r>
        <w:rPr>
          <w:rStyle w:val="FootnoteReference"/>
        </w:rPr>
        <w:footnoteRef/>
      </w:r>
      <w:r>
        <w:t xml:space="preserve"> 47 CFR § 1.925(b)(3).</w:t>
      </w:r>
    </w:p>
  </w:footnote>
  <w:footnote w:id="22">
    <w:p w:rsidR="00D63639" w:rsidRPr="00CA09FE" w:rsidRDefault="00D63639">
      <w:pPr>
        <w:pStyle w:val="FootnoteText"/>
        <w:rPr>
          <w:i/>
        </w:rPr>
      </w:pPr>
      <w:r>
        <w:rPr>
          <w:rStyle w:val="FootnoteReference"/>
        </w:rPr>
        <w:footnoteRef/>
      </w:r>
      <w:r>
        <w:t xml:space="preserve"> </w:t>
      </w:r>
      <w:r>
        <w:rPr>
          <w:i/>
        </w:rPr>
        <w:t xml:space="preserve">See </w:t>
      </w:r>
      <w:r>
        <w:t xml:space="preserve">note 5, </w:t>
      </w:r>
      <w:r>
        <w:rPr>
          <w:i/>
        </w:rPr>
        <w:t>supra.</w:t>
      </w:r>
    </w:p>
  </w:footnote>
  <w:footnote w:id="23">
    <w:p w:rsidR="00340793" w:rsidRPr="00D9087D" w:rsidRDefault="00340793">
      <w:pPr>
        <w:pStyle w:val="FootnoteText"/>
      </w:pPr>
      <w:r>
        <w:rPr>
          <w:rStyle w:val="FootnoteReference"/>
        </w:rPr>
        <w:footnoteRef/>
      </w:r>
      <w:r>
        <w:t xml:space="preserve"> </w:t>
      </w:r>
      <w:r w:rsidR="00D9087D">
        <w:rPr>
          <w:i/>
        </w:rPr>
        <w:t>See 2013 Order</w:t>
      </w:r>
      <w:r w:rsidR="00D9087D">
        <w:t>, 28 FCC Rcd at 2813-14, para. 9.</w:t>
      </w:r>
    </w:p>
  </w:footnote>
  <w:footnote w:id="24">
    <w:p w:rsidR="009D195B" w:rsidRPr="009D195B" w:rsidRDefault="009D195B" w:rsidP="003A5F00">
      <w:pPr>
        <w:pStyle w:val="FootnoteText"/>
        <w:jc w:val="left"/>
      </w:pPr>
      <w:r>
        <w:rPr>
          <w:rStyle w:val="FootnoteReference"/>
        </w:rPr>
        <w:footnoteRef/>
      </w:r>
      <w:r>
        <w:t xml:space="preserve"> </w:t>
      </w:r>
      <w:r>
        <w:rPr>
          <w:i/>
        </w:rPr>
        <w:t>See Public Notice</w:t>
      </w:r>
      <w:r>
        <w:t>, 31 FCC Rcd at 10769.</w:t>
      </w:r>
    </w:p>
  </w:footnote>
  <w:footnote w:id="25">
    <w:p w:rsidR="00CE5905" w:rsidRPr="00CE5905" w:rsidRDefault="00CE5905" w:rsidP="003A5F00">
      <w:pPr>
        <w:pStyle w:val="FootnoteText"/>
        <w:jc w:val="left"/>
      </w:pPr>
      <w:r>
        <w:rPr>
          <w:rStyle w:val="FootnoteReference"/>
        </w:rPr>
        <w:footnoteRef/>
      </w:r>
      <w:r>
        <w:t xml:space="preserve"> </w:t>
      </w:r>
      <w:r>
        <w:rPr>
          <w:i/>
        </w:rPr>
        <w:t xml:space="preserve">See </w:t>
      </w:r>
      <w:r>
        <w:t>GWTCA comments at 3; Icom comments at 4.</w:t>
      </w:r>
    </w:p>
  </w:footnote>
  <w:footnote w:id="26">
    <w:p w:rsidR="00E923CE" w:rsidRPr="00E923CE" w:rsidRDefault="00E923CE" w:rsidP="003A5F00">
      <w:pPr>
        <w:pStyle w:val="FootnoteText"/>
        <w:jc w:val="left"/>
      </w:pPr>
      <w:r>
        <w:rPr>
          <w:rStyle w:val="FootnoteReference"/>
        </w:rPr>
        <w:footnoteRef/>
      </w:r>
      <w:r>
        <w:t xml:space="preserve"> </w:t>
      </w:r>
      <w:r>
        <w:rPr>
          <w:i/>
        </w:rPr>
        <w:t xml:space="preserve">See </w:t>
      </w:r>
      <w:r>
        <w:t>Powerwerx comments at 1; Ritron, Inc., comments at 3.</w:t>
      </w:r>
    </w:p>
  </w:footnote>
  <w:footnote w:id="27">
    <w:p w:rsidR="00E923CE" w:rsidRPr="00E923CE" w:rsidRDefault="00E923CE" w:rsidP="003A5F00">
      <w:pPr>
        <w:pStyle w:val="FootnoteText"/>
        <w:jc w:val="left"/>
      </w:pPr>
      <w:r>
        <w:rPr>
          <w:rStyle w:val="FootnoteReference"/>
        </w:rPr>
        <w:footnoteRef/>
      </w:r>
      <w:r>
        <w:t xml:space="preserve"> </w:t>
      </w:r>
      <w:r>
        <w:rPr>
          <w:i/>
        </w:rPr>
        <w:t xml:space="preserve">See </w:t>
      </w:r>
      <w:r>
        <w:t>Ski Patrol comments at 2-3.</w:t>
      </w:r>
    </w:p>
  </w:footnote>
  <w:footnote w:id="28">
    <w:p w:rsidR="00A01120" w:rsidRPr="00A01120" w:rsidRDefault="00A01120">
      <w:pPr>
        <w:pStyle w:val="FootnoteText"/>
      </w:pPr>
      <w:r>
        <w:rPr>
          <w:rStyle w:val="FootnoteReference"/>
        </w:rPr>
        <w:footnoteRef/>
      </w:r>
      <w:r>
        <w:t xml:space="preserve"> </w:t>
      </w:r>
      <w:r>
        <w:rPr>
          <w:i/>
        </w:rPr>
        <w:t>See</w:t>
      </w:r>
      <w:r>
        <w:t xml:space="preserve">, </w:t>
      </w:r>
      <w:r>
        <w:rPr>
          <w:i/>
        </w:rPr>
        <w:t>e.g.</w:t>
      </w:r>
      <w:r>
        <w:t xml:space="preserve">, </w:t>
      </w:r>
      <w:r>
        <w:rPr>
          <w:i/>
        </w:rPr>
        <w:t xml:space="preserve">Clarity Media Systems, LLC, </w:t>
      </w:r>
      <w:r>
        <w:t>Order, 28 FCC Rcd 9629, 9634, para. 14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AC" w:rsidRDefault="003E68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6D7" w:rsidRDefault="003756D7" w:rsidP="003756D7">
    <w:pPr>
      <w:pStyle w:val="Header"/>
      <w:tabs>
        <w:tab w:val="clear" w:pos="4320"/>
        <w:tab w:val="clear" w:pos="8640"/>
        <w:tab w:val="center" w:pos="4680"/>
        <w:tab w:val="right" w:pos="9360"/>
      </w:tabs>
      <w:rPr>
        <w:b/>
      </w:rPr>
    </w:pPr>
    <w:r>
      <w:rPr>
        <w:b/>
      </w:rPr>
      <w:tab/>
      <w:t>Federal Communications Commission</w:t>
    </w:r>
    <w:r>
      <w:rPr>
        <w:b/>
      </w:rPr>
      <w:tab/>
    </w:r>
    <w:r w:rsidR="00592526">
      <w:rPr>
        <w:b/>
      </w:rPr>
      <w:t>DA 17</w:t>
    </w:r>
    <w:r>
      <w:rPr>
        <w:b/>
      </w:rPr>
      <w:t>-</w:t>
    </w:r>
    <w:r w:rsidR="00BC312E">
      <w:rPr>
        <w:b/>
      </w:rPr>
      <w:t>632</w:t>
    </w:r>
  </w:p>
  <w:p w:rsidR="003756D7" w:rsidRDefault="00F8325C" w:rsidP="003756D7">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B236148" wp14:editId="3757B636">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F65CEE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05" w:rsidRDefault="008B3B05">
    <w:pPr>
      <w:pStyle w:val="Header"/>
      <w:tabs>
        <w:tab w:val="clear" w:pos="4320"/>
        <w:tab w:val="clear" w:pos="8640"/>
        <w:tab w:val="center" w:pos="4680"/>
        <w:tab w:val="right" w:pos="9360"/>
      </w:tabs>
      <w:rPr>
        <w:b/>
      </w:rPr>
    </w:pPr>
    <w:r>
      <w:rPr>
        <w:b/>
      </w:rPr>
      <w:tab/>
      <w:t>Federal Communications Commission</w:t>
    </w:r>
    <w:r>
      <w:rPr>
        <w:b/>
      </w:rPr>
      <w:tab/>
    </w:r>
    <w:r w:rsidR="00592526">
      <w:rPr>
        <w:b/>
      </w:rPr>
      <w:t>DA 17</w:t>
    </w:r>
    <w:r>
      <w:rPr>
        <w:b/>
      </w:rPr>
      <w:t>-</w:t>
    </w:r>
    <w:r w:rsidR="00BC312E">
      <w:rPr>
        <w:b/>
      </w:rPr>
      <w:t>632</w:t>
    </w:r>
  </w:p>
  <w:p w:rsidR="008B3B05" w:rsidRDefault="00F8325C">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3AF61227" wp14:editId="0D234886">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7A1393D"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A87B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0D34E4"/>
    <w:multiLevelType w:val="multilevel"/>
    <w:tmpl w:val="E258D1C8"/>
    <w:lvl w:ilvl="0">
      <w:start w:val="2"/>
      <w:numFmt w:val="upperRoman"/>
      <w:lvlText w:val="%1."/>
      <w:lvlJc w:val="left"/>
      <w:pPr>
        <w:tabs>
          <w:tab w:val="num" w:pos="1800"/>
        </w:tabs>
        <w:ind w:left="180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00A4C16"/>
    <w:multiLevelType w:val="hybridMultilevel"/>
    <w:tmpl w:val="E258D1C8"/>
    <w:lvl w:ilvl="0" w:tplc="F300FE86">
      <w:start w:val="2"/>
      <w:numFmt w:val="upperRoman"/>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0F1B3D"/>
    <w:multiLevelType w:val="singleLevel"/>
    <w:tmpl w:val="4DCCE696"/>
    <w:lvl w:ilvl="0">
      <w:start w:val="1"/>
      <w:numFmt w:val="decimal"/>
      <w:pStyle w:val="ParaNum"/>
      <w:lvlText w:val="%1."/>
      <w:lvlJc w:val="left"/>
      <w:pPr>
        <w:tabs>
          <w:tab w:val="num" w:pos="360"/>
        </w:tabs>
        <w:ind w:left="-72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9AF7BE6"/>
    <w:multiLevelType w:val="singleLevel"/>
    <w:tmpl w:val="D0DAFB0E"/>
    <w:lvl w:ilvl="0">
      <w:start w:val="1"/>
      <w:numFmt w:val="decimal"/>
      <w:pStyle w:val="Docutechnumbering"/>
      <w:lvlText w:val="%1."/>
      <w:lvlJc w:val="left"/>
      <w:pPr>
        <w:tabs>
          <w:tab w:val="num" w:pos="1080"/>
        </w:tabs>
        <w:ind w:left="0" w:firstLine="720"/>
      </w:pPr>
      <w:rPr>
        <w:b w:val="0"/>
        <w:i w:val="0"/>
      </w:rPr>
    </w:lvl>
  </w:abstractNum>
  <w:abstractNum w:abstractNumId="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530"/>
        </w:tabs>
        <w:ind w:left="1530" w:hanging="720"/>
      </w:pPr>
    </w:lvl>
    <w:lvl w:ilvl="2">
      <w:start w:val="1"/>
      <w:numFmt w:val="decimal"/>
      <w:pStyle w:val="Heading3"/>
      <w:lvlText w:val="%3."/>
      <w:lvlJc w:val="left"/>
      <w:pPr>
        <w:tabs>
          <w:tab w:val="num" w:pos="2250"/>
        </w:tabs>
        <w:ind w:left="2250" w:hanging="720"/>
      </w:pPr>
    </w:lvl>
    <w:lvl w:ilvl="3">
      <w:start w:val="1"/>
      <w:numFmt w:val="lowerLetter"/>
      <w:pStyle w:val="Heading4"/>
      <w:lvlText w:val="%4."/>
      <w:lvlJc w:val="left"/>
      <w:pPr>
        <w:tabs>
          <w:tab w:val="num" w:pos="2970"/>
        </w:tabs>
        <w:ind w:left="2970" w:hanging="720"/>
      </w:pPr>
    </w:lvl>
    <w:lvl w:ilvl="4">
      <w:start w:val="1"/>
      <w:numFmt w:val="lowerRoman"/>
      <w:pStyle w:val="Heading5"/>
      <w:lvlText w:val="(%5)"/>
      <w:lvlJc w:val="left"/>
      <w:pPr>
        <w:tabs>
          <w:tab w:val="num" w:pos="4050"/>
        </w:tabs>
        <w:ind w:left="369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410"/>
        </w:tabs>
        <w:ind w:left="4410" w:hanging="720"/>
      </w:pPr>
    </w:lvl>
    <w:lvl w:ilvl="6">
      <w:start w:val="1"/>
      <w:numFmt w:val="lowerRoman"/>
      <w:pStyle w:val="Heading7"/>
      <w:lvlText w:val="(%7)"/>
      <w:lvlJc w:val="left"/>
      <w:pPr>
        <w:tabs>
          <w:tab w:val="num" w:pos="5130"/>
        </w:tabs>
        <w:ind w:left="4410" w:firstLine="0"/>
      </w:pPr>
    </w:lvl>
    <w:lvl w:ilvl="7">
      <w:start w:val="1"/>
      <w:numFmt w:val="lowerLetter"/>
      <w:pStyle w:val="Heading8"/>
      <w:lvlText w:val="(%8)"/>
      <w:lvlJc w:val="left"/>
      <w:pPr>
        <w:tabs>
          <w:tab w:val="num" w:pos="5490"/>
        </w:tabs>
        <w:ind w:left="5130" w:firstLine="0"/>
      </w:pPr>
    </w:lvl>
    <w:lvl w:ilvl="8">
      <w:start w:val="1"/>
      <w:numFmt w:val="lowerRoman"/>
      <w:pStyle w:val="Heading9"/>
      <w:lvlText w:val="(%9)"/>
      <w:lvlJc w:val="left"/>
      <w:pPr>
        <w:tabs>
          <w:tab w:val="num" w:pos="6570"/>
        </w:tabs>
        <w:ind w:left="5850" w:firstLine="0"/>
      </w:pPr>
      <w:rPr>
        <w:b/>
        <w:i w:val="0"/>
        <w:sz w:val="22"/>
      </w:rPr>
    </w:lvl>
  </w:abstractNum>
  <w:abstractNum w:abstractNumId="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694A038F"/>
    <w:multiLevelType w:val="singleLevel"/>
    <w:tmpl w:val="D94CF5CA"/>
    <w:lvl w:ilvl="0">
      <w:start w:val="1"/>
      <w:numFmt w:val="decimal"/>
      <w:pStyle w:val="Numberedparagraph"/>
      <w:lvlText w:val="%1."/>
      <w:lvlJc w:val="left"/>
      <w:pPr>
        <w:tabs>
          <w:tab w:val="num" w:pos="1080"/>
        </w:tabs>
        <w:ind w:left="0" w:firstLine="720"/>
      </w:pPr>
    </w:lvl>
  </w:abstractNum>
  <w:num w:numId="1">
    <w:abstractNumId w:val="6"/>
  </w:num>
  <w:num w:numId="2">
    <w:abstractNumId w:val="7"/>
  </w:num>
  <w:num w:numId="3">
    <w:abstractNumId w:val="3"/>
  </w:num>
  <w:num w:numId="4">
    <w:abstractNumId w:val="5"/>
  </w:num>
  <w:num w:numId="5">
    <w:abstractNumId w:val="4"/>
  </w:num>
  <w:num w:numId="6">
    <w:abstractNumId w:val="8"/>
  </w:num>
  <w:num w:numId="7">
    <w:abstractNumId w:val="2"/>
  </w:num>
  <w:num w:numId="8">
    <w:abstractNumId w:val="1"/>
  </w:num>
  <w:num w:numId="9">
    <w:abstractNumId w:val="3"/>
    <w:lvlOverride w:ilvl="0">
      <w:startOverride w:val="1"/>
    </w:lvlOverride>
  </w:num>
  <w:num w:numId="10">
    <w:abstractNumId w:val="3"/>
    <w:lvlOverride w:ilvl="0">
      <w:startOverride w:val="1"/>
    </w:lvlOverride>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72"/>
    <w:rsid w:val="0000119D"/>
    <w:rsid w:val="000014DA"/>
    <w:rsid w:val="00011699"/>
    <w:rsid w:val="00013526"/>
    <w:rsid w:val="00013606"/>
    <w:rsid w:val="000308FC"/>
    <w:rsid w:val="00032287"/>
    <w:rsid w:val="00032C08"/>
    <w:rsid w:val="00033827"/>
    <w:rsid w:val="00033A33"/>
    <w:rsid w:val="00034673"/>
    <w:rsid w:val="00044062"/>
    <w:rsid w:val="00054719"/>
    <w:rsid w:val="00054EFA"/>
    <w:rsid w:val="00074D1B"/>
    <w:rsid w:val="000834CE"/>
    <w:rsid w:val="00083717"/>
    <w:rsid w:val="00084091"/>
    <w:rsid w:val="000865B3"/>
    <w:rsid w:val="00086EE2"/>
    <w:rsid w:val="0009194A"/>
    <w:rsid w:val="000942DD"/>
    <w:rsid w:val="000B305F"/>
    <w:rsid w:val="000B3EAE"/>
    <w:rsid w:val="000B5758"/>
    <w:rsid w:val="000C02B1"/>
    <w:rsid w:val="000C4BA2"/>
    <w:rsid w:val="000C67D4"/>
    <w:rsid w:val="000D01DC"/>
    <w:rsid w:val="000D4280"/>
    <w:rsid w:val="000D6E3D"/>
    <w:rsid w:val="000E20FB"/>
    <w:rsid w:val="000E6CE0"/>
    <w:rsid w:val="000F3325"/>
    <w:rsid w:val="000F4BA0"/>
    <w:rsid w:val="000F5A76"/>
    <w:rsid w:val="000F7C65"/>
    <w:rsid w:val="000F7EBA"/>
    <w:rsid w:val="00103983"/>
    <w:rsid w:val="00106AEE"/>
    <w:rsid w:val="00112817"/>
    <w:rsid w:val="0011564F"/>
    <w:rsid w:val="00117EBA"/>
    <w:rsid w:val="00122684"/>
    <w:rsid w:val="00125D38"/>
    <w:rsid w:val="00141025"/>
    <w:rsid w:val="001423DA"/>
    <w:rsid w:val="001446F1"/>
    <w:rsid w:val="00145990"/>
    <w:rsid w:val="00152356"/>
    <w:rsid w:val="00154B39"/>
    <w:rsid w:val="00156254"/>
    <w:rsid w:val="00157522"/>
    <w:rsid w:val="00162AEE"/>
    <w:rsid w:val="00163EEA"/>
    <w:rsid w:val="00171037"/>
    <w:rsid w:val="0017254D"/>
    <w:rsid w:val="00174CAB"/>
    <w:rsid w:val="001845AD"/>
    <w:rsid w:val="0019164F"/>
    <w:rsid w:val="00196620"/>
    <w:rsid w:val="001B2110"/>
    <w:rsid w:val="001B2C09"/>
    <w:rsid w:val="001B6816"/>
    <w:rsid w:val="001C0620"/>
    <w:rsid w:val="001C5B8E"/>
    <w:rsid w:val="001C7574"/>
    <w:rsid w:val="001C787B"/>
    <w:rsid w:val="001E5F72"/>
    <w:rsid w:val="001F2A0E"/>
    <w:rsid w:val="00200126"/>
    <w:rsid w:val="002019F5"/>
    <w:rsid w:val="00203600"/>
    <w:rsid w:val="002043D4"/>
    <w:rsid w:val="002225EF"/>
    <w:rsid w:val="00226C87"/>
    <w:rsid w:val="0023354E"/>
    <w:rsid w:val="0024023C"/>
    <w:rsid w:val="0027214E"/>
    <w:rsid w:val="00273EA4"/>
    <w:rsid w:val="00280DDA"/>
    <w:rsid w:val="00286BDA"/>
    <w:rsid w:val="00287103"/>
    <w:rsid w:val="002943B4"/>
    <w:rsid w:val="002A22D4"/>
    <w:rsid w:val="002A286D"/>
    <w:rsid w:val="002A746C"/>
    <w:rsid w:val="002A774C"/>
    <w:rsid w:val="002B4B84"/>
    <w:rsid w:val="002C1722"/>
    <w:rsid w:val="002C5824"/>
    <w:rsid w:val="002E6A20"/>
    <w:rsid w:val="002F1EDF"/>
    <w:rsid w:val="002F7F84"/>
    <w:rsid w:val="0030389C"/>
    <w:rsid w:val="00303BAB"/>
    <w:rsid w:val="003061C5"/>
    <w:rsid w:val="00307E39"/>
    <w:rsid w:val="00311087"/>
    <w:rsid w:val="00316752"/>
    <w:rsid w:val="003168E4"/>
    <w:rsid w:val="003219E2"/>
    <w:rsid w:val="0032580C"/>
    <w:rsid w:val="00327779"/>
    <w:rsid w:val="00332A33"/>
    <w:rsid w:val="00340793"/>
    <w:rsid w:val="003466FF"/>
    <w:rsid w:val="0035579D"/>
    <w:rsid w:val="00355ABD"/>
    <w:rsid w:val="0035605A"/>
    <w:rsid w:val="0036053A"/>
    <w:rsid w:val="003678B1"/>
    <w:rsid w:val="003741CF"/>
    <w:rsid w:val="003756D7"/>
    <w:rsid w:val="00386450"/>
    <w:rsid w:val="00387732"/>
    <w:rsid w:val="00390565"/>
    <w:rsid w:val="003A19A8"/>
    <w:rsid w:val="003A5F00"/>
    <w:rsid w:val="003B3535"/>
    <w:rsid w:val="003B3CBA"/>
    <w:rsid w:val="003B45D9"/>
    <w:rsid w:val="003B5C1D"/>
    <w:rsid w:val="003C1034"/>
    <w:rsid w:val="003C32BA"/>
    <w:rsid w:val="003C3482"/>
    <w:rsid w:val="003C46B2"/>
    <w:rsid w:val="003E68AC"/>
    <w:rsid w:val="003F1064"/>
    <w:rsid w:val="003F3F51"/>
    <w:rsid w:val="003F5CF1"/>
    <w:rsid w:val="0040385F"/>
    <w:rsid w:val="00405663"/>
    <w:rsid w:val="004113E4"/>
    <w:rsid w:val="004127ED"/>
    <w:rsid w:val="00413DC0"/>
    <w:rsid w:val="00420E1D"/>
    <w:rsid w:val="0042224A"/>
    <w:rsid w:val="00433F6E"/>
    <w:rsid w:val="00450D97"/>
    <w:rsid w:val="004573B0"/>
    <w:rsid w:val="004573B3"/>
    <w:rsid w:val="00465E0F"/>
    <w:rsid w:val="00481E0D"/>
    <w:rsid w:val="00481F80"/>
    <w:rsid w:val="0049468E"/>
    <w:rsid w:val="004947D2"/>
    <w:rsid w:val="004A1982"/>
    <w:rsid w:val="004A6FA6"/>
    <w:rsid w:val="004C4B2A"/>
    <w:rsid w:val="004C7F68"/>
    <w:rsid w:val="004D0517"/>
    <w:rsid w:val="004D412C"/>
    <w:rsid w:val="004E712B"/>
    <w:rsid w:val="004F0FF6"/>
    <w:rsid w:val="004F526E"/>
    <w:rsid w:val="00501CC6"/>
    <w:rsid w:val="005035AE"/>
    <w:rsid w:val="005104D2"/>
    <w:rsid w:val="00515252"/>
    <w:rsid w:val="00516323"/>
    <w:rsid w:val="00520DCF"/>
    <w:rsid w:val="005236EB"/>
    <w:rsid w:val="00523E9B"/>
    <w:rsid w:val="0053259F"/>
    <w:rsid w:val="005343E6"/>
    <w:rsid w:val="005401B1"/>
    <w:rsid w:val="005453F0"/>
    <w:rsid w:val="00547F7F"/>
    <w:rsid w:val="005651D9"/>
    <w:rsid w:val="0056543F"/>
    <w:rsid w:val="00566CA7"/>
    <w:rsid w:val="0057294A"/>
    <w:rsid w:val="005831DD"/>
    <w:rsid w:val="00586043"/>
    <w:rsid w:val="00587A47"/>
    <w:rsid w:val="00592526"/>
    <w:rsid w:val="005B145C"/>
    <w:rsid w:val="005C6B92"/>
    <w:rsid w:val="005D1D60"/>
    <w:rsid w:val="005D5433"/>
    <w:rsid w:val="005E1271"/>
    <w:rsid w:val="005E4A9B"/>
    <w:rsid w:val="00603C14"/>
    <w:rsid w:val="00614F74"/>
    <w:rsid w:val="006157D4"/>
    <w:rsid w:val="00616F7D"/>
    <w:rsid w:val="00617CB0"/>
    <w:rsid w:val="00621E81"/>
    <w:rsid w:val="0062604D"/>
    <w:rsid w:val="0062606F"/>
    <w:rsid w:val="006345A2"/>
    <w:rsid w:val="00640ECC"/>
    <w:rsid w:val="0064139B"/>
    <w:rsid w:val="00645BB0"/>
    <w:rsid w:val="00645F0E"/>
    <w:rsid w:val="00655E27"/>
    <w:rsid w:val="006569FB"/>
    <w:rsid w:val="00662104"/>
    <w:rsid w:val="00664C3E"/>
    <w:rsid w:val="00664F01"/>
    <w:rsid w:val="00666328"/>
    <w:rsid w:val="00677181"/>
    <w:rsid w:val="00684DF8"/>
    <w:rsid w:val="006A22AA"/>
    <w:rsid w:val="006A2BBD"/>
    <w:rsid w:val="006A3618"/>
    <w:rsid w:val="006B1D9B"/>
    <w:rsid w:val="006C1F78"/>
    <w:rsid w:val="006C3A76"/>
    <w:rsid w:val="006C6596"/>
    <w:rsid w:val="006D18A2"/>
    <w:rsid w:val="006D238F"/>
    <w:rsid w:val="006E2062"/>
    <w:rsid w:val="006E23EA"/>
    <w:rsid w:val="006E76B2"/>
    <w:rsid w:val="006F025C"/>
    <w:rsid w:val="00703A24"/>
    <w:rsid w:val="00705B20"/>
    <w:rsid w:val="00706C13"/>
    <w:rsid w:val="0070753F"/>
    <w:rsid w:val="007374AD"/>
    <w:rsid w:val="0074062A"/>
    <w:rsid w:val="0074755D"/>
    <w:rsid w:val="00757CA7"/>
    <w:rsid w:val="00763179"/>
    <w:rsid w:val="00780DE0"/>
    <w:rsid w:val="007841D6"/>
    <w:rsid w:val="00785514"/>
    <w:rsid w:val="00786BCD"/>
    <w:rsid w:val="00791B3E"/>
    <w:rsid w:val="00792190"/>
    <w:rsid w:val="007964B7"/>
    <w:rsid w:val="007A0787"/>
    <w:rsid w:val="007B6266"/>
    <w:rsid w:val="007B6980"/>
    <w:rsid w:val="007C2654"/>
    <w:rsid w:val="007C5393"/>
    <w:rsid w:val="007D0012"/>
    <w:rsid w:val="007D42C8"/>
    <w:rsid w:val="007E6A4C"/>
    <w:rsid w:val="007F40F5"/>
    <w:rsid w:val="00821A6F"/>
    <w:rsid w:val="00825E79"/>
    <w:rsid w:val="00831083"/>
    <w:rsid w:val="00833FC7"/>
    <w:rsid w:val="00836C19"/>
    <w:rsid w:val="00837A95"/>
    <w:rsid w:val="00844259"/>
    <w:rsid w:val="0084581F"/>
    <w:rsid w:val="00847D16"/>
    <w:rsid w:val="00850414"/>
    <w:rsid w:val="0085224A"/>
    <w:rsid w:val="00861685"/>
    <w:rsid w:val="00865D87"/>
    <w:rsid w:val="00865FE4"/>
    <w:rsid w:val="008727BA"/>
    <w:rsid w:val="0088376F"/>
    <w:rsid w:val="008922DB"/>
    <w:rsid w:val="008941DB"/>
    <w:rsid w:val="00896A2A"/>
    <w:rsid w:val="008A206C"/>
    <w:rsid w:val="008A240B"/>
    <w:rsid w:val="008A65F6"/>
    <w:rsid w:val="008A7BAF"/>
    <w:rsid w:val="008B10E1"/>
    <w:rsid w:val="008B1EF3"/>
    <w:rsid w:val="008B3998"/>
    <w:rsid w:val="008B3B05"/>
    <w:rsid w:val="008B40FA"/>
    <w:rsid w:val="008B5825"/>
    <w:rsid w:val="008C1936"/>
    <w:rsid w:val="008D24CC"/>
    <w:rsid w:val="008D2AC4"/>
    <w:rsid w:val="008D7C4F"/>
    <w:rsid w:val="008E2FC7"/>
    <w:rsid w:val="008E3463"/>
    <w:rsid w:val="008F48C7"/>
    <w:rsid w:val="00913413"/>
    <w:rsid w:val="009153BF"/>
    <w:rsid w:val="0092411F"/>
    <w:rsid w:val="0092690E"/>
    <w:rsid w:val="009338EC"/>
    <w:rsid w:val="00935150"/>
    <w:rsid w:val="00946A66"/>
    <w:rsid w:val="009504FE"/>
    <w:rsid w:val="00960D59"/>
    <w:rsid w:val="00962E7C"/>
    <w:rsid w:val="00967F81"/>
    <w:rsid w:val="00970501"/>
    <w:rsid w:val="00971396"/>
    <w:rsid w:val="009768D2"/>
    <w:rsid w:val="00977FBC"/>
    <w:rsid w:val="00980DA5"/>
    <w:rsid w:val="00983A21"/>
    <w:rsid w:val="00985524"/>
    <w:rsid w:val="009911DE"/>
    <w:rsid w:val="00994EE3"/>
    <w:rsid w:val="009A477E"/>
    <w:rsid w:val="009B6CD7"/>
    <w:rsid w:val="009B6F44"/>
    <w:rsid w:val="009B73A7"/>
    <w:rsid w:val="009C390D"/>
    <w:rsid w:val="009D0E47"/>
    <w:rsid w:val="009D195B"/>
    <w:rsid w:val="009D5641"/>
    <w:rsid w:val="009D5E9E"/>
    <w:rsid w:val="009D7FD9"/>
    <w:rsid w:val="009F5C17"/>
    <w:rsid w:val="009F5CA4"/>
    <w:rsid w:val="00A01120"/>
    <w:rsid w:val="00A1220E"/>
    <w:rsid w:val="00A31AE3"/>
    <w:rsid w:val="00A60F7C"/>
    <w:rsid w:val="00A61742"/>
    <w:rsid w:val="00A73898"/>
    <w:rsid w:val="00A802C0"/>
    <w:rsid w:val="00A83C55"/>
    <w:rsid w:val="00A86B70"/>
    <w:rsid w:val="00A87148"/>
    <w:rsid w:val="00A93C9A"/>
    <w:rsid w:val="00AA42F6"/>
    <w:rsid w:val="00AB0004"/>
    <w:rsid w:val="00AB212F"/>
    <w:rsid w:val="00AB71D2"/>
    <w:rsid w:val="00AE0289"/>
    <w:rsid w:val="00AE75E7"/>
    <w:rsid w:val="00AF2D52"/>
    <w:rsid w:val="00AF7167"/>
    <w:rsid w:val="00B144E3"/>
    <w:rsid w:val="00B15390"/>
    <w:rsid w:val="00B20B18"/>
    <w:rsid w:val="00B32979"/>
    <w:rsid w:val="00B4096A"/>
    <w:rsid w:val="00B45ECE"/>
    <w:rsid w:val="00B57BAF"/>
    <w:rsid w:val="00B657FC"/>
    <w:rsid w:val="00B720FD"/>
    <w:rsid w:val="00B7266B"/>
    <w:rsid w:val="00B82657"/>
    <w:rsid w:val="00B840D2"/>
    <w:rsid w:val="00B8477B"/>
    <w:rsid w:val="00B90E6B"/>
    <w:rsid w:val="00B913FF"/>
    <w:rsid w:val="00B927B5"/>
    <w:rsid w:val="00BA41CE"/>
    <w:rsid w:val="00BA44DE"/>
    <w:rsid w:val="00BA588B"/>
    <w:rsid w:val="00BB2B0C"/>
    <w:rsid w:val="00BB3AB2"/>
    <w:rsid w:val="00BC312E"/>
    <w:rsid w:val="00BC5541"/>
    <w:rsid w:val="00BD7C77"/>
    <w:rsid w:val="00BE1579"/>
    <w:rsid w:val="00BE6A0A"/>
    <w:rsid w:val="00BF5852"/>
    <w:rsid w:val="00BF595A"/>
    <w:rsid w:val="00BF5B5A"/>
    <w:rsid w:val="00C02398"/>
    <w:rsid w:val="00C064F9"/>
    <w:rsid w:val="00C1100A"/>
    <w:rsid w:val="00C1236B"/>
    <w:rsid w:val="00C174C7"/>
    <w:rsid w:val="00C24D43"/>
    <w:rsid w:val="00C30594"/>
    <w:rsid w:val="00C41CC5"/>
    <w:rsid w:val="00C44EE8"/>
    <w:rsid w:val="00C66CBB"/>
    <w:rsid w:val="00C72E72"/>
    <w:rsid w:val="00C74787"/>
    <w:rsid w:val="00C755A1"/>
    <w:rsid w:val="00C7722A"/>
    <w:rsid w:val="00C77281"/>
    <w:rsid w:val="00C80BA7"/>
    <w:rsid w:val="00C81C5E"/>
    <w:rsid w:val="00C864DE"/>
    <w:rsid w:val="00C86A49"/>
    <w:rsid w:val="00C93726"/>
    <w:rsid w:val="00C94F89"/>
    <w:rsid w:val="00CA09FE"/>
    <w:rsid w:val="00CA58F5"/>
    <w:rsid w:val="00CB0942"/>
    <w:rsid w:val="00CC4258"/>
    <w:rsid w:val="00CE29B0"/>
    <w:rsid w:val="00CE29D8"/>
    <w:rsid w:val="00CE50D0"/>
    <w:rsid w:val="00CE5905"/>
    <w:rsid w:val="00CF2C2E"/>
    <w:rsid w:val="00CF34D2"/>
    <w:rsid w:val="00D1007C"/>
    <w:rsid w:val="00D20A70"/>
    <w:rsid w:val="00D31E9E"/>
    <w:rsid w:val="00D4111C"/>
    <w:rsid w:val="00D42A22"/>
    <w:rsid w:val="00D52396"/>
    <w:rsid w:val="00D53A17"/>
    <w:rsid w:val="00D63639"/>
    <w:rsid w:val="00D67318"/>
    <w:rsid w:val="00D70B9D"/>
    <w:rsid w:val="00D73F5E"/>
    <w:rsid w:val="00D77769"/>
    <w:rsid w:val="00D9087D"/>
    <w:rsid w:val="00D96C8F"/>
    <w:rsid w:val="00DA491F"/>
    <w:rsid w:val="00DA775E"/>
    <w:rsid w:val="00DB0217"/>
    <w:rsid w:val="00DB1D31"/>
    <w:rsid w:val="00DC06B7"/>
    <w:rsid w:val="00DC294E"/>
    <w:rsid w:val="00DC5AA9"/>
    <w:rsid w:val="00DD2878"/>
    <w:rsid w:val="00DE6284"/>
    <w:rsid w:val="00DF030E"/>
    <w:rsid w:val="00DF05E5"/>
    <w:rsid w:val="00DF1C84"/>
    <w:rsid w:val="00DF59D1"/>
    <w:rsid w:val="00E1124D"/>
    <w:rsid w:val="00E14EC6"/>
    <w:rsid w:val="00E158C6"/>
    <w:rsid w:val="00E220FE"/>
    <w:rsid w:val="00E24007"/>
    <w:rsid w:val="00E27CD1"/>
    <w:rsid w:val="00E33EC0"/>
    <w:rsid w:val="00E34D34"/>
    <w:rsid w:val="00E35219"/>
    <w:rsid w:val="00E35F22"/>
    <w:rsid w:val="00E426AE"/>
    <w:rsid w:val="00E42AEB"/>
    <w:rsid w:val="00E44B10"/>
    <w:rsid w:val="00E52546"/>
    <w:rsid w:val="00E549D3"/>
    <w:rsid w:val="00E55D04"/>
    <w:rsid w:val="00E56D1C"/>
    <w:rsid w:val="00E62F88"/>
    <w:rsid w:val="00E65967"/>
    <w:rsid w:val="00E663DC"/>
    <w:rsid w:val="00E66F9D"/>
    <w:rsid w:val="00E67488"/>
    <w:rsid w:val="00E700F8"/>
    <w:rsid w:val="00E711E4"/>
    <w:rsid w:val="00E72486"/>
    <w:rsid w:val="00E7528E"/>
    <w:rsid w:val="00E771EF"/>
    <w:rsid w:val="00E77553"/>
    <w:rsid w:val="00E84ECF"/>
    <w:rsid w:val="00E87DD6"/>
    <w:rsid w:val="00E923CE"/>
    <w:rsid w:val="00E93F53"/>
    <w:rsid w:val="00EA2030"/>
    <w:rsid w:val="00EA4037"/>
    <w:rsid w:val="00EB1452"/>
    <w:rsid w:val="00EB15B9"/>
    <w:rsid w:val="00EB26CE"/>
    <w:rsid w:val="00EB5A41"/>
    <w:rsid w:val="00EC75AD"/>
    <w:rsid w:val="00EE1101"/>
    <w:rsid w:val="00EE5F0B"/>
    <w:rsid w:val="00EF6B4C"/>
    <w:rsid w:val="00F03FB2"/>
    <w:rsid w:val="00F049FC"/>
    <w:rsid w:val="00F07485"/>
    <w:rsid w:val="00F13741"/>
    <w:rsid w:val="00F25F06"/>
    <w:rsid w:val="00F30153"/>
    <w:rsid w:val="00F32EE8"/>
    <w:rsid w:val="00F33B1C"/>
    <w:rsid w:val="00F347E1"/>
    <w:rsid w:val="00F358F9"/>
    <w:rsid w:val="00F469BD"/>
    <w:rsid w:val="00F507E6"/>
    <w:rsid w:val="00F57835"/>
    <w:rsid w:val="00F60DD3"/>
    <w:rsid w:val="00F61F8E"/>
    <w:rsid w:val="00F65B5F"/>
    <w:rsid w:val="00F6742D"/>
    <w:rsid w:val="00F81B80"/>
    <w:rsid w:val="00F82C59"/>
    <w:rsid w:val="00F8325C"/>
    <w:rsid w:val="00F8599C"/>
    <w:rsid w:val="00F90CD3"/>
    <w:rsid w:val="00F91677"/>
    <w:rsid w:val="00F91DD8"/>
    <w:rsid w:val="00F93DAF"/>
    <w:rsid w:val="00F95A30"/>
    <w:rsid w:val="00F97DEC"/>
    <w:rsid w:val="00FA1A78"/>
    <w:rsid w:val="00FA727F"/>
    <w:rsid w:val="00FB18AF"/>
    <w:rsid w:val="00FC3823"/>
    <w:rsid w:val="00FC67DD"/>
    <w:rsid w:val="00FE406C"/>
    <w:rsid w:val="00FF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1"/>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3"/>
      </w:numPr>
      <w:tabs>
        <w:tab w:val="left" w:pos="1440"/>
      </w:tabs>
      <w:spacing w:after="220"/>
      <w:jc w:val="both"/>
    </w:pPr>
  </w:style>
  <w:style w:type="paragraph" w:styleId="FootnoteText">
    <w:name w:val="footnote text"/>
    <w:aliases w:val="Footnote Text Char1,Footnote Text Char2 Char,Footnote Text Char Char1 Char,Footnote Text Char1 Char Char Char,Footnote Text Char Char Char Char Char,Footnote Text Char2 Char Char Char Char Char,Footnote Text Char,Footnote Text Char2,fn"/>
    <w:basedOn w:val="Normal"/>
    <w:link w:val="FootnoteTextChar3"/>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FR"/>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rPr>
  </w:style>
  <w:style w:type="paragraph" w:styleId="EndnoteText">
    <w:name w:val="endnote text"/>
    <w:basedOn w:val="Normal"/>
    <w:semiHidden/>
    <w:pPr>
      <w:widowControl w:val="0"/>
      <w:jc w:val="both"/>
    </w:pPr>
    <w:rPr>
      <w:snapToGrid w:val="0"/>
      <w:kern w:val="28"/>
      <w:sz w:val="20"/>
    </w:rPr>
  </w:style>
  <w:style w:type="paragraph" w:styleId="BodyTextIndent">
    <w:name w:val="Body Text Indent"/>
    <w:basedOn w:val="Normal"/>
    <w:pPr>
      <w:widowControl w:val="0"/>
      <w:tabs>
        <w:tab w:val="left" w:pos="1080"/>
      </w:tabs>
      <w:ind w:left="5670" w:hanging="5670"/>
    </w:pPr>
    <w:rPr>
      <w:snapToGrid w:val="0"/>
      <w:kern w:val="28"/>
    </w:rPr>
  </w:style>
  <w:style w:type="paragraph" w:customStyle="1" w:styleId="Docutechnumbering">
    <w:name w:val="Docutech numbering"/>
    <w:basedOn w:val="Normal"/>
    <w:pPr>
      <w:numPr>
        <w:numId w:val="5"/>
      </w:numPr>
    </w:pPr>
    <w:rPr>
      <w:sz w:val="24"/>
    </w:rPr>
  </w:style>
  <w:style w:type="paragraph" w:styleId="TOAHeading">
    <w:name w:val="toa heading"/>
    <w:basedOn w:val="Normal"/>
    <w:next w:val="Normal"/>
    <w:semiHidden/>
    <w:pPr>
      <w:widowControl w:val="0"/>
      <w:tabs>
        <w:tab w:val="right" w:pos="9360"/>
      </w:tabs>
      <w:suppressAutoHyphens/>
      <w:jc w:val="both"/>
    </w:pPr>
    <w:rPr>
      <w:snapToGrid w:val="0"/>
      <w:kern w:val="28"/>
    </w:rPr>
  </w:style>
  <w:style w:type="paragraph" w:styleId="BodyText">
    <w:name w:val="Body Text"/>
    <w:basedOn w:val="Normal"/>
    <w:rPr>
      <w:u w:val="single"/>
    </w:rPr>
  </w:style>
  <w:style w:type="paragraph" w:styleId="BalloonText">
    <w:name w:val="Balloon Text"/>
    <w:basedOn w:val="Normal"/>
    <w:semiHidden/>
    <w:rPr>
      <w:rFonts w:ascii="Tahoma" w:hAnsi="Tahoma" w:cs="Tahoma"/>
      <w:sz w:val="16"/>
      <w:szCs w:val="16"/>
    </w:rPr>
  </w:style>
  <w:style w:type="paragraph" w:customStyle="1" w:styleId="Numberedparagraph">
    <w:name w:val="Numbered paragraph"/>
    <w:basedOn w:val="Normal"/>
    <w:autoRedefine/>
    <w:rsid w:val="00B720FD"/>
    <w:pPr>
      <w:numPr>
        <w:numId w:val="6"/>
      </w:numPr>
      <w:tabs>
        <w:tab w:val="clear" w:pos="1080"/>
        <w:tab w:val="left" w:pos="720"/>
        <w:tab w:val="num" w:pos="1430"/>
        <w:tab w:val="left" w:pos="2160"/>
        <w:tab w:val="left" w:pos="2880"/>
        <w:tab w:val="left" w:pos="3600"/>
      </w:tabs>
      <w:spacing w:after="240"/>
    </w:pPr>
  </w:style>
  <w:style w:type="character" w:customStyle="1" w:styleId="FootnoteTextChar3">
    <w:name w:val="Footnote Text Char3"/>
    <w:aliases w:val="Footnote Text Char1 Char,Footnote Text Char2 Char Char,Footnote Text Char Char1 Char Char,Footnote Text Char1 Char Char Char Char,Footnote Text Char Char Char Char Char Char,Footnote Text Char2 Char Char Char Char Char Char,fn Char"/>
    <w:link w:val="FootnoteText"/>
    <w:rsid w:val="002A774C"/>
    <w:rPr>
      <w:lang w:val="en-US" w:eastAsia="en-US" w:bidi="ar-SA"/>
    </w:rPr>
  </w:style>
  <w:style w:type="paragraph" w:customStyle="1" w:styleId="StyleParaNumLeftAfter6pt">
    <w:name w:val="Style ParaNum + Left After:  6 pt"/>
    <w:basedOn w:val="ParaNum"/>
    <w:rsid w:val="002A774C"/>
    <w:pPr>
      <w:numPr>
        <w:numId w:val="0"/>
      </w:numPr>
      <w:ind w:firstLine="720"/>
    </w:pPr>
    <w:rPr>
      <w:snapToGrid w:val="0"/>
      <w:kern w:val="28"/>
    </w:rPr>
  </w:style>
  <w:style w:type="paragraph" w:styleId="HTMLPreformatted">
    <w:name w:val="HTML Preformatted"/>
    <w:basedOn w:val="Normal"/>
    <w:link w:val="HTMLPreformattedChar"/>
    <w:uiPriority w:val="99"/>
    <w:unhideWhenUsed/>
    <w:rsid w:val="0098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983A21"/>
    <w:rPr>
      <w:rFonts w:ascii="Courier New" w:hAnsi="Courier New" w:cs="Courier New"/>
    </w:rPr>
  </w:style>
  <w:style w:type="character" w:customStyle="1" w:styleId="documentbody">
    <w:name w:val="documentbody"/>
    <w:rsid w:val="00BE1579"/>
    <w:rPr>
      <w:rFonts w:cs="Times New Roman"/>
    </w:rPr>
  </w:style>
  <w:style w:type="paragraph" w:customStyle="1" w:styleId="Default">
    <w:name w:val="Default"/>
    <w:rsid w:val="00E62F88"/>
    <w:pPr>
      <w:autoSpaceDE w:val="0"/>
      <w:autoSpaceDN w:val="0"/>
      <w:adjustRightInd w:val="0"/>
    </w:pPr>
    <w:rPr>
      <w:color w:val="000000"/>
      <w:sz w:val="24"/>
      <w:szCs w:val="24"/>
    </w:rPr>
  </w:style>
  <w:style w:type="character" w:styleId="CommentReference">
    <w:name w:val="annotation reference"/>
    <w:basedOn w:val="DefaultParagraphFont"/>
    <w:rsid w:val="00054EFA"/>
    <w:rPr>
      <w:sz w:val="16"/>
      <w:szCs w:val="16"/>
    </w:rPr>
  </w:style>
  <w:style w:type="paragraph" w:styleId="CommentText">
    <w:name w:val="annotation text"/>
    <w:basedOn w:val="Normal"/>
    <w:link w:val="CommentTextChar"/>
    <w:rsid w:val="00054EFA"/>
    <w:rPr>
      <w:sz w:val="20"/>
    </w:rPr>
  </w:style>
  <w:style w:type="character" w:customStyle="1" w:styleId="CommentTextChar">
    <w:name w:val="Comment Text Char"/>
    <w:basedOn w:val="DefaultParagraphFont"/>
    <w:link w:val="CommentText"/>
    <w:rsid w:val="00054EFA"/>
  </w:style>
  <w:style w:type="paragraph" w:styleId="CommentSubject">
    <w:name w:val="annotation subject"/>
    <w:basedOn w:val="CommentText"/>
    <w:next w:val="CommentText"/>
    <w:link w:val="CommentSubjectChar"/>
    <w:rsid w:val="00054EFA"/>
    <w:rPr>
      <w:b/>
      <w:bCs/>
    </w:rPr>
  </w:style>
  <w:style w:type="character" w:customStyle="1" w:styleId="CommentSubjectChar">
    <w:name w:val="Comment Subject Char"/>
    <w:basedOn w:val="CommentTextChar"/>
    <w:link w:val="CommentSubject"/>
    <w:rsid w:val="00054E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1"/>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3"/>
      </w:numPr>
      <w:tabs>
        <w:tab w:val="left" w:pos="1440"/>
      </w:tabs>
      <w:spacing w:after="220"/>
      <w:jc w:val="both"/>
    </w:pPr>
  </w:style>
  <w:style w:type="paragraph" w:styleId="FootnoteText">
    <w:name w:val="footnote text"/>
    <w:aliases w:val="Footnote Text Char1,Footnote Text Char2 Char,Footnote Text Char Char1 Char,Footnote Text Char1 Char Char Char,Footnote Text Char Char Char Char Char,Footnote Text Char2 Char Char Char Char Char,Footnote Text Char,Footnote Text Char2,fn"/>
    <w:basedOn w:val="Normal"/>
    <w:link w:val="FootnoteTextChar3"/>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FR"/>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rPr>
  </w:style>
  <w:style w:type="paragraph" w:styleId="EndnoteText">
    <w:name w:val="endnote text"/>
    <w:basedOn w:val="Normal"/>
    <w:semiHidden/>
    <w:pPr>
      <w:widowControl w:val="0"/>
      <w:jc w:val="both"/>
    </w:pPr>
    <w:rPr>
      <w:snapToGrid w:val="0"/>
      <w:kern w:val="28"/>
      <w:sz w:val="20"/>
    </w:rPr>
  </w:style>
  <w:style w:type="paragraph" w:styleId="BodyTextIndent">
    <w:name w:val="Body Text Indent"/>
    <w:basedOn w:val="Normal"/>
    <w:pPr>
      <w:widowControl w:val="0"/>
      <w:tabs>
        <w:tab w:val="left" w:pos="1080"/>
      </w:tabs>
      <w:ind w:left="5670" w:hanging="5670"/>
    </w:pPr>
    <w:rPr>
      <w:snapToGrid w:val="0"/>
      <w:kern w:val="28"/>
    </w:rPr>
  </w:style>
  <w:style w:type="paragraph" w:customStyle="1" w:styleId="Docutechnumbering">
    <w:name w:val="Docutech numbering"/>
    <w:basedOn w:val="Normal"/>
    <w:pPr>
      <w:numPr>
        <w:numId w:val="5"/>
      </w:numPr>
    </w:pPr>
    <w:rPr>
      <w:sz w:val="24"/>
    </w:rPr>
  </w:style>
  <w:style w:type="paragraph" w:styleId="TOAHeading">
    <w:name w:val="toa heading"/>
    <w:basedOn w:val="Normal"/>
    <w:next w:val="Normal"/>
    <w:semiHidden/>
    <w:pPr>
      <w:widowControl w:val="0"/>
      <w:tabs>
        <w:tab w:val="right" w:pos="9360"/>
      </w:tabs>
      <w:suppressAutoHyphens/>
      <w:jc w:val="both"/>
    </w:pPr>
    <w:rPr>
      <w:snapToGrid w:val="0"/>
      <w:kern w:val="28"/>
    </w:rPr>
  </w:style>
  <w:style w:type="paragraph" w:styleId="BodyText">
    <w:name w:val="Body Text"/>
    <w:basedOn w:val="Normal"/>
    <w:rPr>
      <w:u w:val="single"/>
    </w:rPr>
  </w:style>
  <w:style w:type="paragraph" w:styleId="BalloonText">
    <w:name w:val="Balloon Text"/>
    <w:basedOn w:val="Normal"/>
    <w:semiHidden/>
    <w:rPr>
      <w:rFonts w:ascii="Tahoma" w:hAnsi="Tahoma" w:cs="Tahoma"/>
      <w:sz w:val="16"/>
      <w:szCs w:val="16"/>
    </w:rPr>
  </w:style>
  <w:style w:type="paragraph" w:customStyle="1" w:styleId="Numberedparagraph">
    <w:name w:val="Numbered paragraph"/>
    <w:basedOn w:val="Normal"/>
    <w:autoRedefine/>
    <w:rsid w:val="00B720FD"/>
    <w:pPr>
      <w:numPr>
        <w:numId w:val="6"/>
      </w:numPr>
      <w:tabs>
        <w:tab w:val="clear" w:pos="1080"/>
        <w:tab w:val="left" w:pos="720"/>
        <w:tab w:val="num" w:pos="1430"/>
        <w:tab w:val="left" w:pos="2160"/>
        <w:tab w:val="left" w:pos="2880"/>
        <w:tab w:val="left" w:pos="3600"/>
      </w:tabs>
      <w:spacing w:after="240"/>
    </w:pPr>
  </w:style>
  <w:style w:type="character" w:customStyle="1" w:styleId="FootnoteTextChar3">
    <w:name w:val="Footnote Text Char3"/>
    <w:aliases w:val="Footnote Text Char1 Char,Footnote Text Char2 Char Char,Footnote Text Char Char1 Char Char,Footnote Text Char1 Char Char Char Char,Footnote Text Char Char Char Char Char Char,Footnote Text Char2 Char Char Char Char Char Char,fn Char"/>
    <w:link w:val="FootnoteText"/>
    <w:rsid w:val="002A774C"/>
    <w:rPr>
      <w:lang w:val="en-US" w:eastAsia="en-US" w:bidi="ar-SA"/>
    </w:rPr>
  </w:style>
  <w:style w:type="paragraph" w:customStyle="1" w:styleId="StyleParaNumLeftAfter6pt">
    <w:name w:val="Style ParaNum + Left After:  6 pt"/>
    <w:basedOn w:val="ParaNum"/>
    <w:rsid w:val="002A774C"/>
    <w:pPr>
      <w:numPr>
        <w:numId w:val="0"/>
      </w:numPr>
      <w:ind w:firstLine="720"/>
    </w:pPr>
    <w:rPr>
      <w:snapToGrid w:val="0"/>
      <w:kern w:val="28"/>
    </w:rPr>
  </w:style>
  <w:style w:type="paragraph" w:styleId="HTMLPreformatted">
    <w:name w:val="HTML Preformatted"/>
    <w:basedOn w:val="Normal"/>
    <w:link w:val="HTMLPreformattedChar"/>
    <w:uiPriority w:val="99"/>
    <w:unhideWhenUsed/>
    <w:rsid w:val="0098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983A21"/>
    <w:rPr>
      <w:rFonts w:ascii="Courier New" w:hAnsi="Courier New" w:cs="Courier New"/>
    </w:rPr>
  </w:style>
  <w:style w:type="character" w:customStyle="1" w:styleId="documentbody">
    <w:name w:val="documentbody"/>
    <w:rsid w:val="00BE1579"/>
    <w:rPr>
      <w:rFonts w:cs="Times New Roman"/>
    </w:rPr>
  </w:style>
  <w:style w:type="paragraph" w:customStyle="1" w:styleId="Default">
    <w:name w:val="Default"/>
    <w:rsid w:val="00E62F88"/>
    <w:pPr>
      <w:autoSpaceDE w:val="0"/>
      <w:autoSpaceDN w:val="0"/>
      <w:adjustRightInd w:val="0"/>
    </w:pPr>
    <w:rPr>
      <w:color w:val="000000"/>
      <w:sz w:val="24"/>
      <w:szCs w:val="24"/>
    </w:rPr>
  </w:style>
  <w:style w:type="character" w:styleId="CommentReference">
    <w:name w:val="annotation reference"/>
    <w:basedOn w:val="DefaultParagraphFont"/>
    <w:rsid w:val="00054EFA"/>
    <w:rPr>
      <w:sz w:val="16"/>
      <w:szCs w:val="16"/>
    </w:rPr>
  </w:style>
  <w:style w:type="paragraph" w:styleId="CommentText">
    <w:name w:val="annotation text"/>
    <w:basedOn w:val="Normal"/>
    <w:link w:val="CommentTextChar"/>
    <w:rsid w:val="00054EFA"/>
    <w:rPr>
      <w:sz w:val="20"/>
    </w:rPr>
  </w:style>
  <w:style w:type="character" w:customStyle="1" w:styleId="CommentTextChar">
    <w:name w:val="Comment Text Char"/>
    <w:basedOn w:val="DefaultParagraphFont"/>
    <w:link w:val="CommentText"/>
    <w:rsid w:val="00054EFA"/>
  </w:style>
  <w:style w:type="paragraph" w:styleId="CommentSubject">
    <w:name w:val="annotation subject"/>
    <w:basedOn w:val="CommentText"/>
    <w:next w:val="CommentText"/>
    <w:link w:val="CommentSubjectChar"/>
    <w:rsid w:val="00054EFA"/>
    <w:rPr>
      <w:b/>
      <w:bCs/>
    </w:rPr>
  </w:style>
  <w:style w:type="character" w:customStyle="1" w:styleId="CommentSubjectChar">
    <w:name w:val="Comment Subject Char"/>
    <w:basedOn w:val="CommentTextChar"/>
    <w:link w:val="CommentSubject"/>
    <w:rsid w:val="00054E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71548">
      <w:bodyDiv w:val="1"/>
      <w:marLeft w:val="0"/>
      <w:marRight w:val="0"/>
      <w:marTop w:val="0"/>
      <w:marBottom w:val="0"/>
      <w:divBdr>
        <w:top w:val="none" w:sz="0" w:space="0" w:color="auto"/>
        <w:left w:val="none" w:sz="0" w:space="0" w:color="auto"/>
        <w:bottom w:val="none" w:sz="0" w:space="0" w:color="auto"/>
        <w:right w:val="none" w:sz="0" w:space="0" w:color="auto"/>
      </w:divBdr>
    </w:div>
    <w:div w:id="525873025">
      <w:bodyDiv w:val="1"/>
      <w:marLeft w:val="0"/>
      <w:marRight w:val="0"/>
      <w:marTop w:val="0"/>
      <w:marBottom w:val="0"/>
      <w:divBdr>
        <w:top w:val="none" w:sz="0" w:space="0" w:color="auto"/>
        <w:left w:val="none" w:sz="0" w:space="0" w:color="auto"/>
        <w:bottom w:val="none" w:sz="0" w:space="0" w:color="auto"/>
        <w:right w:val="none" w:sz="0" w:space="0" w:color="auto"/>
      </w:divBdr>
    </w:div>
    <w:div w:id="672142950">
      <w:bodyDiv w:val="1"/>
      <w:marLeft w:val="0"/>
      <w:marRight w:val="0"/>
      <w:marTop w:val="0"/>
      <w:marBottom w:val="0"/>
      <w:divBdr>
        <w:top w:val="none" w:sz="0" w:space="0" w:color="auto"/>
        <w:left w:val="none" w:sz="0" w:space="0" w:color="auto"/>
        <w:bottom w:val="none" w:sz="0" w:space="0" w:color="auto"/>
        <w:right w:val="none" w:sz="0" w:space="0" w:color="auto"/>
      </w:divBdr>
    </w:div>
    <w:div w:id="1176647652">
      <w:bodyDiv w:val="1"/>
      <w:marLeft w:val="0"/>
      <w:marRight w:val="0"/>
      <w:marTop w:val="0"/>
      <w:marBottom w:val="0"/>
      <w:divBdr>
        <w:top w:val="none" w:sz="0" w:space="0" w:color="auto"/>
        <w:left w:val="none" w:sz="0" w:space="0" w:color="auto"/>
        <w:bottom w:val="none" w:sz="0" w:space="0" w:color="auto"/>
        <w:right w:val="none" w:sz="0" w:space="0" w:color="auto"/>
      </w:divBdr>
    </w:div>
    <w:div w:id="1952471050">
      <w:bodyDiv w:val="1"/>
      <w:marLeft w:val="0"/>
      <w:marRight w:val="0"/>
      <w:marTop w:val="0"/>
      <w:marBottom w:val="0"/>
      <w:divBdr>
        <w:top w:val="none" w:sz="0" w:space="0" w:color="auto"/>
        <w:left w:val="none" w:sz="0" w:space="0" w:color="auto"/>
        <w:bottom w:val="none" w:sz="0" w:space="0" w:color="auto"/>
        <w:right w:val="none" w:sz="0" w:space="0" w:color="auto"/>
      </w:divBdr>
    </w:div>
    <w:div w:id="2059279851">
      <w:bodyDiv w:val="1"/>
      <w:marLeft w:val="0"/>
      <w:marRight w:val="0"/>
      <w:marTop w:val="0"/>
      <w:marBottom w:val="0"/>
      <w:divBdr>
        <w:top w:val="none" w:sz="0" w:space="0" w:color="auto"/>
        <w:left w:val="none" w:sz="0" w:space="0" w:color="auto"/>
        <w:bottom w:val="none" w:sz="0" w:space="0" w:color="auto"/>
        <w:right w:val="none" w:sz="0" w:space="0" w:color="auto"/>
      </w:divBdr>
      <w:divsChild>
        <w:div w:id="2060277973">
          <w:marLeft w:val="0"/>
          <w:marRight w:val="0"/>
          <w:marTop w:val="0"/>
          <w:marBottom w:val="0"/>
          <w:divBdr>
            <w:top w:val="none" w:sz="0" w:space="0" w:color="auto"/>
            <w:left w:val="none" w:sz="0" w:space="0" w:color="auto"/>
            <w:bottom w:val="none" w:sz="0" w:space="0" w:color="auto"/>
            <w:right w:val="none" w:sz="0" w:space="0" w:color="auto"/>
          </w:divBdr>
          <w:divsChild>
            <w:div w:id="135689261">
              <w:marLeft w:val="0"/>
              <w:marRight w:val="0"/>
              <w:marTop w:val="0"/>
              <w:marBottom w:val="0"/>
              <w:divBdr>
                <w:top w:val="none" w:sz="0" w:space="0" w:color="auto"/>
                <w:left w:val="none" w:sz="0" w:space="0" w:color="auto"/>
                <w:bottom w:val="none" w:sz="0" w:space="0" w:color="auto"/>
                <w:right w:val="none" w:sz="0" w:space="0" w:color="auto"/>
              </w:divBdr>
              <w:divsChild>
                <w:div w:id="1097091674">
                  <w:marLeft w:val="0"/>
                  <w:marRight w:val="0"/>
                  <w:marTop w:val="0"/>
                  <w:marBottom w:val="0"/>
                  <w:divBdr>
                    <w:top w:val="none" w:sz="0" w:space="0" w:color="auto"/>
                    <w:left w:val="none" w:sz="0" w:space="0" w:color="auto"/>
                    <w:bottom w:val="none" w:sz="0" w:space="0" w:color="auto"/>
                    <w:right w:val="none" w:sz="0" w:space="0" w:color="auto"/>
                  </w:divBdr>
                </w:div>
                <w:div w:id="2059359021">
                  <w:marLeft w:val="0"/>
                  <w:marRight w:val="0"/>
                  <w:marTop w:val="0"/>
                  <w:marBottom w:val="0"/>
                  <w:divBdr>
                    <w:top w:val="none" w:sz="0" w:space="0" w:color="auto"/>
                    <w:left w:val="none" w:sz="0" w:space="0" w:color="auto"/>
                    <w:bottom w:val="none" w:sz="0" w:space="0" w:color="auto"/>
                    <w:right w:val="none" w:sz="0" w:space="0" w:color="auto"/>
                  </w:divBdr>
                </w:div>
              </w:divsChild>
            </w:div>
            <w:div w:id="1130856087">
              <w:marLeft w:val="0"/>
              <w:marRight w:val="0"/>
              <w:marTop w:val="0"/>
              <w:marBottom w:val="0"/>
              <w:divBdr>
                <w:top w:val="none" w:sz="0" w:space="0" w:color="auto"/>
                <w:left w:val="none" w:sz="0" w:space="0" w:color="auto"/>
                <w:bottom w:val="none" w:sz="0" w:space="0" w:color="auto"/>
                <w:right w:val="none" w:sz="0" w:space="0" w:color="auto"/>
              </w:divBdr>
              <w:divsChild>
                <w:div w:id="235284394">
                  <w:marLeft w:val="0"/>
                  <w:marRight w:val="0"/>
                  <w:marTop w:val="0"/>
                  <w:marBottom w:val="0"/>
                  <w:divBdr>
                    <w:top w:val="none" w:sz="0" w:space="0" w:color="auto"/>
                    <w:left w:val="none" w:sz="0" w:space="0" w:color="auto"/>
                    <w:bottom w:val="none" w:sz="0" w:space="0" w:color="auto"/>
                    <w:right w:val="none" w:sz="0" w:space="0" w:color="auto"/>
                  </w:divBdr>
                </w:div>
                <w:div w:id="1094783948">
                  <w:marLeft w:val="0"/>
                  <w:marRight w:val="0"/>
                  <w:marTop w:val="0"/>
                  <w:marBottom w:val="0"/>
                  <w:divBdr>
                    <w:top w:val="none" w:sz="0" w:space="0" w:color="auto"/>
                    <w:left w:val="none" w:sz="0" w:space="0" w:color="auto"/>
                    <w:bottom w:val="none" w:sz="0" w:space="0" w:color="auto"/>
                    <w:right w:val="none" w:sz="0" w:space="0" w:color="auto"/>
                  </w:divBdr>
                </w:div>
                <w:div w:id="186262439">
                  <w:marLeft w:val="0"/>
                  <w:marRight w:val="0"/>
                  <w:marTop w:val="0"/>
                  <w:marBottom w:val="0"/>
                  <w:divBdr>
                    <w:top w:val="none" w:sz="0" w:space="0" w:color="auto"/>
                    <w:left w:val="none" w:sz="0" w:space="0" w:color="auto"/>
                    <w:bottom w:val="none" w:sz="0" w:space="0" w:color="auto"/>
                    <w:right w:val="none" w:sz="0" w:space="0" w:color="auto"/>
                  </w:divBdr>
                </w:div>
              </w:divsChild>
            </w:div>
            <w:div w:id="2013606038">
              <w:marLeft w:val="0"/>
              <w:marRight w:val="0"/>
              <w:marTop w:val="0"/>
              <w:marBottom w:val="0"/>
              <w:divBdr>
                <w:top w:val="none" w:sz="0" w:space="0" w:color="auto"/>
                <w:left w:val="none" w:sz="0" w:space="0" w:color="auto"/>
                <w:bottom w:val="none" w:sz="0" w:space="0" w:color="auto"/>
                <w:right w:val="none" w:sz="0" w:space="0" w:color="auto"/>
              </w:divBdr>
              <w:divsChild>
                <w:div w:id="472216711">
                  <w:marLeft w:val="0"/>
                  <w:marRight w:val="0"/>
                  <w:marTop w:val="0"/>
                  <w:marBottom w:val="0"/>
                  <w:divBdr>
                    <w:top w:val="none" w:sz="0" w:space="0" w:color="auto"/>
                    <w:left w:val="none" w:sz="0" w:space="0" w:color="auto"/>
                    <w:bottom w:val="none" w:sz="0" w:space="0" w:color="auto"/>
                    <w:right w:val="none" w:sz="0" w:space="0" w:color="auto"/>
                  </w:divBdr>
                </w:div>
              </w:divsChild>
            </w:div>
            <w:div w:id="18962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1579</Words>
  <Characters>8832</Characters>
  <Application>Microsoft Office Word</Application>
  <DocSecurity>0</DocSecurity>
  <Lines>172</Lines>
  <Paragraphs>50</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10504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2010-01-11T19:38:00Z</cp:lastPrinted>
  <dcterms:created xsi:type="dcterms:W3CDTF">2017-06-29T18:33:00Z</dcterms:created>
  <dcterms:modified xsi:type="dcterms:W3CDTF">2017-06-29T18:33:00Z</dcterms:modified>
  <cp:category> </cp:category>
  <cp:contentStatus> </cp:contentStatus>
</cp:coreProperties>
</file>