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8ED8F" w14:textId="77777777" w:rsidR="004D0C3B" w:rsidRDefault="004D0C3B" w:rsidP="004D0C3B">
      <w:pPr>
        <w:rPr>
          <w:b/>
          <w:sz w:val="24"/>
        </w:rPr>
      </w:pPr>
      <w:bookmarkStart w:id="0" w:name="_GoBack"/>
      <w:bookmarkEnd w:id="0"/>
    </w:p>
    <w:p w14:paraId="5F2E2C30" w14:textId="5C6D99B2" w:rsidR="00D47505" w:rsidRPr="0025462B" w:rsidRDefault="003F1E0F" w:rsidP="004D0C3B">
      <w:pPr>
        <w:jc w:val="right"/>
        <w:rPr>
          <w:b/>
          <w:szCs w:val="22"/>
        </w:rPr>
      </w:pPr>
      <w:r w:rsidRPr="0025462B">
        <w:rPr>
          <w:b/>
          <w:szCs w:val="22"/>
        </w:rPr>
        <w:t>DA 17-</w:t>
      </w:r>
      <w:r w:rsidR="003E4676">
        <w:rPr>
          <w:b/>
          <w:szCs w:val="22"/>
        </w:rPr>
        <w:t>636</w:t>
      </w:r>
    </w:p>
    <w:p w14:paraId="096211D8" w14:textId="7E5570D6" w:rsidR="00D47505" w:rsidRPr="0025462B" w:rsidRDefault="00B338A9" w:rsidP="00D47505">
      <w:pPr>
        <w:spacing w:before="60"/>
        <w:jc w:val="right"/>
        <w:rPr>
          <w:b/>
          <w:szCs w:val="22"/>
        </w:rPr>
      </w:pPr>
      <w:r w:rsidRPr="0025462B">
        <w:rPr>
          <w:b/>
          <w:szCs w:val="22"/>
        </w:rPr>
        <w:t xml:space="preserve">Released:  </w:t>
      </w:r>
      <w:r w:rsidR="0025462B">
        <w:rPr>
          <w:b/>
          <w:szCs w:val="22"/>
        </w:rPr>
        <w:t>June 29, 2017</w:t>
      </w:r>
    </w:p>
    <w:p w14:paraId="12534E3C" w14:textId="77777777" w:rsidR="00D47505" w:rsidRPr="0025462B" w:rsidRDefault="00D47505" w:rsidP="00D47505">
      <w:pPr>
        <w:jc w:val="right"/>
        <w:rPr>
          <w:szCs w:val="22"/>
        </w:rPr>
      </w:pPr>
    </w:p>
    <w:p w14:paraId="20ED0135" w14:textId="5C1A772B" w:rsidR="00D47505" w:rsidRPr="0025462B" w:rsidRDefault="003F1E0F" w:rsidP="004D0C3B">
      <w:pPr>
        <w:jc w:val="center"/>
        <w:rPr>
          <w:b/>
          <w:szCs w:val="22"/>
        </w:rPr>
      </w:pPr>
      <w:r w:rsidRPr="0025462B">
        <w:rPr>
          <w:b/>
          <w:szCs w:val="22"/>
        </w:rPr>
        <w:t xml:space="preserve">WIRELINE COMPETITION BUREAU REMINDS ELIGIBLE TELECOMMUNICATIONS CARRIERS OF THEIR ONGOING RESPONSIBILITY TO CLAIM LIFELINE SUPPORT </w:t>
      </w:r>
      <w:r w:rsidR="009B28A7" w:rsidRPr="0025462B">
        <w:rPr>
          <w:b/>
          <w:szCs w:val="22"/>
        </w:rPr>
        <w:t xml:space="preserve">ONLY </w:t>
      </w:r>
      <w:r w:rsidRPr="0025462B">
        <w:rPr>
          <w:b/>
          <w:szCs w:val="22"/>
        </w:rPr>
        <w:t>FOR ELIGIBLE LOW-INCOME CONSUMERS</w:t>
      </w:r>
    </w:p>
    <w:p w14:paraId="3F540494" w14:textId="77777777" w:rsidR="004D0C3B" w:rsidRPr="0025462B" w:rsidRDefault="004D0C3B" w:rsidP="004D0C3B">
      <w:pPr>
        <w:jc w:val="center"/>
        <w:rPr>
          <w:b/>
          <w:szCs w:val="22"/>
        </w:rPr>
      </w:pPr>
    </w:p>
    <w:p w14:paraId="15406FB2" w14:textId="77777777" w:rsidR="00D47505" w:rsidRPr="0025462B" w:rsidRDefault="003F1E0F" w:rsidP="00D47505">
      <w:pPr>
        <w:jc w:val="center"/>
        <w:rPr>
          <w:b/>
          <w:szCs w:val="22"/>
        </w:rPr>
      </w:pPr>
      <w:r w:rsidRPr="0025462B">
        <w:rPr>
          <w:b/>
          <w:szCs w:val="22"/>
        </w:rPr>
        <w:t>WC Docket No. 11-42</w:t>
      </w:r>
    </w:p>
    <w:p w14:paraId="6409AF8B" w14:textId="77777777" w:rsidR="00D47505" w:rsidRDefault="00D47505" w:rsidP="00D47505">
      <w:pPr>
        <w:jc w:val="center"/>
        <w:rPr>
          <w:sz w:val="24"/>
        </w:rPr>
      </w:pPr>
    </w:p>
    <w:p w14:paraId="62A043F5" w14:textId="4B3FC01F" w:rsidR="003F1E0F" w:rsidRDefault="00190148" w:rsidP="003F1E0F">
      <w:pPr>
        <w:ind w:firstLine="720"/>
      </w:pPr>
      <w:r>
        <w:t xml:space="preserve">By this Public Notice, the Wireline Competition Bureau (Bureau) reminds eligible telecommunications carriers (ETCs) of </w:t>
      </w:r>
      <w:r w:rsidR="003F1E0F">
        <w:t xml:space="preserve">their primary responsibility to </w:t>
      </w:r>
      <w:r w:rsidR="004C732C">
        <w:t xml:space="preserve">ensure </w:t>
      </w:r>
      <w:r w:rsidR="00752675">
        <w:t xml:space="preserve">the eligibility </w:t>
      </w:r>
      <w:r w:rsidR="00ED20DA">
        <w:t xml:space="preserve">of Americans seeking </w:t>
      </w:r>
      <w:r w:rsidR="004C732C">
        <w:t>Lifeline support</w:t>
      </w:r>
      <w:r w:rsidR="0035758B">
        <w:t>.</w:t>
      </w:r>
      <w:r w:rsidR="003F1E0F">
        <w:t xml:space="preserve"> </w:t>
      </w:r>
      <w:r w:rsidR="00E27C0E" w:rsidRPr="00E27C0E">
        <w:t xml:space="preserve"> </w:t>
      </w:r>
      <w:r w:rsidR="00E27C0E">
        <w:t xml:space="preserve">Even as the Commission implements reforms to the Lifeline program to further protect the Universal Service Fund (Fund) from waste, fraud, and abuse, </w:t>
      </w:r>
      <w:r w:rsidR="003F1E0F">
        <w:t>ETCs are, and will remain, responsible for any fraud that forms the basis of their claims for Lifeline reimbursement.</w:t>
      </w:r>
      <w:r w:rsidR="003F1E0F">
        <w:rPr>
          <w:rStyle w:val="FootnoteReference"/>
        </w:rPr>
        <w:footnoteReference w:id="2"/>
      </w:r>
    </w:p>
    <w:p w14:paraId="395BED63" w14:textId="77777777" w:rsidR="003F1E0F" w:rsidRDefault="003F1E0F" w:rsidP="003F1E0F">
      <w:pPr>
        <w:ind w:firstLine="720"/>
      </w:pPr>
    </w:p>
    <w:p w14:paraId="4BAAA960" w14:textId="060C4AC8" w:rsidR="003F1E0F" w:rsidRPr="003B1879" w:rsidRDefault="00E27C0E" w:rsidP="00E26957">
      <w:pPr>
        <w:autoSpaceDE w:val="0"/>
        <w:autoSpaceDN w:val="0"/>
        <w:adjustRightInd w:val="0"/>
        <w:ind w:firstLine="720"/>
      </w:pPr>
      <w:r>
        <w:t>The Commission created the National Lifeline Accountability Database (NLAD) to “detect and prevent duplicative support”</w:t>
      </w:r>
      <w:r>
        <w:rPr>
          <w:rStyle w:val="FootnoteReference"/>
        </w:rPr>
        <w:footnoteReference w:id="3"/>
      </w:r>
      <w:r>
        <w:t xml:space="preserve"> and the National Verifier to make Lifeline subscriber eligibility determinations.</w:t>
      </w:r>
      <w:r>
        <w:rPr>
          <w:rStyle w:val="FootnoteReference"/>
        </w:rPr>
        <w:footnoteReference w:id="4"/>
      </w:r>
      <w:r>
        <w:t xml:space="preserve">  These reforms </w:t>
      </w:r>
      <w:r w:rsidR="003F1E0F">
        <w:t xml:space="preserve">do not relieve ETCs of their obligation to claim Lifeline reimbursement </w:t>
      </w:r>
      <w:r w:rsidR="009B28A7">
        <w:t xml:space="preserve">only </w:t>
      </w:r>
      <w:r w:rsidR="003F1E0F">
        <w:t xml:space="preserve">for customers who are actually eligible for the Lifeline program under the Commission’s rules.  </w:t>
      </w:r>
      <w:r>
        <w:t xml:space="preserve">The Commission has been clear on this point.  </w:t>
      </w:r>
      <w:r w:rsidR="003F1E0F">
        <w:rPr>
          <w:rFonts w:eastAsiaTheme="minorHAnsi"/>
          <w:color w:val="010101"/>
          <w:szCs w:val="22"/>
        </w:rPr>
        <w:t>In the</w:t>
      </w:r>
      <w:r w:rsidR="003F1E0F">
        <w:rPr>
          <w:rFonts w:ascii="TimesNewRoman" w:eastAsiaTheme="minorHAnsi" w:hAnsi="TimesNewRoman" w:cs="TimesNewRoman"/>
          <w:color w:val="010101"/>
          <w:sz w:val="20"/>
        </w:rPr>
        <w:t xml:space="preserve"> </w:t>
      </w:r>
      <w:r w:rsidR="003F1E0F">
        <w:rPr>
          <w:i/>
        </w:rPr>
        <w:t>2016 Lifeline Modernization Order</w:t>
      </w:r>
      <w:r w:rsidR="003F1E0F">
        <w:t>, the Commission stated that the National Verifier would “reduc[e],” but not eliminate, providers’ “</w:t>
      </w:r>
      <w:r w:rsidR="003F1E0F" w:rsidRPr="00D20447">
        <w:t>risks of facing a verification-related enforcement action</w:t>
      </w:r>
      <w:r w:rsidR="003F1E0F">
        <w:t>,”</w:t>
      </w:r>
      <w:r w:rsidR="003F1E0F">
        <w:rPr>
          <w:rStyle w:val="FootnoteReference"/>
        </w:rPr>
        <w:footnoteReference w:id="5"/>
      </w:r>
      <w:r w:rsidR="003F1E0F">
        <w:t xml:space="preserve"> and that the </w:t>
      </w:r>
      <w:r w:rsidR="000013A6">
        <w:t xml:space="preserve">National </w:t>
      </w:r>
      <w:r w:rsidR="003F1E0F">
        <w:t xml:space="preserve">Verifier would “remove </w:t>
      </w:r>
      <w:r w:rsidR="003F1E0F" w:rsidRPr="00D20447">
        <w:rPr>
          <w:i/>
        </w:rPr>
        <w:t>many</w:t>
      </w:r>
      <w:r w:rsidR="003F1E0F">
        <w:t>”—but not all—“</w:t>
      </w:r>
      <w:r w:rsidR="003F1E0F" w:rsidRPr="00D20447">
        <w:t>opportunities for Lifeline providers to inappropriately enroll subscribers</w:t>
      </w:r>
      <w:r w:rsidR="003F1E0F">
        <w:t>.”</w:t>
      </w:r>
      <w:r w:rsidR="003F1E0F">
        <w:rPr>
          <w:rStyle w:val="FootnoteReference"/>
        </w:rPr>
        <w:footnoteReference w:id="6"/>
      </w:r>
      <w:r w:rsidR="003F1E0F">
        <w:t xml:space="preserve">  </w:t>
      </w:r>
      <w:r>
        <w:t xml:space="preserve">Thus, </w:t>
      </w:r>
      <w:r w:rsidR="003F1E0F">
        <w:t xml:space="preserve">while the National Verifier will be a critical and powerful tool in the fight against waste, fraud, and abuse, its implementation will not provide a “safe harbor” for </w:t>
      </w:r>
      <w:r w:rsidR="000013A6">
        <w:t>ETCs</w:t>
      </w:r>
      <w:r w:rsidR="003F1E0F">
        <w:t xml:space="preserve"> </w:t>
      </w:r>
      <w:r w:rsidR="000013A6">
        <w:t>that</w:t>
      </w:r>
      <w:r w:rsidR="003F1E0F">
        <w:t xml:space="preserve"> improperly claim or obtain reimbursement</w:t>
      </w:r>
      <w:r>
        <w:t>.  P</w:t>
      </w:r>
      <w:r w:rsidR="003F1E0F">
        <w:t>roviders must continue to take steps to detect and prevent fraud</w:t>
      </w:r>
      <w:r w:rsidR="009B28A7">
        <w:t xml:space="preserve"> and improper claims</w:t>
      </w:r>
      <w:r w:rsidR="003F1E0F">
        <w:t>.</w:t>
      </w:r>
      <w:r w:rsidR="003F1E0F">
        <w:rPr>
          <w:rStyle w:val="FootnoteReference"/>
        </w:rPr>
        <w:footnoteReference w:id="7"/>
      </w:r>
    </w:p>
    <w:p w14:paraId="6D30B1D2" w14:textId="6F57A0C1" w:rsidR="009B28A7" w:rsidRDefault="00D636EE" w:rsidP="003F1E0F">
      <w:pPr>
        <w:ind w:firstLine="720"/>
      </w:pPr>
      <w:r>
        <w:lastRenderedPageBreak/>
        <w:t xml:space="preserve">Notwithstanding the development of NLAD and the eventual implementation of </w:t>
      </w:r>
      <w:r w:rsidR="003F1E0F">
        <w:t>the National Verifier, ETC</w:t>
      </w:r>
      <w:r w:rsidR="009B28A7">
        <w:t>s will remain primarily responsible for ensuring submissions for Lifeline support are accurate</w:t>
      </w:r>
      <w:r w:rsidR="0085385E">
        <w:t xml:space="preserve"> and those for whom support is requested</w:t>
      </w:r>
      <w:r w:rsidR="00432838">
        <w:t xml:space="preserve"> are eligible</w:t>
      </w:r>
      <w:r w:rsidR="009B28A7">
        <w:t xml:space="preserve">. </w:t>
      </w:r>
      <w:r w:rsidR="003F1E0F">
        <w:t xml:space="preserve"> ETCs </w:t>
      </w:r>
      <w:r w:rsidR="009B28A7">
        <w:t>e</w:t>
      </w:r>
      <w:r w:rsidR="003F1E0F">
        <w:t>njoy no “safe harbor” from auditing and enforcement, which may include</w:t>
      </w:r>
      <w:r w:rsidR="00C96D9D">
        <w:t>,</w:t>
      </w:r>
      <w:r w:rsidR="003F1E0F">
        <w:t xml:space="preserve"> but is not limited to</w:t>
      </w:r>
      <w:r w:rsidR="00C96D9D">
        <w:t>,</w:t>
      </w:r>
      <w:r w:rsidR="003F1E0F">
        <w:t xml:space="preserve"> repayments to the Fund, monetary penalties, and revocation of Commission authorizations.  </w:t>
      </w:r>
      <w:r w:rsidR="009B28A7">
        <w:t>In the case of fraud, ETCs may be subject to civil and</w:t>
      </w:r>
      <w:r w:rsidR="009D62DF">
        <w:t>/</w:t>
      </w:r>
      <w:r w:rsidR="009B28A7">
        <w:t xml:space="preserve">or criminal penalties.  </w:t>
      </w:r>
    </w:p>
    <w:p w14:paraId="0022BF5A" w14:textId="77777777" w:rsidR="009B28A7" w:rsidRDefault="009B28A7" w:rsidP="003F1E0F">
      <w:pPr>
        <w:ind w:firstLine="720"/>
      </w:pPr>
    </w:p>
    <w:p w14:paraId="50138F20" w14:textId="3539B656" w:rsidR="003F1E0F" w:rsidRDefault="009B28A7" w:rsidP="003F1E0F">
      <w:pPr>
        <w:ind w:firstLine="720"/>
      </w:pPr>
      <w:r>
        <w:t xml:space="preserve">In sum, </w:t>
      </w:r>
      <w:r w:rsidR="003F1E0F">
        <w:t xml:space="preserve">ETCs must </w:t>
      </w:r>
      <w:r>
        <w:t>e</w:t>
      </w:r>
      <w:r w:rsidR="003F1E0F">
        <w:t xml:space="preserve">nsure that they are in full compliance with the Commission’s rules, even after the National Verifier is </w:t>
      </w:r>
      <w:r>
        <w:t>operational.</w:t>
      </w:r>
    </w:p>
    <w:p w14:paraId="196697A5" w14:textId="77777777" w:rsidR="003F1E0F" w:rsidRPr="003B1879" w:rsidRDefault="003F1E0F" w:rsidP="003F1E0F">
      <w:pPr>
        <w:ind w:firstLine="720"/>
      </w:pPr>
    </w:p>
    <w:p w14:paraId="0FD44EB7" w14:textId="77777777" w:rsidR="003F1E0F" w:rsidRPr="003B1879" w:rsidRDefault="003F1E0F" w:rsidP="003F1E0F">
      <w:pPr>
        <w:keepNext/>
        <w:spacing w:after="120"/>
        <w:ind w:firstLine="720"/>
        <w:rPr>
          <w:szCs w:val="22"/>
        </w:rPr>
      </w:pPr>
      <w:r w:rsidRPr="003B1879">
        <w:rPr>
          <w:szCs w:val="22"/>
        </w:rPr>
        <w:t xml:space="preserve">For further information, please contact </w:t>
      </w:r>
      <w:r>
        <w:rPr>
          <w:szCs w:val="22"/>
        </w:rPr>
        <w:t>Nathan Eagan</w:t>
      </w:r>
      <w:r w:rsidRPr="003B1879">
        <w:rPr>
          <w:szCs w:val="22"/>
        </w:rPr>
        <w:t>, Telecommunications Access Policy Division, Wireline Competition Bureau at (202) 418-</w:t>
      </w:r>
      <w:r>
        <w:rPr>
          <w:szCs w:val="22"/>
        </w:rPr>
        <w:t>0991</w:t>
      </w:r>
      <w:r w:rsidRPr="003B1879">
        <w:rPr>
          <w:szCs w:val="22"/>
        </w:rPr>
        <w:t>.</w:t>
      </w:r>
    </w:p>
    <w:p w14:paraId="5EDC77AE" w14:textId="77777777" w:rsidR="003F1E0F" w:rsidRDefault="003F1E0F" w:rsidP="00D1578D">
      <w:pPr>
        <w:keepNext/>
        <w:rPr>
          <w:szCs w:val="22"/>
        </w:rPr>
      </w:pPr>
    </w:p>
    <w:p w14:paraId="4AE826B3" w14:textId="77777777" w:rsidR="003F1E0F" w:rsidRDefault="003F1E0F" w:rsidP="003F1E0F">
      <w:pPr>
        <w:keepNext/>
        <w:ind w:firstLine="720"/>
        <w:rPr>
          <w:szCs w:val="22"/>
        </w:rPr>
      </w:pPr>
    </w:p>
    <w:p w14:paraId="47218EB9" w14:textId="77777777" w:rsidR="003F1E0F" w:rsidRDefault="003F1E0F" w:rsidP="003F1E0F">
      <w:pPr>
        <w:tabs>
          <w:tab w:val="left" w:pos="4680"/>
        </w:tabs>
        <w:jc w:val="center"/>
        <w:rPr>
          <w:b/>
        </w:rPr>
      </w:pPr>
      <w:r>
        <w:rPr>
          <w:b/>
        </w:rPr>
        <w:t>– FCC –</w:t>
      </w:r>
    </w:p>
    <w:p w14:paraId="6D6D260C" w14:textId="77777777" w:rsidR="003F1E0F" w:rsidRDefault="003F1E0F" w:rsidP="003F1E0F">
      <w:pPr>
        <w:jc w:val="center"/>
        <w:rPr>
          <w:b/>
        </w:rPr>
      </w:pPr>
    </w:p>
    <w:p w14:paraId="0F598835" w14:textId="77777777"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1E8B8" w14:textId="77777777" w:rsidR="00026224" w:rsidRDefault="00026224">
      <w:pPr>
        <w:spacing w:line="20" w:lineRule="exact"/>
      </w:pPr>
    </w:p>
  </w:endnote>
  <w:endnote w:type="continuationSeparator" w:id="0">
    <w:p w14:paraId="6657B608" w14:textId="77777777" w:rsidR="00026224" w:rsidRDefault="00026224">
      <w:r>
        <w:t xml:space="preserve"> </w:t>
      </w:r>
    </w:p>
  </w:endnote>
  <w:endnote w:type="continuationNotice" w:id="1">
    <w:p w14:paraId="6BFCCAE9" w14:textId="77777777" w:rsidR="00026224" w:rsidRDefault="000262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6530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BCB926C" w14:textId="77777777" w:rsidR="00D25FB5" w:rsidRDefault="00D25FB5">
    <w:pPr>
      <w:pStyle w:val="Footer"/>
    </w:pPr>
  </w:p>
  <w:p w14:paraId="7BBD2E7E"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8D1B8" w14:textId="766141C9" w:rsidR="00D25FB5" w:rsidRDefault="00D25FB5" w:rsidP="0055614C">
    <w:pPr>
      <w:pStyle w:val="Footer"/>
      <w:framePr w:wrap="around" w:vAnchor="text" w:hAnchor="margin" w:xAlign="center" w:y="1"/>
    </w:pPr>
    <w:r>
      <w:fldChar w:fldCharType="begin"/>
    </w:r>
    <w:r>
      <w:instrText xml:space="preserve">PAGE  </w:instrText>
    </w:r>
    <w:r>
      <w:fldChar w:fldCharType="separate"/>
    </w:r>
    <w:r w:rsidR="003F19C8">
      <w:rPr>
        <w:noProof/>
      </w:rPr>
      <w:t>2</w:t>
    </w:r>
    <w:r>
      <w:fldChar w:fldCharType="end"/>
    </w:r>
  </w:p>
  <w:p w14:paraId="39D266F2"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C275"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2A317" w14:textId="77777777" w:rsidR="00026224" w:rsidRDefault="00026224">
      <w:r>
        <w:separator/>
      </w:r>
    </w:p>
  </w:footnote>
  <w:footnote w:type="continuationSeparator" w:id="0">
    <w:p w14:paraId="7706CBEF" w14:textId="77777777" w:rsidR="00026224" w:rsidRDefault="00026224" w:rsidP="00C721AC">
      <w:pPr>
        <w:spacing w:before="120"/>
        <w:rPr>
          <w:sz w:val="20"/>
        </w:rPr>
      </w:pPr>
      <w:r>
        <w:rPr>
          <w:sz w:val="20"/>
        </w:rPr>
        <w:t xml:space="preserve">(Continued from previous page)  </w:t>
      </w:r>
      <w:r>
        <w:rPr>
          <w:sz w:val="20"/>
        </w:rPr>
        <w:separator/>
      </w:r>
    </w:p>
  </w:footnote>
  <w:footnote w:type="continuationNotice" w:id="1">
    <w:p w14:paraId="25F905D4" w14:textId="77777777" w:rsidR="00026224" w:rsidRDefault="00026224" w:rsidP="00C721AC">
      <w:pPr>
        <w:jc w:val="right"/>
        <w:rPr>
          <w:sz w:val="20"/>
        </w:rPr>
      </w:pPr>
      <w:r>
        <w:rPr>
          <w:sz w:val="20"/>
        </w:rPr>
        <w:t>(continued….)</w:t>
      </w:r>
    </w:p>
  </w:footnote>
  <w:footnote w:id="2">
    <w:p w14:paraId="78CB17D1" w14:textId="77777777" w:rsidR="003F1E0F" w:rsidRPr="001204F7" w:rsidRDefault="003F1E0F" w:rsidP="003F1E0F">
      <w:pPr>
        <w:pStyle w:val="FootnoteText"/>
      </w:pPr>
      <w:r>
        <w:rPr>
          <w:rStyle w:val="FootnoteReference"/>
        </w:rPr>
        <w:footnoteRef/>
      </w:r>
      <w:r>
        <w:t xml:space="preserve"> </w:t>
      </w:r>
      <w:r>
        <w:rPr>
          <w:i/>
        </w:rPr>
        <w:t xml:space="preserve">See </w:t>
      </w:r>
      <w:r>
        <w:t>47 CFR § 54.407(a) (Lifeline reimbursement “shall be provided directly to an elig</w:t>
      </w:r>
      <w:r w:rsidR="006358D1">
        <w:t>ible telecommunications carrier</w:t>
      </w:r>
      <w:r>
        <w:t xml:space="preserve"> based on the number </w:t>
      </w:r>
      <w:r w:rsidRPr="00CD27D1">
        <w:t xml:space="preserve">of actual qualifying low-income </w:t>
      </w:r>
      <w:r w:rsidR="006358D1">
        <w:t>customers</w:t>
      </w:r>
      <w:r w:rsidRPr="00CD27D1">
        <w:t xml:space="preserve"> it serves</w:t>
      </w:r>
      <w:r w:rsidR="006358D1">
        <w:t>..</w:t>
      </w:r>
      <w:r w:rsidRPr="00CD27D1">
        <w:t>.”</w:t>
      </w:r>
      <w:r w:rsidR="006358D1">
        <w:t>); 47 CFR § 54.407(d)</w:t>
      </w:r>
      <w:r>
        <w:t xml:space="preserve"> (</w:t>
      </w:r>
      <w:r w:rsidR="00AC2000">
        <w:t>“</w:t>
      </w:r>
      <w:r>
        <w:t xml:space="preserve">In order to receive universal service support reimbursement, an officer of each [ETC] must certify... that [t]he [ETC] is in compliance with all of the rules in this subpart....”); 47 CFR § 54.409 (establishing consumer qualification for the Lifeline benefit, including a requirement that the consumer “must not already be receiving a Lifeline service”); </w:t>
      </w:r>
      <w:r w:rsidRPr="001204F7">
        <w:t>47 CFR § 54.410</w:t>
      </w:r>
      <w:r>
        <w:t>(a) (requiring all ETCs to “implement policies and procedures” to ensure that all of their Lifeline subscribers are eligible to receive Lifeline services).</w:t>
      </w:r>
    </w:p>
  </w:footnote>
  <w:footnote w:id="3">
    <w:p w14:paraId="225DA078" w14:textId="77777777" w:rsidR="00E27C0E" w:rsidRDefault="00E27C0E" w:rsidP="00E27C0E">
      <w:pPr>
        <w:pStyle w:val="FootnoteText"/>
      </w:pPr>
      <w:r>
        <w:rPr>
          <w:rStyle w:val="FootnoteReference"/>
        </w:rPr>
        <w:footnoteRef/>
      </w:r>
      <w:r>
        <w:t xml:space="preserve"> </w:t>
      </w:r>
      <w:r w:rsidRPr="00342E7F">
        <w:rPr>
          <w:i/>
        </w:rPr>
        <w:t>Lifeline and Link Up Reform and Modernization et al</w:t>
      </w:r>
      <w:r>
        <w:t>., Report and Order and Further Notice of Proposed Rulemaking, 27 FCC Rcd 6656, 6734, para. 179 (2012) (</w:t>
      </w:r>
      <w:r w:rsidRPr="002A1396">
        <w:rPr>
          <w:i/>
        </w:rPr>
        <w:t>2012</w:t>
      </w:r>
      <w:r>
        <w:t xml:space="preserve"> </w:t>
      </w:r>
      <w:r w:rsidRPr="00F42CEB">
        <w:rPr>
          <w:i/>
        </w:rPr>
        <w:t>Lifeline Order</w:t>
      </w:r>
      <w:r>
        <w:t>).</w:t>
      </w:r>
    </w:p>
  </w:footnote>
  <w:footnote w:id="4">
    <w:p w14:paraId="7CE1D2AA" w14:textId="77777777" w:rsidR="00E27C0E" w:rsidRDefault="00E27C0E" w:rsidP="00E27C0E">
      <w:pPr>
        <w:pStyle w:val="FootnoteText"/>
      </w:pPr>
      <w:r>
        <w:rPr>
          <w:rStyle w:val="FootnoteReference"/>
        </w:rPr>
        <w:footnoteRef/>
      </w:r>
      <w:r>
        <w:t xml:space="preserve"> </w:t>
      </w:r>
      <w:r w:rsidRPr="009447CE">
        <w:rPr>
          <w:i/>
        </w:rPr>
        <w:t>Lifeline and Link Up Reform and Modernization et al.</w:t>
      </w:r>
      <w:r w:rsidRPr="00B735BE">
        <w:t>,</w:t>
      </w:r>
      <w:r w:rsidRPr="009447CE">
        <w:rPr>
          <w:i/>
        </w:rPr>
        <w:t xml:space="preserve"> </w:t>
      </w:r>
      <w:r w:rsidRPr="009447CE">
        <w:t>Third Report and Order, Further Report and Order, and Order on Reconsi</w:t>
      </w:r>
      <w:r>
        <w:t>deration, 31 FCC Rcd 3962, 3964,</w:t>
      </w:r>
      <w:r w:rsidRPr="009447CE">
        <w:t xml:space="preserve"> </w:t>
      </w:r>
      <w:r>
        <w:t>para. 7</w:t>
      </w:r>
      <w:r w:rsidRPr="009447CE">
        <w:t xml:space="preserve"> (2016)</w:t>
      </w:r>
      <w:r>
        <w:t xml:space="preserve"> (</w:t>
      </w:r>
      <w:r>
        <w:rPr>
          <w:i/>
        </w:rPr>
        <w:t>2016 Lifeline Modernization Order</w:t>
      </w:r>
      <w:r w:rsidRPr="006358D1">
        <w:t>).</w:t>
      </w:r>
    </w:p>
  </w:footnote>
  <w:footnote w:id="5">
    <w:p w14:paraId="7E5BB100" w14:textId="77777777" w:rsidR="003F1E0F" w:rsidRPr="00D20447" w:rsidRDefault="003F1E0F" w:rsidP="003F1E0F">
      <w:pPr>
        <w:pStyle w:val="FootnoteText"/>
      </w:pPr>
      <w:r>
        <w:rPr>
          <w:rStyle w:val="FootnoteReference"/>
        </w:rPr>
        <w:footnoteRef/>
      </w:r>
      <w:r>
        <w:t xml:space="preserve"> </w:t>
      </w:r>
      <w:r w:rsidR="006358D1">
        <w:rPr>
          <w:i/>
        </w:rPr>
        <w:t>Id.</w:t>
      </w:r>
      <w:r>
        <w:t xml:space="preserve"> </w:t>
      </w:r>
    </w:p>
  </w:footnote>
  <w:footnote w:id="6">
    <w:p w14:paraId="1EA246E9" w14:textId="77777777" w:rsidR="003F1E0F" w:rsidRPr="00D20447" w:rsidRDefault="003F1E0F" w:rsidP="003F1E0F">
      <w:pPr>
        <w:pStyle w:val="FootnoteText"/>
      </w:pPr>
      <w:r>
        <w:rPr>
          <w:rStyle w:val="FootnoteReference"/>
        </w:rPr>
        <w:footnoteRef/>
      </w:r>
      <w:r>
        <w:t xml:space="preserve"> </w:t>
      </w:r>
      <w:r>
        <w:rPr>
          <w:i/>
        </w:rPr>
        <w:t>Id</w:t>
      </w:r>
      <w:r>
        <w:t>.</w:t>
      </w:r>
      <w:r w:rsidR="00C96D9D">
        <w:t xml:space="preserve"> (emphasis added).</w:t>
      </w:r>
    </w:p>
  </w:footnote>
  <w:footnote w:id="7">
    <w:p w14:paraId="52872080" w14:textId="77777777" w:rsidR="003F1E0F" w:rsidRPr="001F3AEF" w:rsidRDefault="003F1E0F" w:rsidP="003F1E0F">
      <w:pPr>
        <w:pStyle w:val="FootnoteText"/>
      </w:pPr>
      <w:r>
        <w:rPr>
          <w:rStyle w:val="FootnoteReference"/>
        </w:rPr>
        <w:footnoteRef/>
      </w:r>
      <w:r>
        <w:t xml:space="preserve"> </w:t>
      </w:r>
      <w:r w:rsidR="007A7978" w:rsidRPr="007A7978">
        <w:rPr>
          <w:i/>
        </w:rPr>
        <w:t>See</w:t>
      </w:r>
      <w:r w:rsidR="007A7978">
        <w:t xml:space="preserve"> </w:t>
      </w:r>
      <w:r w:rsidR="00C30B4F">
        <w:t>47 U.S.C. § 217 (“</w:t>
      </w:r>
      <w:r w:rsidR="00C30B4F" w:rsidRPr="00C30B4F">
        <w:t>In construing and enforcing the provisions of this chapter, the act, omission, or failure of any officer, agent, or other person acting for or employed by any common carrier or user, acting within the scope of his employment, shall in every case be also deemed to be the act, omission, or failure of such carrier or user as well as that of the person.</w:t>
      </w:r>
      <w:r w:rsidR="00C30B4F">
        <w:t xml:space="preserve">”); </w:t>
      </w:r>
      <w:r>
        <w:t>47 CFR § 54.404(b)(6).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6E144" w14:textId="77777777" w:rsidR="00EF7377" w:rsidRDefault="00EF7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02715" w14:textId="77777777" w:rsidR="00EF7377" w:rsidRDefault="00EF7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360ED" w14:textId="104D1A59" w:rsidR="00D47505" w:rsidRPr="00B338A9" w:rsidRDefault="003E4676" w:rsidP="003E4676">
    <w:pPr>
      <w:pStyle w:val="Header"/>
      <w:ind w:left="990"/>
    </w:pPr>
    <w:r w:rsidRPr="00B338A9">
      <w:rPr>
        <w:noProof/>
        <w:sz w:val="24"/>
      </w:rPr>
      <w:drawing>
        <wp:anchor distT="0" distB="0" distL="114300" distR="114300" simplePos="0" relativeHeight="251659264" behindDoc="1" locked="0" layoutInCell="0" allowOverlap="1" wp14:anchorId="0A89EDC2" wp14:editId="762F8E86">
          <wp:simplePos x="0" y="0"/>
          <wp:positionH relativeFrom="margin">
            <wp:align>left</wp:align>
          </wp:positionH>
          <wp:positionV relativeFrom="paragraph">
            <wp:posOffset>136525</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6192" behindDoc="0" locked="0" layoutInCell="0" allowOverlap="1" wp14:anchorId="3CEC94F5" wp14:editId="5793B2B4">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6AFC2" w14:textId="77777777" w:rsidR="00D47505" w:rsidRDefault="00D47505" w:rsidP="00D47505">
                          <w:pPr>
                            <w:rPr>
                              <w:rFonts w:ascii="Arial" w:hAnsi="Arial"/>
                              <w:b/>
                            </w:rPr>
                          </w:pPr>
                          <w:r>
                            <w:rPr>
                              <w:rFonts w:ascii="Arial" w:hAnsi="Arial"/>
                              <w:b/>
                            </w:rPr>
                            <w:t>Federal Communications Commission</w:t>
                          </w:r>
                        </w:p>
                        <w:p w14:paraId="26C1767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6EAE75B"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CEC94F5"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4F6AFC2" w14:textId="77777777" w:rsidR="00D47505" w:rsidRDefault="00D47505" w:rsidP="00D47505">
                    <w:pPr>
                      <w:rPr>
                        <w:rFonts w:ascii="Arial" w:hAnsi="Arial"/>
                        <w:b/>
                      </w:rPr>
                    </w:pPr>
                    <w:r>
                      <w:rPr>
                        <w:rFonts w:ascii="Arial" w:hAnsi="Arial"/>
                        <w:b/>
                      </w:rPr>
                      <w:t>Federal Communications Commission</w:t>
                    </w:r>
                  </w:p>
                  <w:p w14:paraId="26C1767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6EAE75B"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14:paraId="345A27E9"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CE6EBD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20841"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B039149" w14:textId="397E318E"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3F19C8">
                            <w:rPr>
                              <w:rFonts w:ascii="Arial" w:hAnsi="Arial"/>
                              <w:b/>
                              <w:sz w:val="16"/>
                            </w:rPr>
                            <w:instrText>HYPERLINK "https://www.fcc.gov/"</w:instrText>
                          </w:r>
                          <w:r w:rsidR="003F19C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12E9781C"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A020841"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B039149" w14:textId="397E318E"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3F19C8">
                      <w:rPr>
                        <w:rFonts w:ascii="Arial" w:hAnsi="Arial"/>
                        <w:b/>
                        <w:sz w:val="16"/>
                      </w:rPr>
                      <w:instrText>HYPERLINK "https://www.fcc.gov/"</w:instrText>
                    </w:r>
                    <w:r w:rsidR="003F19C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12E9781C"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0F"/>
    <w:rsid w:val="000013A6"/>
    <w:rsid w:val="00026224"/>
    <w:rsid w:val="00036039"/>
    <w:rsid w:val="00037F90"/>
    <w:rsid w:val="000875BF"/>
    <w:rsid w:val="00096D8C"/>
    <w:rsid w:val="000C0B65"/>
    <w:rsid w:val="000E05FE"/>
    <w:rsid w:val="000E1FA1"/>
    <w:rsid w:val="000E3D42"/>
    <w:rsid w:val="00122BD5"/>
    <w:rsid w:val="00133F79"/>
    <w:rsid w:val="00190148"/>
    <w:rsid w:val="00194A66"/>
    <w:rsid w:val="001D6BCF"/>
    <w:rsid w:val="001E01CA"/>
    <w:rsid w:val="0025462B"/>
    <w:rsid w:val="00261342"/>
    <w:rsid w:val="00275CF5"/>
    <w:rsid w:val="0028301F"/>
    <w:rsid w:val="00285017"/>
    <w:rsid w:val="0029723F"/>
    <w:rsid w:val="002A2D2E"/>
    <w:rsid w:val="002C00E8"/>
    <w:rsid w:val="002E71FD"/>
    <w:rsid w:val="00343749"/>
    <w:rsid w:val="0035758B"/>
    <w:rsid w:val="003660ED"/>
    <w:rsid w:val="00371494"/>
    <w:rsid w:val="003B0550"/>
    <w:rsid w:val="003B694F"/>
    <w:rsid w:val="003C7690"/>
    <w:rsid w:val="003E4676"/>
    <w:rsid w:val="003E7E85"/>
    <w:rsid w:val="003F171C"/>
    <w:rsid w:val="003F19C8"/>
    <w:rsid w:val="003F1E0F"/>
    <w:rsid w:val="00412FC5"/>
    <w:rsid w:val="00422276"/>
    <w:rsid w:val="004242F1"/>
    <w:rsid w:val="00432838"/>
    <w:rsid w:val="00445A00"/>
    <w:rsid w:val="00451B0F"/>
    <w:rsid w:val="004C2EE3"/>
    <w:rsid w:val="004C732C"/>
    <w:rsid w:val="004D0C3B"/>
    <w:rsid w:val="004E4A22"/>
    <w:rsid w:val="005021C3"/>
    <w:rsid w:val="00502EA6"/>
    <w:rsid w:val="00511968"/>
    <w:rsid w:val="00534FD2"/>
    <w:rsid w:val="0055614C"/>
    <w:rsid w:val="005E14C2"/>
    <w:rsid w:val="00607BA5"/>
    <w:rsid w:val="0061180A"/>
    <w:rsid w:val="00626EB6"/>
    <w:rsid w:val="0063365F"/>
    <w:rsid w:val="006358D1"/>
    <w:rsid w:val="00641D38"/>
    <w:rsid w:val="00655D03"/>
    <w:rsid w:val="00683388"/>
    <w:rsid w:val="00683F84"/>
    <w:rsid w:val="006A1F49"/>
    <w:rsid w:val="006A6A81"/>
    <w:rsid w:val="006B1456"/>
    <w:rsid w:val="006D3EC8"/>
    <w:rsid w:val="006F7393"/>
    <w:rsid w:val="0070224F"/>
    <w:rsid w:val="007115F7"/>
    <w:rsid w:val="00752675"/>
    <w:rsid w:val="0077049B"/>
    <w:rsid w:val="00785689"/>
    <w:rsid w:val="0079754B"/>
    <w:rsid w:val="007A1E6D"/>
    <w:rsid w:val="007A7978"/>
    <w:rsid w:val="007B0EB2"/>
    <w:rsid w:val="007C4115"/>
    <w:rsid w:val="007F413A"/>
    <w:rsid w:val="00810B6F"/>
    <w:rsid w:val="00822CE0"/>
    <w:rsid w:val="00841AB1"/>
    <w:rsid w:val="0085385E"/>
    <w:rsid w:val="008C68F1"/>
    <w:rsid w:val="00921803"/>
    <w:rsid w:val="00926503"/>
    <w:rsid w:val="009726D8"/>
    <w:rsid w:val="009B28A7"/>
    <w:rsid w:val="009D62DF"/>
    <w:rsid w:val="009F76DB"/>
    <w:rsid w:val="00A32C3B"/>
    <w:rsid w:val="00A45F4F"/>
    <w:rsid w:val="00A600A9"/>
    <w:rsid w:val="00AA55B7"/>
    <w:rsid w:val="00AA5B9E"/>
    <w:rsid w:val="00AB2407"/>
    <w:rsid w:val="00AB53DF"/>
    <w:rsid w:val="00AC2000"/>
    <w:rsid w:val="00AC424B"/>
    <w:rsid w:val="00AF46DC"/>
    <w:rsid w:val="00B00637"/>
    <w:rsid w:val="00B07E5C"/>
    <w:rsid w:val="00B20363"/>
    <w:rsid w:val="00B338A9"/>
    <w:rsid w:val="00B679AB"/>
    <w:rsid w:val="00B76DB8"/>
    <w:rsid w:val="00B811F7"/>
    <w:rsid w:val="00BA5DC6"/>
    <w:rsid w:val="00BA6196"/>
    <w:rsid w:val="00BC6D8C"/>
    <w:rsid w:val="00C30B4F"/>
    <w:rsid w:val="00C34006"/>
    <w:rsid w:val="00C426B1"/>
    <w:rsid w:val="00C66160"/>
    <w:rsid w:val="00C721AC"/>
    <w:rsid w:val="00C90D6A"/>
    <w:rsid w:val="00C96D9D"/>
    <w:rsid w:val="00CA247E"/>
    <w:rsid w:val="00CC72B6"/>
    <w:rsid w:val="00CC776F"/>
    <w:rsid w:val="00D0218D"/>
    <w:rsid w:val="00D1578D"/>
    <w:rsid w:val="00D25FB5"/>
    <w:rsid w:val="00D44223"/>
    <w:rsid w:val="00D47505"/>
    <w:rsid w:val="00D636EE"/>
    <w:rsid w:val="00DA2529"/>
    <w:rsid w:val="00DB130A"/>
    <w:rsid w:val="00DB2EBB"/>
    <w:rsid w:val="00DC10A1"/>
    <w:rsid w:val="00DC655F"/>
    <w:rsid w:val="00DC7BCA"/>
    <w:rsid w:val="00DD0B59"/>
    <w:rsid w:val="00DD7EBD"/>
    <w:rsid w:val="00DE4571"/>
    <w:rsid w:val="00DE4C8D"/>
    <w:rsid w:val="00DF0810"/>
    <w:rsid w:val="00DF62B6"/>
    <w:rsid w:val="00E07225"/>
    <w:rsid w:val="00E26957"/>
    <w:rsid w:val="00E27C0E"/>
    <w:rsid w:val="00E5409F"/>
    <w:rsid w:val="00EB4ACC"/>
    <w:rsid w:val="00ED20DA"/>
    <w:rsid w:val="00EE6488"/>
    <w:rsid w:val="00EF7377"/>
    <w:rsid w:val="00F021FA"/>
    <w:rsid w:val="00F40C04"/>
    <w:rsid w:val="00F62E97"/>
    <w:rsid w:val="00F64209"/>
    <w:rsid w:val="00F8591E"/>
    <w:rsid w:val="00F93BF5"/>
    <w:rsid w:val="00FE2C64"/>
    <w:rsid w:val="00FF2158"/>
    <w:rsid w:val="00FF2C65"/>
    <w:rsid w:val="00F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EE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fn  Char"/>
    <w:link w:val="FootnoteText"/>
    <w:locked/>
    <w:rsid w:val="003F1E0F"/>
  </w:style>
  <w:style w:type="paragraph" w:styleId="Revision">
    <w:name w:val="Revision"/>
    <w:hidden/>
    <w:uiPriority w:val="99"/>
    <w:semiHidden/>
    <w:rsid w:val="0043283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fn  Char"/>
    <w:link w:val="FootnoteText"/>
    <w:locked/>
    <w:rsid w:val="003F1E0F"/>
  </w:style>
  <w:style w:type="paragraph" w:styleId="Revision">
    <w:name w:val="Revision"/>
    <w:hidden/>
    <w:uiPriority w:val="99"/>
    <w:semiHidden/>
    <w:rsid w:val="0043283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372</Words>
  <Characters>2230</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2017-06-29T17:41:00Z</cp:lastPrinted>
  <dcterms:created xsi:type="dcterms:W3CDTF">2017-06-29T20:27:00Z</dcterms:created>
  <dcterms:modified xsi:type="dcterms:W3CDTF">2017-06-29T20:27:00Z</dcterms:modified>
  <cp:category> </cp:category>
  <cp:contentStatus> </cp:contentStatus>
</cp:coreProperties>
</file>