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4E47" w:rsidRDefault="001D0C6F" w:rsidP="001D0C6F">
      <w:pPr>
        <w:jc w:val="center"/>
        <w:rPr>
          <w:sz w:val="22"/>
          <w:szCs w:val="22"/>
        </w:rPr>
      </w:pPr>
      <w:r>
        <w:rPr>
          <w:sz w:val="22"/>
          <w:szCs w:val="22"/>
        </w:rPr>
        <w:fldChar w:fldCharType="begin"/>
      </w:r>
      <w:r>
        <w:rPr>
          <w:sz w:val="22"/>
          <w:szCs w:val="22"/>
        </w:rPr>
        <w:instrText xml:space="preserve"> DATE \@ "MMMM d, yyyy" </w:instrText>
      </w:r>
      <w:r>
        <w:rPr>
          <w:sz w:val="22"/>
          <w:szCs w:val="22"/>
        </w:rPr>
        <w:fldChar w:fldCharType="separate"/>
      </w:r>
      <w:r w:rsidR="00A35365">
        <w:rPr>
          <w:noProof/>
          <w:sz w:val="22"/>
          <w:szCs w:val="22"/>
        </w:rPr>
        <w:t>June 30, 2017</w:t>
      </w:r>
      <w:r>
        <w:rPr>
          <w:sz w:val="22"/>
          <w:szCs w:val="22"/>
        </w:rPr>
        <w:fldChar w:fldCharType="end"/>
      </w:r>
    </w:p>
    <w:p w:rsidR="001D0C6F" w:rsidRDefault="001D0C6F" w:rsidP="001D0C6F">
      <w:pPr>
        <w:jc w:val="center"/>
        <w:rPr>
          <w:sz w:val="22"/>
          <w:szCs w:val="22"/>
        </w:rPr>
      </w:pPr>
    </w:p>
    <w:p w:rsidR="00303867" w:rsidRDefault="00303867">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D0C6F">
        <w:rPr>
          <w:b/>
          <w:sz w:val="22"/>
          <w:szCs w:val="22"/>
        </w:rPr>
        <w:t>DA 17</w:t>
      </w:r>
      <w:r>
        <w:rPr>
          <w:b/>
          <w:sz w:val="22"/>
          <w:szCs w:val="22"/>
        </w:rPr>
        <w:t>-</w:t>
      </w:r>
      <w:r w:rsidR="00883BC2">
        <w:rPr>
          <w:b/>
          <w:sz w:val="22"/>
          <w:szCs w:val="22"/>
        </w:rPr>
        <w:t>638</w:t>
      </w:r>
    </w:p>
    <w:p w:rsidR="00303867" w:rsidRDefault="002114D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Released: </w:t>
      </w:r>
      <w:r w:rsidR="00883BC2">
        <w:rPr>
          <w:b/>
          <w:sz w:val="22"/>
          <w:szCs w:val="22"/>
        </w:rPr>
        <w:t>June 30, 2017</w:t>
      </w:r>
    </w:p>
    <w:p w:rsidR="00303867" w:rsidRDefault="00303867">
      <w:pPr>
        <w:rPr>
          <w:sz w:val="22"/>
          <w:szCs w:val="22"/>
        </w:rPr>
      </w:pPr>
    </w:p>
    <w:p w:rsidR="006E0D1A" w:rsidRDefault="00CB6E0B">
      <w:pPr>
        <w:jc w:val="both"/>
        <w:rPr>
          <w:sz w:val="22"/>
          <w:szCs w:val="22"/>
        </w:rPr>
      </w:pPr>
      <w:r>
        <w:rPr>
          <w:sz w:val="22"/>
          <w:szCs w:val="22"/>
        </w:rPr>
        <w:t>Bonten Media Group LLC</w:t>
      </w:r>
    </w:p>
    <w:p w:rsidR="007D21A1" w:rsidRDefault="00CB6E0B">
      <w:pPr>
        <w:jc w:val="both"/>
        <w:rPr>
          <w:sz w:val="22"/>
          <w:szCs w:val="22"/>
        </w:rPr>
      </w:pPr>
      <w:r>
        <w:rPr>
          <w:sz w:val="22"/>
          <w:szCs w:val="22"/>
        </w:rPr>
        <w:t>c/o Jennifer A. Johnson, Esq.</w:t>
      </w:r>
    </w:p>
    <w:p w:rsidR="007D21A1" w:rsidRDefault="00734FC7">
      <w:pPr>
        <w:jc w:val="both"/>
        <w:rPr>
          <w:sz w:val="22"/>
          <w:szCs w:val="22"/>
        </w:rPr>
      </w:pPr>
      <w:r>
        <w:rPr>
          <w:sz w:val="22"/>
          <w:szCs w:val="22"/>
        </w:rPr>
        <w:t>Co</w:t>
      </w:r>
      <w:r w:rsidR="00CB6E0B">
        <w:rPr>
          <w:sz w:val="22"/>
          <w:szCs w:val="22"/>
        </w:rPr>
        <w:t>vington &amp; Burling LLP</w:t>
      </w:r>
      <w:r w:rsidR="007D21A1">
        <w:rPr>
          <w:sz w:val="22"/>
          <w:szCs w:val="22"/>
        </w:rPr>
        <w:t xml:space="preserve"> </w:t>
      </w:r>
    </w:p>
    <w:p w:rsidR="00F90812" w:rsidRDefault="00F90812">
      <w:pPr>
        <w:jc w:val="both"/>
        <w:rPr>
          <w:sz w:val="22"/>
          <w:szCs w:val="22"/>
        </w:rPr>
      </w:pPr>
      <w:r>
        <w:rPr>
          <w:sz w:val="22"/>
          <w:szCs w:val="22"/>
        </w:rPr>
        <w:t>One CityCenter</w:t>
      </w:r>
    </w:p>
    <w:p w:rsidR="00CB6E0B" w:rsidRDefault="00CB6E0B">
      <w:pPr>
        <w:jc w:val="both"/>
        <w:rPr>
          <w:sz w:val="22"/>
          <w:szCs w:val="22"/>
        </w:rPr>
      </w:pPr>
      <w:r>
        <w:rPr>
          <w:sz w:val="22"/>
          <w:szCs w:val="22"/>
        </w:rPr>
        <w:t>850 Tenth Street, NW</w:t>
      </w:r>
    </w:p>
    <w:p w:rsidR="007D21A1" w:rsidRDefault="00CB6E0B">
      <w:pPr>
        <w:jc w:val="both"/>
        <w:rPr>
          <w:sz w:val="22"/>
          <w:szCs w:val="22"/>
        </w:rPr>
      </w:pPr>
      <w:r>
        <w:rPr>
          <w:sz w:val="22"/>
          <w:szCs w:val="22"/>
        </w:rPr>
        <w:t>Washington</w:t>
      </w:r>
      <w:r w:rsidR="007D21A1">
        <w:rPr>
          <w:sz w:val="22"/>
          <w:szCs w:val="22"/>
        </w:rPr>
        <w:t xml:space="preserve">, </w:t>
      </w:r>
      <w:r>
        <w:rPr>
          <w:sz w:val="22"/>
          <w:szCs w:val="22"/>
        </w:rPr>
        <w:t>S.C.</w:t>
      </w:r>
      <w:r w:rsidR="007D21A1">
        <w:rPr>
          <w:sz w:val="22"/>
          <w:szCs w:val="22"/>
        </w:rPr>
        <w:t xml:space="preserve"> 2</w:t>
      </w:r>
      <w:r>
        <w:rPr>
          <w:sz w:val="22"/>
          <w:szCs w:val="22"/>
        </w:rPr>
        <w:t>0001</w:t>
      </w:r>
    </w:p>
    <w:p w:rsidR="00303867" w:rsidRDefault="00303867">
      <w:pPr>
        <w:jc w:val="both"/>
        <w:rPr>
          <w:sz w:val="22"/>
          <w:szCs w:val="22"/>
        </w:rPr>
      </w:pPr>
    </w:p>
    <w:p w:rsidR="006E0D1A" w:rsidRDefault="00CB6E0B" w:rsidP="00303867">
      <w:pPr>
        <w:jc w:val="both"/>
        <w:rPr>
          <w:sz w:val="22"/>
          <w:szCs w:val="22"/>
        </w:rPr>
      </w:pPr>
      <w:r>
        <w:rPr>
          <w:sz w:val="22"/>
          <w:szCs w:val="22"/>
        </w:rPr>
        <w:t>Sinclair Television Group, Inc.</w:t>
      </w:r>
    </w:p>
    <w:p w:rsidR="00AB6F06" w:rsidRDefault="00AB6F06" w:rsidP="00303867">
      <w:pPr>
        <w:jc w:val="both"/>
        <w:rPr>
          <w:sz w:val="22"/>
          <w:szCs w:val="22"/>
        </w:rPr>
      </w:pPr>
      <w:r>
        <w:rPr>
          <w:sz w:val="22"/>
          <w:szCs w:val="22"/>
        </w:rPr>
        <w:t xml:space="preserve">c/o </w:t>
      </w:r>
      <w:r w:rsidR="00CB6E0B">
        <w:rPr>
          <w:sz w:val="22"/>
          <w:szCs w:val="22"/>
        </w:rPr>
        <w:t>Miles S. Mason, Esq.</w:t>
      </w:r>
    </w:p>
    <w:p w:rsidR="00AB6F06" w:rsidRDefault="00AB6F06" w:rsidP="00303867">
      <w:pPr>
        <w:jc w:val="both"/>
        <w:rPr>
          <w:sz w:val="22"/>
          <w:szCs w:val="22"/>
        </w:rPr>
      </w:pPr>
      <w:r>
        <w:rPr>
          <w:sz w:val="22"/>
          <w:szCs w:val="22"/>
        </w:rPr>
        <w:t>Pillsbury Winthrop Shaw Pittman LLP</w:t>
      </w:r>
    </w:p>
    <w:p w:rsidR="00AB6F06" w:rsidRDefault="00AB6F06" w:rsidP="00303867">
      <w:pPr>
        <w:jc w:val="both"/>
        <w:rPr>
          <w:sz w:val="22"/>
          <w:szCs w:val="22"/>
        </w:rPr>
      </w:pPr>
      <w:r>
        <w:rPr>
          <w:sz w:val="22"/>
          <w:szCs w:val="22"/>
        </w:rPr>
        <w:t>1200 Seventeenth Street, NW</w:t>
      </w:r>
    </w:p>
    <w:p w:rsidR="00AB6F06" w:rsidRDefault="00AB6F06" w:rsidP="00303867">
      <w:pPr>
        <w:jc w:val="both"/>
        <w:rPr>
          <w:sz w:val="22"/>
          <w:szCs w:val="22"/>
        </w:rPr>
      </w:pPr>
      <w:r>
        <w:rPr>
          <w:sz w:val="22"/>
          <w:szCs w:val="22"/>
        </w:rPr>
        <w:t xml:space="preserve">Washington, D.C. 20036 </w:t>
      </w:r>
    </w:p>
    <w:p w:rsidR="007D21A1" w:rsidRDefault="007D21A1" w:rsidP="00303867">
      <w:pPr>
        <w:jc w:val="both"/>
        <w:rPr>
          <w:sz w:val="22"/>
          <w:szCs w:val="22"/>
        </w:rPr>
      </w:pPr>
    </w:p>
    <w:p w:rsidR="00303867" w:rsidRPr="00566BFF" w:rsidRDefault="00303867" w:rsidP="006147F6">
      <w:pPr>
        <w:pStyle w:val="Footer"/>
        <w:tabs>
          <w:tab w:val="clear" w:pos="4320"/>
          <w:tab w:val="clear" w:pos="8640"/>
        </w:tabs>
        <w:ind w:left="4320" w:hanging="720"/>
        <w:rPr>
          <w:sz w:val="22"/>
          <w:szCs w:val="22"/>
        </w:rPr>
      </w:pPr>
      <w:r>
        <w:rPr>
          <w:sz w:val="22"/>
          <w:szCs w:val="22"/>
        </w:rPr>
        <w:t>Re:</w:t>
      </w:r>
      <w:r>
        <w:rPr>
          <w:sz w:val="22"/>
          <w:szCs w:val="22"/>
        </w:rPr>
        <w:tab/>
      </w:r>
      <w:r w:rsidR="00907233" w:rsidRPr="00566BFF">
        <w:rPr>
          <w:i/>
          <w:sz w:val="22"/>
          <w:szCs w:val="22"/>
          <w:u w:val="single"/>
        </w:rPr>
        <w:t>Application</w:t>
      </w:r>
      <w:r w:rsidRPr="00566BFF">
        <w:rPr>
          <w:i/>
          <w:sz w:val="22"/>
          <w:szCs w:val="22"/>
          <w:u w:val="single"/>
        </w:rPr>
        <w:t xml:space="preserve"> for Consent to </w:t>
      </w:r>
      <w:r w:rsidR="00F90812">
        <w:rPr>
          <w:i/>
          <w:sz w:val="22"/>
          <w:szCs w:val="22"/>
          <w:u w:val="single"/>
        </w:rPr>
        <w:t>Transfer Control</w:t>
      </w:r>
      <w:r w:rsidR="00F90812" w:rsidRPr="00566BFF">
        <w:rPr>
          <w:i/>
          <w:sz w:val="22"/>
          <w:szCs w:val="22"/>
          <w:u w:val="single"/>
        </w:rPr>
        <w:t xml:space="preserve"> </w:t>
      </w:r>
      <w:r w:rsidRPr="00566BFF">
        <w:rPr>
          <w:i/>
          <w:sz w:val="22"/>
          <w:szCs w:val="22"/>
          <w:u w:val="single"/>
        </w:rPr>
        <w:t>of License</w:t>
      </w:r>
      <w:r w:rsidR="00907233" w:rsidRPr="00566BFF">
        <w:rPr>
          <w:i/>
          <w:sz w:val="22"/>
          <w:szCs w:val="22"/>
          <w:u w:val="single"/>
        </w:rPr>
        <w:t xml:space="preserve"> and Request for Continued Satellite Authority </w:t>
      </w:r>
    </w:p>
    <w:p w:rsidR="001E301A" w:rsidRPr="000F38A5" w:rsidRDefault="001E301A">
      <w:pPr>
        <w:pStyle w:val="Footer"/>
        <w:tabs>
          <w:tab w:val="clear" w:pos="4320"/>
          <w:tab w:val="clear" w:pos="8640"/>
        </w:tabs>
        <w:ind w:left="4320"/>
        <w:rPr>
          <w:sz w:val="22"/>
          <w:szCs w:val="22"/>
        </w:rPr>
      </w:pPr>
      <w:r w:rsidRPr="000F38A5">
        <w:rPr>
          <w:sz w:val="22"/>
          <w:szCs w:val="22"/>
        </w:rPr>
        <w:t>KTXS-TV, Sweetwater, Texas, Fac. ID No. 308</w:t>
      </w:r>
    </w:p>
    <w:p w:rsidR="001E301A" w:rsidRPr="000F38A5" w:rsidRDefault="001E301A">
      <w:pPr>
        <w:pStyle w:val="Footer"/>
        <w:tabs>
          <w:tab w:val="clear" w:pos="4320"/>
          <w:tab w:val="clear" w:pos="8640"/>
        </w:tabs>
        <w:ind w:left="4320"/>
        <w:rPr>
          <w:sz w:val="22"/>
          <w:szCs w:val="22"/>
        </w:rPr>
      </w:pPr>
      <w:r w:rsidRPr="000F38A5">
        <w:rPr>
          <w:sz w:val="22"/>
          <w:szCs w:val="22"/>
        </w:rPr>
        <w:t>WCYB-TV, Bristol, VA, Fac. ID No. 2455</w:t>
      </w:r>
    </w:p>
    <w:p w:rsidR="001E301A" w:rsidRPr="000F38A5" w:rsidRDefault="001E301A">
      <w:pPr>
        <w:pStyle w:val="Footer"/>
        <w:tabs>
          <w:tab w:val="clear" w:pos="4320"/>
          <w:tab w:val="clear" w:pos="8640"/>
        </w:tabs>
        <w:ind w:left="4320"/>
        <w:rPr>
          <w:sz w:val="22"/>
          <w:szCs w:val="22"/>
        </w:rPr>
      </w:pPr>
      <w:r w:rsidRPr="000F38A5">
        <w:rPr>
          <w:sz w:val="22"/>
          <w:szCs w:val="22"/>
        </w:rPr>
        <w:t>KAEF-TV, Arcata, CA, Fac. ID No. 8263</w:t>
      </w:r>
    </w:p>
    <w:p w:rsidR="00E01042" w:rsidRPr="000F38A5" w:rsidRDefault="001E301A">
      <w:pPr>
        <w:pStyle w:val="Footer"/>
        <w:tabs>
          <w:tab w:val="clear" w:pos="4320"/>
          <w:tab w:val="clear" w:pos="8640"/>
        </w:tabs>
        <w:ind w:left="4320"/>
        <w:rPr>
          <w:sz w:val="22"/>
          <w:szCs w:val="22"/>
        </w:rPr>
      </w:pPr>
      <w:r w:rsidRPr="000F38A5">
        <w:rPr>
          <w:sz w:val="22"/>
          <w:szCs w:val="22"/>
        </w:rPr>
        <w:t xml:space="preserve">KRCR-TV, Redding, CA, Fac. ID No. </w:t>
      </w:r>
      <w:r w:rsidR="00E01042" w:rsidRPr="000F38A5">
        <w:rPr>
          <w:sz w:val="22"/>
          <w:szCs w:val="22"/>
        </w:rPr>
        <w:t>8291</w:t>
      </w:r>
    </w:p>
    <w:p w:rsidR="00E01042" w:rsidRPr="000F38A5" w:rsidRDefault="001E301A">
      <w:pPr>
        <w:pStyle w:val="Footer"/>
        <w:tabs>
          <w:tab w:val="clear" w:pos="4320"/>
          <w:tab w:val="clear" w:pos="8640"/>
        </w:tabs>
        <w:ind w:left="4320"/>
        <w:rPr>
          <w:sz w:val="22"/>
          <w:szCs w:val="22"/>
        </w:rPr>
      </w:pPr>
      <w:r w:rsidRPr="000F38A5">
        <w:rPr>
          <w:sz w:val="22"/>
          <w:szCs w:val="22"/>
        </w:rPr>
        <w:t>KTVM-TV, Butte, M</w:t>
      </w:r>
      <w:r w:rsidR="00E01042" w:rsidRPr="000F38A5">
        <w:rPr>
          <w:sz w:val="22"/>
          <w:szCs w:val="22"/>
        </w:rPr>
        <w:t>T, Fac. ID No. 18066</w:t>
      </w:r>
    </w:p>
    <w:p w:rsidR="00E01042" w:rsidRDefault="001E301A">
      <w:pPr>
        <w:pStyle w:val="Footer"/>
        <w:tabs>
          <w:tab w:val="clear" w:pos="4320"/>
          <w:tab w:val="clear" w:pos="8640"/>
        </w:tabs>
        <w:ind w:left="4320"/>
        <w:rPr>
          <w:snapToGrid w:val="0"/>
          <w:spacing w:val="-2"/>
          <w:sz w:val="22"/>
          <w:szCs w:val="22"/>
        </w:rPr>
      </w:pPr>
      <w:r>
        <w:rPr>
          <w:snapToGrid w:val="0"/>
          <w:spacing w:val="-2"/>
          <w:sz w:val="22"/>
          <w:szCs w:val="22"/>
        </w:rPr>
        <w:t>KCFW-TV</w:t>
      </w:r>
      <w:r w:rsidR="00E01042">
        <w:rPr>
          <w:snapToGrid w:val="0"/>
          <w:spacing w:val="-2"/>
          <w:sz w:val="22"/>
          <w:szCs w:val="22"/>
        </w:rPr>
        <w:t>,</w:t>
      </w:r>
      <w:r>
        <w:rPr>
          <w:snapToGrid w:val="0"/>
          <w:spacing w:val="-2"/>
          <w:sz w:val="22"/>
          <w:szCs w:val="22"/>
        </w:rPr>
        <w:t xml:space="preserve"> Kalispell, M</w:t>
      </w:r>
      <w:r w:rsidR="00E01042">
        <w:rPr>
          <w:snapToGrid w:val="0"/>
          <w:spacing w:val="-2"/>
          <w:sz w:val="22"/>
          <w:szCs w:val="22"/>
        </w:rPr>
        <w:t>T, Fac. ID No. 18079</w:t>
      </w:r>
    </w:p>
    <w:p w:rsidR="001E301A" w:rsidRPr="00566BFF" w:rsidRDefault="001E301A">
      <w:pPr>
        <w:pStyle w:val="Footer"/>
        <w:tabs>
          <w:tab w:val="clear" w:pos="4320"/>
          <w:tab w:val="clear" w:pos="8640"/>
        </w:tabs>
        <w:ind w:left="4320"/>
        <w:rPr>
          <w:sz w:val="22"/>
          <w:szCs w:val="22"/>
        </w:rPr>
      </w:pPr>
      <w:r>
        <w:rPr>
          <w:snapToGrid w:val="0"/>
          <w:spacing w:val="-2"/>
          <w:sz w:val="22"/>
          <w:szCs w:val="22"/>
        </w:rPr>
        <w:t>KECI-TV, Missoula, M</w:t>
      </w:r>
      <w:r w:rsidR="00E01042">
        <w:rPr>
          <w:snapToGrid w:val="0"/>
          <w:spacing w:val="-2"/>
          <w:sz w:val="22"/>
          <w:szCs w:val="22"/>
        </w:rPr>
        <w:t>T, Fac. ID No. 18084</w:t>
      </w:r>
    </w:p>
    <w:p w:rsidR="00E01042" w:rsidRDefault="00E01042" w:rsidP="00E01042">
      <w:pPr>
        <w:pStyle w:val="Footer"/>
        <w:tabs>
          <w:tab w:val="clear" w:pos="4320"/>
          <w:tab w:val="clear" w:pos="8640"/>
        </w:tabs>
        <w:ind w:left="4320"/>
        <w:rPr>
          <w:sz w:val="22"/>
          <w:szCs w:val="22"/>
        </w:rPr>
      </w:pPr>
      <w:r w:rsidRPr="00566BFF">
        <w:rPr>
          <w:sz w:val="22"/>
          <w:szCs w:val="22"/>
        </w:rPr>
        <w:t xml:space="preserve">File No. </w:t>
      </w:r>
      <w:r>
        <w:rPr>
          <w:sz w:val="22"/>
          <w:szCs w:val="22"/>
        </w:rPr>
        <w:t>BTCCDT</w:t>
      </w:r>
      <w:r w:rsidRPr="00566BFF">
        <w:rPr>
          <w:sz w:val="22"/>
          <w:szCs w:val="22"/>
        </w:rPr>
        <w:t>-</w:t>
      </w:r>
      <w:r>
        <w:rPr>
          <w:sz w:val="22"/>
          <w:szCs w:val="22"/>
        </w:rPr>
        <w:t>20170505ABL</w:t>
      </w:r>
    </w:p>
    <w:p w:rsidR="00030053" w:rsidRDefault="00030053">
      <w:pPr>
        <w:pStyle w:val="Footer"/>
        <w:tabs>
          <w:tab w:val="clear" w:pos="4320"/>
          <w:tab w:val="clear" w:pos="8640"/>
        </w:tabs>
        <w:ind w:left="4320"/>
        <w:rPr>
          <w:sz w:val="22"/>
          <w:szCs w:val="22"/>
        </w:rPr>
      </w:pPr>
    </w:p>
    <w:p w:rsidR="00303867" w:rsidRDefault="00303867">
      <w:pPr>
        <w:rPr>
          <w:sz w:val="22"/>
          <w:szCs w:val="22"/>
        </w:rPr>
      </w:pPr>
      <w:r>
        <w:rPr>
          <w:sz w:val="22"/>
          <w:szCs w:val="22"/>
        </w:rPr>
        <w:t>Dear Counsel:</w:t>
      </w:r>
    </w:p>
    <w:p w:rsidR="00303867" w:rsidRDefault="00303867">
      <w:pPr>
        <w:ind w:firstLine="720"/>
        <w:rPr>
          <w:sz w:val="22"/>
          <w:szCs w:val="22"/>
        </w:rPr>
      </w:pPr>
    </w:p>
    <w:p w:rsidR="00303867" w:rsidRDefault="001E301A" w:rsidP="001E301A">
      <w:pPr>
        <w:spacing w:after="220"/>
        <w:ind w:firstLine="720"/>
        <w:rPr>
          <w:snapToGrid w:val="0"/>
          <w:spacing w:val="-2"/>
          <w:sz w:val="22"/>
          <w:szCs w:val="22"/>
        </w:rPr>
      </w:pPr>
      <w:r>
        <w:rPr>
          <w:snapToGrid w:val="0"/>
          <w:spacing w:val="-2"/>
          <w:sz w:val="22"/>
          <w:szCs w:val="22"/>
        </w:rPr>
        <w:t xml:space="preserve">By this letter, we grant the above-captioned uncontested application </w:t>
      </w:r>
      <w:r w:rsidR="000F38A5">
        <w:rPr>
          <w:snapToGrid w:val="0"/>
          <w:spacing w:val="-2"/>
          <w:sz w:val="22"/>
          <w:szCs w:val="22"/>
        </w:rPr>
        <w:t xml:space="preserve">(Application) for the transfer of control </w:t>
      </w:r>
      <w:r>
        <w:rPr>
          <w:snapToGrid w:val="0"/>
          <w:spacing w:val="-2"/>
          <w:sz w:val="22"/>
          <w:szCs w:val="22"/>
        </w:rPr>
        <w:t>of 7 full</w:t>
      </w:r>
      <w:r>
        <w:rPr>
          <w:snapToGrid w:val="0"/>
          <w:spacing w:val="-2"/>
          <w:sz w:val="22"/>
          <w:szCs w:val="22"/>
        </w:rPr>
        <w:noBreakHyphen/>
        <w:t>power television licenses</w:t>
      </w:r>
      <w:r w:rsidR="000F38A5">
        <w:rPr>
          <w:snapToGrid w:val="0"/>
          <w:spacing w:val="-2"/>
          <w:sz w:val="22"/>
          <w:szCs w:val="22"/>
        </w:rPr>
        <w:t>, licensed to Bluestone License Holdings, Inc.,</w:t>
      </w:r>
      <w:r w:rsidR="00760D42">
        <w:rPr>
          <w:snapToGrid w:val="0"/>
          <w:spacing w:val="-2"/>
          <w:sz w:val="22"/>
          <w:szCs w:val="22"/>
        </w:rPr>
        <w:t xml:space="preserve"> from Bonten Media Group</w:t>
      </w:r>
      <w:r>
        <w:rPr>
          <w:snapToGrid w:val="0"/>
          <w:spacing w:val="-2"/>
          <w:sz w:val="22"/>
          <w:szCs w:val="22"/>
        </w:rPr>
        <w:t xml:space="preserve"> LLC (Bonten) </w:t>
      </w:r>
      <w:r>
        <w:rPr>
          <w:sz w:val="22"/>
          <w:szCs w:val="22"/>
        </w:rPr>
        <w:t>to Sinclair Television Group, Inc. (STG).  In connection with the sale, we grant STG</w:t>
      </w:r>
      <w:r>
        <w:rPr>
          <w:snapToGrid w:val="0"/>
          <w:spacing w:val="-2"/>
          <w:sz w:val="22"/>
          <w:szCs w:val="22"/>
        </w:rPr>
        <w:t xml:space="preserve"> continued authority to operate station KCFW-TV (KCFW), Kalispell, Montana, as a satellite of KECI-TV (KECI), Missoula, Montana, pursuant to the satellite exemption to the local television ownership rule</w:t>
      </w:r>
      <w:r w:rsidR="00303867">
        <w:rPr>
          <w:sz w:val="22"/>
          <w:szCs w:val="22"/>
        </w:rPr>
        <w:t>.</w:t>
      </w:r>
      <w:r w:rsidR="00303867">
        <w:rPr>
          <w:rStyle w:val="FootnoteReference"/>
          <w:sz w:val="22"/>
          <w:szCs w:val="22"/>
        </w:rPr>
        <w:footnoteReference w:id="1"/>
      </w:r>
      <w:r w:rsidR="008D0412">
        <w:rPr>
          <w:sz w:val="22"/>
          <w:szCs w:val="22"/>
        </w:rPr>
        <w:t xml:space="preserve"> </w:t>
      </w:r>
      <w:r w:rsidR="00537339">
        <w:rPr>
          <w:sz w:val="22"/>
          <w:szCs w:val="22"/>
        </w:rPr>
        <w:t xml:space="preserve"> </w:t>
      </w:r>
    </w:p>
    <w:p w:rsidR="00E94D0F" w:rsidRDefault="00303867" w:rsidP="00E94D0F">
      <w:pPr>
        <w:spacing w:after="220"/>
        <w:ind w:firstLine="720"/>
        <w:rPr>
          <w:sz w:val="22"/>
          <w:szCs w:val="22"/>
        </w:rPr>
      </w:pPr>
      <w:r>
        <w:rPr>
          <w:sz w:val="22"/>
          <w:szCs w:val="22"/>
        </w:rPr>
        <w:t>In</w:t>
      </w:r>
      <w:r w:rsidR="00EF2121">
        <w:rPr>
          <w:sz w:val="22"/>
          <w:szCs w:val="22"/>
        </w:rPr>
        <w:t xml:space="preserve"> </w:t>
      </w:r>
      <w:r>
        <w:rPr>
          <w:i/>
          <w:iCs/>
          <w:sz w:val="22"/>
          <w:szCs w:val="22"/>
        </w:rPr>
        <w:t>Television Satellite Stations</w:t>
      </w:r>
      <w:r>
        <w:rPr>
          <w:sz w:val="22"/>
          <w:szCs w:val="22"/>
        </w:rPr>
        <w:t>, the Commission adopted “a presumption that TV satellite operations are in the public interest if ind</w:t>
      </w:r>
      <w:r w:rsidR="008A2588">
        <w:rPr>
          <w:sz w:val="22"/>
          <w:szCs w:val="22"/>
        </w:rPr>
        <w:t xml:space="preserve">ividual applicants can satisfy </w:t>
      </w:r>
      <w:r w:rsidR="00B252ED">
        <w:rPr>
          <w:sz w:val="22"/>
          <w:szCs w:val="22"/>
        </w:rPr>
        <w:t>certain</w:t>
      </w:r>
      <w:r w:rsidR="008A2588">
        <w:rPr>
          <w:sz w:val="22"/>
          <w:szCs w:val="22"/>
        </w:rPr>
        <w:t xml:space="preserve"> public interest criteria</w:t>
      </w:r>
      <w:bookmarkStart w:id="1" w:name="FN[FN2]"/>
      <w:bookmarkEnd w:id="1"/>
      <w:r w:rsidR="00134279">
        <w:rPr>
          <w:sz w:val="22"/>
          <w:szCs w:val="22"/>
        </w:rPr>
        <w:t>:”</w:t>
      </w:r>
      <w:r w:rsidR="008A2588">
        <w:t xml:space="preserve"> </w:t>
      </w:r>
      <w:r>
        <w:rPr>
          <w:sz w:val="22"/>
          <w:szCs w:val="22"/>
        </w:rPr>
        <w:t xml:space="preserve">(1) </w:t>
      </w:r>
      <w:r w:rsidR="0022558D">
        <w:rPr>
          <w:sz w:val="22"/>
          <w:szCs w:val="22"/>
        </w:rPr>
        <w:t>the proposed satellite does not have a</w:t>
      </w:r>
      <w:r>
        <w:rPr>
          <w:sz w:val="22"/>
          <w:szCs w:val="22"/>
        </w:rPr>
        <w:t xml:space="preserve"> City Grade overlap between </w:t>
      </w:r>
      <w:r w:rsidR="0022558D">
        <w:rPr>
          <w:sz w:val="22"/>
          <w:szCs w:val="22"/>
        </w:rPr>
        <w:t>itself and its</w:t>
      </w:r>
      <w:r>
        <w:rPr>
          <w:sz w:val="22"/>
          <w:szCs w:val="22"/>
        </w:rPr>
        <w:t xml:space="preserve"> parent; (2) the proposed satellite would provide service to an underserved area; and (3) </w:t>
      </w:r>
      <w:r w:rsidR="00134279">
        <w:rPr>
          <w:sz w:val="22"/>
          <w:szCs w:val="22"/>
        </w:rPr>
        <w:t>n</w:t>
      </w:r>
      <w:r w:rsidR="00134279" w:rsidRPr="00134279">
        <w:rPr>
          <w:sz w:val="22"/>
          <w:szCs w:val="22"/>
        </w:rPr>
        <w:t>o alternative operator is ready and able to construct or to purchase and operate the satell</w:t>
      </w:r>
      <w:r w:rsidR="00134279">
        <w:rPr>
          <w:sz w:val="22"/>
          <w:szCs w:val="22"/>
        </w:rPr>
        <w:t>ite as a full-service station</w:t>
      </w:r>
      <w:r>
        <w:rPr>
          <w:sz w:val="22"/>
          <w:szCs w:val="22"/>
        </w:rPr>
        <w:t>.</w:t>
      </w:r>
      <w:bookmarkStart w:id="2" w:name="FN[FN3]"/>
      <w:bookmarkEnd w:id="2"/>
      <w:r>
        <w:rPr>
          <w:rStyle w:val="FootnoteReference"/>
        </w:rPr>
        <w:t xml:space="preserve"> </w:t>
      </w:r>
      <w:r>
        <w:rPr>
          <w:rStyle w:val="FootnoteReference"/>
        </w:rPr>
        <w:footnoteReference w:id="2"/>
      </w:r>
      <w:r>
        <w:rPr>
          <w:sz w:val="22"/>
          <w:szCs w:val="22"/>
        </w:rPr>
        <w:t xml:space="preserve">  </w:t>
      </w:r>
      <w:r w:rsidR="00E94D0F">
        <w:rPr>
          <w:sz w:val="22"/>
          <w:szCs w:val="22"/>
        </w:rPr>
        <w:t>I</w:t>
      </w:r>
      <w:r w:rsidR="000A5C7A">
        <w:rPr>
          <w:sz w:val="22"/>
          <w:szCs w:val="22"/>
        </w:rPr>
        <w:t xml:space="preserve">n the </w:t>
      </w:r>
      <w:r w:rsidR="000A5C7A" w:rsidRPr="006147F6">
        <w:rPr>
          <w:i/>
          <w:sz w:val="22"/>
          <w:szCs w:val="22"/>
        </w:rPr>
        <w:t xml:space="preserve">2014 Quadrennial </w:t>
      </w:r>
      <w:r w:rsidR="000A5C7A" w:rsidRPr="006147F6">
        <w:rPr>
          <w:i/>
          <w:sz w:val="22"/>
          <w:szCs w:val="22"/>
        </w:rPr>
        <w:lastRenderedPageBreak/>
        <w:t>Second Report and Orde</w:t>
      </w:r>
      <w:r w:rsidR="00C50337" w:rsidRPr="006147F6">
        <w:rPr>
          <w:i/>
          <w:sz w:val="22"/>
          <w:szCs w:val="22"/>
        </w:rPr>
        <w:t>r</w:t>
      </w:r>
      <w:r w:rsidR="00C50337">
        <w:rPr>
          <w:sz w:val="22"/>
          <w:szCs w:val="22"/>
        </w:rPr>
        <w:t xml:space="preserve">, the Commission </w:t>
      </w:r>
      <w:r w:rsidR="001664C0">
        <w:rPr>
          <w:sz w:val="22"/>
          <w:szCs w:val="22"/>
        </w:rPr>
        <w:t xml:space="preserve">stated that “because there is no “digital counterpart to a station’s analog city grade contour” it </w:t>
      </w:r>
      <w:r w:rsidR="00C50337">
        <w:rPr>
          <w:sz w:val="22"/>
          <w:szCs w:val="22"/>
        </w:rPr>
        <w:t xml:space="preserve">will, </w:t>
      </w:r>
      <w:r w:rsidR="007D5D33">
        <w:rPr>
          <w:sz w:val="22"/>
          <w:szCs w:val="22"/>
        </w:rPr>
        <w:t xml:space="preserve">“consistent with case law developed after the </w:t>
      </w:r>
      <w:r w:rsidR="00E94D0F">
        <w:rPr>
          <w:sz w:val="22"/>
          <w:szCs w:val="22"/>
        </w:rPr>
        <w:t>digital transition,”</w:t>
      </w:r>
      <w:r w:rsidR="001664C0">
        <w:rPr>
          <w:sz w:val="22"/>
          <w:szCs w:val="22"/>
        </w:rPr>
        <w:t xml:space="preserve"> </w:t>
      </w:r>
      <w:r w:rsidR="007D5D33">
        <w:rPr>
          <w:sz w:val="22"/>
          <w:szCs w:val="22"/>
        </w:rPr>
        <w:t>evaluate all future requests for new or continued sate</w:t>
      </w:r>
      <w:r w:rsidR="00E94D0F">
        <w:rPr>
          <w:sz w:val="22"/>
          <w:szCs w:val="22"/>
        </w:rPr>
        <w:t xml:space="preserve">llite status on an </w:t>
      </w:r>
      <w:r w:rsidR="00E94D0F" w:rsidRPr="006147F6">
        <w:rPr>
          <w:i/>
          <w:sz w:val="22"/>
          <w:szCs w:val="22"/>
        </w:rPr>
        <w:t>ad h</w:t>
      </w:r>
      <w:r w:rsidR="00F7328D" w:rsidRPr="006147F6">
        <w:rPr>
          <w:i/>
          <w:sz w:val="22"/>
          <w:szCs w:val="22"/>
        </w:rPr>
        <w:t>oc</w:t>
      </w:r>
      <w:r w:rsidR="00F7328D">
        <w:rPr>
          <w:sz w:val="22"/>
          <w:szCs w:val="22"/>
        </w:rPr>
        <w:t xml:space="preserve"> basis.</w:t>
      </w:r>
      <w:r w:rsidR="00E94D0F">
        <w:rPr>
          <w:rStyle w:val="FootnoteReference"/>
          <w:szCs w:val="22"/>
        </w:rPr>
        <w:t xml:space="preserve"> </w:t>
      </w:r>
      <w:r w:rsidR="000A5C7A">
        <w:rPr>
          <w:rStyle w:val="FootnoteReference"/>
          <w:szCs w:val="22"/>
        </w:rPr>
        <w:footnoteReference w:id="3"/>
      </w:r>
      <w:r w:rsidR="000A5C7A">
        <w:rPr>
          <w:sz w:val="22"/>
          <w:szCs w:val="22"/>
        </w:rPr>
        <w:t xml:space="preserve"> </w:t>
      </w:r>
    </w:p>
    <w:p w:rsidR="00096180" w:rsidRPr="0075285A" w:rsidRDefault="003421B8" w:rsidP="0075285A">
      <w:pPr>
        <w:spacing w:after="220"/>
        <w:ind w:firstLine="720"/>
        <w:rPr>
          <w:sz w:val="22"/>
          <w:szCs w:val="22"/>
        </w:rPr>
      </w:pPr>
      <w:r>
        <w:rPr>
          <w:sz w:val="22"/>
          <w:szCs w:val="22"/>
        </w:rPr>
        <w:t xml:space="preserve">Here, </w:t>
      </w:r>
      <w:r w:rsidR="0066431F">
        <w:rPr>
          <w:sz w:val="22"/>
          <w:szCs w:val="22"/>
        </w:rPr>
        <w:t>STG</w:t>
      </w:r>
      <w:r w:rsidR="0066431F" w:rsidRPr="00452C11">
        <w:rPr>
          <w:sz w:val="22"/>
          <w:szCs w:val="22"/>
        </w:rPr>
        <w:t xml:space="preserve"> </w:t>
      </w:r>
      <w:r>
        <w:rPr>
          <w:sz w:val="22"/>
          <w:szCs w:val="22"/>
        </w:rPr>
        <w:t>provides evidence</w:t>
      </w:r>
      <w:r w:rsidR="0066431F" w:rsidRPr="00452C11">
        <w:rPr>
          <w:sz w:val="22"/>
          <w:szCs w:val="22"/>
        </w:rPr>
        <w:t xml:space="preserve"> that </w:t>
      </w:r>
      <w:r w:rsidR="00B35F83">
        <w:rPr>
          <w:sz w:val="22"/>
          <w:szCs w:val="22"/>
        </w:rPr>
        <w:t>KCFW</w:t>
      </w:r>
      <w:r>
        <w:rPr>
          <w:sz w:val="22"/>
          <w:szCs w:val="22"/>
        </w:rPr>
        <w:t xml:space="preserve"> </w:t>
      </w:r>
      <w:r w:rsidR="00B35F83">
        <w:rPr>
          <w:sz w:val="22"/>
          <w:szCs w:val="22"/>
        </w:rPr>
        <w:t>serves</w:t>
      </w:r>
      <w:r>
        <w:rPr>
          <w:sz w:val="22"/>
          <w:szCs w:val="22"/>
        </w:rPr>
        <w:t xml:space="preserve"> an underserved area</w:t>
      </w:r>
      <w:r w:rsidR="0066431F" w:rsidRPr="00452C11">
        <w:rPr>
          <w:sz w:val="22"/>
          <w:szCs w:val="22"/>
        </w:rPr>
        <w:t>.</w:t>
      </w:r>
      <w:r>
        <w:rPr>
          <w:sz w:val="22"/>
          <w:szCs w:val="22"/>
        </w:rPr>
        <w:t xml:space="preserve"> </w:t>
      </w:r>
      <w:r w:rsidR="00B252ED">
        <w:rPr>
          <w:sz w:val="22"/>
          <w:szCs w:val="22"/>
        </w:rPr>
        <w:t xml:space="preserve"> </w:t>
      </w:r>
      <w:r w:rsidR="0075285A">
        <w:rPr>
          <w:sz w:val="22"/>
          <w:szCs w:val="22"/>
        </w:rPr>
        <w:t>According to STG</w:t>
      </w:r>
      <w:r w:rsidR="0066431F">
        <w:rPr>
          <w:sz w:val="22"/>
          <w:szCs w:val="22"/>
        </w:rPr>
        <w:t xml:space="preserve">, KCFW is the only full-service </w:t>
      </w:r>
      <w:r w:rsidR="0066431F" w:rsidRPr="00452C11">
        <w:rPr>
          <w:sz w:val="22"/>
          <w:szCs w:val="22"/>
        </w:rPr>
        <w:t>television station licensed to the communit</w:t>
      </w:r>
      <w:r w:rsidR="00B35F83">
        <w:rPr>
          <w:sz w:val="22"/>
          <w:szCs w:val="22"/>
        </w:rPr>
        <w:t>y of Kalispell, Montana,</w:t>
      </w:r>
      <w:r w:rsidR="0066431F" w:rsidRPr="00C10DD8">
        <w:rPr>
          <w:rStyle w:val="FootnoteReference"/>
        </w:rPr>
        <w:footnoteReference w:id="4"/>
      </w:r>
      <w:r w:rsidR="00B35F83">
        <w:rPr>
          <w:sz w:val="22"/>
          <w:szCs w:val="22"/>
        </w:rPr>
        <w:t xml:space="preserve"> and t</w:t>
      </w:r>
      <w:r>
        <w:rPr>
          <w:sz w:val="22"/>
          <w:szCs w:val="22"/>
        </w:rPr>
        <w:t xml:space="preserve">herefore meets the Commission’s standard </w:t>
      </w:r>
      <w:r w:rsidR="00B35F83">
        <w:rPr>
          <w:sz w:val="22"/>
          <w:szCs w:val="22"/>
        </w:rPr>
        <w:t xml:space="preserve">of </w:t>
      </w:r>
      <w:r>
        <w:rPr>
          <w:sz w:val="22"/>
          <w:szCs w:val="22"/>
        </w:rPr>
        <w:t>an underserved area pursuant to the “transmission test.”</w:t>
      </w:r>
      <w:r>
        <w:rPr>
          <w:rStyle w:val="FootnoteReference"/>
          <w:szCs w:val="22"/>
        </w:rPr>
        <w:footnoteReference w:id="5"/>
      </w:r>
      <w:r w:rsidR="00A05565">
        <w:rPr>
          <w:sz w:val="22"/>
          <w:szCs w:val="22"/>
        </w:rPr>
        <w:t xml:space="preserve"> </w:t>
      </w:r>
      <w:r w:rsidR="00B252ED">
        <w:rPr>
          <w:sz w:val="22"/>
          <w:szCs w:val="22"/>
        </w:rPr>
        <w:t xml:space="preserve"> </w:t>
      </w:r>
      <w:r w:rsidR="00EA2DBD">
        <w:rPr>
          <w:snapToGrid w:val="0"/>
          <w:spacing w:val="-2"/>
          <w:sz w:val="22"/>
          <w:szCs w:val="22"/>
        </w:rPr>
        <w:t>STG</w:t>
      </w:r>
      <w:r w:rsidR="00A05565">
        <w:rPr>
          <w:snapToGrid w:val="0"/>
          <w:spacing w:val="-2"/>
          <w:sz w:val="22"/>
          <w:szCs w:val="22"/>
        </w:rPr>
        <w:t xml:space="preserve"> also</w:t>
      </w:r>
      <w:r w:rsidR="003844DB">
        <w:rPr>
          <w:snapToGrid w:val="0"/>
          <w:spacing w:val="-2"/>
          <w:sz w:val="22"/>
          <w:szCs w:val="22"/>
        </w:rPr>
        <w:t xml:space="preserve"> provides</w:t>
      </w:r>
      <w:r w:rsidR="00B35F83">
        <w:rPr>
          <w:snapToGrid w:val="0"/>
          <w:spacing w:val="-2"/>
          <w:sz w:val="22"/>
          <w:szCs w:val="22"/>
        </w:rPr>
        <w:t xml:space="preserve"> evidence that </w:t>
      </w:r>
      <w:r w:rsidR="00B35F83">
        <w:rPr>
          <w:sz w:val="22"/>
          <w:szCs w:val="22"/>
        </w:rPr>
        <w:t>there is no alternative operator that is ready and able to construct or to purchase and operate the satellite as a full-service station.</w:t>
      </w:r>
      <w:r w:rsidR="00B35F83">
        <w:rPr>
          <w:snapToGrid w:val="0"/>
          <w:spacing w:val="-2"/>
          <w:sz w:val="22"/>
          <w:szCs w:val="22"/>
        </w:rPr>
        <w:t xml:space="preserve"> </w:t>
      </w:r>
      <w:r w:rsidR="00B252ED">
        <w:rPr>
          <w:snapToGrid w:val="0"/>
          <w:spacing w:val="-2"/>
          <w:sz w:val="22"/>
          <w:szCs w:val="22"/>
        </w:rPr>
        <w:t xml:space="preserve"> </w:t>
      </w:r>
      <w:r w:rsidR="00B35F83">
        <w:rPr>
          <w:snapToGrid w:val="0"/>
          <w:spacing w:val="-2"/>
          <w:sz w:val="22"/>
          <w:szCs w:val="22"/>
        </w:rPr>
        <w:t>According to a</w:t>
      </w:r>
      <w:r w:rsidR="00096180">
        <w:rPr>
          <w:snapToGrid w:val="0"/>
          <w:spacing w:val="-2"/>
          <w:sz w:val="22"/>
          <w:szCs w:val="22"/>
        </w:rPr>
        <w:t xml:space="preserve"> letter from Mr. Frank J. Higney, Vice President of Kalil &amp; Co., Inc. a nationally recognized brokerage and appraisal firm,</w:t>
      </w:r>
      <w:r w:rsidR="00096180">
        <w:rPr>
          <w:rStyle w:val="FootnoteReference"/>
          <w:szCs w:val="22"/>
        </w:rPr>
        <w:footnoteReference w:id="6"/>
      </w:r>
      <w:r w:rsidR="003844DB">
        <w:rPr>
          <w:snapToGrid w:val="0"/>
          <w:spacing w:val="-2"/>
          <w:sz w:val="22"/>
          <w:szCs w:val="22"/>
        </w:rPr>
        <w:t xml:space="preserve"> </w:t>
      </w:r>
      <w:r w:rsidR="00B35F83">
        <w:rPr>
          <w:snapToGrid w:val="0"/>
          <w:spacing w:val="-2"/>
          <w:sz w:val="22"/>
          <w:szCs w:val="22"/>
        </w:rPr>
        <w:t>Kalispell, KCFW’s</w:t>
      </w:r>
      <w:r w:rsidR="00EB762F">
        <w:rPr>
          <w:snapToGrid w:val="0"/>
          <w:spacing w:val="-2"/>
          <w:sz w:val="22"/>
          <w:szCs w:val="22"/>
        </w:rPr>
        <w:t xml:space="preserve"> community</w:t>
      </w:r>
      <w:r w:rsidR="00096180">
        <w:rPr>
          <w:snapToGrid w:val="0"/>
          <w:spacing w:val="-2"/>
          <w:sz w:val="22"/>
          <w:szCs w:val="22"/>
        </w:rPr>
        <w:t xml:space="preserve"> </w:t>
      </w:r>
      <w:r w:rsidR="00B35F83">
        <w:rPr>
          <w:snapToGrid w:val="0"/>
          <w:spacing w:val="-2"/>
          <w:sz w:val="22"/>
          <w:szCs w:val="22"/>
        </w:rPr>
        <w:t xml:space="preserve">of service, </w:t>
      </w:r>
      <w:r w:rsidR="00096180">
        <w:rPr>
          <w:snapToGrid w:val="0"/>
          <w:spacing w:val="-2"/>
          <w:sz w:val="22"/>
          <w:szCs w:val="22"/>
        </w:rPr>
        <w:t>is a “popular seasonal tourist destination . . . , but tourist and service personnel traffic is primarily limited to a three month window.”</w:t>
      </w:r>
      <w:r w:rsidR="00096180">
        <w:rPr>
          <w:rStyle w:val="FootnoteReference"/>
          <w:snapToGrid w:val="0"/>
          <w:spacing w:val="-2"/>
          <w:szCs w:val="22"/>
        </w:rPr>
        <w:footnoteReference w:id="7"/>
      </w:r>
      <w:r w:rsidR="00096180">
        <w:rPr>
          <w:snapToGrid w:val="0"/>
          <w:spacing w:val="-2"/>
          <w:sz w:val="22"/>
          <w:szCs w:val="22"/>
        </w:rPr>
        <w:t xml:space="preserve"> </w:t>
      </w:r>
      <w:r w:rsidR="008E36C2">
        <w:rPr>
          <w:snapToGrid w:val="0"/>
          <w:spacing w:val="-2"/>
          <w:sz w:val="22"/>
          <w:szCs w:val="22"/>
        </w:rPr>
        <w:t xml:space="preserve"> </w:t>
      </w:r>
      <w:r w:rsidR="007A19B8">
        <w:rPr>
          <w:snapToGrid w:val="0"/>
          <w:spacing w:val="-2"/>
          <w:sz w:val="22"/>
          <w:szCs w:val="22"/>
        </w:rPr>
        <w:t xml:space="preserve">Mr. Higney </w:t>
      </w:r>
      <w:r w:rsidR="00B35F83">
        <w:rPr>
          <w:snapToGrid w:val="0"/>
          <w:spacing w:val="-2"/>
          <w:sz w:val="22"/>
          <w:szCs w:val="22"/>
        </w:rPr>
        <w:t>states that</w:t>
      </w:r>
      <w:r w:rsidR="00096180">
        <w:rPr>
          <w:snapToGrid w:val="0"/>
          <w:spacing w:val="-2"/>
          <w:sz w:val="22"/>
          <w:szCs w:val="22"/>
        </w:rPr>
        <w:t xml:space="preserve"> such an economy cannot support a year-round, standalone, full-power television station.</w:t>
      </w:r>
      <w:r w:rsidR="00096180">
        <w:rPr>
          <w:rStyle w:val="FootnoteReference"/>
          <w:snapToGrid w:val="0"/>
          <w:spacing w:val="-2"/>
          <w:szCs w:val="22"/>
        </w:rPr>
        <w:footnoteReference w:id="8"/>
      </w:r>
      <w:r w:rsidR="00096180">
        <w:rPr>
          <w:snapToGrid w:val="0"/>
          <w:spacing w:val="-2"/>
          <w:sz w:val="22"/>
          <w:szCs w:val="22"/>
        </w:rPr>
        <w:t xml:space="preserve"> </w:t>
      </w:r>
      <w:r w:rsidR="008E36C2">
        <w:rPr>
          <w:snapToGrid w:val="0"/>
          <w:spacing w:val="-2"/>
          <w:sz w:val="22"/>
          <w:szCs w:val="22"/>
        </w:rPr>
        <w:t xml:space="preserve"> </w:t>
      </w:r>
      <w:r w:rsidR="00A05565">
        <w:rPr>
          <w:snapToGrid w:val="0"/>
          <w:spacing w:val="-2"/>
          <w:sz w:val="22"/>
          <w:szCs w:val="22"/>
        </w:rPr>
        <w:t>Furthermore</w:t>
      </w:r>
      <w:r w:rsidR="00ED2E95">
        <w:rPr>
          <w:snapToGrid w:val="0"/>
          <w:spacing w:val="-2"/>
          <w:sz w:val="22"/>
          <w:szCs w:val="22"/>
        </w:rPr>
        <w:t>,</w:t>
      </w:r>
      <w:r w:rsidR="007A19B8">
        <w:rPr>
          <w:snapToGrid w:val="0"/>
          <w:spacing w:val="-2"/>
          <w:sz w:val="22"/>
          <w:szCs w:val="22"/>
        </w:rPr>
        <w:t xml:space="preserve"> the</w:t>
      </w:r>
      <w:r w:rsidR="00ED2E95">
        <w:rPr>
          <w:snapToGrid w:val="0"/>
          <w:spacing w:val="-2"/>
          <w:sz w:val="22"/>
          <w:szCs w:val="22"/>
        </w:rPr>
        <w:t xml:space="preserve"> </w:t>
      </w:r>
      <w:r w:rsidR="008A2588">
        <w:rPr>
          <w:snapToGrid w:val="0"/>
          <w:spacing w:val="-2"/>
          <w:sz w:val="22"/>
          <w:szCs w:val="22"/>
        </w:rPr>
        <w:t>Kalil</w:t>
      </w:r>
      <w:r w:rsidR="00E53D53">
        <w:rPr>
          <w:snapToGrid w:val="0"/>
          <w:spacing w:val="-2"/>
          <w:sz w:val="22"/>
          <w:szCs w:val="22"/>
        </w:rPr>
        <w:t xml:space="preserve"> </w:t>
      </w:r>
      <w:r w:rsidR="007A19B8">
        <w:rPr>
          <w:snapToGrid w:val="0"/>
          <w:spacing w:val="-2"/>
          <w:sz w:val="22"/>
          <w:szCs w:val="22"/>
        </w:rPr>
        <w:t xml:space="preserve">Opinion Letter </w:t>
      </w:r>
      <w:r w:rsidR="00ED2E95">
        <w:rPr>
          <w:snapToGrid w:val="0"/>
          <w:spacing w:val="-2"/>
          <w:sz w:val="22"/>
          <w:szCs w:val="22"/>
        </w:rPr>
        <w:t>claims</w:t>
      </w:r>
      <w:r w:rsidR="00E53D53">
        <w:rPr>
          <w:snapToGrid w:val="0"/>
          <w:spacing w:val="-2"/>
          <w:sz w:val="22"/>
          <w:szCs w:val="22"/>
        </w:rPr>
        <w:t xml:space="preserve"> </w:t>
      </w:r>
      <w:r w:rsidR="00EB762F">
        <w:rPr>
          <w:snapToGrid w:val="0"/>
          <w:spacing w:val="-2"/>
          <w:sz w:val="22"/>
          <w:szCs w:val="22"/>
        </w:rPr>
        <w:t>that it is</w:t>
      </w:r>
      <w:r w:rsidR="00ED2E95">
        <w:rPr>
          <w:snapToGrid w:val="0"/>
          <w:spacing w:val="-2"/>
          <w:sz w:val="22"/>
          <w:szCs w:val="22"/>
        </w:rPr>
        <w:t xml:space="preserve"> also</w:t>
      </w:r>
      <w:r w:rsidR="00EB762F">
        <w:rPr>
          <w:snapToGrid w:val="0"/>
          <w:spacing w:val="-2"/>
          <w:sz w:val="22"/>
          <w:szCs w:val="22"/>
        </w:rPr>
        <w:t xml:space="preserve"> significant</w:t>
      </w:r>
      <w:r w:rsidR="008A2588">
        <w:rPr>
          <w:snapToGrid w:val="0"/>
          <w:spacing w:val="-2"/>
          <w:sz w:val="22"/>
          <w:szCs w:val="22"/>
        </w:rPr>
        <w:t xml:space="preserve"> that KCFW could not be sold individually in all </w:t>
      </w:r>
      <w:r w:rsidR="007A19B8">
        <w:rPr>
          <w:snapToGrid w:val="0"/>
          <w:spacing w:val="-2"/>
          <w:sz w:val="22"/>
          <w:szCs w:val="22"/>
        </w:rPr>
        <w:t xml:space="preserve">of its </w:t>
      </w:r>
      <w:r w:rsidR="008A2588">
        <w:rPr>
          <w:snapToGrid w:val="0"/>
          <w:spacing w:val="-2"/>
          <w:sz w:val="22"/>
          <w:szCs w:val="22"/>
        </w:rPr>
        <w:t xml:space="preserve">prior transactions because it lacks the “ability to cover Missoula, the main economic center of the </w:t>
      </w:r>
      <w:r w:rsidR="0079430A">
        <w:rPr>
          <w:snapToGrid w:val="0"/>
          <w:spacing w:val="-2"/>
          <w:sz w:val="22"/>
          <w:szCs w:val="22"/>
        </w:rPr>
        <w:t xml:space="preserve">[Missoula Designated Market Area (Missoula </w:t>
      </w:r>
      <w:r w:rsidR="008A2588">
        <w:rPr>
          <w:snapToGrid w:val="0"/>
          <w:spacing w:val="-2"/>
          <w:sz w:val="22"/>
          <w:szCs w:val="22"/>
        </w:rPr>
        <w:t>DMA</w:t>
      </w:r>
      <w:r w:rsidR="0079430A">
        <w:rPr>
          <w:snapToGrid w:val="0"/>
          <w:spacing w:val="-2"/>
          <w:sz w:val="22"/>
          <w:szCs w:val="22"/>
        </w:rPr>
        <w:t>)</w:t>
      </w:r>
      <w:r w:rsidR="008A2588">
        <w:rPr>
          <w:snapToGrid w:val="0"/>
          <w:spacing w:val="-2"/>
          <w:sz w:val="22"/>
          <w:szCs w:val="22"/>
        </w:rPr>
        <w:t>, and serving such a small population, [KCFW] would have no chance to garner a Big Four affiliation.”</w:t>
      </w:r>
      <w:r w:rsidR="008A2588">
        <w:rPr>
          <w:rStyle w:val="FootnoteReference"/>
          <w:snapToGrid w:val="0"/>
          <w:spacing w:val="-2"/>
          <w:szCs w:val="22"/>
        </w:rPr>
        <w:footnoteReference w:id="9"/>
      </w:r>
      <w:r w:rsidR="002C5472">
        <w:rPr>
          <w:snapToGrid w:val="0"/>
          <w:spacing w:val="-2"/>
          <w:sz w:val="22"/>
          <w:szCs w:val="22"/>
        </w:rPr>
        <w:t xml:space="preserve">  </w:t>
      </w:r>
      <w:r w:rsidR="007A19B8">
        <w:rPr>
          <w:snapToGrid w:val="0"/>
          <w:spacing w:val="-2"/>
          <w:sz w:val="22"/>
          <w:szCs w:val="22"/>
        </w:rPr>
        <w:t xml:space="preserve">The </w:t>
      </w:r>
      <w:r w:rsidR="00ED2E95">
        <w:rPr>
          <w:snapToGrid w:val="0"/>
          <w:spacing w:val="-2"/>
          <w:sz w:val="22"/>
          <w:szCs w:val="22"/>
        </w:rPr>
        <w:t>Kalil</w:t>
      </w:r>
      <w:r w:rsidR="007A19B8">
        <w:rPr>
          <w:snapToGrid w:val="0"/>
          <w:spacing w:val="-2"/>
          <w:sz w:val="22"/>
          <w:szCs w:val="22"/>
        </w:rPr>
        <w:t xml:space="preserve"> Opinion Letter</w:t>
      </w:r>
      <w:r w:rsidR="00ED2E95">
        <w:rPr>
          <w:snapToGrid w:val="0"/>
          <w:spacing w:val="-2"/>
          <w:sz w:val="22"/>
          <w:szCs w:val="22"/>
        </w:rPr>
        <w:t xml:space="preserve"> argues </w:t>
      </w:r>
      <w:r w:rsidR="0078196A">
        <w:rPr>
          <w:snapToGrid w:val="0"/>
          <w:spacing w:val="-2"/>
          <w:sz w:val="22"/>
          <w:szCs w:val="22"/>
        </w:rPr>
        <w:t>that without “a major affiliation, the cost of programming (even without the local news that the station currently provides</w:t>
      </w:r>
      <w:r w:rsidR="00E53D53">
        <w:rPr>
          <w:snapToGrid w:val="0"/>
          <w:spacing w:val="-2"/>
          <w:sz w:val="22"/>
          <w:szCs w:val="22"/>
        </w:rPr>
        <w:t>)</w:t>
      </w:r>
      <w:r w:rsidR="0078196A">
        <w:rPr>
          <w:snapToGrid w:val="0"/>
          <w:spacing w:val="-2"/>
          <w:sz w:val="22"/>
          <w:szCs w:val="22"/>
        </w:rPr>
        <w:t>, staffing, and technical support would be beyond the dollars generated by lo</w:t>
      </w:r>
      <w:r w:rsidR="00E53D53">
        <w:rPr>
          <w:snapToGrid w:val="0"/>
          <w:spacing w:val="-2"/>
          <w:sz w:val="22"/>
          <w:szCs w:val="22"/>
        </w:rPr>
        <w:t>cal and/or national advertising</w:t>
      </w:r>
      <w:r w:rsidR="0078196A">
        <w:rPr>
          <w:snapToGrid w:val="0"/>
          <w:spacing w:val="-2"/>
          <w:sz w:val="22"/>
          <w:szCs w:val="22"/>
        </w:rPr>
        <w:t>”</w:t>
      </w:r>
      <w:r w:rsidR="00E53D53">
        <w:rPr>
          <w:snapToGrid w:val="0"/>
          <w:spacing w:val="-2"/>
          <w:sz w:val="22"/>
          <w:szCs w:val="22"/>
        </w:rPr>
        <w:t xml:space="preserve"> - making it unviable to sell as a stand-alone station.</w:t>
      </w:r>
      <w:r w:rsidR="0078196A">
        <w:rPr>
          <w:snapToGrid w:val="0"/>
          <w:spacing w:val="-2"/>
          <w:sz w:val="22"/>
          <w:szCs w:val="22"/>
        </w:rPr>
        <w:t xml:space="preserve"> </w:t>
      </w:r>
      <w:r w:rsidR="002C5472">
        <w:rPr>
          <w:snapToGrid w:val="0"/>
          <w:spacing w:val="-2"/>
          <w:sz w:val="22"/>
          <w:szCs w:val="22"/>
        </w:rPr>
        <w:t xml:space="preserve"> </w:t>
      </w:r>
      <w:r w:rsidR="00EB762F">
        <w:rPr>
          <w:snapToGrid w:val="0"/>
          <w:spacing w:val="-2"/>
          <w:sz w:val="22"/>
          <w:szCs w:val="22"/>
        </w:rPr>
        <w:t xml:space="preserve">Moreover, </w:t>
      </w:r>
      <w:r w:rsidR="007A19B8">
        <w:rPr>
          <w:snapToGrid w:val="0"/>
          <w:spacing w:val="-2"/>
          <w:sz w:val="22"/>
          <w:szCs w:val="22"/>
        </w:rPr>
        <w:t xml:space="preserve">the </w:t>
      </w:r>
      <w:r w:rsidR="00EB762F">
        <w:rPr>
          <w:snapToGrid w:val="0"/>
          <w:spacing w:val="-2"/>
          <w:sz w:val="22"/>
          <w:szCs w:val="22"/>
        </w:rPr>
        <w:t>Kalil</w:t>
      </w:r>
      <w:r w:rsidR="007A19B8">
        <w:rPr>
          <w:snapToGrid w:val="0"/>
          <w:spacing w:val="-2"/>
          <w:sz w:val="22"/>
          <w:szCs w:val="22"/>
        </w:rPr>
        <w:t xml:space="preserve"> Opinion Letter</w:t>
      </w:r>
      <w:r w:rsidR="00EB762F">
        <w:rPr>
          <w:snapToGrid w:val="0"/>
          <w:spacing w:val="-2"/>
          <w:sz w:val="22"/>
          <w:szCs w:val="22"/>
        </w:rPr>
        <w:t xml:space="preserve"> states that it would decline to list KCFW as a standalone</w:t>
      </w:r>
      <w:r w:rsidR="00E53D53">
        <w:rPr>
          <w:snapToGrid w:val="0"/>
          <w:spacing w:val="-2"/>
          <w:sz w:val="22"/>
          <w:szCs w:val="22"/>
        </w:rPr>
        <w:t xml:space="preserve"> operation</w:t>
      </w:r>
      <w:r w:rsidR="0078196A">
        <w:rPr>
          <w:snapToGrid w:val="0"/>
          <w:spacing w:val="-2"/>
          <w:sz w:val="22"/>
          <w:szCs w:val="22"/>
        </w:rPr>
        <w:t>.</w:t>
      </w:r>
      <w:r w:rsidR="0078196A">
        <w:rPr>
          <w:rStyle w:val="FootnoteReference"/>
          <w:snapToGrid w:val="0"/>
          <w:spacing w:val="-2"/>
          <w:szCs w:val="22"/>
        </w:rPr>
        <w:footnoteReference w:id="10"/>
      </w:r>
    </w:p>
    <w:p w:rsidR="00A05565" w:rsidRDefault="0075285A" w:rsidP="00A05565">
      <w:pPr>
        <w:spacing w:after="220"/>
        <w:ind w:firstLine="720"/>
        <w:rPr>
          <w:sz w:val="22"/>
          <w:szCs w:val="22"/>
        </w:rPr>
      </w:pPr>
      <w:r>
        <w:rPr>
          <w:snapToGrid w:val="0"/>
          <w:spacing w:val="-2"/>
          <w:sz w:val="22"/>
          <w:szCs w:val="22"/>
        </w:rPr>
        <w:t>Based on the foregoing reasons</w:t>
      </w:r>
      <w:r w:rsidR="001263CE" w:rsidRPr="00073091">
        <w:rPr>
          <w:snapToGrid w:val="0"/>
          <w:spacing w:val="-2"/>
          <w:sz w:val="22"/>
          <w:szCs w:val="22"/>
        </w:rPr>
        <w:t>, we find that</w:t>
      </w:r>
      <w:r w:rsidR="00303867" w:rsidRPr="00073091">
        <w:rPr>
          <w:snapToGrid w:val="0"/>
          <w:spacing w:val="-2"/>
          <w:sz w:val="22"/>
          <w:szCs w:val="22"/>
        </w:rPr>
        <w:t xml:space="preserve"> </w:t>
      </w:r>
      <w:r w:rsidR="0078196A">
        <w:rPr>
          <w:snapToGrid w:val="0"/>
          <w:spacing w:val="-2"/>
          <w:sz w:val="22"/>
          <w:szCs w:val="22"/>
        </w:rPr>
        <w:t>STG</w:t>
      </w:r>
      <w:r w:rsidR="00303867" w:rsidRPr="00073091">
        <w:rPr>
          <w:snapToGrid w:val="0"/>
          <w:spacing w:val="-2"/>
          <w:sz w:val="22"/>
          <w:szCs w:val="22"/>
        </w:rPr>
        <w:t xml:space="preserve"> has set forth information sufficient to warrant continued satellite status for </w:t>
      </w:r>
      <w:r w:rsidR="0078196A">
        <w:rPr>
          <w:snapToGrid w:val="0"/>
          <w:spacing w:val="-2"/>
          <w:sz w:val="22"/>
          <w:szCs w:val="22"/>
        </w:rPr>
        <w:t>KCFW</w:t>
      </w:r>
      <w:r w:rsidR="00303867" w:rsidRPr="00073091">
        <w:rPr>
          <w:snapToGrid w:val="0"/>
          <w:spacing w:val="-2"/>
          <w:sz w:val="22"/>
          <w:szCs w:val="22"/>
        </w:rPr>
        <w:t xml:space="preserve"> pursuant to our </w:t>
      </w:r>
      <w:r w:rsidR="00303867" w:rsidRPr="00073091">
        <w:rPr>
          <w:i/>
          <w:snapToGrid w:val="0"/>
          <w:spacing w:val="-2"/>
          <w:sz w:val="22"/>
          <w:szCs w:val="22"/>
        </w:rPr>
        <w:t>ad hoc</w:t>
      </w:r>
      <w:r w:rsidR="00303867" w:rsidRPr="00073091">
        <w:rPr>
          <w:snapToGrid w:val="0"/>
          <w:spacing w:val="-2"/>
          <w:sz w:val="22"/>
          <w:szCs w:val="22"/>
        </w:rPr>
        <w:t xml:space="preserve"> analysis.  </w:t>
      </w:r>
      <w:r w:rsidR="00303867" w:rsidRPr="00073091">
        <w:rPr>
          <w:sz w:val="22"/>
          <w:szCs w:val="22"/>
        </w:rPr>
        <w:t xml:space="preserve">Given </w:t>
      </w:r>
      <w:r w:rsidR="00ED2E95">
        <w:rPr>
          <w:sz w:val="22"/>
          <w:szCs w:val="22"/>
        </w:rPr>
        <w:t>that</w:t>
      </w:r>
      <w:r w:rsidR="00452C11" w:rsidRPr="00073091">
        <w:rPr>
          <w:sz w:val="22"/>
          <w:szCs w:val="22"/>
        </w:rPr>
        <w:t xml:space="preserve"> </w:t>
      </w:r>
      <w:r w:rsidR="00ED2E95">
        <w:rPr>
          <w:sz w:val="22"/>
          <w:szCs w:val="22"/>
        </w:rPr>
        <w:t>KCFW is the only full</w:t>
      </w:r>
      <w:r w:rsidR="00830870">
        <w:rPr>
          <w:sz w:val="22"/>
          <w:szCs w:val="22"/>
        </w:rPr>
        <w:noBreakHyphen/>
      </w:r>
      <w:r w:rsidR="00ED2E95">
        <w:rPr>
          <w:sz w:val="22"/>
          <w:szCs w:val="22"/>
        </w:rPr>
        <w:t xml:space="preserve">power </w:t>
      </w:r>
      <w:r w:rsidR="00A05565">
        <w:rPr>
          <w:sz w:val="22"/>
          <w:szCs w:val="22"/>
        </w:rPr>
        <w:t xml:space="preserve">television </w:t>
      </w:r>
      <w:r w:rsidR="00ED2E95">
        <w:rPr>
          <w:sz w:val="22"/>
          <w:szCs w:val="22"/>
        </w:rPr>
        <w:t>station in its community of license</w:t>
      </w:r>
      <w:r w:rsidR="00C10DD8" w:rsidRPr="00073091">
        <w:rPr>
          <w:sz w:val="22"/>
          <w:szCs w:val="22"/>
        </w:rPr>
        <w:t xml:space="preserve">, </w:t>
      </w:r>
      <w:r w:rsidR="00A05565">
        <w:rPr>
          <w:sz w:val="22"/>
          <w:szCs w:val="22"/>
        </w:rPr>
        <w:t xml:space="preserve">is located in a community of license with limited economic viability, </w:t>
      </w:r>
      <w:r w:rsidR="003E7236" w:rsidRPr="00073091">
        <w:rPr>
          <w:sz w:val="22"/>
          <w:szCs w:val="22"/>
        </w:rPr>
        <w:t>and</w:t>
      </w:r>
      <w:r w:rsidR="00A05565">
        <w:rPr>
          <w:sz w:val="22"/>
          <w:szCs w:val="22"/>
        </w:rPr>
        <w:t xml:space="preserve"> is costly to operate as</w:t>
      </w:r>
      <w:r w:rsidR="00E53D53">
        <w:rPr>
          <w:sz w:val="22"/>
          <w:szCs w:val="22"/>
        </w:rPr>
        <w:t xml:space="preserve"> a stand-alone station</w:t>
      </w:r>
      <w:r w:rsidR="003E7236" w:rsidRPr="00073091">
        <w:rPr>
          <w:sz w:val="22"/>
          <w:szCs w:val="22"/>
        </w:rPr>
        <w:t>,</w:t>
      </w:r>
      <w:r w:rsidR="00303867" w:rsidRPr="00073091">
        <w:rPr>
          <w:sz w:val="22"/>
          <w:szCs w:val="22"/>
        </w:rPr>
        <w:t xml:space="preserve"> it is unlikely that an alternative operator would be willing and able to </w:t>
      </w:r>
      <w:r w:rsidR="00A05565">
        <w:rPr>
          <w:sz w:val="22"/>
          <w:szCs w:val="22"/>
        </w:rPr>
        <w:t xml:space="preserve">purchase or </w:t>
      </w:r>
      <w:r w:rsidR="00303867" w:rsidRPr="00073091">
        <w:rPr>
          <w:sz w:val="22"/>
          <w:szCs w:val="22"/>
        </w:rPr>
        <w:t xml:space="preserve">operate </w:t>
      </w:r>
      <w:r w:rsidR="00F25B32" w:rsidRPr="00073091">
        <w:rPr>
          <w:sz w:val="22"/>
          <w:szCs w:val="22"/>
        </w:rPr>
        <w:t>th</w:t>
      </w:r>
      <w:r w:rsidR="00980D6B">
        <w:rPr>
          <w:sz w:val="22"/>
          <w:szCs w:val="22"/>
        </w:rPr>
        <w:t>e station</w:t>
      </w:r>
      <w:r w:rsidR="00CE343C" w:rsidRPr="00073091">
        <w:rPr>
          <w:sz w:val="22"/>
          <w:szCs w:val="22"/>
        </w:rPr>
        <w:t xml:space="preserve"> as </w:t>
      </w:r>
      <w:r w:rsidR="00980D6B">
        <w:rPr>
          <w:sz w:val="22"/>
          <w:szCs w:val="22"/>
        </w:rPr>
        <w:t>a stand-alone facility</w:t>
      </w:r>
      <w:r w:rsidR="00303867" w:rsidRPr="00073091">
        <w:rPr>
          <w:sz w:val="22"/>
          <w:szCs w:val="22"/>
        </w:rPr>
        <w:t xml:space="preserve">.  </w:t>
      </w:r>
      <w:r w:rsidR="00ED2E95">
        <w:rPr>
          <w:sz w:val="22"/>
          <w:szCs w:val="22"/>
        </w:rPr>
        <w:t xml:space="preserve">Moreover, KCFW has </w:t>
      </w:r>
      <w:r w:rsidR="00ED2E95" w:rsidRPr="00CA4CF8">
        <w:rPr>
          <w:sz w:val="22"/>
          <w:szCs w:val="22"/>
        </w:rPr>
        <w:t xml:space="preserve">operated as </w:t>
      </w:r>
      <w:r w:rsidR="00ED2E95">
        <w:rPr>
          <w:sz w:val="22"/>
          <w:szCs w:val="22"/>
        </w:rPr>
        <w:t>a satellite of KECI</w:t>
      </w:r>
      <w:r w:rsidR="00ED2E95" w:rsidRPr="00CA4CF8">
        <w:rPr>
          <w:sz w:val="22"/>
          <w:szCs w:val="22"/>
        </w:rPr>
        <w:t xml:space="preserve"> </w:t>
      </w:r>
      <w:r w:rsidR="00ED2E95">
        <w:rPr>
          <w:sz w:val="22"/>
          <w:szCs w:val="22"/>
        </w:rPr>
        <w:t>under Commission authority for almost 50 years, most recently reauthorize</w:t>
      </w:r>
      <w:r w:rsidR="0079430A">
        <w:rPr>
          <w:sz w:val="22"/>
          <w:szCs w:val="22"/>
        </w:rPr>
        <w:t>d in 2007 in the Missoula DMA</w:t>
      </w:r>
      <w:r w:rsidR="00ED2E95">
        <w:rPr>
          <w:sz w:val="22"/>
          <w:szCs w:val="22"/>
        </w:rPr>
        <w:t>,</w:t>
      </w:r>
      <w:r w:rsidR="00ED2E95">
        <w:rPr>
          <w:rStyle w:val="FootnoteReference"/>
          <w:szCs w:val="22"/>
        </w:rPr>
        <w:footnoteReference w:id="11"/>
      </w:r>
      <w:r w:rsidR="00ED2E95">
        <w:rPr>
          <w:sz w:val="22"/>
          <w:szCs w:val="22"/>
        </w:rPr>
        <w:t xml:space="preserve"> and w</w:t>
      </w:r>
      <w:r w:rsidR="00303867" w:rsidRPr="00073091">
        <w:rPr>
          <w:sz w:val="22"/>
          <w:szCs w:val="22"/>
        </w:rPr>
        <w:t>e see no evidence in the record that continuing the satellite exempt</w:t>
      </w:r>
      <w:r w:rsidR="00ED2E95">
        <w:rPr>
          <w:sz w:val="22"/>
          <w:szCs w:val="22"/>
        </w:rPr>
        <w:t xml:space="preserve">ion will harm competition in that market.  </w:t>
      </w:r>
    </w:p>
    <w:p w:rsidR="00303867" w:rsidRDefault="00ED2E95" w:rsidP="00A05565">
      <w:pPr>
        <w:spacing w:after="220"/>
        <w:ind w:firstLine="720"/>
        <w:rPr>
          <w:sz w:val="22"/>
          <w:szCs w:val="22"/>
        </w:rPr>
      </w:pPr>
      <w:r>
        <w:rPr>
          <w:sz w:val="22"/>
          <w:szCs w:val="22"/>
          <w:lang w:val="x-none"/>
        </w:rPr>
        <w:t>H</w:t>
      </w:r>
      <w:r w:rsidR="00A003D0">
        <w:rPr>
          <w:sz w:val="22"/>
          <w:szCs w:val="22"/>
          <w:lang w:val="x-none"/>
        </w:rPr>
        <w:t xml:space="preserve">aving reviewed the </w:t>
      </w:r>
      <w:r w:rsidR="009C5493">
        <w:rPr>
          <w:sz w:val="22"/>
          <w:szCs w:val="22"/>
        </w:rPr>
        <w:t>A</w:t>
      </w:r>
      <w:r w:rsidR="00A003D0">
        <w:rPr>
          <w:sz w:val="22"/>
          <w:szCs w:val="22"/>
          <w:lang w:val="x-none"/>
        </w:rPr>
        <w:t xml:space="preserve">pplication </w:t>
      </w:r>
      <w:r w:rsidR="00303867" w:rsidRPr="0008625F">
        <w:rPr>
          <w:sz w:val="22"/>
          <w:szCs w:val="22"/>
          <w:lang w:val="x-none"/>
        </w:rPr>
        <w:t>and other facts before us, we conclude that, not onl</w:t>
      </w:r>
      <w:r w:rsidR="0008625F" w:rsidRPr="0008625F">
        <w:rPr>
          <w:sz w:val="22"/>
          <w:szCs w:val="22"/>
          <w:lang w:val="x-none"/>
        </w:rPr>
        <w:t>y will grant</w:t>
      </w:r>
      <w:r w:rsidR="00A05565">
        <w:rPr>
          <w:sz w:val="22"/>
          <w:szCs w:val="22"/>
        </w:rPr>
        <w:t>ing</w:t>
      </w:r>
      <w:r w:rsidR="0008625F" w:rsidRPr="0008625F">
        <w:rPr>
          <w:sz w:val="22"/>
          <w:szCs w:val="22"/>
          <w:lang w:val="x-none"/>
        </w:rPr>
        <w:t xml:space="preserve"> </w:t>
      </w:r>
      <w:r w:rsidR="00464C1F">
        <w:rPr>
          <w:sz w:val="22"/>
          <w:szCs w:val="22"/>
        </w:rPr>
        <w:t xml:space="preserve">the Application and </w:t>
      </w:r>
      <w:r w:rsidR="0008625F" w:rsidRPr="0008625F">
        <w:rPr>
          <w:sz w:val="22"/>
          <w:szCs w:val="22"/>
          <w:lang w:val="x-none"/>
        </w:rPr>
        <w:t xml:space="preserve">the </w:t>
      </w:r>
      <w:r w:rsidR="0055017A">
        <w:rPr>
          <w:sz w:val="22"/>
          <w:szCs w:val="22"/>
        </w:rPr>
        <w:t>request for reauthorization</w:t>
      </w:r>
      <w:r w:rsidR="0055017A" w:rsidRPr="0008625F">
        <w:rPr>
          <w:sz w:val="22"/>
          <w:szCs w:val="22"/>
          <w:lang w:val="x-none"/>
        </w:rPr>
        <w:t xml:space="preserve"> </w:t>
      </w:r>
      <w:r w:rsidR="00303867" w:rsidRPr="0008625F">
        <w:rPr>
          <w:sz w:val="22"/>
          <w:szCs w:val="22"/>
          <w:lang w:val="x-none"/>
        </w:rPr>
        <w:t>comply with Commission rules, but will</w:t>
      </w:r>
      <w:r w:rsidR="00A05565">
        <w:rPr>
          <w:sz w:val="22"/>
          <w:szCs w:val="22"/>
        </w:rPr>
        <w:t xml:space="preserve"> also</w:t>
      </w:r>
      <w:r w:rsidR="00303867" w:rsidRPr="0008625F">
        <w:rPr>
          <w:sz w:val="22"/>
          <w:szCs w:val="22"/>
          <w:lang w:val="x-none"/>
        </w:rPr>
        <w:t xml:space="preserve"> serve the public interest, convenience, and necessity.</w:t>
      </w:r>
      <w:r w:rsidR="00CA4CF8">
        <w:rPr>
          <w:sz w:val="22"/>
          <w:szCs w:val="22"/>
        </w:rPr>
        <w:t xml:space="preserve">  </w:t>
      </w:r>
    </w:p>
    <w:p w:rsidR="00AC269C" w:rsidRPr="00CA4CF8" w:rsidRDefault="00AC269C" w:rsidP="00A05565">
      <w:pPr>
        <w:spacing w:after="220"/>
        <w:ind w:firstLine="720"/>
        <w:rPr>
          <w:sz w:val="22"/>
          <w:szCs w:val="22"/>
        </w:rPr>
      </w:pPr>
      <w:r>
        <w:rPr>
          <w:b/>
          <w:sz w:val="22"/>
          <w:szCs w:val="22"/>
        </w:rPr>
        <w:t xml:space="preserve">ACCORDINGLY, IT IS </w:t>
      </w:r>
      <w:r w:rsidRPr="00AC269C">
        <w:rPr>
          <w:b/>
          <w:sz w:val="22"/>
          <w:szCs w:val="22"/>
        </w:rPr>
        <w:t>ORDERED</w:t>
      </w:r>
      <w:r w:rsidRPr="00AC269C">
        <w:rPr>
          <w:sz w:val="22"/>
          <w:szCs w:val="22"/>
        </w:rPr>
        <w:t xml:space="preserve">, that the request for the continued operation of station KCFW-TV as a satellite of KECI-TV, Missoula, Montana, pursuant to the satellite exception to the duopoly rule, Section 73.3555, Note 5, of the Commission’s rules, </w:t>
      </w:r>
      <w:r w:rsidRPr="00AC269C">
        <w:rPr>
          <w:b/>
          <w:sz w:val="22"/>
          <w:szCs w:val="22"/>
        </w:rPr>
        <w:t>IS GRANTED.</w:t>
      </w:r>
    </w:p>
    <w:p w:rsidR="00464C1F" w:rsidRDefault="00303867" w:rsidP="00464C1F">
      <w:pPr>
        <w:suppressAutoHyphens/>
        <w:spacing w:line="227" w:lineRule="auto"/>
        <w:rPr>
          <w:sz w:val="22"/>
          <w:szCs w:val="22"/>
        </w:rPr>
      </w:pPr>
      <w:r w:rsidRPr="0008625F">
        <w:rPr>
          <w:sz w:val="24"/>
          <w:szCs w:val="24"/>
        </w:rPr>
        <w:tab/>
      </w:r>
      <w:r w:rsidR="00464C1F" w:rsidRPr="00717267">
        <w:rPr>
          <w:b/>
          <w:sz w:val="22"/>
          <w:szCs w:val="22"/>
        </w:rPr>
        <w:t xml:space="preserve">IT IS </w:t>
      </w:r>
      <w:r w:rsidR="00AC269C">
        <w:rPr>
          <w:b/>
          <w:sz w:val="22"/>
          <w:szCs w:val="22"/>
        </w:rPr>
        <w:t xml:space="preserve">FURTHERED </w:t>
      </w:r>
      <w:r w:rsidR="00464C1F" w:rsidRPr="00717267">
        <w:rPr>
          <w:b/>
          <w:sz w:val="22"/>
          <w:szCs w:val="22"/>
        </w:rPr>
        <w:t>ORDERED</w:t>
      </w:r>
      <w:r w:rsidR="00464C1F">
        <w:rPr>
          <w:sz w:val="22"/>
          <w:szCs w:val="22"/>
        </w:rPr>
        <w:t>, pursuant to Section 154(i) of the Communications Act, as amended,</w:t>
      </w:r>
      <w:r w:rsidR="00464C1F">
        <w:rPr>
          <w:rStyle w:val="FootnoteReference"/>
          <w:szCs w:val="22"/>
        </w:rPr>
        <w:footnoteReference w:id="12"/>
      </w:r>
      <w:r w:rsidR="00464C1F">
        <w:rPr>
          <w:sz w:val="22"/>
          <w:szCs w:val="22"/>
        </w:rPr>
        <w:t xml:space="preserve"> and by the authority delegated by Sections 0.61 and 0.283 of the Commission’s rules,</w:t>
      </w:r>
      <w:r w:rsidR="00464C1F">
        <w:rPr>
          <w:rStyle w:val="FootnoteReference"/>
          <w:szCs w:val="22"/>
        </w:rPr>
        <w:footnoteReference w:id="13"/>
      </w:r>
      <w:r w:rsidR="00464C1F">
        <w:rPr>
          <w:sz w:val="22"/>
          <w:szCs w:val="22"/>
        </w:rPr>
        <w:t xml:space="preserve"> t</w:t>
      </w:r>
      <w:r w:rsidR="00464C1F" w:rsidRPr="00B519FB">
        <w:rPr>
          <w:sz w:val="22"/>
          <w:szCs w:val="22"/>
        </w:rPr>
        <w:t xml:space="preserve">hat the above-referenced application for consent to </w:t>
      </w:r>
      <w:r w:rsidR="00464C1F">
        <w:rPr>
          <w:sz w:val="22"/>
          <w:szCs w:val="22"/>
        </w:rPr>
        <w:t>transfer control of</w:t>
      </w:r>
      <w:r w:rsidR="00464C1F" w:rsidRPr="00B519FB">
        <w:rPr>
          <w:sz w:val="22"/>
          <w:szCs w:val="22"/>
        </w:rPr>
        <w:t xml:space="preserve"> the licenses of </w:t>
      </w:r>
      <w:r w:rsidR="00464C1F">
        <w:rPr>
          <w:sz w:val="22"/>
          <w:szCs w:val="22"/>
        </w:rPr>
        <w:t xml:space="preserve">7 stations from </w:t>
      </w:r>
      <w:r w:rsidR="00464C1F">
        <w:rPr>
          <w:snapToGrid w:val="0"/>
          <w:spacing w:val="-2"/>
          <w:sz w:val="22"/>
          <w:szCs w:val="22"/>
        </w:rPr>
        <w:t xml:space="preserve">Bonten Media Group, LLC </w:t>
      </w:r>
      <w:r w:rsidR="00464C1F">
        <w:rPr>
          <w:sz w:val="22"/>
          <w:szCs w:val="22"/>
        </w:rPr>
        <w:t xml:space="preserve">to Sinclair Television Group, Inc. </w:t>
      </w:r>
      <w:r w:rsidR="00464C1F" w:rsidRPr="00B519FB">
        <w:rPr>
          <w:sz w:val="22"/>
          <w:szCs w:val="22"/>
        </w:rPr>
        <w:t>(</w:t>
      </w:r>
      <w:r w:rsidR="00464C1F" w:rsidRPr="00717267">
        <w:rPr>
          <w:sz w:val="22"/>
          <w:szCs w:val="22"/>
        </w:rPr>
        <w:t>File No. BTCCDT-20170505ABL)</w:t>
      </w:r>
      <w:r w:rsidR="00464C1F">
        <w:rPr>
          <w:sz w:val="22"/>
          <w:szCs w:val="22"/>
        </w:rPr>
        <w:t xml:space="preserve"> </w:t>
      </w:r>
      <w:r w:rsidR="00464C1F" w:rsidRPr="00717267">
        <w:rPr>
          <w:b/>
          <w:sz w:val="22"/>
          <w:szCs w:val="22"/>
        </w:rPr>
        <w:t>IS GRANTED</w:t>
      </w:r>
      <w:r w:rsidR="00464C1F">
        <w:rPr>
          <w:sz w:val="22"/>
          <w:szCs w:val="22"/>
        </w:rPr>
        <w:t>.</w:t>
      </w:r>
    </w:p>
    <w:p w:rsidR="00464C1F" w:rsidRDefault="00464C1F" w:rsidP="00464C1F">
      <w:pPr>
        <w:suppressAutoHyphens/>
        <w:spacing w:line="227" w:lineRule="auto"/>
        <w:ind w:firstLine="720"/>
        <w:rPr>
          <w:b/>
          <w:sz w:val="22"/>
          <w:szCs w:val="22"/>
        </w:rPr>
      </w:pPr>
    </w:p>
    <w:p w:rsidR="00303867" w:rsidRDefault="00303867" w:rsidP="00464C1F">
      <w:pPr>
        <w:ind w:firstLine="720"/>
        <w:rPr>
          <w:sz w:val="22"/>
          <w:szCs w:val="22"/>
        </w:rPr>
      </w:pPr>
    </w:p>
    <w:p w:rsidR="00464C1F" w:rsidRDefault="00464C1F" w:rsidP="00464C1F">
      <w:pPr>
        <w:ind w:firstLine="720"/>
        <w:rPr>
          <w:sz w:val="22"/>
          <w:szCs w:val="22"/>
        </w:rPr>
      </w:pPr>
    </w:p>
    <w:p w:rsidR="00464C1F" w:rsidRPr="00B519FB" w:rsidRDefault="00464C1F" w:rsidP="00464C1F">
      <w:pPr>
        <w:ind w:firstLine="720"/>
        <w:rPr>
          <w:sz w:val="22"/>
          <w:szCs w:val="22"/>
        </w:rPr>
      </w:pPr>
    </w:p>
    <w:p w:rsidR="00303867" w:rsidRDefault="00303867">
      <w:pPr>
        <w:keepN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303867" w:rsidRDefault="00303867">
      <w:pPr>
        <w:keepNext/>
        <w:rPr>
          <w:b/>
          <w:sz w:val="22"/>
          <w:szCs w:val="22"/>
        </w:rPr>
      </w:pPr>
    </w:p>
    <w:p w:rsidR="00303867" w:rsidRDefault="00303867">
      <w:pPr>
        <w:keepNext/>
        <w:rPr>
          <w:b/>
          <w:sz w:val="22"/>
          <w:szCs w:val="22"/>
        </w:rPr>
      </w:pPr>
    </w:p>
    <w:p w:rsidR="00303867" w:rsidRDefault="00303867">
      <w:pPr>
        <w:keepNext/>
        <w:rPr>
          <w:b/>
          <w:sz w:val="22"/>
          <w:szCs w:val="22"/>
        </w:rPr>
      </w:pPr>
      <w:r>
        <w:rPr>
          <w:b/>
          <w:sz w:val="22"/>
          <w:szCs w:val="22"/>
        </w:rPr>
        <w:tab/>
      </w:r>
    </w:p>
    <w:p w:rsidR="00303867" w:rsidRDefault="00303867">
      <w:pPr>
        <w:keepN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Barbara A. Kreisman</w:t>
      </w:r>
      <w:r>
        <w:rPr>
          <w:sz w:val="22"/>
          <w:szCs w:val="22"/>
        </w:rPr>
        <w:tab/>
      </w:r>
    </w:p>
    <w:p w:rsidR="00303867" w:rsidRDefault="00303867">
      <w:pPr>
        <w:keepN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Chief, Video Division</w:t>
      </w:r>
    </w:p>
    <w:p w:rsidR="00303867" w:rsidRDefault="0030386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Media Bureau</w:t>
      </w:r>
    </w:p>
    <w:p w:rsidR="00303867" w:rsidRDefault="00303867">
      <w:pPr>
        <w:ind w:firstLine="720"/>
        <w:rPr>
          <w:sz w:val="22"/>
          <w:szCs w:val="22"/>
        </w:rPr>
      </w:pPr>
    </w:p>
    <w:sectPr w:rsidR="00303867">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AF" w:rsidRDefault="006617AF">
      <w:r>
        <w:separator/>
      </w:r>
    </w:p>
  </w:endnote>
  <w:endnote w:type="continuationSeparator" w:id="0">
    <w:p w:rsidR="006617AF" w:rsidRDefault="0066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33" w:rsidRDefault="00967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DB" w:rsidRDefault="00B32EDB">
    <w:pPr>
      <w:pStyle w:val="Footer"/>
    </w:pPr>
    <w:r>
      <w:tab/>
      <w:t xml:space="preserve"> </w:t>
    </w:r>
    <w:r>
      <w:fldChar w:fldCharType="begin"/>
    </w:r>
    <w:r>
      <w:instrText xml:space="preserve"> PAGE </w:instrText>
    </w:r>
    <w:r>
      <w:fldChar w:fldCharType="separate"/>
    </w:r>
    <w:r w:rsidR="00967E33">
      <w:rPr>
        <w:noProof/>
      </w:rPr>
      <w:t>3</w:t>
    </w:r>
    <w:r>
      <w:fldChar w:fldCharType="end"/>
    </w:r>
    <w:r w:rsidR="0013427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DB" w:rsidRDefault="00B32ED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AF" w:rsidRDefault="006617AF">
      <w:r>
        <w:separator/>
      </w:r>
    </w:p>
  </w:footnote>
  <w:footnote w:type="continuationSeparator" w:id="0">
    <w:p w:rsidR="006617AF" w:rsidRDefault="006617AF">
      <w:r>
        <w:continuationSeparator/>
      </w:r>
    </w:p>
  </w:footnote>
  <w:footnote w:id="1">
    <w:p w:rsidR="00B32EDB" w:rsidRPr="00CE2ED9" w:rsidRDefault="00B32EDB" w:rsidP="00CE2ED9">
      <w:pPr>
        <w:pStyle w:val="FootnoteText"/>
        <w:spacing w:after="120"/>
      </w:pPr>
      <w:r w:rsidRPr="00CE2ED9">
        <w:rPr>
          <w:rStyle w:val="FootnoteReference"/>
        </w:rPr>
        <w:footnoteRef/>
      </w:r>
      <w:r w:rsidRPr="00CE2ED9">
        <w:t xml:space="preserve"> 47 C.F.R. § 73.3555, Note 5.</w:t>
      </w:r>
      <w:r w:rsidR="001E301A">
        <w:t xml:space="preserve">  The other five stations are:  KTXS-TV, Sweetwater, Texas; WCYB-TV, Bristol, Virginia; KAEF-TV, Arcata, California; KRCR-TV, Redding, California; and KTVM-TV, Butte, Montana. </w:t>
      </w:r>
    </w:p>
  </w:footnote>
  <w:footnote w:id="2">
    <w:p w:rsidR="00B32EDB" w:rsidRPr="00CE2ED9" w:rsidRDefault="00B32EDB" w:rsidP="00CE2ED9">
      <w:pPr>
        <w:pStyle w:val="FootnoteText"/>
        <w:spacing w:after="120"/>
      </w:pPr>
      <w:r w:rsidRPr="00CE2ED9">
        <w:rPr>
          <w:rStyle w:val="FootnoteReference"/>
        </w:rPr>
        <w:footnoteRef/>
      </w:r>
      <w:r w:rsidRPr="00CE2ED9">
        <w:t xml:space="preserve"> </w:t>
      </w:r>
      <w:r w:rsidR="008A2588" w:rsidRPr="00CE2ED9">
        <w:rPr>
          <w:i/>
        </w:rPr>
        <w:t>Television Satellite Stations Review of Policies and Rules</w:t>
      </w:r>
      <w:r w:rsidR="008A2588" w:rsidRPr="00CE2ED9">
        <w:t>, Report and Order, 6 FCC Rcd 4212, 4213-14 (1991) (subsequent history omitted) (</w:t>
      </w:r>
      <w:r w:rsidR="008A2588" w:rsidRPr="00CE2ED9">
        <w:rPr>
          <w:i/>
        </w:rPr>
        <w:t>Television Satellite Stations</w:t>
      </w:r>
      <w:r w:rsidR="008A2588" w:rsidRPr="00CE2ED9">
        <w:t>).</w:t>
      </w:r>
    </w:p>
  </w:footnote>
  <w:footnote w:id="3">
    <w:p w:rsidR="000A5C7A" w:rsidRPr="00CE2ED9" w:rsidRDefault="000A5C7A" w:rsidP="00CE2ED9">
      <w:pPr>
        <w:pStyle w:val="FootnoteText"/>
        <w:spacing w:after="120"/>
      </w:pPr>
      <w:r w:rsidRPr="00CE2ED9">
        <w:rPr>
          <w:rStyle w:val="FootnoteReference"/>
        </w:rPr>
        <w:footnoteRef/>
      </w:r>
      <w:r w:rsidRPr="00CE2ED9">
        <w:t xml:space="preserve"> </w:t>
      </w:r>
      <w:r w:rsidR="00F7328D" w:rsidRPr="00CE2ED9">
        <w:rPr>
          <w:i/>
        </w:rPr>
        <w:t>2014 Quadrennial Regulatory</w:t>
      </w:r>
      <w:r w:rsidR="006147F6">
        <w:rPr>
          <w:i/>
        </w:rPr>
        <w:t xml:space="preserve"> </w:t>
      </w:r>
      <w:r w:rsidR="00BC047B">
        <w:rPr>
          <w:i/>
        </w:rPr>
        <w:t xml:space="preserve">Review - </w:t>
      </w:r>
      <w:r w:rsidR="00BC047B" w:rsidRPr="00BC047B">
        <w:rPr>
          <w:i/>
        </w:rPr>
        <w:t>Review of the Commission's Broadcast Ownership Rules and Other Rules Adopted Pursuant to Section 202 of the Telecommunications Act of 1996</w:t>
      </w:r>
      <w:r w:rsidR="00F7328D" w:rsidRPr="00CE2ED9">
        <w:t>, Second Report and Order, 31 FCC Rcd 9864, 9876 n.72 (2016)</w:t>
      </w:r>
      <w:r w:rsidR="00B252ED">
        <w:t xml:space="preserve"> (</w:t>
      </w:r>
      <w:r w:rsidR="00B252ED" w:rsidRPr="00CE2ED9">
        <w:rPr>
          <w:i/>
        </w:rPr>
        <w:t>2014 Quadrennial</w:t>
      </w:r>
      <w:r w:rsidR="00B252ED">
        <w:rPr>
          <w:i/>
        </w:rPr>
        <w:t xml:space="preserve"> Review Second Report and Orde</w:t>
      </w:r>
      <w:r w:rsidR="009C5493">
        <w:rPr>
          <w:i/>
        </w:rPr>
        <w:t>r</w:t>
      </w:r>
      <w:r w:rsidR="00B252ED">
        <w:t>)</w:t>
      </w:r>
      <w:r w:rsidR="00F7328D" w:rsidRPr="00CE2ED9">
        <w:t>.</w:t>
      </w:r>
    </w:p>
  </w:footnote>
  <w:footnote w:id="4">
    <w:p w:rsidR="0066431F" w:rsidRPr="00CE2ED9" w:rsidRDefault="0066431F" w:rsidP="00CE2ED9">
      <w:pPr>
        <w:pStyle w:val="FootnoteText"/>
        <w:spacing w:after="120"/>
      </w:pPr>
      <w:r w:rsidRPr="00CE2ED9">
        <w:rPr>
          <w:rStyle w:val="FootnoteReference"/>
        </w:rPr>
        <w:footnoteRef/>
      </w:r>
      <w:r w:rsidRPr="00CE2ED9">
        <w:t xml:space="preserve"> </w:t>
      </w:r>
      <w:r w:rsidR="00B252ED">
        <w:t>Application</w:t>
      </w:r>
      <w:r w:rsidR="0079430A" w:rsidRPr="00CE2ED9">
        <w:t xml:space="preserve">, Comprehensive Exhibit, Exhibit C, Request for Reauthorization of Existing Satellite Exemption </w:t>
      </w:r>
      <w:r w:rsidR="00B252ED">
        <w:t xml:space="preserve">at 2 </w:t>
      </w:r>
      <w:r w:rsidR="0079430A" w:rsidRPr="00CE2ED9">
        <w:t>(Satellite Waiver Request).</w:t>
      </w:r>
    </w:p>
  </w:footnote>
  <w:footnote w:id="5">
    <w:p w:rsidR="003421B8" w:rsidRPr="00CE2ED9" w:rsidRDefault="003421B8" w:rsidP="00CE2ED9">
      <w:pPr>
        <w:pStyle w:val="FootnoteText"/>
        <w:spacing w:after="120"/>
        <w:rPr>
          <w:b/>
          <w:i/>
        </w:rPr>
      </w:pPr>
      <w:r w:rsidRPr="00CE2ED9">
        <w:rPr>
          <w:rStyle w:val="FootnoteReference"/>
        </w:rPr>
        <w:footnoteRef/>
      </w:r>
      <w:r w:rsidRPr="00CE2ED9">
        <w:t xml:space="preserve"> According to the “transmission test,” an area is underserved if there are two or fewer full</w:t>
      </w:r>
      <w:r w:rsidRPr="00CE2ED9">
        <w:noBreakHyphen/>
        <w:t xml:space="preserve">service television stations (including commercial, noncommercial, and satellite stations) licensed to a proposed satellite’s community of license. </w:t>
      </w:r>
      <w:r w:rsidR="00B252ED">
        <w:t xml:space="preserve"> </w:t>
      </w:r>
      <w:r w:rsidRPr="00CE2ED9">
        <w:rPr>
          <w:i/>
        </w:rPr>
        <w:t>See Television Satellite Stations</w:t>
      </w:r>
      <w:r w:rsidRPr="00CE2ED9">
        <w:t>, 6 FCC Rcd at 4215.</w:t>
      </w:r>
    </w:p>
    <w:p w:rsidR="003421B8" w:rsidRPr="00CE2ED9" w:rsidRDefault="003421B8" w:rsidP="00CE2ED9">
      <w:pPr>
        <w:pStyle w:val="FootnoteText"/>
        <w:spacing w:after="120"/>
      </w:pPr>
      <w:r w:rsidRPr="00CE2ED9">
        <w:rPr>
          <w:rStyle w:val="FootnoteReference"/>
        </w:rPr>
        <w:footnoteRef/>
      </w:r>
      <w:r w:rsidRPr="00CE2ED9">
        <w:t xml:space="preserve"> </w:t>
      </w:r>
      <w:r w:rsidRPr="00CE2ED9">
        <w:rPr>
          <w:i/>
        </w:rPr>
        <w:t>Television Satellite Stations</w:t>
      </w:r>
      <w:r w:rsidRPr="00CE2ED9">
        <w:t>, 6 FCC Rcd at 4215.</w:t>
      </w:r>
    </w:p>
  </w:footnote>
  <w:footnote w:id="6">
    <w:p w:rsidR="00096180" w:rsidRPr="00CE2ED9" w:rsidRDefault="00096180" w:rsidP="00CE2ED9">
      <w:pPr>
        <w:pStyle w:val="FootnoteText"/>
        <w:spacing w:after="120"/>
      </w:pPr>
      <w:r w:rsidRPr="00CE2ED9">
        <w:rPr>
          <w:rStyle w:val="FootnoteReference"/>
        </w:rPr>
        <w:footnoteRef/>
      </w:r>
      <w:r w:rsidRPr="00CE2ED9">
        <w:t xml:space="preserve"> </w:t>
      </w:r>
      <w:r w:rsidR="007A19B8">
        <w:t>Satellite Waiver Request</w:t>
      </w:r>
      <w:r w:rsidRPr="00CE2ED9">
        <w:t xml:space="preserve">, Exhibit C-1, </w:t>
      </w:r>
      <w:r w:rsidR="007A19B8">
        <w:t xml:space="preserve">Letter from Frank J. Higney, </w:t>
      </w:r>
      <w:r w:rsidRPr="00CE2ED9">
        <w:t>Kalil &amp; Co.</w:t>
      </w:r>
      <w:r w:rsidR="007A19B8">
        <w:t xml:space="preserve"> to David Gibber, Sinclair Broadcast Group</w:t>
      </w:r>
      <w:r w:rsidRPr="00CE2ED9">
        <w:t xml:space="preserve"> </w:t>
      </w:r>
      <w:r w:rsidR="007A19B8">
        <w:t xml:space="preserve">(dated May 2, 2017) </w:t>
      </w:r>
      <w:r w:rsidRPr="00CE2ED9">
        <w:t>(</w:t>
      </w:r>
      <w:r w:rsidR="007A19B8">
        <w:t xml:space="preserve">Kalil </w:t>
      </w:r>
      <w:r w:rsidRPr="00CE2ED9">
        <w:t>Opinion Letter).</w:t>
      </w:r>
    </w:p>
  </w:footnote>
  <w:footnote w:id="7">
    <w:p w:rsidR="00096180" w:rsidRPr="00CE2ED9" w:rsidRDefault="00096180" w:rsidP="00CE2ED9">
      <w:pPr>
        <w:pStyle w:val="FootnoteText"/>
        <w:spacing w:after="120"/>
      </w:pPr>
      <w:r w:rsidRPr="00CE2ED9">
        <w:rPr>
          <w:rStyle w:val="FootnoteReference"/>
        </w:rPr>
        <w:footnoteRef/>
      </w:r>
      <w:r w:rsidRPr="00CE2ED9">
        <w:t xml:space="preserve"> </w:t>
      </w:r>
      <w:r w:rsidRPr="00CE2ED9">
        <w:rPr>
          <w:i/>
        </w:rPr>
        <w:t>Id</w:t>
      </w:r>
      <w:r w:rsidRPr="00CE2ED9">
        <w:t xml:space="preserve">. </w:t>
      </w:r>
      <w:r w:rsidR="007A19B8">
        <w:t xml:space="preserve">at </w:t>
      </w:r>
      <w:r w:rsidRPr="00CE2ED9">
        <w:t>2</w:t>
      </w:r>
      <w:r w:rsidR="007A19B8">
        <w:t>.</w:t>
      </w:r>
    </w:p>
  </w:footnote>
  <w:footnote w:id="8">
    <w:p w:rsidR="00096180" w:rsidRPr="00CE2ED9" w:rsidRDefault="00096180" w:rsidP="00CE2ED9">
      <w:pPr>
        <w:pStyle w:val="FootnoteText"/>
        <w:spacing w:after="120"/>
      </w:pPr>
      <w:r w:rsidRPr="00CE2ED9">
        <w:rPr>
          <w:rStyle w:val="FootnoteReference"/>
        </w:rPr>
        <w:footnoteRef/>
      </w:r>
      <w:r w:rsidRPr="00CE2ED9">
        <w:t xml:space="preserve"> </w:t>
      </w:r>
      <w:r w:rsidRPr="00CE2ED9">
        <w:rPr>
          <w:i/>
        </w:rPr>
        <w:t>Id</w:t>
      </w:r>
      <w:r w:rsidRPr="00CE2ED9">
        <w:t>.</w:t>
      </w:r>
    </w:p>
  </w:footnote>
  <w:footnote w:id="9">
    <w:p w:rsidR="008A2588" w:rsidRPr="00CE2ED9" w:rsidRDefault="008A2588" w:rsidP="00CE2ED9">
      <w:pPr>
        <w:pStyle w:val="FootnoteText"/>
        <w:spacing w:after="120"/>
      </w:pPr>
      <w:r w:rsidRPr="00CE2ED9">
        <w:rPr>
          <w:rStyle w:val="FootnoteReference"/>
        </w:rPr>
        <w:footnoteRef/>
      </w:r>
      <w:r w:rsidRPr="00CE2ED9">
        <w:t xml:space="preserve"> </w:t>
      </w:r>
      <w:r w:rsidRPr="00CE2ED9">
        <w:rPr>
          <w:i/>
        </w:rPr>
        <w:t>Id</w:t>
      </w:r>
      <w:r w:rsidRPr="00CE2ED9">
        <w:t>.</w:t>
      </w:r>
    </w:p>
  </w:footnote>
  <w:footnote w:id="10">
    <w:p w:rsidR="0078196A" w:rsidRPr="00CE2ED9" w:rsidRDefault="0078196A" w:rsidP="00CE2ED9">
      <w:pPr>
        <w:pStyle w:val="FootnoteText"/>
        <w:spacing w:after="120"/>
      </w:pPr>
      <w:r w:rsidRPr="00CE2ED9">
        <w:rPr>
          <w:rStyle w:val="FootnoteReference"/>
        </w:rPr>
        <w:footnoteRef/>
      </w:r>
      <w:r w:rsidRPr="00CE2ED9">
        <w:t xml:space="preserve"> </w:t>
      </w:r>
      <w:r w:rsidRPr="00CE2ED9">
        <w:rPr>
          <w:i/>
        </w:rPr>
        <w:t>Id</w:t>
      </w:r>
      <w:r w:rsidRPr="00CE2ED9">
        <w:t>.</w:t>
      </w:r>
    </w:p>
  </w:footnote>
  <w:footnote w:id="11">
    <w:p w:rsidR="00ED2E95" w:rsidRPr="00CE2ED9" w:rsidRDefault="00ED2E95" w:rsidP="00CE2ED9">
      <w:pPr>
        <w:pStyle w:val="FootnoteText"/>
        <w:spacing w:after="120"/>
        <w:rPr>
          <w:i/>
        </w:rPr>
      </w:pPr>
      <w:r w:rsidRPr="00CE2ED9">
        <w:rPr>
          <w:rStyle w:val="FootnoteReference"/>
        </w:rPr>
        <w:footnoteRef/>
      </w:r>
      <w:r w:rsidRPr="00CE2ED9">
        <w:t xml:space="preserve"> </w:t>
      </w:r>
      <w:r w:rsidR="0079430A">
        <w:t>Satellite Waiver Request</w:t>
      </w:r>
      <w:r w:rsidR="006147F6">
        <w:t xml:space="preserve"> </w:t>
      </w:r>
      <w:r w:rsidR="00830870">
        <w:t xml:space="preserve">at </w:t>
      </w:r>
      <w:r w:rsidRPr="00CE2ED9">
        <w:t>1</w:t>
      </w:r>
      <w:r w:rsidR="0055017A">
        <w:t xml:space="preserve"> (citing </w:t>
      </w:r>
      <w:r w:rsidR="0055017A">
        <w:rPr>
          <w:i/>
        </w:rPr>
        <w:t>Bonten Media Group, LLC</w:t>
      </w:r>
      <w:r w:rsidR="0055017A">
        <w:t>, Letter Order, 22 FCC Rcd. 7279 (Vid. Div. 2007))</w:t>
      </w:r>
      <w:r w:rsidRPr="00CE2ED9">
        <w:t>.</w:t>
      </w:r>
    </w:p>
  </w:footnote>
  <w:footnote w:id="12">
    <w:p w:rsidR="00464C1F" w:rsidRPr="00CE2ED9" w:rsidRDefault="00464C1F" w:rsidP="00464C1F">
      <w:pPr>
        <w:pStyle w:val="FootnoteText"/>
        <w:spacing w:after="120"/>
      </w:pPr>
      <w:r w:rsidRPr="00CE2ED9">
        <w:rPr>
          <w:rStyle w:val="FootnoteReference"/>
        </w:rPr>
        <w:footnoteRef/>
      </w:r>
      <w:r w:rsidRPr="00CE2ED9">
        <w:t xml:space="preserve"> 47 U.S.C. § 154(i).</w:t>
      </w:r>
    </w:p>
  </w:footnote>
  <w:footnote w:id="13">
    <w:p w:rsidR="00464C1F" w:rsidRPr="00CE2ED9" w:rsidRDefault="00464C1F" w:rsidP="00464C1F">
      <w:pPr>
        <w:pStyle w:val="FootnoteText"/>
        <w:spacing w:after="120"/>
      </w:pPr>
      <w:r w:rsidRPr="00CE2ED9">
        <w:rPr>
          <w:rStyle w:val="FootnoteReference"/>
        </w:rPr>
        <w:footnoteRef/>
      </w:r>
      <w:r w:rsidRPr="00CE2ED9">
        <w:t xml:space="preserve"> 47 CFR §§ 0.61,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33" w:rsidRDefault="00967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33" w:rsidRDefault="00967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DB" w:rsidRDefault="003B7752">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B32EDB">
      <w:rPr>
        <w:rFonts w:ascii="CG Times (W1)" w:hAnsi="CG Times (W1)"/>
        <w:sz w:val="28"/>
      </w:rPr>
      <w:t>Federal Communications Commission</w:t>
    </w:r>
  </w:p>
  <w:p w:rsidR="00B32EDB" w:rsidRDefault="00B32EDB">
    <w:pPr>
      <w:jc w:val="center"/>
    </w:pPr>
    <w:r>
      <w:rPr>
        <w:rFonts w:ascii="CG Times (W1)" w:hAnsi="CG Times (W1)"/>
        <w:sz w:val="28"/>
      </w:rPr>
      <w:t>Washington, D.C. 20554</w:t>
    </w:r>
  </w:p>
  <w:p w:rsidR="00B32EDB" w:rsidRDefault="00B32EDB">
    <w:pPr>
      <w:pStyle w:val="Header"/>
      <w:tabs>
        <w:tab w:val="clear" w:pos="4320"/>
      </w:tabs>
      <w:jc w:val="center"/>
      <w:rPr>
        <w:sz w:val="22"/>
      </w:rPr>
    </w:pPr>
  </w:p>
  <w:p w:rsidR="00B32EDB" w:rsidRDefault="00B32EDB">
    <w:pPr>
      <w:pStyle w:val="Header"/>
      <w:tabs>
        <w:tab w:val="clear" w:pos="4320"/>
      </w:tabs>
      <w:jc w:val="center"/>
      <w:rPr>
        <w:sz w:val="22"/>
      </w:rPr>
    </w:pPr>
  </w:p>
  <w:p w:rsidR="00B32EDB" w:rsidRDefault="00B32EDB">
    <w:pPr>
      <w:pStyle w:val="Header"/>
      <w:tabs>
        <w:tab w:val="clear" w:pos="4320"/>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C11"/>
    <w:multiLevelType w:val="hybridMultilevel"/>
    <w:tmpl w:val="B75852D0"/>
    <w:lvl w:ilvl="0" w:tplc="70A63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C0B31FC"/>
    <w:multiLevelType w:val="singleLevel"/>
    <w:tmpl w:val="75024346"/>
    <w:lvl w:ilvl="0">
      <w:start w:val="1"/>
      <w:numFmt w:val="decimal"/>
      <w:pStyle w:val="BodyText"/>
      <w:lvlText w:val="%1."/>
      <w:lvlJc w:val="left"/>
      <w:pPr>
        <w:tabs>
          <w:tab w:val="num" w:pos="1080"/>
        </w:tabs>
        <w:ind w:left="0" w:firstLine="720"/>
      </w:pPr>
      <w:rPr>
        <w:rFonts w:ascii="Times New Roman" w:hAnsi="Times New Roman" w:hint="default"/>
        <w:b w:val="0"/>
        <w:i w:val="0"/>
      </w:rPr>
    </w:lvl>
  </w:abstractNum>
  <w:abstractNum w:abstractNumId="3">
    <w:nsid w:val="7F762CD3"/>
    <w:multiLevelType w:val="hybridMultilevel"/>
    <w:tmpl w:val="BB2AC968"/>
    <w:lvl w:ilvl="0" w:tplc="ACEC4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16"/>
    <w:rsid w:val="00002755"/>
    <w:rsid w:val="00015C27"/>
    <w:rsid w:val="00030053"/>
    <w:rsid w:val="000302BD"/>
    <w:rsid w:val="00030E35"/>
    <w:rsid w:val="0004046E"/>
    <w:rsid w:val="000438BF"/>
    <w:rsid w:val="0004668C"/>
    <w:rsid w:val="0005602F"/>
    <w:rsid w:val="00061FC1"/>
    <w:rsid w:val="00073091"/>
    <w:rsid w:val="000769A3"/>
    <w:rsid w:val="00077E63"/>
    <w:rsid w:val="00081847"/>
    <w:rsid w:val="0008625F"/>
    <w:rsid w:val="00091605"/>
    <w:rsid w:val="00096180"/>
    <w:rsid w:val="000A30F0"/>
    <w:rsid w:val="000A5C7A"/>
    <w:rsid w:val="000B277C"/>
    <w:rsid w:val="000E474A"/>
    <w:rsid w:val="000F38A5"/>
    <w:rsid w:val="00124DAE"/>
    <w:rsid w:val="001263CE"/>
    <w:rsid w:val="00134279"/>
    <w:rsid w:val="00157A94"/>
    <w:rsid w:val="001664C0"/>
    <w:rsid w:val="00190CEF"/>
    <w:rsid w:val="00192E69"/>
    <w:rsid w:val="001A4BD4"/>
    <w:rsid w:val="001A6702"/>
    <w:rsid w:val="001B32B7"/>
    <w:rsid w:val="001C126B"/>
    <w:rsid w:val="001C3913"/>
    <w:rsid w:val="001C6F47"/>
    <w:rsid w:val="001C79AA"/>
    <w:rsid w:val="001D0C6F"/>
    <w:rsid w:val="001E301A"/>
    <w:rsid w:val="001E3279"/>
    <w:rsid w:val="001F32F3"/>
    <w:rsid w:val="001F5B4B"/>
    <w:rsid w:val="00210927"/>
    <w:rsid w:val="002114D4"/>
    <w:rsid w:val="00217133"/>
    <w:rsid w:val="00224E47"/>
    <w:rsid w:val="0022558D"/>
    <w:rsid w:val="00231008"/>
    <w:rsid w:val="00231660"/>
    <w:rsid w:val="0023694E"/>
    <w:rsid w:val="00254EA5"/>
    <w:rsid w:val="00263B8F"/>
    <w:rsid w:val="0028238F"/>
    <w:rsid w:val="00284A5F"/>
    <w:rsid w:val="00290F4E"/>
    <w:rsid w:val="002C5472"/>
    <w:rsid w:val="00303867"/>
    <w:rsid w:val="00331AEA"/>
    <w:rsid w:val="003421B8"/>
    <w:rsid w:val="00346B8A"/>
    <w:rsid w:val="003844DB"/>
    <w:rsid w:val="003A163E"/>
    <w:rsid w:val="003A2F13"/>
    <w:rsid w:val="003B12B0"/>
    <w:rsid w:val="003B7752"/>
    <w:rsid w:val="003D2D86"/>
    <w:rsid w:val="003E7236"/>
    <w:rsid w:val="00402B07"/>
    <w:rsid w:val="00416B24"/>
    <w:rsid w:val="00452C11"/>
    <w:rsid w:val="00464C1F"/>
    <w:rsid w:val="00495164"/>
    <w:rsid w:val="00496CA4"/>
    <w:rsid w:val="004A4AAE"/>
    <w:rsid w:val="004C44BB"/>
    <w:rsid w:val="004C5878"/>
    <w:rsid w:val="004D2AC2"/>
    <w:rsid w:val="004E6034"/>
    <w:rsid w:val="00504773"/>
    <w:rsid w:val="00506CDC"/>
    <w:rsid w:val="00524D8A"/>
    <w:rsid w:val="00537339"/>
    <w:rsid w:val="00544FB8"/>
    <w:rsid w:val="0055017A"/>
    <w:rsid w:val="0055579C"/>
    <w:rsid w:val="005578DA"/>
    <w:rsid w:val="00561207"/>
    <w:rsid w:val="005659E6"/>
    <w:rsid w:val="00566BFF"/>
    <w:rsid w:val="00575E16"/>
    <w:rsid w:val="00580E49"/>
    <w:rsid w:val="00590998"/>
    <w:rsid w:val="00597CFD"/>
    <w:rsid w:val="005A423E"/>
    <w:rsid w:val="005C4222"/>
    <w:rsid w:val="005D2F71"/>
    <w:rsid w:val="005E3402"/>
    <w:rsid w:val="005E58B3"/>
    <w:rsid w:val="0061363B"/>
    <w:rsid w:val="006147F6"/>
    <w:rsid w:val="00624C93"/>
    <w:rsid w:val="00630C2D"/>
    <w:rsid w:val="00637779"/>
    <w:rsid w:val="00652AAF"/>
    <w:rsid w:val="006617AF"/>
    <w:rsid w:val="00661BD8"/>
    <w:rsid w:val="0066431F"/>
    <w:rsid w:val="006766E2"/>
    <w:rsid w:val="006D4C45"/>
    <w:rsid w:val="006E0D1A"/>
    <w:rsid w:val="006E0D28"/>
    <w:rsid w:val="006F1B2B"/>
    <w:rsid w:val="00717267"/>
    <w:rsid w:val="007342BD"/>
    <w:rsid w:val="00734FC7"/>
    <w:rsid w:val="0075285A"/>
    <w:rsid w:val="007529B2"/>
    <w:rsid w:val="00760D42"/>
    <w:rsid w:val="0078196A"/>
    <w:rsid w:val="0078246F"/>
    <w:rsid w:val="00791A9E"/>
    <w:rsid w:val="00793564"/>
    <w:rsid w:val="0079430A"/>
    <w:rsid w:val="007A1405"/>
    <w:rsid w:val="007A19B8"/>
    <w:rsid w:val="007D21A1"/>
    <w:rsid w:val="007D5D33"/>
    <w:rsid w:val="007E3179"/>
    <w:rsid w:val="007E42C0"/>
    <w:rsid w:val="007F2824"/>
    <w:rsid w:val="00806610"/>
    <w:rsid w:val="00815BFE"/>
    <w:rsid w:val="00815D9B"/>
    <w:rsid w:val="00817185"/>
    <w:rsid w:val="00830870"/>
    <w:rsid w:val="00834E68"/>
    <w:rsid w:val="00847C42"/>
    <w:rsid w:val="008604D4"/>
    <w:rsid w:val="00861BB7"/>
    <w:rsid w:val="00883BC2"/>
    <w:rsid w:val="008952D0"/>
    <w:rsid w:val="008A2588"/>
    <w:rsid w:val="008A3A3D"/>
    <w:rsid w:val="008D0412"/>
    <w:rsid w:val="008E36C2"/>
    <w:rsid w:val="00907233"/>
    <w:rsid w:val="00921D42"/>
    <w:rsid w:val="0095016F"/>
    <w:rsid w:val="00953255"/>
    <w:rsid w:val="00967E33"/>
    <w:rsid w:val="00975D6C"/>
    <w:rsid w:val="00980D6B"/>
    <w:rsid w:val="009816D3"/>
    <w:rsid w:val="00996B1B"/>
    <w:rsid w:val="009A1FD9"/>
    <w:rsid w:val="009A2746"/>
    <w:rsid w:val="009C5493"/>
    <w:rsid w:val="009F00B1"/>
    <w:rsid w:val="00A003D0"/>
    <w:rsid w:val="00A05565"/>
    <w:rsid w:val="00A15841"/>
    <w:rsid w:val="00A30517"/>
    <w:rsid w:val="00A35365"/>
    <w:rsid w:val="00A4711C"/>
    <w:rsid w:val="00A81749"/>
    <w:rsid w:val="00A82376"/>
    <w:rsid w:val="00AB000D"/>
    <w:rsid w:val="00AB6F06"/>
    <w:rsid w:val="00AC269C"/>
    <w:rsid w:val="00AC2B23"/>
    <w:rsid w:val="00AD46D5"/>
    <w:rsid w:val="00AE5911"/>
    <w:rsid w:val="00AF02DB"/>
    <w:rsid w:val="00AF464E"/>
    <w:rsid w:val="00B06729"/>
    <w:rsid w:val="00B147F1"/>
    <w:rsid w:val="00B252ED"/>
    <w:rsid w:val="00B32EDB"/>
    <w:rsid w:val="00B35F83"/>
    <w:rsid w:val="00B519FB"/>
    <w:rsid w:val="00B607AA"/>
    <w:rsid w:val="00B67105"/>
    <w:rsid w:val="00B817D5"/>
    <w:rsid w:val="00B90348"/>
    <w:rsid w:val="00BA4278"/>
    <w:rsid w:val="00BB3481"/>
    <w:rsid w:val="00BB638F"/>
    <w:rsid w:val="00BC047B"/>
    <w:rsid w:val="00BE7AC5"/>
    <w:rsid w:val="00C10DD8"/>
    <w:rsid w:val="00C2524C"/>
    <w:rsid w:val="00C34040"/>
    <w:rsid w:val="00C40A1E"/>
    <w:rsid w:val="00C50337"/>
    <w:rsid w:val="00C743E5"/>
    <w:rsid w:val="00C82D5A"/>
    <w:rsid w:val="00C84D82"/>
    <w:rsid w:val="00C85EF4"/>
    <w:rsid w:val="00C96D0F"/>
    <w:rsid w:val="00CA4CF8"/>
    <w:rsid w:val="00CB6E0B"/>
    <w:rsid w:val="00CD5326"/>
    <w:rsid w:val="00CE2ED9"/>
    <w:rsid w:val="00CE343C"/>
    <w:rsid w:val="00CE531D"/>
    <w:rsid w:val="00CE5895"/>
    <w:rsid w:val="00CF601A"/>
    <w:rsid w:val="00D05D21"/>
    <w:rsid w:val="00D139A1"/>
    <w:rsid w:val="00D17B8B"/>
    <w:rsid w:val="00D2300A"/>
    <w:rsid w:val="00D23875"/>
    <w:rsid w:val="00D30F0D"/>
    <w:rsid w:val="00D44DD0"/>
    <w:rsid w:val="00D46C94"/>
    <w:rsid w:val="00D50B66"/>
    <w:rsid w:val="00D55700"/>
    <w:rsid w:val="00D6134D"/>
    <w:rsid w:val="00D64B3F"/>
    <w:rsid w:val="00D90814"/>
    <w:rsid w:val="00E00B46"/>
    <w:rsid w:val="00E01042"/>
    <w:rsid w:val="00E07536"/>
    <w:rsid w:val="00E109DC"/>
    <w:rsid w:val="00E204F6"/>
    <w:rsid w:val="00E31AD3"/>
    <w:rsid w:val="00E3512A"/>
    <w:rsid w:val="00E53D53"/>
    <w:rsid w:val="00E5599B"/>
    <w:rsid w:val="00E67625"/>
    <w:rsid w:val="00E755C0"/>
    <w:rsid w:val="00E77C68"/>
    <w:rsid w:val="00E94D0F"/>
    <w:rsid w:val="00EA1C43"/>
    <w:rsid w:val="00EA2DBD"/>
    <w:rsid w:val="00EA2F7A"/>
    <w:rsid w:val="00EA326E"/>
    <w:rsid w:val="00EA66B7"/>
    <w:rsid w:val="00EB762F"/>
    <w:rsid w:val="00EC3921"/>
    <w:rsid w:val="00EC6B70"/>
    <w:rsid w:val="00ED2E95"/>
    <w:rsid w:val="00EE3FB7"/>
    <w:rsid w:val="00EE5245"/>
    <w:rsid w:val="00EE5E91"/>
    <w:rsid w:val="00EF0D08"/>
    <w:rsid w:val="00EF2121"/>
    <w:rsid w:val="00F14135"/>
    <w:rsid w:val="00F162E1"/>
    <w:rsid w:val="00F25B32"/>
    <w:rsid w:val="00F52268"/>
    <w:rsid w:val="00F64DF5"/>
    <w:rsid w:val="00F7328D"/>
    <w:rsid w:val="00F90812"/>
    <w:rsid w:val="00F91618"/>
    <w:rsid w:val="00F95E51"/>
    <w:rsid w:val="00FE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3 Char"/>
    <w:basedOn w:val="Normal"/>
    <w:link w:val="FootnoteTextChar"/>
  </w:style>
  <w:style w:type="character" w:styleId="FootnoteReference">
    <w:name w:val="footnote reference"/>
    <w:rPr>
      <w:sz w:val="20"/>
      <w:vertAlign w:val="superscript"/>
    </w:rPr>
  </w:style>
  <w:style w:type="paragraph" w:styleId="BodyText">
    <w:name w:val="Body Text"/>
    <w:basedOn w:val="Normal"/>
    <w:pPr>
      <w:widowControl w:val="0"/>
      <w:numPr>
        <w:numId w:val="1"/>
      </w:numPr>
      <w:spacing w:after="120"/>
      <w:jc w:val="both"/>
    </w:pPr>
    <w:rPr>
      <w:snapToGrid w:val="0"/>
      <w:kern w:val="28"/>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emphi1">
    <w:name w:val="emphi1"/>
    <w:rPr>
      <w:i/>
      <w:iC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style>
  <w:style w:type="character" w:customStyle="1" w:styleId="FootnoteTextChar">
    <w:name w:val="Footnote Text Char"/>
    <w:aliases w:val="Footnote Text Char2 Char1,Footnote Text Char Char1 Char1,Footnote Text Char1 Char Char Char1,Footnote Text Char Char Char Char Char1,Footnote Text Char2 Char Char1 Char Char Char1,Footnote Text Char1 Char Char Char Char Char Char1"/>
    <w:link w:val="FootnoteText"/>
  </w:style>
  <w:style w:type="character" w:customStyle="1" w:styleId="searchterm">
    <w:name w:val="searchterm"/>
  </w:style>
  <w:style w:type="paragraph" w:customStyle="1" w:styleId="ParaNum">
    <w:name w:val="ParaNum"/>
    <w:basedOn w:val="Normal"/>
    <w:link w:val="ParaNumChar"/>
    <w:pPr>
      <w:widowControl w:val="0"/>
      <w:numPr>
        <w:numId w:val="4"/>
      </w:numPr>
      <w:spacing w:after="120"/>
    </w:pPr>
    <w:rPr>
      <w:snapToGrid w:val="0"/>
      <w:kern w:val="28"/>
      <w:sz w:val="22"/>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3 Char"/>
    <w:basedOn w:val="Normal"/>
    <w:link w:val="FootnoteTextChar"/>
  </w:style>
  <w:style w:type="character" w:styleId="FootnoteReference">
    <w:name w:val="footnote reference"/>
    <w:rPr>
      <w:sz w:val="20"/>
      <w:vertAlign w:val="superscript"/>
    </w:rPr>
  </w:style>
  <w:style w:type="paragraph" w:styleId="BodyText">
    <w:name w:val="Body Text"/>
    <w:basedOn w:val="Normal"/>
    <w:pPr>
      <w:widowControl w:val="0"/>
      <w:numPr>
        <w:numId w:val="1"/>
      </w:numPr>
      <w:spacing w:after="120"/>
      <w:jc w:val="both"/>
    </w:pPr>
    <w:rPr>
      <w:snapToGrid w:val="0"/>
      <w:kern w:val="28"/>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emphi1">
    <w:name w:val="emphi1"/>
    <w:rPr>
      <w:i/>
      <w:iC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style>
  <w:style w:type="character" w:customStyle="1" w:styleId="FootnoteTextChar">
    <w:name w:val="Footnote Text Char"/>
    <w:aliases w:val="Footnote Text Char2 Char1,Footnote Text Char Char1 Char1,Footnote Text Char1 Char Char Char1,Footnote Text Char Char Char Char Char1,Footnote Text Char2 Char Char1 Char Char Char1,Footnote Text Char1 Char Char Char Char Char Char1"/>
    <w:link w:val="FootnoteText"/>
  </w:style>
  <w:style w:type="character" w:customStyle="1" w:styleId="searchterm">
    <w:name w:val="searchterm"/>
  </w:style>
  <w:style w:type="paragraph" w:customStyle="1" w:styleId="ParaNum">
    <w:name w:val="ParaNum"/>
    <w:basedOn w:val="Normal"/>
    <w:link w:val="ParaNumChar"/>
    <w:pPr>
      <w:widowControl w:val="0"/>
      <w:numPr>
        <w:numId w:val="4"/>
      </w:numPr>
      <w:spacing w:after="120"/>
    </w:pPr>
    <w:rPr>
      <w:snapToGrid w:val="0"/>
      <w:kern w:val="28"/>
      <w:sz w:val="22"/>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64966">
      <w:bodyDiv w:val="1"/>
      <w:marLeft w:val="0"/>
      <w:marRight w:val="0"/>
      <w:marTop w:val="0"/>
      <w:marBottom w:val="0"/>
      <w:divBdr>
        <w:top w:val="none" w:sz="0" w:space="0" w:color="auto"/>
        <w:left w:val="none" w:sz="0" w:space="0" w:color="auto"/>
        <w:bottom w:val="none" w:sz="0" w:space="0" w:color="auto"/>
        <w:right w:val="none" w:sz="0" w:space="0" w:color="auto"/>
      </w:divBdr>
      <w:divsChild>
        <w:div w:id="345404944">
          <w:marLeft w:val="0"/>
          <w:marRight w:val="0"/>
          <w:marTop w:val="0"/>
          <w:marBottom w:val="0"/>
          <w:divBdr>
            <w:top w:val="none" w:sz="0" w:space="0" w:color="auto"/>
            <w:left w:val="none" w:sz="0" w:space="0" w:color="auto"/>
            <w:bottom w:val="none" w:sz="0" w:space="0" w:color="auto"/>
            <w:right w:val="none" w:sz="0" w:space="0" w:color="auto"/>
          </w:divBdr>
        </w:div>
        <w:div w:id="932474687">
          <w:marLeft w:val="0"/>
          <w:marRight w:val="0"/>
          <w:marTop w:val="0"/>
          <w:marBottom w:val="0"/>
          <w:divBdr>
            <w:top w:val="none" w:sz="0" w:space="0" w:color="auto"/>
            <w:left w:val="none" w:sz="0" w:space="0" w:color="auto"/>
            <w:bottom w:val="none" w:sz="0" w:space="0" w:color="auto"/>
            <w:right w:val="none" w:sz="0" w:space="0" w:color="auto"/>
          </w:divBdr>
        </w:div>
        <w:div w:id="1240363126">
          <w:marLeft w:val="0"/>
          <w:marRight w:val="0"/>
          <w:marTop w:val="0"/>
          <w:marBottom w:val="0"/>
          <w:divBdr>
            <w:top w:val="none" w:sz="0" w:space="0" w:color="auto"/>
            <w:left w:val="none" w:sz="0" w:space="0" w:color="auto"/>
            <w:bottom w:val="none" w:sz="0" w:space="0" w:color="auto"/>
            <w:right w:val="none" w:sz="0" w:space="0" w:color="auto"/>
          </w:divBdr>
        </w:div>
        <w:div w:id="1313102159">
          <w:marLeft w:val="0"/>
          <w:marRight w:val="0"/>
          <w:marTop w:val="0"/>
          <w:marBottom w:val="0"/>
          <w:divBdr>
            <w:top w:val="none" w:sz="0" w:space="0" w:color="auto"/>
            <w:left w:val="none" w:sz="0" w:space="0" w:color="auto"/>
            <w:bottom w:val="none" w:sz="0" w:space="0" w:color="auto"/>
            <w:right w:val="none" w:sz="0" w:space="0" w:color="auto"/>
          </w:divBdr>
        </w:div>
        <w:div w:id="1887523540">
          <w:marLeft w:val="0"/>
          <w:marRight w:val="0"/>
          <w:marTop w:val="0"/>
          <w:marBottom w:val="0"/>
          <w:divBdr>
            <w:top w:val="none" w:sz="0" w:space="0" w:color="auto"/>
            <w:left w:val="none" w:sz="0" w:space="0" w:color="auto"/>
            <w:bottom w:val="none" w:sz="0" w:space="0" w:color="auto"/>
            <w:right w:val="none" w:sz="0" w:space="0" w:color="auto"/>
          </w:divBdr>
        </w:div>
      </w:divsChild>
    </w:div>
    <w:div w:id="2055153105">
      <w:bodyDiv w:val="1"/>
      <w:marLeft w:val="0"/>
      <w:marRight w:val="0"/>
      <w:marTop w:val="0"/>
      <w:marBottom w:val="0"/>
      <w:divBdr>
        <w:top w:val="none" w:sz="0" w:space="0" w:color="auto"/>
        <w:left w:val="none" w:sz="0" w:space="0" w:color="auto"/>
        <w:bottom w:val="none" w:sz="0" w:space="0" w:color="auto"/>
        <w:right w:val="none" w:sz="0" w:space="0" w:color="auto"/>
      </w:divBdr>
      <w:divsChild>
        <w:div w:id="14499891">
          <w:marLeft w:val="0"/>
          <w:marRight w:val="0"/>
          <w:marTop w:val="0"/>
          <w:marBottom w:val="0"/>
          <w:divBdr>
            <w:top w:val="none" w:sz="0" w:space="0" w:color="auto"/>
            <w:left w:val="none" w:sz="0" w:space="0" w:color="auto"/>
            <w:bottom w:val="none" w:sz="0" w:space="0" w:color="auto"/>
            <w:right w:val="none" w:sz="0" w:space="0" w:color="auto"/>
          </w:divBdr>
          <w:divsChild>
            <w:div w:id="11734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857</Words>
  <Characters>4673</Characters>
  <Application>Microsoft Office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2014-11-06T15:38:00Z</cp:lastPrinted>
  <dcterms:created xsi:type="dcterms:W3CDTF">2017-06-30T13:56:00Z</dcterms:created>
  <dcterms:modified xsi:type="dcterms:W3CDTF">2017-06-30T13:56:00Z</dcterms:modified>
  <cp:category> </cp:category>
  <cp:contentStatus> </cp:contentStatus>
</cp:coreProperties>
</file>