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72E4C" w14:textId="77777777" w:rsidR="004D5504" w:rsidRPr="00390D39" w:rsidRDefault="004D5504" w:rsidP="00D260C1">
      <w:pPr>
        <w:rPr>
          <w:sz w:val="22"/>
          <w:szCs w:val="22"/>
        </w:rPr>
      </w:pPr>
      <w:bookmarkStart w:id="0" w:name="_GoBack"/>
      <w:bookmarkEnd w:id="0"/>
    </w:p>
    <w:p w14:paraId="6D453735" w14:textId="77777777" w:rsidR="00624D2A" w:rsidRPr="00390D39" w:rsidRDefault="00624D2A" w:rsidP="00D260C1">
      <w:pPr>
        <w:rPr>
          <w:sz w:val="22"/>
          <w:szCs w:val="22"/>
        </w:rPr>
      </w:pPr>
    </w:p>
    <w:p w14:paraId="6887DC25" w14:textId="2CE1CC63" w:rsidR="00624EA1" w:rsidRPr="00390D39" w:rsidRDefault="005D3989" w:rsidP="002E613B">
      <w:pPr>
        <w:jc w:val="right"/>
        <w:rPr>
          <w:sz w:val="22"/>
          <w:szCs w:val="22"/>
        </w:rPr>
      </w:pPr>
      <w:r w:rsidRPr="00390D39">
        <w:rPr>
          <w:sz w:val="22"/>
          <w:szCs w:val="22"/>
        </w:rPr>
        <w:t xml:space="preserve">DA </w:t>
      </w:r>
      <w:r w:rsidR="00B8235D" w:rsidRPr="00390D39">
        <w:rPr>
          <w:sz w:val="22"/>
          <w:szCs w:val="22"/>
        </w:rPr>
        <w:t>17</w:t>
      </w:r>
      <w:r w:rsidRPr="00390D39">
        <w:rPr>
          <w:sz w:val="22"/>
          <w:szCs w:val="22"/>
        </w:rPr>
        <w:t>-</w:t>
      </w:r>
      <w:r w:rsidR="00576E68" w:rsidRPr="00390D39">
        <w:rPr>
          <w:sz w:val="22"/>
          <w:szCs w:val="22"/>
        </w:rPr>
        <w:t>63</w:t>
      </w:r>
    </w:p>
    <w:p w14:paraId="1ACDDA7F" w14:textId="77777777" w:rsidR="00E159C7" w:rsidRPr="00390D39" w:rsidRDefault="00E159C7" w:rsidP="00D260C1">
      <w:pPr>
        <w:pStyle w:val="Header"/>
        <w:tabs>
          <w:tab w:val="left" w:pos="720"/>
          <w:tab w:val="left" w:pos="1440"/>
        </w:tabs>
        <w:rPr>
          <w:sz w:val="22"/>
          <w:szCs w:val="22"/>
        </w:rPr>
      </w:pPr>
      <w:r w:rsidRPr="00390D39">
        <w:rPr>
          <w:sz w:val="22"/>
          <w:szCs w:val="22"/>
        </w:rPr>
        <w:t>Robert Vitanza</w:t>
      </w:r>
    </w:p>
    <w:p w14:paraId="6643EA04" w14:textId="77777777" w:rsidR="00E159C7" w:rsidRPr="00390D39" w:rsidRDefault="00E159C7" w:rsidP="00D260C1">
      <w:pPr>
        <w:pStyle w:val="Header"/>
        <w:tabs>
          <w:tab w:val="left" w:pos="720"/>
          <w:tab w:val="left" w:pos="1440"/>
        </w:tabs>
        <w:rPr>
          <w:sz w:val="22"/>
          <w:szCs w:val="22"/>
        </w:rPr>
      </w:pPr>
      <w:r w:rsidRPr="00390D39">
        <w:rPr>
          <w:sz w:val="22"/>
          <w:szCs w:val="22"/>
        </w:rPr>
        <w:t>AT&amp;T Services, Inc.</w:t>
      </w:r>
    </w:p>
    <w:p w14:paraId="567577EA" w14:textId="77777777" w:rsidR="00E159C7" w:rsidRPr="00390D39" w:rsidRDefault="00E159C7" w:rsidP="00D260C1">
      <w:pPr>
        <w:pStyle w:val="Header"/>
        <w:tabs>
          <w:tab w:val="left" w:pos="720"/>
          <w:tab w:val="left" w:pos="1440"/>
        </w:tabs>
        <w:rPr>
          <w:sz w:val="22"/>
          <w:szCs w:val="22"/>
        </w:rPr>
      </w:pPr>
      <w:r w:rsidRPr="00390D39">
        <w:rPr>
          <w:sz w:val="22"/>
          <w:szCs w:val="22"/>
        </w:rPr>
        <w:t>208 S. Akard St</w:t>
      </w:r>
    </w:p>
    <w:p w14:paraId="73862B64" w14:textId="77777777" w:rsidR="00E159C7" w:rsidRPr="00390D39" w:rsidRDefault="00E159C7" w:rsidP="00D260C1">
      <w:pPr>
        <w:pStyle w:val="Header"/>
        <w:tabs>
          <w:tab w:val="left" w:pos="720"/>
          <w:tab w:val="left" w:pos="1440"/>
        </w:tabs>
        <w:rPr>
          <w:sz w:val="22"/>
          <w:szCs w:val="22"/>
        </w:rPr>
      </w:pPr>
      <w:r w:rsidRPr="00390D39">
        <w:rPr>
          <w:sz w:val="22"/>
          <w:szCs w:val="22"/>
        </w:rPr>
        <w:t>Rm 2914</w:t>
      </w:r>
    </w:p>
    <w:p w14:paraId="3E29B1A6" w14:textId="016DA0D2" w:rsidR="00EA439A" w:rsidRPr="00390D39" w:rsidRDefault="00E159C7" w:rsidP="00D260C1">
      <w:pPr>
        <w:pStyle w:val="Header"/>
        <w:tabs>
          <w:tab w:val="clear" w:pos="4320"/>
          <w:tab w:val="left" w:pos="720"/>
          <w:tab w:val="left" w:pos="1440"/>
        </w:tabs>
        <w:rPr>
          <w:sz w:val="22"/>
          <w:szCs w:val="22"/>
        </w:rPr>
      </w:pPr>
      <w:r w:rsidRPr="00390D39">
        <w:rPr>
          <w:sz w:val="22"/>
          <w:szCs w:val="22"/>
        </w:rPr>
        <w:t>Dallas, TX 75002</w:t>
      </w:r>
    </w:p>
    <w:p w14:paraId="047D8536" w14:textId="77777777" w:rsidR="00EA439A" w:rsidRPr="00390D39" w:rsidRDefault="00EA439A" w:rsidP="00D260C1">
      <w:pPr>
        <w:pStyle w:val="Header"/>
        <w:tabs>
          <w:tab w:val="clear" w:pos="4320"/>
          <w:tab w:val="left" w:pos="720"/>
          <w:tab w:val="left" w:pos="1440"/>
        </w:tabs>
        <w:rPr>
          <w:b/>
          <w:sz w:val="22"/>
          <w:szCs w:val="22"/>
        </w:rPr>
      </w:pPr>
    </w:p>
    <w:p w14:paraId="284ECC09" w14:textId="746631A5" w:rsidR="00056F09" w:rsidRPr="00390D39" w:rsidRDefault="00F81BC1" w:rsidP="00D260C1">
      <w:pPr>
        <w:pStyle w:val="Header"/>
        <w:tabs>
          <w:tab w:val="clear" w:pos="4320"/>
          <w:tab w:val="left" w:pos="720"/>
          <w:tab w:val="left" w:pos="1440"/>
        </w:tabs>
        <w:rPr>
          <w:b/>
          <w:sz w:val="22"/>
          <w:szCs w:val="22"/>
        </w:rPr>
      </w:pPr>
      <w:r w:rsidRPr="00390D39">
        <w:rPr>
          <w:b/>
          <w:sz w:val="22"/>
          <w:szCs w:val="22"/>
        </w:rPr>
        <w:t xml:space="preserve">RE:  </w:t>
      </w:r>
      <w:r w:rsidR="00056F09" w:rsidRPr="00390D39">
        <w:rPr>
          <w:b/>
          <w:sz w:val="22"/>
          <w:szCs w:val="22"/>
        </w:rPr>
        <w:t xml:space="preserve">Request </w:t>
      </w:r>
      <w:r w:rsidR="00D21344" w:rsidRPr="00390D39">
        <w:rPr>
          <w:b/>
          <w:sz w:val="22"/>
          <w:szCs w:val="22"/>
        </w:rPr>
        <w:t xml:space="preserve">for </w:t>
      </w:r>
      <w:r w:rsidR="004A2A1D" w:rsidRPr="00390D39">
        <w:rPr>
          <w:b/>
          <w:sz w:val="22"/>
          <w:szCs w:val="22"/>
        </w:rPr>
        <w:t>Waive</w:t>
      </w:r>
      <w:r w:rsidR="00D21344" w:rsidRPr="00390D39">
        <w:rPr>
          <w:b/>
          <w:sz w:val="22"/>
          <w:szCs w:val="22"/>
        </w:rPr>
        <w:t>r</w:t>
      </w:r>
      <w:r w:rsidR="004A2A1D" w:rsidRPr="00390D39">
        <w:rPr>
          <w:b/>
          <w:sz w:val="22"/>
          <w:szCs w:val="22"/>
        </w:rPr>
        <w:t xml:space="preserve"> </w:t>
      </w:r>
      <w:r w:rsidR="00D21344" w:rsidRPr="00390D39">
        <w:rPr>
          <w:b/>
          <w:sz w:val="22"/>
          <w:szCs w:val="22"/>
        </w:rPr>
        <w:t xml:space="preserve">of </w:t>
      </w:r>
      <w:r w:rsidR="00DF2E8C" w:rsidRPr="00390D39">
        <w:rPr>
          <w:b/>
          <w:sz w:val="22"/>
          <w:szCs w:val="22"/>
        </w:rPr>
        <w:t>Section 27.14(g)</w:t>
      </w:r>
      <w:r w:rsidR="00D21344" w:rsidRPr="00390D39">
        <w:rPr>
          <w:b/>
          <w:sz w:val="22"/>
          <w:szCs w:val="22"/>
        </w:rPr>
        <w:t xml:space="preserve">, </w:t>
      </w:r>
      <w:r w:rsidR="00DF2E8C" w:rsidRPr="00390D39">
        <w:rPr>
          <w:b/>
          <w:sz w:val="22"/>
          <w:szCs w:val="22"/>
        </w:rPr>
        <w:t>WT Docket No. 16-335</w:t>
      </w:r>
    </w:p>
    <w:p w14:paraId="71F62C0A" w14:textId="560701B4" w:rsidR="00056F09" w:rsidRPr="00390D39" w:rsidRDefault="00056F09" w:rsidP="00D260C1">
      <w:pPr>
        <w:pStyle w:val="Header"/>
        <w:tabs>
          <w:tab w:val="clear" w:pos="4320"/>
          <w:tab w:val="left" w:pos="720"/>
          <w:tab w:val="left" w:pos="1440"/>
        </w:tabs>
        <w:rPr>
          <w:sz w:val="22"/>
          <w:szCs w:val="22"/>
        </w:rPr>
      </w:pPr>
    </w:p>
    <w:p w14:paraId="0C04735F" w14:textId="02EE3279" w:rsidR="00056F09" w:rsidRPr="00390D39" w:rsidRDefault="00C548B9" w:rsidP="009261AF">
      <w:pPr>
        <w:rPr>
          <w:sz w:val="22"/>
          <w:szCs w:val="22"/>
        </w:rPr>
      </w:pPr>
      <w:r w:rsidRPr="00390D39">
        <w:rPr>
          <w:sz w:val="22"/>
          <w:szCs w:val="22"/>
        </w:rPr>
        <w:t xml:space="preserve">Dear </w:t>
      </w:r>
      <w:r w:rsidR="005F4C06" w:rsidRPr="00390D39">
        <w:rPr>
          <w:sz w:val="22"/>
          <w:szCs w:val="22"/>
        </w:rPr>
        <w:t xml:space="preserve">Mr. </w:t>
      </w:r>
      <w:r w:rsidR="00E159C7" w:rsidRPr="00390D39">
        <w:rPr>
          <w:sz w:val="22"/>
          <w:szCs w:val="22"/>
        </w:rPr>
        <w:t>Vitanza</w:t>
      </w:r>
      <w:r w:rsidR="00056F09" w:rsidRPr="00390D39">
        <w:rPr>
          <w:sz w:val="22"/>
          <w:szCs w:val="22"/>
        </w:rPr>
        <w:t>:</w:t>
      </w:r>
    </w:p>
    <w:p w14:paraId="77E4D596" w14:textId="77777777" w:rsidR="00823DEF" w:rsidRPr="00390D39" w:rsidRDefault="00823DEF" w:rsidP="00F01C5C">
      <w:pPr>
        <w:pStyle w:val="ParaNum"/>
        <w:numPr>
          <w:ilvl w:val="0"/>
          <w:numId w:val="0"/>
        </w:numPr>
        <w:rPr>
          <w:color w:val="auto"/>
          <w:kern w:val="0"/>
        </w:rPr>
      </w:pPr>
    </w:p>
    <w:p w14:paraId="0F33469B" w14:textId="161CAAFB" w:rsidR="00A77695" w:rsidRPr="00390D39" w:rsidRDefault="006D208A" w:rsidP="00F01C5C">
      <w:pPr>
        <w:pStyle w:val="ParaNum"/>
        <w:numPr>
          <w:ilvl w:val="0"/>
          <w:numId w:val="0"/>
        </w:numPr>
        <w:ind w:firstLine="720"/>
      </w:pPr>
      <w:r w:rsidRPr="00390D39">
        <w:t>T</w:t>
      </w:r>
      <w:r w:rsidR="00A55147" w:rsidRPr="00390D39">
        <w:t xml:space="preserve">he Mobility Division of the Wireless Telecommunications Bureau (Bureau) </w:t>
      </w:r>
      <w:r w:rsidR="005F4C06" w:rsidRPr="00390D39">
        <w:t xml:space="preserve">hereby </w:t>
      </w:r>
      <w:r w:rsidR="00C110DC" w:rsidRPr="00390D39">
        <w:t xml:space="preserve">grants </w:t>
      </w:r>
      <w:r w:rsidR="009938DC" w:rsidRPr="00390D39">
        <w:t xml:space="preserve">the request of </w:t>
      </w:r>
      <w:r w:rsidR="00FF01FD" w:rsidRPr="00390D39">
        <w:rPr>
          <w:color w:val="auto"/>
        </w:rPr>
        <w:t>AT&amp;T Mobility Spectrum LLC (AT&amp;T)</w:t>
      </w:r>
      <w:r w:rsidR="00FF01FD" w:rsidRPr="00390D39">
        <w:t xml:space="preserve"> </w:t>
      </w:r>
      <w:r w:rsidR="009938DC" w:rsidRPr="00390D39">
        <w:t xml:space="preserve">for </w:t>
      </w:r>
      <w:r w:rsidR="00E53795" w:rsidRPr="00390D39">
        <w:t xml:space="preserve">a </w:t>
      </w:r>
      <w:r w:rsidR="009938DC" w:rsidRPr="00390D39">
        <w:t xml:space="preserve">limited </w:t>
      </w:r>
      <w:r w:rsidR="00A005DA" w:rsidRPr="00390D39">
        <w:t>waiver of Section 27.14(g) of the Commission’s rules</w:t>
      </w:r>
      <w:r w:rsidR="00183E35" w:rsidRPr="00390D39">
        <w:t>.</w:t>
      </w:r>
      <w:r w:rsidR="00A005DA" w:rsidRPr="00390D39">
        <w:rPr>
          <w:vertAlign w:val="superscript"/>
        </w:rPr>
        <w:footnoteReference w:id="2"/>
      </w:r>
      <w:r w:rsidR="00183E35" w:rsidRPr="00390D39">
        <w:t xml:space="preserve">  The waiver </w:t>
      </w:r>
      <w:r w:rsidR="00B166E9" w:rsidRPr="00390D39">
        <w:t xml:space="preserve">will </w:t>
      </w:r>
      <w:r w:rsidR="00F3444F" w:rsidRPr="00390D39">
        <w:t xml:space="preserve">allow AT&amp;T to meet </w:t>
      </w:r>
      <w:r w:rsidR="007E4AC2" w:rsidRPr="00390D39">
        <w:t xml:space="preserve">population- rather than geographic-based construction </w:t>
      </w:r>
      <w:r w:rsidR="00323ADD" w:rsidRPr="00390D39">
        <w:t>benchmarks</w:t>
      </w:r>
      <w:r w:rsidR="00C922EA" w:rsidRPr="00390D39">
        <w:t xml:space="preserve"> for a Lower 700 MHz </w:t>
      </w:r>
      <w:r w:rsidR="007E4AC2" w:rsidRPr="00390D39">
        <w:t xml:space="preserve">B </w:t>
      </w:r>
      <w:r w:rsidR="00F01C5C" w:rsidRPr="00390D39">
        <w:t xml:space="preserve">Block </w:t>
      </w:r>
      <w:r w:rsidR="00C922EA" w:rsidRPr="00390D39">
        <w:t>license</w:t>
      </w:r>
      <w:r w:rsidR="00E01616" w:rsidRPr="00390D39">
        <w:t xml:space="preserve">, </w:t>
      </w:r>
      <w:r w:rsidR="00C02A24" w:rsidRPr="00390D39">
        <w:t>Call Sign WQIZ358</w:t>
      </w:r>
      <w:r w:rsidR="00135C7E" w:rsidRPr="00390D39">
        <w:t xml:space="preserve"> (Cellular Market Area (CMA) 315 Alaska 1-Wade Hampton)</w:t>
      </w:r>
      <w:r w:rsidR="00EA66E2" w:rsidRPr="00390D39">
        <w:t xml:space="preserve"> </w:t>
      </w:r>
      <w:r w:rsidR="00D71AB4" w:rsidRPr="00390D39">
        <w:t>(the License or CMA315)</w:t>
      </w:r>
      <w:r w:rsidR="009938DC" w:rsidRPr="00390D39">
        <w:t>.</w:t>
      </w:r>
      <w:r w:rsidR="00A005DA" w:rsidRPr="00390D39">
        <w:t xml:space="preserve">  </w:t>
      </w:r>
      <w:r w:rsidR="009938DC" w:rsidRPr="00390D39">
        <w:t>W</w:t>
      </w:r>
      <w:r w:rsidR="005C653D" w:rsidRPr="00390D39">
        <w:t xml:space="preserve">e find that </w:t>
      </w:r>
      <w:r w:rsidR="005728EF" w:rsidRPr="00390D39">
        <w:t xml:space="preserve">grant of the </w:t>
      </w:r>
      <w:r w:rsidR="005C653D" w:rsidRPr="00390D39">
        <w:t>waiver</w:t>
      </w:r>
      <w:r w:rsidR="009938DC" w:rsidRPr="00390D39">
        <w:t>, subject to the performance and related conditions we adopt below,</w:t>
      </w:r>
      <w:r w:rsidR="00D34EEF" w:rsidRPr="00390D39">
        <w:t xml:space="preserve"> </w:t>
      </w:r>
      <w:r w:rsidR="005C653D" w:rsidRPr="00390D39">
        <w:t xml:space="preserve">will serve the public interest by </w:t>
      </w:r>
      <w:r w:rsidR="00F3444F" w:rsidRPr="00390D39">
        <w:t xml:space="preserve">fostering </w:t>
      </w:r>
      <w:r w:rsidR="00B166E9" w:rsidRPr="00390D39">
        <w:t xml:space="preserve">AT&amp;T’s </w:t>
      </w:r>
      <w:r w:rsidR="00F3444F" w:rsidRPr="00390D39">
        <w:t>provision of</w:t>
      </w:r>
      <w:r w:rsidR="009B06BC" w:rsidRPr="00390D39">
        <w:t xml:space="preserve"> new and advanced </w:t>
      </w:r>
      <w:r w:rsidR="005C653D" w:rsidRPr="00390D39">
        <w:t xml:space="preserve">wireless services </w:t>
      </w:r>
      <w:r w:rsidR="00C922EA" w:rsidRPr="00390D39">
        <w:t xml:space="preserve">to </w:t>
      </w:r>
      <w:r w:rsidR="001D5F40" w:rsidRPr="00390D39">
        <w:t>citizens in the interior</w:t>
      </w:r>
      <w:r w:rsidR="00DC0140" w:rsidRPr="00390D39">
        <w:t xml:space="preserve"> and </w:t>
      </w:r>
      <w:r w:rsidR="001D5F40" w:rsidRPr="00390D39">
        <w:t>northern reaches of Alaska.</w:t>
      </w:r>
      <w:r w:rsidR="001D5F40" w:rsidRPr="00390D39">
        <w:rPr>
          <w:rStyle w:val="FootnoteReference"/>
        </w:rPr>
        <w:footnoteReference w:id="3"/>
      </w:r>
    </w:p>
    <w:p w14:paraId="0A93EC07" w14:textId="77777777" w:rsidR="00D260C1" w:rsidRPr="00390D39" w:rsidRDefault="00D260C1" w:rsidP="00F01C5C">
      <w:pPr>
        <w:pStyle w:val="ParaNum"/>
        <w:numPr>
          <w:ilvl w:val="0"/>
          <w:numId w:val="0"/>
        </w:numPr>
        <w:ind w:firstLine="720"/>
      </w:pPr>
    </w:p>
    <w:p w14:paraId="402BCB4F" w14:textId="0DE35E88" w:rsidR="00FB5C3F" w:rsidRPr="00390D39" w:rsidRDefault="0048510E" w:rsidP="00F01C5C">
      <w:pPr>
        <w:pStyle w:val="ParaNum"/>
        <w:numPr>
          <w:ilvl w:val="0"/>
          <w:numId w:val="0"/>
        </w:numPr>
        <w:ind w:firstLine="720"/>
      </w:pPr>
      <w:r w:rsidRPr="00390D39">
        <w:rPr>
          <w:i/>
        </w:rPr>
        <w:t>Background</w:t>
      </w:r>
      <w:r w:rsidRPr="00390D39">
        <w:t xml:space="preserve">.  In the </w:t>
      </w:r>
      <w:r w:rsidRPr="00390D39">
        <w:rPr>
          <w:i/>
        </w:rPr>
        <w:t>700 MHz Second Report and Order</w:t>
      </w:r>
      <w:r w:rsidRPr="00390D39">
        <w:t>,</w:t>
      </w:r>
      <w:r w:rsidRPr="00390D39">
        <w:rPr>
          <w:i/>
        </w:rPr>
        <w:t xml:space="preserve"> </w:t>
      </w:r>
      <w:r w:rsidRPr="00390D39">
        <w:t>the Commission adopted interim and end</w:t>
      </w:r>
      <w:r w:rsidR="00864F24" w:rsidRPr="00390D39">
        <w:t>-</w:t>
      </w:r>
      <w:r w:rsidRPr="00390D39">
        <w:t>of</w:t>
      </w:r>
      <w:r w:rsidR="00864F24" w:rsidRPr="00390D39">
        <w:t>-</w:t>
      </w:r>
      <w:r w:rsidRPr="00390D39">
        <w:t>license term construction benchmarks for certain 700 MHz band licensees.</w:t>
      </w:r>
      <w:r w:rsidRPr="00390D39">
        <w:rPr>
          <w:rStyle w:val="FootnoteReference"/>
          <w:color w:val="000000" w:themeColor="text1"/>
        </w:rPr>
        <w:footnoteReference w:id="4"/>
      </w:r>
      <w:r w:rsidRPr="00390D39">
        <w:t xml:space="preserve">  The Commission required Lower 700 MHz band A and B Block licensees to provide signal coverage and offer service over at least 35 percent of their license area by June 13, 2013,</w:t>
      </w:r>
      <w:r w:rsidRPr="00390D39">
        <w:rPr>
          <w:rStyle w:val="FootnoteReference"/>
          <w:color w:val="000000" w:themeColor="text1"/>
        </w:rPr>
        <w:footnoteReference w:id="5"/>
      </w:r>
      <w:r w:rsidRPr="00390D39">
        <w:t xml:space="preserve"> later extended to December 13, 2016</w:t>
      </w:r>
      <w:r w:rsidRPr="00390D39">
        <w:rPr>
          <w:rStyle w:val="FootnoteReference"/>
        </w:rPr>
        <w:footnoteReference w:id="6"/>
      </w:r>
      <w:r w:rsidRPr="00390D39">
        <w:t xml:space="preserve"> (Interim Construction Requirement), and to provide signal coverage and offer service over at least 70 percent of that area by the end of their initial 10-year license term, </w:t>
      </w:r>
      <w:r w:rsidR="00D71AB4" w:rsidRPr="00390D39">
        <w:t xml:space="preserve">here </w:t>
      </w:r>
      <w:r w:rsidRPr="00390D39">
        <w:rPr>
          <w:color w:val="000000" w:themeColor="text1"/>
        </w:rPr>
        <w:t>June 13, 2019</w:t>
      </w:r>
      <w:r w:rsidRPr="00390D39">
        <w:t xml:space="preserve"> (Final Construction Requirement).</w:t>
      </w:r>
      <w:r w:rsidR="00D71AB4" w:rsidRPr="00390D39">
        <w:rPr>
          <w:rStyle w:val="FootnoteReference"/>
          <w:color w:val="000000" w:themeColor="text1"/>
        </w:rPr>
        <w:footnoteReference w:id="7"/>
      </w:r>
      <w:r w:rsidRPr="00390D39">
        <w:t xml:space="preserve">  </w:t>
      </w:r>
      <w:r w:rsidR="00916CF6" w:rsidRPr="00390D39">
        <w:t xml:space="preserve">Section 27.14(g)(1) provides that if a licensee does not satisfy the Interim Construction Requirement, its license term will be reduced by two years, thereby requiring it to meet the Final </w:t>
      </w:r>
      <w:r w:rsidR="00916CF6" w:rsidRPr="00390D39">
        <w:lastRenderedPageBreak/>
        <w:t>Construction Requirement two years sooner.</w:t>
      </w:r>
      <w:r w:rsidR="00916CF6" w:rsidRPr="00390D39">
        <w:rPr>
          <w:rStyle w:val="FootnoteReference"/>
          <w:color w:val="000000" w:themeColor="text1"/>
        </w:rPr>
        <w:footnoteReference w:id="8"/>
      </w:r>
      <w:r w:rsidR="00916CF6" w:rsidRPr="00390D39">
        <w:t xml:space="preserve">  Further, if a licensee does not meet its Final Construction Requirement, </w:t>
      </w:r>
      <w:r w:rsidR="00916CF6" w:rsidRPr="00390D39">
        <w:rPr>
          <w:color w:val="auto"/>
        </w:rPr>
        <w:t>it will be subject to a “keep-what-you-</w:t>
      </w:r>
      <w:r w:rsidR="00916CF6" w:rsidRPr="00390D39">
        <w:t>serve” rule, whereby its “authorization will terminate automatically without Commission action for those geographic portions of its license in which the licensee is not providing service, and those unserved areas will become available for reassignment by the Commission.”</w:t>
      </w:r>
      <w:r w:rsidR="00916CF6" w:rsidRPr="00390D39">
        <w:rPr>
          <w:rStyle w:val="FootnoteReference"/>
        </w:rPr>
        <w:footnoteReference w:id="9"/>
      </w:r>
    </w:p>
    <w:p w14:paraId="67D28682" w14:textId="77777777" w:rsidR="00D260C1" w:rsidRPr="00390D39" w:rsidRDefault="00D260C1" w:rsidP="00F01C5C">
      <w:pPr>
        <w:pStyle w:val="ParaNum"/>
        <w:numPr>
          <w:ilvl w:val="0"/>
          <w:numId w:val="0"/>
        </w:numPr>
        <w:ind w:firstLine="720"/>
      </w:pPr>
    </w:p>
    <w:p w14:paraId="0D4C7004" w14:textId="24269D53" w:rsidR="004A20E9" w:rsidRPr="00390D39" w:rsidRDefault="00B8218F" w:rsidP="00F01C5C">
      <w:pPr>
        <w:pStyle w:val="ParaNum"/>
        <w:numPr>
          <w:ilvl w:val="0"/>
          <w:numId w:val="0"/>
        </w:numPr>
        <w:ind w:firstLine="720"/>
      </w:pPr>
      <w:r w:rsidRPr="00390D39">
        <w:t xml:space="preserve">AT&amp;T filed the </w:t>
      </w:r>
      <w:r w:rsidR="00E1535E" w:rsidRPr="00390D39">
        <w:t xml:space="preserve">Waiver Request </w:t>
      </w:r>
      <w:r w:rsidR="004A20E9" w:rsidRPr="00390D39">
        <w:t xml:space="preserve">on </w:t>
      </w:r>
      <w:r w:rsidR="00122E81" w:rsidRPr="00390D39">
        <w:t>October 11</w:t>
      </w:r>
      <w:r w:rsidR="00BB4DA4" w:rsidRPr="00390D39">
        <w:t xml:space="preserve">, </w:t>
      </w:r>
      <w:r w:rsidR="004A20E9" w:rsidRPr="00390D39">
        <w:t xml:space="preserve">2016, </w:t>
      </w:r>
      <w:r w:rsidR="00D71AB4" w:rsidRPr="00390D39">
        <w:t xml:space="preserve">proposing </w:t>
      </w:r>
      <w:r w:rsidR="005E023A" w:rsidRPr="00390D39">
        <w:t xml:space="preserve">to </w:t>
      </w:r>
      <w:r w:rsidR="00457ED7" w:rsidRPr="00390D39">
        <w:t xml:space="preserve">satisfy the </w:t>
      </w:r>
      <w:r w:rsidR="00864F24" w:rsidRPr="00390D39">
        <w:t>Interim and Final Construction Requirements</w:t>
      </w:r>
      <w:r w:rsidR="00457ED7" w:rsidRPr="00390D39">
        <w:t xml:space="preserve"> by </w:t>
      </w:r>
      <w:r w:rsidR="005E023A" w:rsidRPr="00390D39">
        <w:t>cover</w:t>
      </w:r>
      <w:r w:rsidR="00457ED7" w:rsidRPr="00390D39">
        <w:t>ing</w:t>
      </w:r>
      <w:r w:rsidR="005E023A" w:rsidRPr="00390D39">
        <w:t xml:space="preserve"> 40 percent of </w:t>
      </w:r>
      <w:r w:rsidR="009938DC" w:rsidRPr="00390D39">
        <w:t>CMA315’s population</w:t>
      </w:r>
      <w:r w:rsidR="009938DC" w:rsidRPr="00390D39" w:rsidDel="009938DC">
        <w:t xml:space="preserve"> </w:t>
      </w:r>
      <w:r w:rsidR="00457ED7" w:rsidRPr="00390D39">
        <w:t>by December 13, 2016</w:t>
      </w:r>
      <w:r w:rsidR="00737EC0" w:rsidRPr="00390D39">
        <w:t>,</w:t>
      </w:r>
      <w:r w:rsidR="005E023A" w:rsidRPr="00390D39">
        <w:t xml:space="preserve"> and 70 percent of </w:t>
      </w:r>
      <w:r w:rsidR="009938DC" w:rsidRPr="00390D39">
        <w:t xml:space="preserve">its </w:t>
      </w:r>
      <w:r w:rsidR="005E023A" w:rsidRPr="00390D39">
        <w:t xml:space="preserve">population </w:t>
      </w:r>
      <w:r w:rsidR="00457ED7" w:rsidRPr="00390D39">
        <w:t>by June 13, 2019</w:t>
      </w:r>
      <w:r w:rsidR="005E023A" w:rsidRPr="00390D39">
        <w:t>.</w:t>
      </w:r>
      <w:r w:rsidR="005E023A" w:rsidRPr="00390D39">
        <w:rPr>
          <w:rStyle w:val="FootnoteReference"/>
        </w:rPr>
        <w:footnoteReference w:id="10"/>
      </w:r>
      <w:r w:rsidR="005E023A" w:rsidRPr="00390D39">
        <w:t xml:space="preserve">  </w:t>
      </w:r>
      <w:r w:rsidR="00E1535E" w:rsidRPr="00390D39">
        <w:t xml:space="preserve">The Waiver Request </w:t>
      </w:r>
      <w:r w:rsidR="0084346C" w:rsidRPr="00390D39">
        <w:t>went</w:t>
      </w:r>
      <w:r w:rsidR="004A20E9" w:rsidRPr="00390D39">
        <w:t xml:space="preserve"> on public notice for comment on </w:t>
      </w:r>
      <w:r w:rsidR="007F7D7B" w:rsidRPr="00390D39">
        <w:t>October 14, 2016</w:t>
      </w:r>
      <w:r w:rsidR="004A20E9" w:rsidRPr="00390D39">
        <w:t>.</w:t>
      </w:r>
      <w:r w:rsidR="004A20E9" w:rsidRPr="00390D39">
        <w:rPr>
          <w:rStyle w:val="FootnoteReference"/>
        </w:rPr>
        <w:footnoteReference w:id="11"/>
      </w:r>
      <w:r w:rsidR="004A20E9" w:rsidRPr="00390D39">
        <w:t xml:space="preserve">  </w:t>
      </w:r>
      <w:r w:rsidR="007F7D7B" w:rsidRPr="00390D39">
        <w:t>One party, General Communication, Inc. (GCI),</w:t>
      </w:r>
      <w:r w:rsidR="004A20E9" w:rsidRPr="00390D39">
        <w:t xml:space="preserve"> filed comments</w:t>
      </w:r>
      <w:r w:rsidR="00884A11" w:rsidRPr="00390D39">
        <w:t xml:space="preserve"> and supports the Waiver Request</w:t>
      </w:r>
      <w:r w:rsidR="004A20E9" w:rsidRPr="00390D39">
        <w:t>.</w:t>
      </w:r>
      <w:r w:rsidR="004A20E9" w:rsidRPr="00390D39">
        <w:rPr>
          <w:rStyle w:val="FootnoteReference"/>
        </w:rPr>
        <w:footnoteReference w:id="12"/>
      </w:r>
      <w:r w:rsidR="004120C7" w:rsidRPr="00390D39">
        <w:t xml:space="preserve">  GCI</w:t>
      </w:r>
      <w:r w:rsidR="00884A11" w:rsidRPr="00390D39">
        <w:t xml:space="preserve"> </w:t>
      </w:r>
      <w:r w:rsidR="004120C7" w:rsidRPr="00390D39">
        <w:t>stat</w:t>
      </w:r>
      <w:r w:rsidR="00884A11" w:rsidRPr="00390D39">
        <w:t>es</w:t>
      </w:r>
      <w:r w:rsidR="004120C7" w:rsidRPr="00390D39">
        <w:t xml:space="preserve"> that rigid application of geographic </w:t>
      </w:r>
      <w:r w:rsidR="004D170F" w:rsidRPr="00390D39">
        <w:t xml:space="preserve">construction </w:t>
      </w:r>
      <w:r w:rsidR="004120C7" w:rsidRPr="00390D39">
        <w:t>requirements to th</w:t>
      </w:r>
      <w:r w:rsidR="004D170F" w:rsidRPr="00390D39">
        <w:t>e</w:t>
      </w:r>
      <w:r w:rsidR="004120C7" w:rsidRPr="00390D39">
        <w:t xml:space="preserve"> License would be counterproductive, </w:t>
      </w:r>
      <w:r w:rsidR="00884A11" w:rsidRPr="00390D39">
        <w:t xml:space="preserve">because portions of the License area </w:t>
      </w:r>
      <w:r w:rsidR="00C60957" w:rsidRPr="00390D39">
        <w:t xml:space="preserve">that </w:t>
      </w:r>
      <w:r w:rsidR="00884A11" w:rsidRPr="00390D39">
        <w:t xml:space="preserve">remain unserved by AT&amp;T as of June 13, 2017, would be returned to the </w:t>
      </w:r>
      <w:r w:rsidR="004D170F" w:rsidRPr="00390D39">
        <w:t xml:space="preserve">Commission </w:t>
      </w:r>
      <w:r w:rsidR="00C60957" w:rsidRPr="00390D39">
        <w:t>under Section 27.14(g)(2</w:t>
      </w:r>
      <w:r w:rsidR="000E260F" w:rsidRPr="00390D39">
        <w:t>)</w:t>
      </w:r>
      <w:r w:rsidR="00C60957" w:rsidRPr="00390D39">
        <w:t xml:space="preserve"> </w:t>
      </w:r>
      <w:r w:rsidR="00884A11" w:rsidRPr="00390D39">
        <w:t xml:space="preserve">and </w:t>
      </w:r>
      <w:r w:rsidR="00C60957" w:rsidRPr="00390D39">
        <w:t>likely</w:t>
      </w:r>
      <w:r w:rsidR="00234FFA" w:rsidRPr="00390D39">
        <w:t xml:space="preserve"> </w:t>
      </w:r>
      <w:r w:rsidR="00884A11" w:rsidRPr="00390D39">
        <w:t xml:space="preserve">continue to be </w:t>
      </w:r>
      <w:r w:rsidR="00C60957" w:rsidRPr="00390D39">
        <w:t>un</w:t>
      </w:r>
      <w:r w:rsidR="004D170F" w:rsidRPr="00390D39">
        <w:t>der</w:t>
      </w:r>
      <w:r w:rsidR="00C60957" w:rsidRPr="00390D39">
        <w:t>served.</w:t>
      </w:r>
      <w:r w:rsidR="00C60957" w:rsidRPr="00390D39">
        <w:rPr>
          <w:rStyle w:val="FootnoteReference"/>
        </w:rPr>
        <w:footnoteReference w:id="13"/>
      </w:r>
    </w:p>
    <w:p w14:paraId="127F0B63" w14:textId="77777777" w:rsidR="00D260C1" w:rsidRPr="00390D39" w:rsidRDefault="00D260C1" w:rsidP="00F01C5C">
      <w:pPr>
        <w:pStyle w:val="ParaNum"/>
        <w:numPr>
          <w:ilvl w:val="0"/>
          <w:numId w:val="0"/>
        </w:numPr>
        <w:ind w:firstLine="720"/>
      </w:pPr>
    </w:p>
    <w:p w14:paraId="33131BE8" w14:textId="58BE9426" w:rsidR="00422493" w:rsidRPr="00390D39" w:rsidRDefault="004A20E9" w:rsidP="00F01C5C">
      <w:pPr>
        <w:pStyle w:val="ParaNum"/>
        <w:numPr>
          <w:ilvl w:val="0"/>
          <w:numId w:val="0"/>
        </w:numPr>
        <w:ind w:firstLine="720"/>
      </w:pPr>
      <w:r w:rsidRPr="00390D39">
        <w:t>O</w:t>
      </w:r>
      <w:r w:rsidR="001D57F5" w:rsidRPr="00390D39">
        <w:t xml:space="preserve">n </w:t>
      </w:r>
      <w:r w:rsidR="00B054AB" w:rsidRPr="00390D39">
        <w:t>December 2</w:t>
      </w:r>
      <w:r w:rsidR="004C0A8A" w:rsidRPr="00390D39">
        <w:t xml:space="preserve"> and </w:t>
      </w:r>
      <w:r w:rsidR="005263D3" w:rsidRPr="00390D39">
        <w:t xml:space="preserve">December </w:t>
      </w:r>
      <w:r w:rsidR="004C0A8A" w:rsidRPr="00390D39">
        <w:t>22</w:t>
      </w:r>
      <w:r w:rsidR="00B054AB" w:rsidRPr="00390D39">
        <w:t>, 2016, AT&amp;T</w:t>
      </w:r>
      <w:r w:rsidR="004D170F" w:rsidRPr="00390D39">
        <w:t xml:space="preserve"> supplemented </w:t>
      </w:r>
      <w:r w:rsidR="00B054AB" w:rsidRPr="00390D39">
        <w:t xml:space="preserve">its </w:t>
      </w:r>
      <w:r w:rsidR="004D170F" w:rsidRPr="00390D39">
        <w:t>Waiver Request</w:t>
      </w:r>
      <w:r w:rsidR="009A4FB4" w:rsidRPr="00390D39">
        <w:t>,</w:t>
      </w:r>
      <w:r w:rsidR="008F0181" w:rsidRPr="00390D39">
        <w:t xml:space="preserve"> </w:t>
      </w:r>
      <w:r w:rsidR="00DC0140" w:rsidRPr="00390D39">
        <w:t xml:space="preserve">and </w:t>
      </w:r>
      <w:r w:rsidR="00B054AB" w:rsidRPr="00390D39">
        <w:t>propos</w:t>
      </w:r>
      <w:r w:rsidR="00DC0140" w:rsidRPr="00390D39">
        <w:t>ed</w:t>
      </w:r>
      <w:r w:rsidR="00B054AB" w:rsidRPr="00390D39">
        <w:t xml:space="preserve"> </w:t>
      </w:r>
      <w:r w:rsidR="00DC0140" w:rsidRPr="00390D39">
        <w:t xml:space="preserve">to satisfy </w:t>
      </w:r>
      <w:r w:rsidR="00335BE8" w:rsidRPr="00390D39">
        <w:t xml:space="preserve">the following </w:t>
      </w:r>
      <w:r w:rsidR="004D170F" w:rsidRPr="00390D39">
        <w:t>more stringent</w:t>
      </w:r>
      <w:r w:rsidR="00335BE8" w:rsidRPr="00390D39">
        <w:t>,</w:t>
      </w:r>
      <w:r w:rsidR="004D170F" w:rsidRPr="00390D39">
        <w:t xml:space="preserve"> </w:t>
      </w:r>
      <w:r w:rsidR="00B054AB" w:rsidRPr="00390D39">
        <w:t xml:space="preserve">population-based construction </w:t>
      </w:r>
      <w:r w:rsidR="00204C1A" w:rsidRPr="00390D39">
        <w:t>benchmarks</w:t>
      </w:r>
      <w:r w:rsidR="004442B2" w:rsidRPr="00390D39">
        <w:t>:</w:t>
      </w:r>
    </w:p>
    <w:p w14:paraId="2EE4867E" w14:textId="77777777" w:rsidR="00D260C1" w:rsidRPr="00390D39" w:rsidRDefault="00D260C1" w:rsidP="00F01C5C">
      <w:pPr>
        <w:pStyle w:val="ParaNum"/>
        <w:numPr>
          <w:ilvl w:val="0"/>
          <w:numId w:val="0"/>
        </w:numPr>
        <w:ind w:firstLine="720"/>
      </w:pPr>
    </w:p>
    <w:p w14:paraId="749BB5CB" w14:textId="71C6C140" w:rsidR="00936F2B" w:rsidRPr="00390D39" w:rsidRDefault="00936F2B" w:rsidP="00D260C1">
      <w:pPr>
        <w:pStyle w:val="ListParagraph"/>
        <w:numPr>
          <w:ilvl w:val="0"/>
          <w:numId w:val="18"/>
        </w:numPr>
        <w:ind w:left="1170" w:hanging="450"/>
        <w:rPr>
          <w:szCs w:val="22"/>
        </w:rPr>
      </w:pPr>
      <w:r w:rsidRPr="00390D39">
        <w:rPr>
          <w:szCs w:val="22"/>
        </w:rPr>
        <w:t xml:space="preserve">By </w:t>
      </w:r>
      <w:r w:rsidR="00457ED7" w:rsidRPr="00390D39">
        <w:rPr>
          <w:szCs w:val="22"/>
        </w:rPr>
        <w:t>December 13, 2016</w:t>
      </w:r>
      <w:r w:rsidRPr="00390D39">
        <w:rPr>
          <w:szCs w:val="22"/>
        </w:rPr>
        <w:t xml:space="preserve">, provide coverage and offer service </w:t>
      </w:r>
      <w:r w:rsidR="00276B56" w:rsidRPr="00390D39">
        <w:rPr>
          <w:szCs w:val="22"/>
        </w:rPr>
        <w:t xml:space="preserve">to </w:t>
      </w:r>
      <w:r w:rsidR="005823F8" w:rsidRPr="00390D39">
        <w:rPr>
          <w:szCs w:val="22"/>
        </w:rPr>
        <w:t>at least</w:t>
      </w:r>
      <w:r w:rsidRPr="00390D39">
        <w:rPr>
          <w:szCs w:val="22"/>
        </w:rPr>
        <w:t xml:space="preserve"> 70 percent of </w:t>
      </w:r>
      <w:r w:rsidR="005823F8" w:rsidRPr="00390D39">
        <w:rPr>
          <w:szCs w:val="22"/>
        </w:rPr>
        <w:t xml:space="preserve">CMA315’s </w:t>
      </w:r>
      <w:r w:rsidRPr="00390D39">
        <w:rPr>
          <w:szCs w:val="22"/>
        </w:rPr>
        <w:t>population.  Failure to meet this benchmark w</w:t>
      </w:r>
      <w:r w:rsidR="00276B56" w:rsidRPr="00390D39">
        <w:rPr>
          <w:szCs w:val="22"/>
        </w:rPr>
        <w:t>ould result in a two</w:t>
      </w:r>
      <w:r w:rsidR="00E14E70" w:rsidRPr="00390D39">
        <w:rPr>
          <w:szCs w:val="22"/>
        </w:rPr>
        <w:t>-</w:t>
      </w:r>
      <w:r w:rsidR="00276B56" w:rsidRPr="00390D39">
        <w:rPr>
          <w:szCs w:val="22"/>
        </w:rPr>
        <w:t>year reduction of</w:t>
      </w:r>
      <w:r w:rsidR="0048605C" w:rsidRPr="00390D39">
        <w:rPr>
          <w:szCs w:val="22"/>
        </w:rPr>
        <w:t xml:space="preserve"> the license term, accelerating the </w:t>
      </w:r>
      <w:r w:rsidR="005D44EB" w:rsidRPr="00390D39">
        <w:rPr>
          <w:szCs w:val="22"/>
        </w:rPr>
        <w:t>Final Construction Requirement</w:t>
      </w:r>
      <w:r w:rsidR="0048605C" w:rsidRPr="00390D39">
        <w:rPr>
          <w:szCs w:val="22"/>
        </w:rPr>
        <w:t xml:space="preserve"> to June 13, 2017</w:t>
      </w:r>
      <w:r w:rsidRPr="00390D39">
        <w:rPr>
          <w:szCs w:val="22"/>
        </w:rPr>
        <w:t>.</w:t>
      </w:r>
      <w:r w:rsidR="00A77496" w:rsidRPr="00390D39">
        <w:rPr>
          <w:rStyle w:val="FootnoteReference"/>
          <w:szCs w:val="22"/>
        </w:rPr>
        <w:footnoteReference w:id="14"/>
      </w:r>
    </w:p>
    <w:p w14:paraId="70F0AE75" w14:textId="77777777" w:rsidR="00E03C31" w:rsidRPr="00390D39" w:rsidRDefault="00E03C31" w:rsidP="000E64F5">
      <w:pPr>
        <w:pStyle w:val="ListParagraph"/>
        <w:ind w:left="1170"/>
        <w:rPr>
          <w:szCs w:val="22"/>
        </w:rPr>
      </w:pPr>
    </w:p>
    <w:p w14:paraId="5E9074DB" w14:textId="19E4B976" w:rsidR="00E03C31" w:rsidRPr="00390D39" w:rsidRDefault="00E03C31" w:rsidP="00D260C1">
      <w:pPr>
        <w:pStyle w:val="ListParagraph"/>
        <w:numPr>
          <w:ilvl w:val="0"/>
          <w:numId w:val="18"/>
        </w:numPr>
        <w:ind w:left="1170" w:hanging="450"/>
        <w:rPr>
          <w:szCs w:val="22"/>
        </w:rPr>
      </w:pPr>
      <w:r w:rsidRPr="00390D39">
        <w:rPr>
          <w:szCs w:val="22"/>
        </w:rPr>
        <w:t>By June 13, 2019, provide coverage and offer service to at least 75 percent of CMA315’s population.</w:t>
      </w:r>
      <w:r w:rsidRPr="00390D39">
        <w:rPr>
          <w:rStyle w:val="FootnoteReference"/>
          <w:szCs w:val="22"/>
        </w:rPr>
        <w:footnoteReference w:id="15"/>
      </w:r>
      <w:r w:rsidR="009C64E5" w:rsidRPr="00390D39">
        <w:rPr>
          <w:szCs w:val="22"/>
        </w:rPr>
        <w:t xml:space="preserve">  Failure to meet this benchmark would result in the automatic termination of any portions of CMA315 where AT&amp;T was not providing service by June 13, 2017.</w:t>
      </w:r>
      <w:r w:rsidR="009C64E5" w:rsidRPr="00390D39">
        <w:rPr>
          <w:rStyle w:val="FootnoteReference"/>
          <w:szCs w:val="22"/>
        </w:rPr>
        <w:footnoteReference w:id="16"/>
      </w:r>
    </w:p>
    <w:p w14:paraId="0DA7A217" w14:textId="77777777" w:rsidR="00F03D94" w:rsidRPr="00390D39" w:rsidRDefault="00F03D94" w:rsidP="00F03D94">
      <w:pPr>
        <w:pStyle w:val="ListParagraph"/>
        <w:ind w:left="1170"/>
        <w:rPr>
          <w:szCs w:val="22"/>
        </w:rPr>
      </w:pPr>
    </w:p>
    <w:p w14:paraId="61C11836" w14:textId="6869FC18" w:rsidR="000E51AC" w:rsidRPr="00390D39" w:rsidRDefault="00936F2B" w:rsidP="00D260C1">
      <w:pPr>
        <w:pStyle w:val="ListParagraph"/>
        <w:numPr>
          <w:ilvl w:val="0"/>
          <w:numId w:val="18"/>
        </w:numPr>
        <w:ind w:left="1170" w:hanging="450"/>
        <w:rPr>
          <w:szCs w:val="22"/>
        </w:rPr>
      </w:pPr>
      <w:r w:rsidRPr="00390D39">
        <w:rPr>
          <w:szCs w:val="22"/>
        </w:rPr>
        <w:t>B</w:t>
      </w:r>
      <w:r w:rsidR="00457ED7" w:rsidRPr="00390D39">
        <w:rPr>
          <w:szCs w:val="22"/>
        </w:rPr>
        <w:t xml:space="preserve">y June 13, </w:t>
      </w:r>
      <w:r w:rsidR="00E014C5" w:rsidRPr="00390D39">
        <w:rPr>
          <w:szCs w:val="22"/>
        </w:rPr>
        <w:t>2020</w:t>
      </w:r>
      <w:r w:rsidRPr="00390D39">
        <w:rPr>
          <w:szCs w:val="22"/>
        </w:rPr>
        <w:t>, provide coverage and offer</w:t>
      </w:r>
      <w:r w:rsidR="00A77496" w:rsidRPr="00390D39">
        <w:rPr>
          <w:szCs w:val="22"/>
        </w:rPr>
        <w:t xml:space="preserve"> </w:t>
      </w:r>
      <w:r w:rsidRPr="00390D39">
        <w:rPr>
          <w:szCs w:val="22"/>
        </w:rPr>
        <w:t xml:space="preserve">service </w:t>
      </w:r>
      <w:r w:rsidR="0048605C" w:rsidRPr="00390D39">
        <w:rPr>
          <w:szCs w:val="22"/>
        </w:rPr>
        <w:t xml:space="preserve">to </w:t>
      </w:r>
      <w:r w:rsidR="005823F8" w:rsidRPr="00390D39">
        <w:rPr>
          <w:szCs w:val="22"/>
        </w:rPr>
        <w:t xml:space="preserve">at least </w:t>
      </w:r>
      <w:r w:rsidRPr="00390D39">
        <w:rPr>
          <w:szCs w:val="22"/>
        </w:rPr>
        <w:t>80</w:t>
      </w:r>
      <w:r w:rsidR="00A77496" w:rsidRPr="00390D39">
        <w:rPr>
          <w:szCs w:val="22"/>
        </w:rPr>
        <w:t xml:space="preserve"> percent</w:t>
      </w:r>
      <w:r w:rsidRPr="00390D39">
        <w:rPr>
          <w:szCs w:val="22"/>
        </w:rPr>
        <w:t xml:space="preserve"> of </w:t>
      </w:r>
      <w:r w:rsidR="005823F8" w:rsidRPr="00390D39">
        <w:rPr>
          <w:szCs w:val="22"/>
        </w:rPr>
        <w:t>CMA315’s population</w:t>
      </w:r>
      <w:r w:rsidR="00A678A3" w:rsidRPr="00390D39">
        <w:rPr>
          <w:szCs w:val="22"/>
        </w:rPr>
        <w:t>.</w:t>
      </w:r>
      <w:r w:rsidR="00B76BC9" w:rsidRPr="00390D39">
        <w:rPr>
          <w:rStyle w:val="FootnoteReference"/>
          <w:szCs w:val="22"/>
        </w:rPr>
        <w:footnoteReference w:id="17"/>
      </w:r>
      <w:r w:rsidR="00A678A3" w:rsidRPr="00390D39">
        <w:rPr>
          <w:szCs w:val="22"/>
        </w:rPr>
        <w:t xml:space="preserve">  </w:t>
      </w:r>
      <w:r w:rsidR="005823F8" w:rsidRPr="00390D39">
        <w:rPr>
          <w:szCs w:val="22"/>
        </w:rPr>
        <w:t xml:space="preserve">Failure </w:t>
      </w:r>
      <w:r w:rsidR="00B7662D" w:rsidRPr="00390D39">
        <w:rPr>
          <w:szCs w:val="22"/>
        </w:rPr>
        <w:t xml:space="preserve">to </w:t>
      </w:r>
      <w:r w:rsidR="00884A11" w:rsidRPr="00390D39">
        <w:rPr>
          <w:szCs w:val="22"/>
        </w:rPr>
        <w:t>meet this benchmark</w:t>
      </w:r>
      <w:r w:rsidR="005823F8" w:rsidRPr="00390D39">
        <w:rPr>
          <w:szCs w:val="22"/>
        </w:rPr>
        <w:t xml:space="preserve"> would result in the </w:t>
      </w:r>
      <w:r w:rsidR="00B7662D" w:rsidRPr="00390D39">
        <w:rPr>
          <w:szCs w:val="22"/>
        </w:rPr>
        <w:t>automatic terminat</w:t>
      </w:r>
      <w:r w:rsidR="005823F8" w:rsidRPr="00390D39">
        <w:rPr>
          <w:szCs w:val="22"/>
        </w:rPr>
        <w:t xml:space="preserve">ion of any </w:t>
      </w:r>
      <w:r w:rsidR="00B7662D" w:rsidRPr="00390D39">
        <w:rPr>
          <w:szCs w:val="22"/>
        </w:rPr>
        <w:t xml:space="preserve">portions of </w:t>
      </w:r>
      <w:r w:rsidR="00F911F4" w:rsidRPr="00390D39">
        <w:rPr>
          <w:szCs w:val="22"/>
        </w:rPr>
        <w:t xml:space="preserve">CMA315 </w:t>
      </w:r>
      <w:r w:rsidR="0048605C" w:rsidRPr="00390D39">
        <w:rPr>
          <w:szCs w:val="22"/>
        </w:rPr>
        <w:t xml:space="preserve">where </w:t>
      </w:r>
      <w:r w:rsidR="00F911F4" w:rsidRPr="00390D39">
        <w:rPr>
          <w:szCs w:val="22"/>
        </w:rPr>
        <w:t>AT&amp;T</w:t>
      </w:r>
      <w:r w:rsidR="00B7662D" w:rsidRPr="00390D39">
        <w:rPr>
          <w:szCs w:val="22"/>
        </w:rPr>
        <w:t xml:space="preserve"> was not providing service by June 13, 2017.</w:t>
      </w:r>
      <w:r w:rsidR="00A7514D" w:rsidRPr="00390D39">
        <w:rPr>
          <w:rStyle w:val="FootnoteReference"/>
          <w:szCs w:val="22"/>
        </w:rPr>
        <w:footnoteReference w:id="18"/>
      </w:r>
    </w:p>
    <w:p w14:paraId="21F01968" w14:textId="77777777" w:rsidR="00F03D94" w:rsidRPr="00390D39" w:rsidRDefault="00F03D94" w:rsidP="00F03D94">
      <w:pPr>
        <w:pStyle w:val="ListParagraph"/>
        <w:ind w:left="1170"/>
        <w:rPr>
          <w:szCs w:val="22"/>
        </w:rPr>
      </w:pPr>
    </w:p>
    <w:p w14:paraId="0B05B970" w14:textId="150ED337" w:rsidR="00936F2B" w:rsidRPr="00390D39" w:rsidRDefault="00A678A3" w:rsidP="00FB3F0D">
      <w:pPr>
        <w:pStyle w:val="ParaNum"/>
        <w:numPr>
          <w:ilvl w:val="0"/>
          <w:numId w:val="0"/>
        </w:numPr>
        <w:ind w:firstLine="720"/>
      </w:pPr>
      <w:r w:rsidRPr="00390D39">
        <w:t xml:space="preserve">AT&amp;T </w:t>
      </w:r>
      <w:r w:rsidR="005823F8" w:rsidRPr="00390D39">
        <w:t xml:space="preserve">also committed to </w:t>
      </w:r>
      <w:r w:rsidRPr="00390D39">
        <w:t>maintain</w:t>
      </w:r>
      <w:r w:rsidR="005823F8" w:rsidRPr="00390D39">
        <w:t>ing</w:t>
      </w:r>
      <w:r w:rsidRPr="00390D39">
        <w:t xml:space="preserve"> coverage and service </w:t>
      </w:r>
      <w:r w:rsidR="0048605C" w:rsidRPr="00390D39">
        <w:t xml:space="preserve">to </w:t>
      </w:r>
      <w:r w:rsidR="005823F8" w:rsidRPr="00390D39">
        <w:t xml:space="preserve">at least </w:t>
      </w:r>
      <w:r w:rsidRPr="00390D39">
        <w:t>80 percent of CMA315</w:t>
      </w:r>
      <w:r w:rsidR="005823F8" w:rsidRPr="00390D39">
        <w:t>’s population</w:t>
      </w:r>
      <w:r w:rsidRPr="00390D39">
        <w:t xml:space="preserve"> for five years </w:t>
      </w:r>
      <w:r w:rsidR="0048605C" w:rsidRPr="00390D39">
        <w:t xml:space="preserve">from the </w:t>
      </w:r>
      <w:r w:rsidR="00382558" w:rsidRPr="00390D39">
        <w:t xml:space="preserve">proposed </w:t>
      </w:r>
      <w:r w:rsidR="0048605C" w:rsidRPr="00390D39">
        <w:t xml:space="preserve">June 13, </w:t>
      </w:r>
      <w:r w:rsidR="00884D8C" w:rsidRPr="00390D39">
        <w:t>2020</w:t>
      </w:r>
      <w:r w:rsidR="000C6D41" w:rsidRPr="00390D39">
        <w:t>,</w:t>
      </w:r>
      <w:r w:rsidRPr="00390D39">
        <w:t xml:space="preserve"> </w:t>
      </w:r>
      <w:r w:rsidR="009A4FB4" w:rsidRPr="00390D39">
        <w:t>benchmark</w:t>
      </w:r>
      <w:r w:rsidRPr="00390D39">
        <w:t xml:space="preserve"> (</w:t>
      </w:r>
      <w:r w:rsidRPr="00390D39">
        <w:rPr>
          <w:i/>
        </w:rPr>
        <w:t>i.e.</w:t>
      </w:r>
      <w:r w:rsidRPr="00390D39">
        <w:t xml:space="preserve">, through June 13, </w:t>
      </w:r>
      <w:r w:rsidR="00884D8C" w:rsidRPr="00390D39">
        <w:t>2025</w:t>
      </w:r>
      <w:r w:rsidRPr="00390D39">
        <w:t>).</w:t>
      </w:r>
      <w:r w:rsidR="00BB7408" w:rsidRPr="00390D39">
        <w:rPr>
          <w:rStyle w:val="FootnoteReference"/>
        </w:rPr>
        <w:footnoteReference w:id="19"/>
      </w:r>
      <w:r w:rsidR="0048605C" w:rsidRPr="00390D39">
        <w:t xml:space="preserve">  </w:t>
      </w:r>
      <w:r w:rsidR="0040794F" w:rsidRPr="00390D39">
        <w:t xml:space="preserve">AT&amp;T </w:t>
      </w:r>
      <w:r w:rsidR="009A07B6" w:rsidRPr="00390D39">
        <w:t xml:space="preserve">proposed </w:t>
      </w:r>
      <w:r w:rsidR="0040794F" w:rsidRPr="00390D39">
        <w:t>that if it</w:t>
      </w:r>
      <w:r w:rsidR="0048605C" w:rsidRPr="00390D39">
        <w:t xml:space="preserve"> fails to maintain coverage during the </w:t>
      </w:r>
      <w:r w:rsidR="000C6D41" w:rsidRPr="00390D39">
        <w:t>five</w:t>
      </w:r>
      <w:r w:rsidR="0048605C" w:rsidRPr="00390D39">
        <w:t>-year period for a reason that is not beyond its control, its authorization would automatically terminate for those geographic portions of CMA315 where AT&amp;T was not providing service by June 13, 2017</w:t>
      </w:r>
      <w:r w:rsidR="000C6D41" w:rsidRPr="00390D39">
        <w:t>.</w:t>
      </w:r>
      <w:r w:rsidR="00B21536" w:rsidRPr="00390D39">
        <w:rPr>
          <w:rStyle w:val="FootnoteReference"/>
        </w:rPr>
        <w:footnoteReference w:id="20"/>
      </w:r>
      <w:r w:rsidR="0048605C" w:rsidRPr="00390D39">
        <w:t xml:space="preserve">  </w:t>
      </w:r>
      <w:r w:rsidR="0040794F" w:rsidRPr="00390D39">
        <w:t>AT&amp;T further stated that d</w:t>
      </w:r>
      <w:r w:rsidR="00A77496" w:rsidRPr="00390D39">
        <w:t xml:space="preserve">uring any renewal term, </w:t>
      </w:r>
      <w:r w:rsidR="00250D5E" w:rsidRPr="00390D39">
        <w:t xml:space="preserve">it </w:t>
      </w:r>
      <w:r w:rsidR="00A77496" w:rsidRPr="00390D39">
        <w:t>w</w:t>
      </w:r>
      <w:r w:rsidR="00842EE3" w:rsidRPr="00390D39">
        <w:t xml:space="preserve">ould </w:t>
      </w:r>
      <w:r w:rsidR="00A77496" w:rsidRPr="00390D39">
        <w:t>negotiate in good faith with any third party seeking</w:t>
      </w:r>
      <w:r w:rsidR="00A7514D" w:rsidRPr="00390D39">
        <w:t xml:space="preserve"> </w:t>
      </w:r>
      <w:r w:rsidR="00A77496" w:rsidRPr="00390D39">
        <w:t xml:space="preserve">to lease spectrum </w:t>
      </w:r>
      <w:r w:rsidR="00304BC9" w:rsidRPr="00390D39">
        <w:t>in an area not served by AT&amp;T</w:t>
      </w:r>
      <w:r w:rsidR="00A77496" w:rsidRPr="00390D39">
        <w:t>.</w:t>
      </w:r>
      <w:r w:rsidR="00A7514D" w:rsidRPr="00390D39">
        <w:rPr>
          <w:rStyle w:val="FootnoteReference"/>
        </w:rPr>
        <w:footnoteReference w:id="21"/>
      </w:r>
    </w:p>
    <w:p w14:paraId="676A5E98" w14:textId="77777777" w:rsidR="001B670F" w:rsidRPr="00390D39" w:rsidRDefault="001B670F" w:rsidP="00FB3F0D">
      <w:pPr>
        <w:pStyle w:val="ParaNum"/>
        <w:numPr>
          <w:ilvl w:val="0"/>
          <w:numId w:val="0"/>
        </w:numPr>
        <w:ind w:firstLine="720"/>
      </w:pPr>
    </w:p>
    <w:p w14:paraId="02A3165E" w14:textId="46B68F05" w:rsidR="00106EC4" w:rsidRPr="00390D39" w:rsidRDefault="001B670F" w:rsidP="00390D39">
      <w:pPr>
        <w:autoSpaceDE w:val="0"/>
        <w:autoSpaceDN w:val="0"/>
        <w:adjustRightInd w:val="0"/>
        <w:ind w:firstLine="720"/>
        <w:rPr>
          <w:sz w:val="22"/>
          <w:szCs w:val="22"/>
        </w:rPr>
      </w:pPr>
      <w:r w:rsidRPr="00390D39">
        <w:rPr>
          <w:sz w:val="22"/>
          <w:szCs w:val="22"/>
        </w:rPr>
        <w:t xml:space="preserve">On January 3, 2017, </w:t>
      </w:r>
      <w:r w:rsidR="00306BFD" w:rsidRPr="00390D39">
        <w:rPr>
          <w:sz w:val="22"/>
          <w:szCs w:val="22"/>
        </w:rPr>
        <w:t xml:space="preserve">the </w:t>
      </w:r>
      <w:r w:rsidRPr="00390D39">
        <w:rPr>
          <w:sz w:val="22"/>
          <w:szCs w:val="22"/>
        </w:rPr>
        <w:t xml:space="preserve">Rural Wireless Association, Inc. (RWA) filed </w:t>
      </w:r>
      <w:r w:rsidR="00816137" w:rsidRPr="00390D39">
        <w:rPr>
          <w:sz w:val="22"/>
          <w:szCs w:val="22"/>
        </w:rPr>
        <w:t xml:space="preserve">an identical </w:t>
      </w:r>
      <w:r w:rsidR="00306BFD" w:rsidRPr="00390D39">
        <w:rPr>
          <w:sz w:val="22"/>
          <w:szCs w:val="22"/>
        </w:rPr>
        <w:t>pleading</w:t>
      </w:r>
      <w:r w:rsidRPr="00390D39">
        <w:rPr>
          <w:sz w:val="22"/>
          <w:szCs w:val="22"/>
        </w:rPr>
        <w:t xml:space="preserve"> </w:t>
      </w:r>
      <w:r w:rsidR="00306BFD" w:rsidRPr="00390D39">
        <w:rPr>
          <w:sz w:val="22"/>
          <w:szCs w:val="22"/>
        </w:rPr>
        <w:t>in WT Docket</w:t>
      </w:r>
      <w:r w:rsidR="00816137" w:rsidRPr="00390D39">
        <w:rPr>
          <w:sz w:val="22"/>
          <w:szCs w:val="22"/>
        </w:rPr>
        <w:t xml:space="preserve"> No</w:t>
      </w:r>
      <w:r w:rsidR="00D047CF" w:rsidRPr="00390D39">
        <w:rPr>
          <w:sz w:val="22"/>
          <w:szCs w:val="22"/>
        </w:rPr>
        <w:t>s</w:t>
      </w:r>
      <w:r w:rsidR="00816137" w:rsidRPr="00390D39">
        <w:rPr>
          <w:sz w:val="22"/>
          <w:szCs w:val="22"/>
        </w:rPr>
        <w:t>.</w:t>
      </w:r>
      <w:r w:rsidR="00306BFD" w:rsidRPr="00390D39">
        <w:rPr>
          <w:sz w:val="22"/>
          <w:szCs w:val="22"/>
        </w:rPr>
        <w:t xml:space="preserve"> 16-335 and </w:t>
      </w:r>
      <w:r w:rsidR="00816137" w:rsidRPr="00390D39">
        <w:rPr>
          <w:sz w:val="22"/>
          <w:szCs w:val="22"/>
        </w:rPr>
        <w:t>16-402</w:t>
      </w:r>
      <w:r w:rsidR="00F85C28" w:rsidRPr="00390D39">
        <w:rPr>
          <w:sz w:val="22"/>
          <w:szCs w:val="22"/>
        </w:rPr>
        <w:t>.</w:t>
      </w:r>
      <w:r w:rsidR="0086150F" w:rsidRPr="00390D39">
        <w:rPr>
          <w:rStyle w:val="FootnoteReference"/>
          <w:sz w:val="22"/>
          <w:szCs w:val="22"/>
        </w:rPr>
        <w:footnoteReference w:id="22"/>
      </w:r>
      <w:r w:rsidR="00F85C28" w:rsidRPr="00390D39">
        <w:rPr>
          <w:sz w:val="22"/>
          <w:szCs w:val="22"/>
        </w:rPr>
        <w:t xml:space="preserve">  </w:t>
      </w:r>
      <w:r w:rsidR="00D2347F" w:rsidRPr="00390D39">
        <w:rPr>
          <w:sz w:val="22"/>
          <w:szCs w:val="22"/>
        </w:rPr>
        <w:t xml:space="preserve">While its arguments </w:t>
      </w:r>
      <w:r w:rsidR="00F85C28" w:rsidRPr="00390D39">
        <w:rPr>
          <w:sz w:val="22"/>
          <w:szCs w:val="22"/>
        </w:rPr>
        <w:t xml:space="preserve">specifically address </w:t>
      </w:r>
      <w:r w:rsidR="00D2347F" w:rsidRPr="00390D39">
        <w:rPr>
          <w:sz w:val="22"/>
          <w:szCs w:val="22"/>
        </w:rPr>
        <w:t xml:space="preserve">elements of </w:t>
      </w:r>
      <w:r w:rsidR="0086150F" w:rsidRPr="00390D39">
        <w:rPr>
          <w:sz w:val="22"/>
          <w:szCs w:val="22"/>
        </w:rPr>
        <w:t xml:space="preserve">the </w:t>
      </w:r>
      <w:r w:rsidR="00F85C28" w:rsidRPr="00390D39">
        <w:rPr>
          <w:sz w:val="22"/>
          <w:szCs w:val="22"/>
        </w:rPr>
        <w:t xml:space="preserve">GCI </w:t>
      </w:r>
      <w:r w:rsidR="00D047CF" w:rsidRPr="00390D39">
        <w:rPr>
          <w:sz w:val="22"/>
          <w:szCs w:val="22"/>
        </w:rPr>
        <w:t>w</w:t>
      </w:r>
      <w:r w:rsidR="00F85C28" w:rsidRPr="00390D39">
        <w:rPr>
          <w:sz w:val="22"/>
          <w:szCs w:val="22"/>
        </w:rPr>
        <w:t xml:space="preserve">aiver </w:t>
      </w:r>
      <w:r w:rsidR="00D047CF" w:rsidRPr="00390D39">
        <w:rPr>
          <w:sz w:val="22"/>
          <w:szCs w:val="22"/>
        </w:rPr>
        <w:t>r</w:t>
      </w:r>
      <w:r w:rsidR="00F85C28" w:rsidRPr="00390D39">
        <w:rPr>
          <w:sz w:val="22"/>
          <w:szCs w:val="22"/>
        </w:rPr>
        <w:t>equest,</w:t>
      </w:r>
      <w:r w:rsidRPr="00390D39">
        <w:rPr>
          <w:sz w:val="22"/>
          <w:szCs w:val="22"/>
        </w:rPr>
        <w:t xml:space="preserve"> </w:t>
      </w:r>
      <w:r w:rsidR="00F85C28" w:rsidRPr="00390D39">
        <w:rPr>
          <w:sz w:val="22"/>
          <w:szCs w:val="22"/>
        </w:rPr>
        <w:t>RWA states</w:t>
      </w:r>
      <w:r w:rsidRPr="00390D39">
        <w:rPr>
          <w:sz w:val="22"/>
          <w:szCs w:val="22"/>
        </w:rPr>
        <w:t xml:space="preserve"> that</w:t>
      </w:r>
      <w:r w:rsidR="0086150F" w:rsidRPr="00390D39">
        <w:rPr>
          <w:sz w:val="22"/>
          <w:szCs w:val="22"/>
        </w:rPr>
        <w:t xml:space="preserve"> “the same justifications exist for denying the AT&amp;T Waive</w:t>
      </w:r>
      <w:r w:rsidR="00D047CF" w:rsidRPr="00390D39">
        <w:rPr>
          <w:sz w:val="22"/>
          <w:szCs w:val="22"/>
        </w:rPr>
        <w:t>r as exist for denying the GCI [w]</w:t>
      </w:r>
      <w:r w:rsidR="0086150F" w:rsidRPr="00390D39">
        <w:rPr>
          <w:sz w:val="22"/>
          <w:szCs w:val="22"/>
        </w:rPr>
        <w:t xml:space="preserve">aiver. </w:t>
      </w:r>
      <w:r w:rsidR="00D047CF" w:rsidRPr="00390D39">
        <w:rPr>
          <w:sz w:val="22"/>
          <w:szCs w:val="22"/>
        </w:rPr>
        <w:t xml:space="preserve"> </w:t>
      </w:r>
      <w:r w:rsidR="0086150F" w:rsidRPr="00390D39">
        <w:rPr>
          <w:sz w:val="22"/>
          <w:szCs w:val="22"/>
        </w:rPr>
        <w:t>Because both GCI and AT&amp;T are similarly situated each of the waivers of the end-of-term geographic construction benchmarks should be denied and for the reasons discussed in RWA’s instant Comments.”</w:t>
      </w:r>
      <w:r w:rsidRPr="00390D39">
        <w:rPr>
          <w:rStyle w:val="FootnoteReference"/>
          <w:sz w:val="22"/>
          <w:szCs w:val="22"/>
        </w:rPr>
        <w:footnoteReference w:id="23"/>
      </w:r>
      <w:r w:rsidR="00E75BC3" w:rsidRPr="00390D39">
        <w:rPr>
          <w:sz w:val="22"/>
          <w:szCs w:val="22"/>
        </w:rPr>
        <w:t xml:space="preserve">  </w:t>
      </w:r>
      <w:r w:rsidR="006B521D" w:rsidRPr="00390D39">
        <w:rPr>
          <w:sz w:val="22"/>
          <w:szCs w:val="22"/>
        </w:rPr>
        <w:t>In response</w:t>
      </w:r>
      <w:r w:rsidR="00106EC4" w:rsidRPr="00390D39">
        <w:rPr>
          <w:sz w:val="22"/>
          <w:szCs w:val="22"/>
        </w:rPr>
        <w:t xml:space="preserve"> to the RWA Comments</w:t>
      </w:r>
      <w:r w:rsidR="006B521D" w:rsidRPr="00390D39">
        <w:rPr>
          <w:sz w:val="22"/>
          <w:szCs w:val="22"/>
        </w:rPr>
        <w:t>,</w:t>
      </w:r>
      <w:r w:rsidR="00106EC4" w:rsidRPr="00390D39">
        <w:rPr>
          <w:rStyle w:val="FootnoteReference"/>
          <w:sz w:val="22"/>
          <w:szCs w:val="22"/>
        </w:rPr>
        <w:footnoteReference w:id="24"/>
      </w:r>
      <w:r w:rsidR="00106EC4" w:rsidRPr="00390D39">
        <w:rPr>
          <w:sz w:val="22"/>
          <w:szCs w:val="22"/>
        </w:rPr>
        <w:t xml:space="preserve"> </w:t>
      </w:r>
      <w:r w:rsidR="00012D9D" w:rsidRPr="00390D39">
        <w:rPr>
          <w:sz w:val="22"/>
          <w:szCs w:val="22"/>
        </w:rPr>
        <w:t xml:space="preserve">AT&amp;T argues that we should not consider RWA’s </w:t>
      </w:r>
      <w:r w:rsidR="000C72CB">
        <w:rPr>
          <w:sz w:val="22"/>
          <w:szCs w:val="22"/>
        </w:rPr>
        <w:t>c</w:t>
      </w:r>
      <w:r w:rsidR="000C72CB" w:rsidRPr="00390D39">
        <w:rPr>
          <w:sz w:val="22"/>
          <w:szCs w:val="22"/>
        </w:rPr>
        <w:t xml:space="preserve">omments </w:t>
      </w:r>
      <w:r w:rsidR="00012D9D" w:rsidRPr="00390D39">
        <w:rPr>
          <w:sz w:val="22"/>
          <w:szCs w:val="22"/>
        </w:rPr>
        <w:t xml:space="preserve">because </w:t>
      </w:r>
      <w:r w:rsidR="006B521D" w:rsidRPr="00390D39">
        <w:rPr>
          <w:sz w:val="22"/>
          <w:szCs w:val="22"/>
        </w:rPr>
        <w:t xml:space="preserve">they were </w:t>
      </w:r>
      <w:r w:rsidR="00012D9D" w:rsidRPr="00390D39">
        <w:rPr>
          <w:sz w:val="22"/>
          <w:szCs w:val="22"/>
        </w:rPr>
        <w:t>not file</w:t>
      </w:r>
      <w:r w:rsidR="006B521D" w:rsidRPr="00390D39">
        <w:rPr>
          <w:sz w:val="22"/>
          <w:szCs w:val="22"/>
        </w:rPr>
        <w:t>d</w:t>
      </w:r>
      <w:r w:rsidR="00012D9D" w:rsidRPr="00390D39">
        <w:rPr>
          <w:sz w:val="22"/>
          <w:szCs w:val="22"/>
        </w:rPr>
        <w:t xml:space="preserve"> within the comment cycle </w:t>
      </w:r>
      <w:r w:rsidR="006B521D" w:rsidRPr="00390D39">
        <w:rPr>
          <w:sz w:val="22"/>
          <w:szCs w:val="22"/>
        </w:rPr>
        <w:t xml:space="preserve">established </w:t>
      </w:r>
      <w:r w:rsidR="00012D9D" w:rsidRPr="00390D39">
        <w:rPr>
          <w:sz w:val="22"/>
          <w:szCs w:val="22"/>
        </w:rPr>
        <w:t>by the Commission</w:t>
      </w:r>
      <w:r w:rsidR="00C410F2" w:rsidRPr="00390D39">
        <w:rPr>
          <w:sz w:val="22"/>
          <w:szCs w:val="22"/>
        </w:rPr>
        <w:t xml:space="preserve">, </w:t>
      </w:r>
      <w:r w:rsidR="006B521D" w:rsidRPr="00390D39">
        <w:rPr>
          <w:sz w:val="22"/>
          <w:szCs w:val="22"/>
        </w:rPr>
        <w:t xml:space="preserve">and because they fail to address </w:t>
      </w:r>
      <w:r w:rsidR="00C410F2" w:rsidRPr="00390D39">
        <w:rPr>
          <w:sz w:val="22"/>
          <w:szCs w:val="22"/>
        </w:rPr>
        <w:t>the specifics of AT&amp;T’s Waiver Request.</w:t>
      </w:r>
      <w:r w:rsidR="00C410F2" w:rsidRPr="00390D39">
        <w:rPr>
          <w:rStyle w:val="FootnoteReference"/>
          <w:sz w:val="22"/>
          <w:szCs w:val="22"/>
        </w:rPr>
        <w:footnoteReference w:id="25"/>
      </w:r>
      <w:r w:rsidR="004745D7">
        <w:rPr>
          <w:sz w:val="22"/>
          <w:szCs w:val="22"/>
        </w:rPr>
        <w:t xml:space="preserve">  </w:t>
      </w:r>
      <w:r w:rsidR="00B9107D" w:rsidRPr="00390D39">
        <w:rPr>
          <w:sz w:val="22"/>
          <w:szCs w:val="22"/>
        </w:rPr>
        <w:t xml:space="preserve">AT&amp;T </w:t>
      </w:r>
      <w:r w:rsidR="006B521D" w:rsidRPr="00390D39">
        <w:rPr>
          <w:sz w:val="22"/>
          <w:szCs w:val="22"/>
        </w:rPr>
        <w:t xml:space="preserve">further </w:t>
      </w:r>
      <w:r w:rsidR="00B9107D" w:rsidRPr="00390D39">
        <w:rPr>
          <w:sz w:val="22"/>
          <w:szCs w:val="22"/>
        </w:rPr>
        <w:t>states that its commitment to provide at least 80</w:t>
      </w:r>
      <w:r w:rsidR="001F481E" w:rsidRPr="00390D39">
        <w:rPr>
          <w:sz w:val="22"/>
          <w:szCs w:val="22"/>
        </w:rPr>
        <w:t xml:space="preserve"> percent</w:t>
      </w:r>
      <w:r w:rsidR="00B9107D" w:rsidRPr="00390D39">
        <w:rPr>
          <w:sz w:val="22"/>
          <w:szCs w:val="22"/>
        </w:rPr>
        <w:t xml:space="preserve"> population-based coverage over the license area </w:t>
      </w:r>
      <w:r w:rsidR="006B521D" w:rsidRPr="00390D39">
        <w:rPr>
          <w:sz w:val="22"/>
          <w:szCs w:val="22"/>
        </w:rPr>
        <w:t xml:space="preserve">will </w:t>
      </w:r>
      <w:r w:rsidR="00B9107D" w:rsidRPr="00390D39">
        <w:rPr>
          <w:sz w:val="22"/>
          <w:szCs w:val="22"/>
        </w:rPr>
        <w:t xml:space="preserve">promote rural deployment, and that RWA </w:t>
      </w:r>
      <w:r w:rsidR="006B521D" w:rsidRPr="00390D39">
        <w:rPr>
          <w:sz w:val="22"/>
          <w:szCs w:val="22"/>
        </w:rPr>
        <w:t xml:space="preserve">has not shown </w:t>
      </w:r>
      <w:r w:rsidR="00B9107D" w:rsidRPr="00390D39">
        <w:rPr>
          <w:sz w:val="22"/>
          <w:szCs w:val="22"/>
        </w:rPr>
        <w:t xml:space="preserve">another entity </w:t>
      </w:r>
      <w:r w:rsidR="006B521D" w:rsidRPr="00390D39">
        <w:rPr>
          <w:sz w:val="22"/>
          <w:szCs w:val="22"/>
        </w:rPr>
        <w:t xml:space="preserve">is prepared </w:t>
      </w:r>
      <w:r w:rsidR="00B9107D" w:rsidRPr="00390D39">
        <w:rPr>
          <w:sz w:val="22"/>
          <w:szCs w:val="22"/>
        </w:rPr>
        <w:t xml:space="preserve">to </w:t>
      </w:r>
      <w:r w:rsidR="009715A2">
        <w:rPr>
          <w:sz w:val="22"/>
          <w:szCs w:val="22"/>
        </w:rPr>
        <w:t>s</w:t>
      </w:r>
      <w:r w:rsidR="006B521D" w:rsidRPr="00390D39">
        <w:rPr>
          <w:sz w:val="22"/>
          <w:szCs w:val="22"/>
        </w:rPr>
        <w:t xml:space="preserve">erve </w:t>
      </w:r>
      <w:r w:rsidR="00B9107D" w:rsidRPr="00390D39">
        <w:rPr>
          <w:sz w:val="22"/>
          <w:szCs w:val="22"/>
        </w:rPr>
        <w:t xml:space="preserve">these areas in the </w:t>
      </w:r>
      <w:r w:rsidR="006B521D" w:rsidRPr="00390D39">
        <w:rPr>
          <w:sz w:val="22"/>
          <w:szCs w:val="22"/>
        </w:rPr>
        <w:t xml:space="preserve">near </w:t>
      </w:r>
      <w:r w:rsidR="00B9107D" w:rsidRPr="00390D39">
        <w:rPr>
          <w:sz w:val="22"/>
          <w:szCs w:val="22"/>
        </w:rPr>
        <w:t>term.</w:t>
      </w:r>
      <w:r w:rsidR="00B9107D" w:rsidRPr="00390D39">
        <w:rPr>
          <w:rStyle w:val="FootnoteReference"/>
          <w:sz w:val="22"/>
          <w:szCs w:val="22"/>
        </w:rPr>
        <w:footnoteReference w:id="26"/>
      </w:r>
    </w:p>
    <w:p w14:paraId="3DF4DC18" w14:textId="33913C8D" w:rsidR="001E3D55" w:rsidRPr="00390D39" w:rsidRDefault="001E3D55" w:rsidP="00981377">
      <w:pPr>
        <w:rPr>
          <w:sz w:val="22"/>
          <w:szCs w:val="22"/>
        </w:rPr>
      </w:pPr>
    </w:p>
    <w:p w14:paraId="616A4067" w14:textId="64999C77" w:rsidR="00712CB5" w:rsidRPr="00390D39" w:rsidRDefault="00CD7548" w:rsidP="00F01C5C">
      <w:pPr>
        <w:pStyle w:val="ParaNum"/>
        <w:numPr>
          <w:ilvl w:val="0"/>
          <w:numId w:val="0"/>
        </w:numPr>
        <w:ind w:firstLine="720"/>
      </w:pPr>
      <w:r w:rsidRPr="00390D39">
        <w:rPr>
          <w:i/>
        </w:rPr>
        <w:t>Discussion</w:t>
      </w:r>
      <w:r w:rsidRPr="00390D39">
        <w:t xml:space="preserve">.  </w:t>
      </w:r>
      <w:r w:rsidR="005A26DB" w:rsidRPr="00390D39">
        <w:t>The Commission may grant a request for a waiver when: (i) the underlying purpose of the rule(s)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bookmarkStart w:id="1" w:name="FN_FN45_"/>
      <w:bookmarkEnd w:id="1"/>
      <w:r w:rsidR="005A26DB" w:rsidRPr="00390D39">
        <w:rPr>
          <w:rStyle w:val="FootnoteReference"/>
        </w:rPr>
        <w:footnoteReference w:id="27"/>
      </w:r>
      <w:r w:rsidR="005A26DB" w:rsidRPr="00390D39">
        <w:t xml:space="preserve">  </w:t>
      </w:r>
    </w:p>
    <w:p w14:paraId="26A797A4" w14:textId="77777777" w:rsidR="001E3D55" w:rsidRPr="00390D39" w:rsidRDefault="001E3D55" w:rsidP="00F01C5C">
      <w:pPr>
        <w:pStyle w:val="ParaNum"/>
        <w:numPr>
          <w:ilvl w:val="0"/>
          <w:numId w:val="0"/>
        </w:numPr>
        <w:ind w:firstLine="720"/>
      </w:pPr>
    </w:p>
    <w:p w14:paraId="29955AEB" w14:textId="1142E0A7" w:rsidR="00EB5771" w:rsidRPr="00390D39" w:rsidRDefault="008650B7" w:rsidP="00F01C5C">
      <w:pPr>
        <w:pStyle w:val="ParaNum"/>
        <w:numPr>
          <w:ilvl w:val="0"/>
          <w:numId w:val="0"/>
        </w:numPr>
        <w:ind w:firstLine="720"/>
      </w:pPr>
      <w:r w:rsidRPr="00390D39">
        <w:t>We have carefully reviewed the record before us and find that the underlying purpose of Section 27.14(g)</w:t>
      </w:r>
      <w:r w:rsidR="002713C6" w:rsidRPr="00390D39">
        <w:t xml:space="preserve"> </w:t>
      </w:r>
      <w:r w:rsidRPr="00390D39">
        <w:t>—“to better promote access to spectrum and the provision of service, especially in rural areas”</w:t>
      </w:r>
      <w:r w:rsidRPr="00390D39">
        <w:rPr>
          <w:rStyle w:val="FootnoteReference"/>
        </w:rPr>
        <w:footnoteReference w:id="28"/>
      </w:r>
      <w:r w:rsidRPr="00390D39">
        <w:t>— would be frustrated by application of the rule here and that grant of the requested waiver, subject to the performance and related conditions</w:t>
      </w:r>
      <w:r w:rsidR="00382558" w:rsidRPr="00390D39">
        <w:t xml:space="preserve"> we adopt</w:t>
      </w:r>
      <w:r w:rsidRPr="00390D39">
        <w:t xml:space="preserve"> below, will serve the public interest.  </w:t>
      </w:r>
      <w:r w:rsidR="00F82677" w:rsidRPr="00390D39">
        <w:t xml:space="preserve">We also find that in </w:t>
      </w:r>
      <w:r w:rsidR="00842EE3" w:rsidRPr="00390D39">
        <w:t xml:space="preserve">view </w:t>
      </w:r>
      <w:r w:rsidR="00F82677" w:rsidRPr="00390D39">
        <w:t>of the unique factual challenges of serving Alaska as detailed below, application of Section 27.14(g) here would be contrary to the public interest.</w:t>
      </w:r>
    </w:p>
    <w:p w14:paraId="00F3F8A1" w14:textId="77777777" w:rsidR="001761E3" w:rsidRPr="00390D39" w:rsidRDefault="001761E3" w:rsidP="001761E3">
      <w:pPr>
        <w:pStyle w:val="ParaNum"/>
        <w:numPr>
          <w:ilvl w:val="0"/>
          <w:numId w:val="0"/>
        </w:numPr>
      </w:pPr>
    </w:p>
    <w:p w14:paraId="01DE451B" w14:textId="1840B6C7" w:rsidR="001761E3" w:rsidRPr="00390D39" w:rsidRDefault="00012D9D" w:rsidP="001761E3">
      <w:pPr>
        <w:pStyle w:val="ParaNum"/>
        <w:numPr>
          <w:ilvl w:val="0"/>
          <w:numId w:val="0"/>
        </w:numPr>
        <w:ind w:firstLine="720"/>
      </w:pPr>
      <w:r w:rsidRPr="00390D39">
        <w:t>Although RWA failed to file its pleading by the November 3, 2016, deadline for reply comments in WT Docket 16-335, we will treat RWA’s comments (to the extent they may be relevant to AT&amp;T’s Waiver Request) as an informal request for Commission action under Section 1.41 of the Commission’s rules in the interest of having a more complete record.</w:t>
      </w:r>
      <w:r w:rsidRPr="00390D39">
        <w:rPr>
          <w:rStyle w:val="FootnoteReference"/>
        </w:rPr>
        <w:footnoteReference w:id="29"/>
      </w:r>
      <w:r w:rsidRPr="00390D39">
        <w:t xml:space="preserve">  </w:t>
      </w:r>
      <w:r w:rsidR="001761E3" w:rsidRPr="00390D39">
        <w:t xml:space="preserve">RWA argues that granting </w:t>
      </w:r>
      <w:r w:rsidR="00C6628E" w:rsidRPr="00390D39">
        <w:t xml:space="preserve">a </w:t>
      </w:r>
      <w:r w:rsidR="001761E3" w:rsidRPr="00390D39">
        <w:t>waiver of Section 27.14(g)’s geographic-based construction requirements</w:t>
      </w:r>
      <w:r w:rsidR="00C6628E" w:rsidRPr="00390D39">
        <w:t xml:space="preserve"> would undermine the rule’s purpose</w:t>
      </w:r>
      <w:r w:rsidR="001761E3" w:rsidRPr="00390D39">
        <w:t>, and would not serve the public interest, as required by Section 1.925.</w:t>
      </w:r>
      <w:r w:rsidR="001761E3" w:rsidRPr="00390D39">
        <w:rPr>
          <w:rStyle w:val="FootnoteReference"/>
        </w:rPr>
        <w:footnoteReference w:id="30"/>
      </w:r>
      <w:r w:rsidR="001761E3" w:rsidRPr="00390D39">
        <w:t xml:space="preserve">  RWA further argues that harsh conditions and extremely low population densities</w:t>
      </w:r>
      <w:r w:rsidR="00D2347F" w:rsidRPr="00390D39">
        <w:t xml:space="preserve"> in Alaska </w:t>
      </w:r>
      <w:r w:rsidR="001761E3" w:rsidRPr="00390D39">
        <w:t xml:space="preserve">do not </w:t>
      </w:r>
      <w:r w:rsidR="00D2347F" w:rsidRPr="00390D39">
        <w:t xml:space="preserve">warrant </w:t>
      </w:r>
      <w:r w:rsidR="001761E3" w:rsidRPr="00390D39">
        <w:t>waiver</w:t>
      </w:r>
      <w:r w:rsidR="00C6628E" w:rsidRPr="00390D39">
        <w:t xml:space="preserve"> relief</w:t>
      </w:r>
      <w:r w:rsidR="001761E3" w:rsidRPr="00390D39">
        <w:t xml:space="preserve"> under Section 1.925.</w:t>
      </w:r>
      <w:r w:rsidR="001761E3" w:rsidRPr="00390D39">
        <w:rPr>
          <w:vertAlign w:val="superscript"/>
        </w:rPr>
        <w:footnoteReference w:id="31"/>
      </w:r>
      <w:r w:rsidR="001761E3" w:rsidRPr="00390D39">
        <w:t xml:space="preserve">  RWA </w:t>
      </w:r>
      <w:r w:rsidR="00C6628E" w:rsidRPr="00390D39">
        <w:t xml:space="preserve">also </w:t>
      </w:r>
      <w:r w:rsidR="001761E3" w:rsidRPr="00390D39">
        <w:t>claims that if spectrum is returned to the Commission under Section 27.14(g)(2), unspecified RWA members would apply for portions of the returned spectrum and satisfy applicable buildout requirements.</w:t>
      </w:r>
      <w:r w:rsidR="001761E3" w:rsidRPr="00390D39">
        <w:rPr>
          <w:vertAlign w:val="superscript"/>
        </w:rPr>
        <w:footnoteReference w:id="32"/>
      </w:r>
      <w:r w:rsidR="001761E3" w:rsidRPr="00390D39">
        <w:t xml:space="preserve">  As </w:t>
      </w:r>
      <w:r w:rsidR="00D2347F" w:rsidRPr="00390D39">
        <w:t xml:space="preserve">explained </w:t>
      </w:r>
      <w:r w:rsidR="001761E3" w:rsidRPr="00390D39">
        <w:t xml:space="preserve">below, we </w:t>
      </w:r>
      <w:r w:rsidR="00902A56">
        <w:t xml:space="preserve">nevertheless </w:t>
      </w:r>
      <w:r w:rsidR="001761E3" w:rsidRPr="00390D39">
        <w:t xml:space="preserve">find that the public interest </w:t>
      </w:r>
      <w:r w:rsidR="00D2347F" w:rsidRPr="00390D39">
        <w:t xml:space="preserve">would be served by </w:t>
      </w:r>
      <w:r w:rsidR="001761E3" w:rsidRPr="00390D39">
        <w:t>granting AT&amp;T</w:t>
      </w:r>
      <w:r w:rsidR="00C6628E" w:rsidRPr="00390D39">
        <w:t xml:space="preserve"> waiver relief </w:t>
      </w:r>
      <w:r w:rsidR="001761E3" w:rsidRPr="00390D39">
        <w:t>under Section 1.925</w:t>
      </w:r>
      <w:r w:rsidR="00AC7B7A" w:rsidRPr="00390D39">
        <w:t>.</w:t>
      </w:r>
    </w:p>
    <w:p w14:paraId="71583BBD" w14:textId="77777777" w:rsidR="00EC747E" w:rsidRPr="00390D39" w:rsidRDefault="00EC747E" w:rsidP="001761E3">
      <w:pPr>
        <w:pStyle w:val="ParaNum"/>
        <w:numPr>
          <w:ilvl w:val="0"/>
          <w:numId w:val="0"/>
        </w:numPr>
      </w:pPr>
    </w:p>
    <w:p w14:paraId="38EBC386" w14:textId="36518667" w:rsidR="00A30AA1" w:rsidRPr="00390D39" w:rsidRDefault="00712CB5" w:rsidP="00F01C5C">
      <w:pPr>
        <w:pStyle w:val="ParaNum"/>
        <w:numPr>
          <w:ilvl w:val="0"/>
          <w:numId w:val="0"/>
        </w:numPr>
        <w:ind w:firstLine="720"/>
      </w:pPr>
      <w:r w:rsidRPr="00390D39">
        <w:t xml:space="preserve"> </w:t>
      </w:r>
      <w:r w:rsidR="00ED3D59" w:rsidRPr="00390D39" w:rsidDel="00ED3D59">
        <w:t xml:space="preserve">  </w:t>
      </w:r>
      <w:r w:rsidR="009A07B6" w:rsidRPr="00390D39">
        <w:t xml:space="preserve">We agree with </w:t>
      </w:r>
      <w:r w:rsidR="00ED3D59" w:rsidRPr="00390D39">
        <w:rPr>
          <w:color w:val="000000" w:themeColor="text1"/>
        </w:rPr>
        <w:t xml:space="preserve">AT&amp;T that </w:t>
      </w:r>
      <w:r w:rsidRPr="00390D39">
        <w:rPr>
          <w:color w:val="000000" w:themeColor="text1"/>
        </w:rPr>
        <w:t xml:space="preserve">the </w:t>
      </w:r>
      <w:r w:rsidR="00382558" w:rsidRPr="00390D39">
        <w:rPr>
          <w:color w:val="000000" w:themeColor="text1"/>
        </w:rPr>
        <w:t xml:space="preserve">many </w:t>
      </w:r>
      <w:r w:rsidRPr="00390D39">
        <w:rPr>
          <w:color w:val="000000" w:themeColor="text1"/>
        </w:rPr>
        <w:t xml:space="preserve">unique </w:t>
      </w:r>
      <w:r w:rsidR="00382558" w:rsidRPr="00390D39">
        <w:rPr>
          <w:color w:val="000000" w:themeColor="text1"/>
        </w:rPr>
        <w:t xml:space="preserve">circumstances </w:t>
      </w:r>
      <w:r w:rsidR="00FA40E7" w:rsidRPr="00390D39">
        <w:rPr>
          <w:color w:val="000000" w:themeColor="text1"/>
        </w:rPr>
        <w:t>attendant to serving</w:t>
      </w:r>
      <w:r w:rsidR="00382558" w:rsidRPr="00390D39">
        <w:rPr>
          <w:color w:val="000000" w:themeColor="text1"/>
        </w:rPr>
        <w:t xml:space="preserve"> </w:t>
      </w:r>
      <w:r w:rsidRPr="00390D39">
        <w:rPr>
          <w:color w:val="000000" w:themeColor="text1"/>
        </w:rPr>
        <w:t xml:space="preserve">CMA315, including </w:t>
      </w:r>
      <w:r w:rsidR="003C36A8" w:rsidRPr="00390D39">
        <w:rPr>
          <w:color w:val="000000" w:themeColor="text1"/>
        </w:rPr>
        <w:t xml:space="preserve">its vast size, </w:t>
      </w:r>
      <w:r w:rsidRPr="00390D39">
        <w:rPr>
          <w:color w:val="000000" w:themeColor="text1"/>
        </w:rPr>
        <w:t xml:space="preserve">lack of backhaul and </w:t>
      </w:r>
      <w:r w:rsidR="00870907" w:rsidRPr="00390D39">
        <w:rPr>
          <w:color w:val="000000" w:themeColor="text1"/>
        </w:rPr>
        <w:t xml:space="preserve">other </w:t>
      </w:r>
      <w:r w:rsidRPr="00390D39">
        <w:rPr>
          <w:color w:val="000000" w:themeColor="text1"/>
        </w:rPr>
        <w:t>infrastructure,</w:t>
      </w:r>
      <w:r w:rsidR="00ED3D59" w:rsidRPr="00390D39">
        <w:rPr>
          <w:color w:val="000000" w:themeColor="text1"/>
        </w:rPr>
        <w:t xml:space="preserve"> </w:t>
      </w:r>
      <w:r w:rsidR="0055246F" w:rsidRPr="00390D39">
        <w:rPr>
          <w:color w:val="000000" w:themeColor="text1"/>
        </w:rPr>
        <w:t xml:space="preserve">its </w:t>
      </w:r>
      <w:r w:rsidRPr="00390D39">
        <w:t>sparse populat</w:t>
      </w:r>
      <w:r w:rsidR="00ED3D59" w:rsidRPr="00390D39">
        <w:t>ion</w:t>
      </w:r>
      <w:r w:rsidR="0055246F" w:rsidRPr="00390D39">
        <w:t xml:space="preserve"> distribution</w:t>
      </w:r>
      <w:r w:rsidR="00ED3D59" w:rsidRPr="00390D39">
        <w:t>,</w:t>
      </w:r>
      <w:r w:rsidR="00454770" w:rsidRPr="00390D39">
        <w:rPr>
          <w:rStyle w:val="FootnoteReference"/>
        </w:rPr>
        <w:footnoteReference w:id="33"/>
      </w:r>
      <w:r w:rsidR="00ED3D59" w:rsidRPr="00390D39">
        <w:t xml:space="preserve"> </w:t>
      </w:r>
      <w:r w:rsidRPr="00390D39">
        <w:t>and difficult geographic and weather conditions</w:t>
      </w:r>
      <w:r w:rsidR="003F5FDF" w:rsidRPr="00390D39">
        <w:t xml:space="preserve"> (temperatures often fall below zero for long periods during the winter months in much of the license area)</w:t>
      </w:r>
      <w:r w:rsidR="003C36A8" w:rsidRPr="00390D39">
        <w:t>,</w:t>
      </w:r>
      <w:r w:rsidR="00ED3D59" w:rsidRPr="00390D39">
        <w:t xml:space="preserve"> make it impracticable to </w:t>
      </w:r>
      <w:r w:rsidR="003C36A8" w:rsidRPr="00390D39">
        <w:t xml:space="preserve">meet </w:t>
      </w:r>
      <w:r w:rsidR="002522D8" w:rsidRPr="00390D39">
        <w:t xml:space="preserve">the applicable </w:t>
      </w:r>
      <w:r w:rsidR="003C36A8" w:rsidRPr="00390D39">
        <w:t xml:space="preserve">geographic </w:t>
      </w:r>
      <w:r w:rsidR="005A4239" w:rsidRPr="00390D39">
        <w:t xml:space="preserve">construction </w:t>
      </w:r>
      <w:r w:rsidR="002522D8" w:rsidRPr="00390D39">
        <w:t>requirements</w:t>
      </w:r>
      <w:r w:rsidRPr="00390D39">
        <w:t>.</w:t>
      </w:r>
      <w:r w:rsidRPr="00390D39">
        <w:rPr>
          <w:rStyle w:val="FootnoteReference"/>
        </w:rPr>
        <w:footnoteReference w:id="34"/>
      </w:r>
      <w:r w:rsidRPr="00390D39">
        <w:t xml:space="preserve">  </w:t>
      </w:r>
      <w:r w:rsidR="00454770" w:rsidRPr="00390D39">
        <w:t>Alaska</w:t>
      </w:r>
      <w:r w:rsidR="00C6628E" w:rsidRPr="00390D39">
        <w:t xml:space="preserve"> is</w:t>
      </w:r>
      <w:r w:rsidR="00454770" w:rsidRPr="00390D39">
        <w:t xml:space="preserve"> the largest state by area, </w:t>
      </w:r>
      <w:r w:rsidR="00C6628E" w:rsidRPr="00390D39">
        <w:t xml:space="preserve">yet </w:t>
      </w:r>
      <w:r w:rsidR="00454770" w:rsidRPr="00390D39">
        <w:t xml:space="preserve">has the lowest population density </w:t>
      </w:r>
      <w:r w:rsidR="00323ADD" w:rsidRPr="00390D39">
        <w:t>of any state</w:t>
      </w:r>
      <w:r w:rsidR="00454770" w:rsidRPr="00390D39">
        <w:t>.</w:t>
      </w:r>
      <w:r w:rsidR="00454770" w:rsidRPr="00390D39">
        <w:rPr>
          <w:rStyle w:val="FootnoteReference"/>
        </w:rPr>
        <w:footnoteReference w:id="35"/>
      </w:r>
      <w:r w:rsidR="00454770" w:rsidRPr="00390D39">
        <w:t xml:space="preserve">  CMA315 covers more than 376,863 square miles, an area 28 percent larger than Texas, with less than</w:t>
      </w:r>
      <w:r w:rsidR="00F4645C" w:rsidRPr="00390D39">
        <w:t xml:space="preserve"> one </w:t>
      </w:r>
      <w:r w:rsidR="00454770" w:rsidRPr="00390D39">
        <w:t xml:space="preserve">percent of </w:t>
      </w:r>
      <w:r w:rsidR="00DA565D" w:rsidRPr="00390D39">
        <w:t xml:space="preserve">its </w:t>
      </w:r>
      <w:r w:rsidR="00454770" w:rsidRPr="00390D39">
        <w:t>population.</w:t>
      </w:r>
      <w:r w:rsidR="00454770" w:rsidRPr="00390D39">
        <w:rPr>
          <w:rStyle w:val="FootnoteReference"/>
        </w:rPr>
        <w:footnoteReference w:id="36"/>
      </w:r>
      <w:r w:rsidR="00454770" w:rsidRPr="00390D39">
        <w:t xml:space="preserve">  More than 44 percent of </w:t>
      </w:r>
      <w:r w:rsidR="00382558" w:rsidRPr="00390D39">
        <w:t xml:space="preserve">CMA315 </w:t>
      </w:r>
      <w:r w:rsidR="00454770" w:rsidRPr="00390D39">
        <w:t>(164,736 square miles) is within the Arctic Circle</w:t>
      </w:r>
      <w:r w:rsidR="00870907" w:rsidRPr="00390D39">
        <w:t>,</w:t>
      </w:r>
      <w:r w:rsidR="00454770" w:rsidRPr="00390D39">
        <w:rPr>
          <w:rStyle w:val="FootnoteReference"/>
        </w:rPr>
        <w:footnoteReference w:id="37"/>
      </w:r>
      <w:r w:rsidR="00870907" w:rsidRPr="00390D39">
        <w:t xml:space="preserve"> where the average winter temperature is -34° C (-30° F).</w:t>
      </w:r>
      <w:r w:rsidR="00870907" w:rsidRPr="00390D39">
        <w:rPr>
          <w:rStyle w:val="FootnoteReference"/>
        </w:rPr>
        <w:footnoteReference w:id="38"/>
      </w:r>
      <w:r w:rsidR="00870907" w:rsidRPr="00390D39">
        <w:t xml:space="preserve">  </w:t>
      </w:r>
      <w:r w:rsidR="00A30AA1" w:rsidRPr="00390D39">
        <w:t>Much of this area is inhabited by wild animals and can only be reached by aircraft or snowmobile in good weather.</w:t>
      </w:r>
      <w:r w:rsidR="00A30AA1" w:rsidRPr="00390D39">
        <w:rPr>
          <w:rStyle w:val="FootnoteReference"/>
        </w:rPr>
        <w:footnoteReference w:id="39"/>
      </w:r>
    </w:p>
    <w:p w14:paraId="1783E539" w14:textId="77777777" w:rsidR="00A30AA1" w:rsidRPr="00390D39" w:rsidRDefault="00A30AA1" w:rsidP="00F01C5C">
      <w:pPr>
        <w:pStyle w:val="ParaNum"/>
        <w:numPr>
          <w:ilvl w:val="0"/>
          <w:numId w:val="0"/>
        </w:numPr>
        <w:ind w:firstLine="720"/>
      </w:pPr>
    </w:p>
    <w:p w14:paraId="2909DA9C" w14:textId="0A7D0844" w:rsidR="00454770" w:rsidRPr="00390D39" w:rsidRDefault="00454770" w:rsidP="00F01C5C">
      <w:pPr>
        <w:pStyle w:val="ParaNum"/>
        <w:numPr>
          <w:ilvl w:val="0"/>
          <w:numId w:val="0"/>
        </w:numPr>
        <w:ind w:firstLine="720"/>
      </w:pPr>
      <w:r w:rsidRPr="00390D39">
        <w:t xml:space="preserve">The Commission defines a “rural” county as one with a population density of 100 </w:t>
      </w:r>
      <w:r w:rsidR="001679CD" w:rsidRPr="00390D39">
        <w:t xml:space="preserve">persons </w:t>
      </w:r>
      <w:r w:rsidRPr="00390D39">
        <w:t>per square mile or less.</w:t>
      </w:r>
      <w:r w:rsidRPr="00390D39">
        <w:rPr>
          <w:rStyle w:val="FootnoteReference"/>
        </w:rPr>
        <w:footnoteReference w:id="40"/>
      </w:r>
      <w:r w:rsidRPr="00390D39">
        <w:t xml:space="preserve">  Six of the seven boroughs (the equivalent of counties) comprising CMA315 have a population density of less than half a person per square mile; the other has a density of 13 </w:t>
      </w:r>
      <w:r w:rsidR="001679CD" w:rsidRPr="00390D39">
        <w:t xml:space="preserve">persons </w:t>
      </w:r>
      <w:r w:rsidRPr="00390D39">
        <w:t>per square mile.</w:t>
      </w:r>
      <w:r w:rsidR="003F5FDF" w:rsidRPr="00390D39">
        <w:t xml:space="preserve">  Alaska ranks last </w:t>
      </w:r>
      <w:r w:rsidR="00E14E70" w:rsidRPr="00390D39">
        <w:t xml:space="preserve">in the United States </w:t>
      </w:r>
      <w:r w:rsidR="003F5FDF" w:rsidRPr="00390D39">
        <w:t>for access to broadband service with a speed greater than 25 Mbps.</w:t>
      </w:r>
      <w:r w:rsidR="003F5FDF" w:rsidRPr="00390D39">
        <w:rPr>
          <w:rStyle w:val="FootnoteReference"/>
        </w:rPr>
        <w:footnoteReference w:id="41"/>
      </w:r>
    </w:p>
    <w:p w14:paraId="7A324AAD" w14:textId="77777777" w:rsidR="00454770" w:rsidRPr="00390D39" w:rsidRDefault="00454770" w:rsidP="00F01C5C">
      <w:pPr>
        <w:pStyle w:val="ParaNum"/>
        <w:numPr>
          <w:ilvl w:val="0"/>
          <w:numId w:val="0"/>
        </w:numPr>
        <w:ind w:firstLine="720"/>
      </w:pPr>
    </w:p>
    <w:p w14:paraId="1CCDC942" w14:textId="7088D87E" w:rsidR="005A11F4" w:rsidRPr="00390D39" w:rsidRDefault="00C51F9B" w:rsidP="00F01C5C">
      <w:pPr>
        <w:pStyle w:val="ParaNum"/>
        <w:numPr>
          <w:ilvl w:val="0"/>
          <w:numId w:val="0"/>
        </w:numPr>
        <w:ind w:firstLine="720"/>
      </w:pPr>
      <w:r w:rsidRPr="00390D39">
        <w:t xml:space="preserve">We concur with </w:t>
      </w:r>
      <w:r w:rsidR="00EC747E" w:rsidRPr="00390D39">
        <w:t>AT&amp;T that without the requested waiver relief, it would lose</w:t>
      </w:r>
      <w:r w:rsidR="00712CB5" w:rsidRPr="00390D39">
        <w:t xml:space="preserve"> authorization </w:t>
      </w:r>
      <w:r w:rsidR="00EC747E" w:rsidRPr="00390D39">
        <w:t xml:space="preserve">to serve </w:t>
      </w:r>
      <w:r w:rsidR="00712CB5" w:rsidRPr="00390D39">
        <w:t>most of the License area</w:t>
      </w:r>
      <w:r w:rsidR="00F86CE4" w:rsidRPr="00390D39">
        <w:t xml:space="preserve"> at the June 13, 2017, accelerated end-of-license term construction deadline</w:t>
      </w:r>
      <w:r w:rsidR="00712CB5" w:rsidRPr="00390D39">
        <w:t xml:space="preserve">, which </w:t>
      </w:r>
      <w:r w:rsidRPr="00390D39">
        <w:t xml:space="preserve">could </w:t>
      </w:r>
      <w:r w:rsidR="00C92C1F" w:rsidRPr="00390D39">
        <w:t xml:space="preserve">impede its ability to expand </w:t>
      </w:r>
      <w:r w:rsidR="00EC747E" w:rsidRPr="00390D39">
        <w:t>to other area</w:t>
      </w:r>
      <w:r w:rsidR="00E01616" w:rsidRPr="00390D39">
        <w:t>s</w:t>
      </w:r>
      <w:r w:rsidR="00EC747E" w:rsidRPr="00390D39">
        <w:t xml:space="preserve"> of </w:t>
      </w:r>
      <w:r w:rsidR="00712CB5" w:rsidRPr="00390D39">
        <w:t>CMA315</w:t>
      </w:r>
      <w:r w:rsidR="00E01616" w:rsidRPr="00390D39">
        <w:t xml:space="preserve"> in need of service</w:t>
      </w:r>
      <w:r w:rsidR="00712CB5" w:rsidRPr="00390D39">
        <w:t>.</w:t>
      </w:r>
      <w:r w:rsidR="00712CB5" w:rsidRPr="00390D39">
        <w:rPr>
          <w:rStyle w:val="FootnoteReference"/>
        </w:rPr>
        <w:footnoteReference w:id="42"/>
      </w:r>
      <w:r w:rsidR="00712CB5" w:rsidRPr="00390D39">
        <w:t xml:space="preserve">  With the requested waiver</w:t>
      </w:r>
      <w:r w:rsidR="00EC747E" w:rsidRPr="00390D39">
        <w:t xml:space="preserve"> relief</w:t>
      </w:r>
      <w:r w:rsidR="00712CB5" w:rsidRPr="00390D39">
        <w:t>, however, AT&amp;T would have t</w:t>
      </w:r>
      <w:r w:rsidR="003C36A8" w:rsidRPr="00390D39">
        <w:t>he</w:t>
      </w:r>
      <w:r w:rsidR="00FD524F" w:rsidRPr="00390D39">
        <w:t xml:space="preserve"> needed </w:t>
      </w:r>
      <w:r w:rsidR="00712CB5" w:rsidRPr="00390D39">
        <w:t xml:space="preserve">flexibility to </w:t>
      </w:r>
      <w:r w:rsidR="00976CDB" w:rsidRPr="00390D39">
        <w:t>“continue expanding</w:t>
      </w:r>
      <w:r w:rsidR="00712CB5" w:rsidRPr="00390D39">
        <w:t xml:space="preserve"> service to small villages and communities and other less densely populated rural areas and to areas on the fringe of existing populations.”</w:t>
      </w:r>
      <w:r w:rsidR="00712CB5" w:rsidRPr="00390D39">
        <w:rPr>
          <w:rStyle w:val="FootnoteReference"/>
        </w:rPr>
        <w:footnoteReference w:id="43"/>
      </w:r>
      <w:r w:rsidR="00335F96" w:rsidRPr="00390D39">
        <w:t xml:space="preserve">  </w:t>
      </w:r>
      <w:r w:rsidR="004C4D8F" w:rsidRPr="00390D39">
        <w:t xml:space="preserve">We agree with </w:t>
      </w:r>
      <w:r w:rsidR="00382558" w:rsidRPr="00390D39">
        <w:t>AT&amp;T that t</w:t>
      </w:r>
      <w:r w:rsidR="00B474BB" w:rsidRPr="00390D39">
        <w:t xml:space="preserve">he requested waiver </w:t>
      </w:r>
      <w:r w:rsidRPr="00390D39">
        <w:t xml:space="preserve">also </w:t>
      </w:r>
      <w:r w:rsidR="00B474BB" w:rsidRPr="00390D39">
        <w:t xml:space="preserve">would enable </w:t>
      </w:r>
      <w:r w:rsidR="004C4D8F" w:rsidRPr="00390D39">
        <w:t>it</w:t>
      </w:r>
      <w:r w:rsidRPr="00390D39">
        <w:t xml:space="preserve"> </w:t>
      </w:r>
      <w:r w:rsidR="00B474BB" w:rsidRPr="00390D39">
        <w:t xml:space="preserve">to </w:t>
      </w:r>
      <w:r w:rsidR="005F39C8" w:rsidRPr="00390D39">
        <w:t xml:space="preserve">expand service </w:t>
      </w:r>
      <w:r w:rsidR="00976CDB" w:rsidRPr="00390D39">
        <w:t>to</w:t>
      </w:r>
      <w:r w:rsidR="005F39C8" w:rsidRPr="00390D39">
        <w:t xml:space="preserve"> </w:t>
      </w:r>
      <w:r w:rsidR="00382558" w:rsidRPr="00390D39">
        <w:t xml:space="preserve">new </w:t>
      </w:r>
      <w:r w:rsidR="005F39C8" w:rsidRPr="00390D39">
        <w:t>communities in CMA315</w:t>
      </w:r>
      <w:r w:rsidR="00976CDB" w:rsidRPr="00390D39">
        <w:t xml:space="preserve"> as they form over time</w:t>
      </w:r>
      <w:r w:rsidR="005F39C8" w:rsidRPr="00390D39">
        <w:t>.</w:t>
      </w:r>
      <w:r w:rsidR="00B474BB" w:rsidRPr="00390D39">
        <w:rPr>
          <w:rStyle w:val="FootnoteReference"/>
        </w:rPr>
        <w:footnoteReference w:id="44"/>
      </w:r>
      <w:r w:rsidR="00B474BB" w:rsidRPr="00390D39">
        <w:t xml:space="preserve">  </w:t>
      </w:r>
    </w:p>
    <w:p w14:paraId="6C6D0279" w14:textId="166C6214" w:rsidR="005F39C8" w:rsidRPr="00390D39" w:rsidRDefault="00D63F69" w:rsidP="00F01C5C">
      <w:pPr>
        <w:pStyle w:val="ParaNum"/>
        <w:numPr>
          <w:ilvl w:val="0"/>
          <w:numId w:val="0"/>
        </w:numPr>
        <w:ind w:firstLine="720"/>
      </w:pPr>
      <w:r w:rsidRPr="00390D39">
        <w:t xml:space="preserve">  </w:t>
      </w:r>
    </w:p>
    <w:p w14:paraId="55C8EA33" w14:textId="4CE63DF4" w:rsidR="004930D1" w:rsidRPr="00390D39" w:rsidRDefault="00092AEF" w:rsidP="00F01C5C">
      <w:pPr>
        <w:pStyle w:val="ParaNum"/>
        <w:numPr>
          <w:ilvl w:val="0"/>
          <w:numId w:val="0"/>
        </w:numPr>
        <w:ind w:firstLine="720"/>
      </w:pPr>
      <w:r w:rsidRPr="00390D39">
        <w:t xml:space="preserve">AT&amp;T </w:t>
      </w:r>
      <w:r w:rsidR="00A415E4" w:rsidRPr="00390D39">
        <w:t xml:space="preserve">has </w:t>
      </w:r>
      <w:r w:rsidRPr="00390D39">
        <w:t>commi</w:t>
      </w:r>
      <w:r w:rsidR="00A415E4" w:rsidRPr="00390D39">
        <w:t>t</w:t>
      </w:r>
      <w:r w:rsidRPr="00390D39">
        <w:t>t</w:t>
      </w:r>
      <w:r w:rsidR="00A415E4" w:rsidRPr="00390D39">
        <w:t>ed</w:t>
      </w:r>
      <w:r w:rsidRPr="00390D39">
        <w:t xml:space="preserve"> to</w:t>
      </w:r>
      <w:r w:rsidR="003F1506" w:rsidRPr="00390D39">
        <w:t xml:space="preserve"> serving </w:t>
      </w:r>
      <w:r w:rsidR="00A415E4" w:rsidRPr="00390D39">
        <w:t>7</w:t>
      </w:r>
      <w:r w:rsidR="003F1506" w:rsidRPr="00390D39">
        <w:t xml:space="preserve">0 percent of </w:t>
      </w:r>
      <w:r w:rsidR="008F6FB8" w:rsidRPr="00390D39">
        <w:t>CMA315’s</w:t>
      </w:r>
      <w:r w:rsidR="003F1506" w:rsidRPr="00390D39">
        <w:t xml:space="preserve"> population </w:t>
      </w:r>
      <w:r w:rsidR="009C5EA2" w:rsidRPr="00390D39">
        <w:t xml:space="preserve">by </w:t>
      </w:r>
      <w:r w:rsidR="00AE235D" w:rsidRPr="00390D39">
        <w:t xml:space="preserve">the </w:t>
      </w:r>
      <w:r w:rsidR="009C5EA2" w:rsidRPr="00390D39">
        <w:t>December 13, 2016</w:t>
      </w:r>
      <w:r w:rsidR="008F6FB8" w:rsidRPr="00390D39">
        <w:t>,</w:t>
      </w:r>
      <w:r w:rsidR="009C5EA2" w:rsidRPr="00390D39">
        <w:t xml:space="preserve"> interim construction deadline</w:t>
      </w:r>
      <w:r w:rsidR="006A5042" w:rsidRPr="00390D39">
        <w:t>;</w:t>
      </w:r>
      <w:r w:rsidR="003F1506" w:rsidRPr="00390D39">
        <w:t xml:space="preserve"> </w:t>
      </w:r>
      <w:r w:rsidR="00214EA2" w:rsidRPr="00390D39">
        <w:t>75 percent of the area’s population by the June 13, 2019, end-of-license term construction deadline</w:t>
      </w:r>
      <w:r w:rsidR="006A5042" w:rsidRPr="00390D39">
        <w:t>;</w:t>
      </w:r>
      <w:r w:rsidR="00214EA2" w:rsidRPr="00390D39">
        <w:t xml:space="preserve"> and </w:t>
      </w:r>
      <w:r w:rsidR="003F1506" w:rsidRPr="00390D39">
        <w:t xml:space="preserve">80 percent of the </w:t>
      </w:r>
      <w:r w:rsidR="00AE235D" w:rsidRPr="00390D39">
        <w:t xml:space="preserve">area’s </w:t>
      </w:r>
      <w:r w:rsidR="003F1506" w:rsidRPr="00390D39">
        <w:t xml:space="preserve">population </w:t>
      </w:r>
      <w:r w:rsidR="009C5EA2" w:rsidRPr="00390D39">
        <w:t xml:space="preserve">by June 13, </w:t>
      </w:r>
      <w:r w:rsidR="00214EA2" w:rsidRPr="00390D39">
        <w:t>2020</w:t>
      </w:r>
      <w:r w:rsidR="003F1506" w:rsidRPr="00390D39">
        <w:t>.</w:t>
      </w:r>
      <w:r w:rsidR="003F1506" w:rsidRPr="00390D39">
        <w:rPr>
          <w:rStyle w:val="FootnoteReference"/>
        </w:rPr>
        <w:footnoteReference w:id="45"/>
      </w:r>
      <w:r w:rsidR="003A7960" w:rsidRPr="00390D39">
        <w:t xml:space="preserve">  </w:t>
      </w:r>
      <w:r w:rsidR="00AE235D" w:rsidRPr="00390D39">
        <w:t xml:space="preserve">AT&amp;T’s commitment to extend service to at least </w:t>
      </w:r>
      <w:r w:rsidR="006F2B4F" w:rsidRPr="00390D39">
        <w:t xml:space="preserve">75 percent of CMA315’s population by June 13, 2019, and </w:t>
      </w:r>
      <w:r w:rsidR="003826E5" w:rsidRPr="00390D39">
        <w:t xml:space="preserve">to at least </w:t>
      </w:r>
      <w:r w:rsidR="00AE235D" w:rsidRPr="00390D39">
        <w:t xml:space="preserve">80 percent of </w:t>
      </w:r>
      <w:r w:rsidR="00325BD8" w:rsidRPr="00390D39">
        <w:t>CMA315</w:t>
      </w:r>
      <w:r w:rsidR="00AE235D" w:rsidRPr="00390D39">
        <w:t xml:space="preserve">’s population by June 13, </w:t>
      </w:r>
      <w:r w:rsidR="006F2B4F" w:rsidRPr="00390D39">
        <w:t>2020</w:t>
      </w:r>
      <w:r w:rsidR="00325BD8" w:rsidRPr="00390D39">
        <w:t>,</w:t>
      </w:r>
      <w:r w:rsidR="00AE235D" w:rsidRPr="00390D39">
        <w:t xml:space="preserve"> would </w:t>
      </w:r>
      <w:r w:rsidR="00325BD8" w:rsidRPr="00390D39">
        <w:t xml:space="preserve">bring new advanced wireless services to </w:t>
      </w:r>
      <w:r w:rsidR="003A7960" w:rsidRPr="00390D39">
        <w:t>Alaskans living in remote</w:t>
      </w:r>
      <w:r w:rsidR="00AE235D" w:rsidRPr="00390D39">
        <w:t xml:space="preserve"> </w:t>
      </w:r>
      <w:r w:rsidR="003A7960" w:rsidRPr="00390D39">
        <w:t xml:space="preserve">areas of </w:t>
      </w:r>
      <w:r w:rsidR="00AE235D" w:rsidRPr="00390D39">
        <w:t xml:space="preserve">CMA315 </w:t>
      </w:r>
      <w:r w:rsidR="00A415E4" w:rsidRPr="00390D39">
        <w:t>that t</w:t>
      </w:r>
      <w:r w:rsidR="003A7960" w:rsidRPr="00390D39">
        <w:t xml:space="preserve">hey </w:t>
      </w:r>
      <w:r w:rsidR="00AE235D" w:rsidRPr="00390D39">
        <w:t xml:space="preserve">may </w:t>
      </w:r>
      <w:r w:rsidR="003A7960" w:rsidRPr="00390D39">
        <w:t xml:space="preserve">not </w:t>
      </w:r>
      <w:r w:rsidR="00983D60" w:rsidRPr="00390D39">
        <w:t>receive</w:t>
      </w:r>
      <w:r w:rsidR="00325BD8" w:rsidRPr="00390D39">
        <w:t xml:space="preserve"> </w:t>
      </w:r>
      <w:r w:rsidR="00AE235D" w:rsidRPr="00390D39">
        <w:t xml:space="preserve">absent the </w:t>
      </w:r>
      <w:r w:rsidR="00842EE3" w:rsidRPr="00390D39">
        <w:t xml:space="preserve">requested </w:t>
      </w:r>
      <w:r w:rsidR="008F6FB8" w:rsidRPr="00390D39">
        <w:t>waiver</w:t>
      </w:r>
      <w:r w:rsidR="00325BD8" w:rsidRPr="00390D39">
        <w:t xml:space="preserve">. </w:t>
      </w:r>
      <w:r w:rsidR="00AE235D" w:rsidRPr="00390D39" w:rsidDel="00AE235D">
        <w:t xml:space="preserve"> </w:t>
      </w:r>
      <w:r w:rsidR="00842EE3" w:rsidRPr="00390D39">
        <w:t>We note</w:t>
      </w:r>
      <w:r w:rsidR="00AE235D" w:rsidRPr="00390D39">
        <w:t xml:space="preserve"> </w:t>
      </w:r>
      <w:r w:rsidRPr="00390D39">
        <w:t xml:space="preserve">that by covering 80 percent of </w:t>
      </w:r>
      <w:r w:rsidR="00842EE3" w:rsidRPr="00390D39">
        <w:t xml:space="preserve">CMA315’s </w:t>
      </w:r>
      <w:r w:rsidRPr="00390D39">
        <w:t>population</w:t>
      </w:r>
      <w:r w:rsidR="00335F96" w:rsidRPr="00390D39">
        <w:t xml:space="preserve">, </w:t>
      </w:r>
      <w:r w:rsidR="00842EE3" w:rsidRPr="00390D39">
        <w:t>AT&amp;T</w:t>
      </w:r>
      <w:r w:rsidRPr="00390D39">
        <w:t xml:space="preserve"> </w:t>
      </w:r>
      <w:r w:rsidR="00AE235D" w:rsidRPr="00390D39">
        <w:t xml:space="preserve">would be </w:t>
      </w:r>
      <w:r w:rsidRPr="00390D39">
        <w:t xml:space="preserve">serving </w:t>
      </w:r>
      <w:r w:rsidR="00335F96" w:rsidRPr="00390D39">
        <w:t xml:space="preserve">a </w:t>
      </w:r>
      <w:r w:rsidR="00F82677" w:rsidRPr="00390D39">
        <w:t xml:space="preserve">benchmark </w:t>
      </w:r>
      <w:r w:rsidR="00335F96" w:rsidRPr="00390D39">
        <w:t>10</w:t>
      </w:r>
      <w:r w:rsidR="002137B7" w:rsidRPr="00390D39">
        <w:t xml:space="preserve"> percent</w:t>
      </w:r>
      <w:r w:rsidR="00842EE3" w:rsidRPr="00390D39">
        <w:t>age</w:t>
      </w:r>
      <w:r w:rsidR="00335F96" w:rsidRPr="00390D39">
        <w:t xml:space="preserve"> </w:t>
      </w:r>
      <w:r w:rsidR="00F82677" w:rsidRPr="00390D39">
        <w:t xml:space="preserve">points </w:t>
      </w:r>
      <w:r w:rsidR="00335F96" w:rsidRPr="00390D39">
        <w:t xml:space="preserve">higher than the </w:t>
      </w:r>
      <w:r w:rsidR="00B870AE" w:rsidRPr="00390D39">
        <w:t xml:space="preserve">70 percent </w:t>
      </w:r>
      <w:r w:rsidR="00335F96" w:rsidRPr="00390D39">
        <w:t>population benchmark for the Lower 700</w:t>
      </w:r>
      <w:r w:rsidRPr="00390D39">
        <w:t xml:space="preserve"> </w:t>
      </w:r>
      <w:r w:rsidR="00335F96" w:rsidRPr="00390D39">
        <w:t>MHz E Block</w:t>
      </w:r>
      <w:r w:rsidR="00382558" w:rsidRPr="00390D39">
        <w:t>,</w:t>
      </w:r>
      <w:r w:rsidR="002137B7" w:rsidRPr="00390D39">
        <w:rPr>
          <w:rStyle w:val="FootnoteReference"/>
        </w:rPr>
        <w:footnoteReference w:id="46"/>
      </w:r>
      <w:r w:rsidR="00335F96" w:rsidRPr="00390D39">
        <w:t xml:space="preserve"> and </w:t>
      </w:r>
      <w:r w:rsidR="00842EE3" w:rsidRPr="00390D39">
        <w:t xml:space="preserve">would </w:t>
      </w:r>
      <w:r w:rsidR="00B870AE" w:rsidRPr="00390D39">
        <w:t xml:space="preserve">meet </w:t>
      </w:r>
      <w:r w:rsidRPr="00390D39">
        <w:t>a</w:t>
      </w:r>
      <w:r w:rsidR="00335F96" w:rsidRPr="00390D39">
        <w:t xml:space="preserve"> higher </w:t>
      </w:r>
      <w:r w:rsidR="00911857" w:rsidRPr="00390D39">
        <w:t xml:space="preserve">population-based </w:t>
      </w:r>
      <w:r w:rsidR="00335F96" w:rsidRPr="00390D39">
        <w:t xml:space="preserve">benchmark than </w:t>
      </w:r>
      <w:r w:rsidR="00B870AE" w:rsidRPr="00390D39">
        <w:t xml:space="preserve">required in </w:t>
      </w:r>
      <w:r w:rsidR="00335F96" w:rsidRPr="00390D39">
        <w:t>any other commercial service</w:t>
      </w:r>
      <w:r w:rsidR="0063469D" w:rsidRPr="00390D39">
        <w:t>.</w:t>
      </w:r>
      <w:r w:rsidR="00335F96" w:rsidRPr="00390D39">
        <w:rPr>
          <w:rStyle w:val="FootnoteReference"/>
        </w:rPr>
        <w:footnoteReference w:id="47"/>
      </w:r>
    </w:p>
    <w:p w14:paraId="17CD83D1" w14:textId="77777777" w:rsidR="004930D1" w:rsidRPr="00390D39" w:rsidRDefault="004930D1" w:rsidP="00312C27">
      <w:pPr>
        <w:pStyle w:val="ParaNum"/>
        <w:numPr>
          <w:ilvl w:val="0"/>
          <w:numId w:val="0"/>
        </w:numPr>
        <w:ind w:left="2880" w:hanging="360"/>
      </w:pPr>
    </w:p>
    <w:p w14:paraId="44008B61" w14:textId="77777777" w:rsidR="00DA6573" w:rsidRDefault="00DA6573" w:rsidP="00912C58">
      <w:pPr>
        <w:pStyle w:val="ParaNum"/>
        <w:numPr>
          <w:ilvl w:val="0"/>
          <w:numId w:val="0"/>
        </w:numPr>
        <w:ind w:firstLine="720"/>
      </w:pPr>
    </w:p>
    <w:p w14:paraId="63EFD33D" w14:textId="77777777" w:rsidR="00DA6573" w:rsidRDefault="00DA6573" w:rsidP="00912C58">
      <w:pPr>
        <w:pStyle w:val="ParaNum"/>
        <w:numPr>
          <w:ilvl w:val="0"/>
          <w:numId w:val="0"/>
        </w:numPr>
        <w:ind w:firstLine="720"/>
      </w:pPr>
    </w:p>
    <w:p w14:paraId="210EC1BF" w14:textId="73B6DA4B" w:rsidR="001679CD" w:rsidRPr="00390D39" w:rsidRDefault="00A726B5" w:rsidP="00912C58">
      <w:pPr>
        <w:pStyle w:val="ParaNum"/>
        <w:numPr>
          <w:ilvl w:val="0"/>
          <w:numId w:val="0"/>
        </w:numPr>
        <w:ind w:firstLine="720"/>
      </w:pPr>
      <w:r w:rsidRPr="00390D39">
        <w:t>Consistent with Section 309</w:t>
      </w:r>
      <w:r w:rsidR="00CF1345">
        <w:rPr>
          <w:rStyle w:val="FootnoteReference"/>
        </w:rPr>
        <w:footnoteReference w:id="48"/>
      </w:r>
      <w:r w:rsidRPr="00390D39">
        <w:t xml:space="preserve"> of the Act’s directive</w:t>
      </w:r>
      <w:r w:rsidR="00D96779" w:rsidRPr="00390D39">
        <w:t xml:space="preserve"> </w:t>
      </w:r>
      <w:r w:rsidRPr="00390D39">
        <w:t>to promote the deployment of wireless services to rural communities,</w:t>
      </w:r>
      <w:r w:rsidRPr="00390D39">
        <w:rPr>
          <w:rStyle w:val="FootnoteReference"/>
        </w:rPr>
        <w:footnoteReference w:id="49"/>
      </w:r>
      <w:r w:rsidRPr="00390D39">
        <w:t xml:space="preserve"> </w:t>
      </w:r>
      <w:r w:rsidR="00094460" w:rsidRPr="00390D39">
        <w:t xml:space="preserve">and </w:t>
      </w:r>
      <w:r w:rsidR="00C51F9B" w:rsidRPr="00390D39">
        <w:t>in light of the</w:t>
      </w:r>
      <w:r w:rsidR="00094460" w:rsidRPr="00390D39">
        <w:t xml:space="preserve"> unique challenges </w:t>
      </w:r>
      <w:r w:rsidR="00C51F9B" w:rsidRPr="00390D39">
        <w:t>of</w:t>
      </w:r>
      <w:r w:rsidR="00094460" w:rsidRPr="00390D39">
        <w:t xml:space="preserve"> deploying service in Alaska, </w:t>
      </w:r>
      <w:r w:rsidRPr="00390D39">
        <w:t>we find that a limited waiver of Section 27.14(g)</w:t>
      </w:r>
      <w:r w:rsidR="00752138" w:rsidRPr="00390D39">
        <w:t>—</w:t>
      </w:r>
      <w:r w:rsidR="00752138">
        <w:t>subject to the conditions described below</w:t>
      </w:r>
      <w:r w:rsidR="00752138" w:rsidRPr="00390D39">
        <w:t>—</w:t>
      </w:r>
      <w:r w:rsidRPr="00390D39">
        <w:t xml:space="preserve">will serve the public interest by fostering </w:t>
      </w:r>
      <w:r w:rsidR="00752138">
        <w:t>the</w:t>
      </w:r>
      <w:r w:rsidRPr="00390D39">
        <w:t xml:space="preserve"> provision of new wireless services to areas of Alaska that may otherw</w:t>
      </w:r>
      <w:r w:rsidR="00490E97" w:rsidRPr="00390D39">
        <w:t>ise continue to be underserved.</w:t>
      </w:r>
      <w:r w:rsidRPr="00390D39">
        <w:t xml:space="preserve"> </w:t>
      </w:r>
      <w:r w:rsidR="001679CD" w:rsidRPr="00390D39">
        <w:t xml:space="preserve"> </w:t>
      </w:r>
      <w:r w:rsidR="004930D1" w:rsidRPr="00390D39">
        <w:t xml:space="preserve">We believe that, absent a waiver, the provision of wireless services to Alaskans in CMA315, especially those residing in particularly remote areas, could be delayed, frustrating the underlying purpose of Section 27.14(g)—to promote access to spectrum and the provision of service, especially in rural areas.  </w:t>
      </w:r>
      <w:r w:rsidR="001679CD" w:rsidRPr="00390D39">
        <w:t xml:space="preserve">We are adopting stringent performance </w:t>
      </w:r>
      <w:r w:rsidR="00B06FFB" w:rsidRPr="00390D39">
        <w:t xml:space="preserve">benchmarks and certain </w:t>
      </w:r>
      <w:r w:rsidR="001679CD" w:rsidRPr="00390D39">
        <w:t xml:space="preserve">conditions below to ensure that, consistent with </w:t>
      </w:r>
      <w:r w:rsidR="00B06FFB" w:rsidRPr="00390D39">
        <w:t xml:space="preserve">Section 309 of the Act and </w:t>
      </w:r>
      <w:r w:rsidR="001679CD" w:rsidRPr="00390D39">
        <w:t xml:space="preserve">the underlying purpose of Section 27.14(g), </w:t>
      </w:r>
      <w:r w:rsidR="00490E97" w:rsidRPr="00390D39">
        <w:t>AT&amp;T</w:t>
      </w:r>
      <w:r w:rsidR="001679CD" w:rsidRPr="00390D39">
        <w:t xml:space="preserve"> </w:t>
      </w:r>
      <w:r w:rsidR="00490E97" w:rsidRPr="00390D39">
        <w:t>brings</w:t>
      </w:r>
      <w:r w:rsidR="001679CD" w:rsidRPr="00390D39">
        <w:t xml:space="preserve"> new services </w:t>
      </w:r>
      <w:r w:rsidR="00490E97" w:rsidRPr="00390D39">
        <w:t>to</w:t>
      </w:r>
      <w:r w:rsidR="00323ADD" w:rsidRPr="00390D39">
        <w:t xml:space="preserve"> remote </w:t>
      </w:r>
      <w:r w:rsidR="00490E97" w:rsidRPr="00390D39">
        <w:t xml:space="preserve">communities </w:t>
      </w:r>
      <w:r w:rsidR="005B1FA3" w:rsidRPr="00390D39">
        <w:t xml:space="preserve">in </w:t>
      </w:r>
      <w:r w:rsidR="00490E97" w:rsidRPr="00390D39">
        <w:t>CMA315</w:t>
      </w:r>
      <w:r w:rsidR="001679CD" w:rsidRPr="00390D39">
        <w:t>.</w:t>
      </w:r>
      <w:r w:rsidR="001761E3" w:rsidRPr="00390D39">
        <w:t xml:space="preserve">  We </w:t>
      </w:r>
      <w:r w:rsidR="00DA49A8" w:rsidRPr="00390D39">
        <w:t xml:space="preserve">further </w:t>
      </w:r>
      <w:r w:rsidR="001761E3" w:rsidRPr="00390D39">
        <w:t xml:space="preserve">believe that </w:t>
      </w:r>
      <w:r w:rsidR="00912C58" w:rsidRPr="00390D39">
        <w:t xml:space="preserve">AT&amp;T’s commitment to negotiate in good faith with any third party seeking to lease spectrum in an area not served by AT&amp;T, which we have included as a condition, will ensure access to unused portions of the </w:t>
      </w:r>
      <w:r w:rsidR="0009552D" w:rsidRPr="00390D39">
        <w:t>L</w:t>
      </w:r>
      <w:r w:rsidR="00912C58" w:rsidRPr="00390D39">
        <w:t>icense</w:t>
      </w:r>
      <w:r w:rsidR="0009552D" w:rsidRPr="00390D39">
        <w:t xml:space="preserve"> area</w:t>
      </w:r>
      <w:r w:rsidR="00912C58" w:rsidRPr="00390D39">
        <w:t xml:space="preserve"> by other providers, including any RWA members.</w:t>
      </w:r>
    </w:p>
    <w:p w14:paraId="39F38DDD" w14:textId="77777777" w:rsidR="00912C58" w:rsidRPr="00390D39" w:rsidRDefault="00912C58" w:rsidP="00912C58">
      <w:pPr>
        <w:pStyle w:val="ParaNum"/>
        <w:numPr>
          <w:ilvl w:val="0"/>
          <w:numId w:val="0"/>
        </w:numPr>
        <w:ind w:firstLine="720"/>
      </w:pPr>
    </w:p>
    <w:p w14:paraId="4661D301" w14:textId="265EFC1B" w:rsidR="002137B7" w:rsidRPr="00390D39" w:rsidRDefault="00A726B5" w:rsidP="00F01C5C">
      <w:pPr>
        <w:pStyle w:val="ParaNum"/>
        <w:numPr>
          <w:ilvl w:val="0"/>
          <w:numId w:val="0"/>
        </w:numPr>
        <w:ind w:firstLine="720"/>
      </w:pPr>
      <w:r w:rsidRPr="00390D39">
        <w:t xml:space="preserve">Accordingly, </w:t>
      </w:r>
      <w:r w:rsidR="00F82677" w:rsidRPr="00390D39">
        <w:t xml:space="preserve">we hereby </w:t>
      </w:r>
      <w:r w:rsidR="002137B7" w:rsidRPr="00390D39">
        <w:t xml:space="preserve">grant </w:t>
      </w:r>
      <w:r w:rsidR="0048510E" w:rsidRPr="00390D39">
        <w:t>AT&amp;T</w:t>
      </w:r>
      <w:r w:rsidR="00B06FFB" w:rsidRPr="00390D39">
        <w:t>’s request for</w:t>
      </w:r>
      <w:r w:rsidR="002137B7" w:rsidRPr="00390D39">
        <w:t xml:space="preserve"> a waiver of Section 27.14(g) </w:t>
      </w:r>
      <w:r w:rsidRPr="00390D39">
        <w:t xml:space="preserve">as </w:t>
      </w:r>
      <w:r w:rsidR="002137B7" w:rsidRPr="00390D39">
        <w:t>condit</w:t>
      </w:r>
      <w:r w:rsidRPr="00390D39">
        <w:t>ioned</w:t>
      </w:r>
      <w:r w:rsidR="002137B7" w:rsidRPr="00390D39">
        <w:t xml:space="preserve"> below.</w:t>
      </w:r>
      <w:r w:rsidR="00AA7965" w:rsidRPr="00390D39">
        <w:rPr>
          <w:rStyle w:val="FootnoteReference"/>
          <w:color w:val="000000" w:themeColor="text1"/>
        </w:rPr>
        <w:footnoteReference w:id="50"/>
      </w:r>
    </w:p>
    <w:p w14:paraId="31E89632" w14:textId="77777777" w:rsidR="002137B7" w:rsidRPr="00390D39" w:rsidRDefault="002137B7" w:rsidP="00F01C5C">
      <w:pPr>
        <w:pStyle w:val="ParaNum"/>
        <w:numPr>
          <w:ilvl w:val="0"/>
          <w:numId w:val="0"/>
        </w:numPr>
        <w:ind w:firstLine="720"/>
      </w:pPr>
      <w:r w:rsidRPr="00390D39">
        <w:tab/>
      </w:r>
    </w:p>
    <w:p w14:paraId="42D6C4EB" w14:textId="33F40725" w:rsidR="002137B7" w:rsidRPr="00390D39" w:rsidRDefault="007F6C08" w:rsidP="00F01C5C">
      <w:pPr>
        <w:pStyle w:val="ParaNum"/>
        <w:numPr>
          <w:ilvl w:val="0"/>
          <w:numId w:val="0"/>
        </w:numPr>
        <w:ind w:firstLine="720"/>
      </w:pPr>
      <w:r w:rsidRPr="00390D39">
        <w:rPr>
          <w:i/>
        </w:rPr>
        <w:t xml:space="preserve">Coverage Benchmarks and </w:t>
      </w:r>
      <w:r w:rsidR="002137B7" w:rsidRPr="00390D39">
        <w:rPr>
          <w:i/>
        </w:rPr>
        <w:t>Waiver Conditions.</w:t>
      </w:r>
      <w:r w:rsidR="002137B7" w:rsidRPr="00390D39">
        <w:t xml:space="preserve">  To ensure that the benefits of the waiver relief are realized by citizens </w:t>
      </w:r>
      <w:r w:rsidR="00B870AE" w:rsidRPr="00390D39">
        <w:t xml:space="preserve">in </w:t>
      </w:r>
      <w:r w:rsidR="005B1FA3" w:rsidRPr="00390D39">
        <w:t>isolated</w:t>
      </w:r>
      <w:r w:rsidR="00B870AE" w:rsidRPr="00390D39">
        <w:t xml:space="preserve"> area</w:t>
      </w:r>
      <w:r w:rsidR="00A415E4" w:rsidRPr="00390D39">
        <w:t>s</w:t>
      </w:r>
      <w:r w:rsidR="00B870AE" w:rsidRPr="00390D39">
        <w:t xml:space="preserve"> </w:t>
      </w:r>
      <w:r w:rsidR="002137B7" w:rsidRPr="00390D39">
        <w:t xml:space="preserve">of </w:t>
      </w:r>
      <w:r w:rsidR="005B1FA3" w:rsidRPr="00390D39">
        <w:t>CMA315</w:t>
      </w:r>
      <w:r w:rsidR="002137B7" w:rsidRPr="00390D39">
        <w:t xml:space="preserve">, we require </w:t>
      </w:r>
      <w:r w:rsidR="00983D60" w:rsidRPr="00390D39">
        <w:t>AT&amp;T</w:t>
      </w:r>
      <w:r w:rsidR="002137B7" w:rsidRPr="00390D39">
        <w:t xml:space="preserve"> to satisfy </w:t>
      </w:r>
      <w:r w:rsidR="00A726B5" w:rsidRPr="00390D39">
        <w:t xml:space="preserve">certain </w:t>
      </w:r>
      <w:r w:rsidR="00B06FFB" w:rsidRPr="00390D39">
        <w:t>coverage benchmarks</w:t>
      </w:r>
      <w:r w:rsidRPr="00390D39">
        <w:t xml:space="preserve"> and other </w:t>
      </w:r>
      <w:r w:rsidR="002137B7" w:rsidRPr="00390D39">
        <w:t xml:space="preserve">conditions.  If </w:t>
      </w:r>
      <w:r w:rsidR="0048510E" w:rsidRPr="00390D39">
        <w:t>AT&amp;T</w:t>
      </w:r>
      <w:r w:rsidR="002137B7" w:rsidRPr="00390D39">
        <w:t xml:space="preserve"> fails to </w:t>
      </w:r>
      <w:r w:rsidRPr="00390D39">
        <w:t xml:space="preserve">meet any benchmark or </w:t>
      </w:r>
      <w:r w:rsidR="002137B7" w:rsidRPr="00390D39">
        <w:t xml:space="preserve">satisfy any condition, it will (unless specified otherwise) be subject to the Section 27.14(g)(2) </w:t>
      </w:r>
      <w:r w:rsidR="002137B7" w:rsidRPr="00390D39">
        <w:rPr>
          <w:color w:val="auto"/>
        </w:rPr>
        <w:t>“keep-what-you-</w:t>
      </w:r>
      <w:r w:rsidR="002137B7" w:rsidRPr="00390D39">
        <w:t>serve” rule that would have applied as of June 13, 2017</w:t>
      </w:r>
      <w:r w:rsidR="00A726B5" w:rsidRPr="00390D39">
        <w:t xml:space="preserve"> (</w:t>
      </w:r>
      <w:r w:rsidR="002137B7" w:rsidRPr="00390D39">
        <w:t xml:space="preserve">the </w:t>
      </w:r>
      <w:r w:rsidR="00AB05BF" w:rsidRPr="00390D39">
        <w:t xml:space="preserve">accelerated </w:t>
      </w:r>
      <w:r w:rsidR="002137B7" w:rsidRPr="00390D39">
        <w:t>end</w:t>
      </w:r>
      <w:r w:rsidR="002B69E0" w:rsidRPr="00390D39">
        <w:t>-</w:t>
      </w:r>
      <w:r w:rsidR="002137B7" w:rsidRPr="00390D39">
        <w:t>of</w:t>
      </w:r>
      <w:r w:rsidR="002B69E0" w:rsidRPr="00390D39">
        <w:t>-</w:t>
      </w:r>
      <w:r w:rsidR="002137B7" w:rsidRPr="00390D39">
        <w:t>license term absent</w:t>
      </w:r>
      <w:r w:rsidR="00A91048" w:rsidRPr="00390D39">
        <w:t xml:space="preserve"> a waiver of Section 27.14(g)</w:t>
      </w:r>
      <w:r w:rsidR="00A726B5" w:rsidRPr="00390D39">
        <w:t>)</w:t>
      </w:r>
      <w:r w:rsidR="002137B7" w:rsidRPr="00390D39">
        <w:t>.</w:t>
      </w:r>
      <w:r w:rsidR="002137B7" w:rsidRPr="00390D39">
        <w:rPr>
          <w:rStyle w:val="FootnoteReference"/>
        </w:rPr>
        <w:footnoteReference w:id="51"/>
      </w:r>
      <w:r w:rsidR="002137B7" w:rsidRPr="00390D39">
        <w:t xml:space="preserve"> </w:t>
      </w:r>
    </w:p>
    <w:p w14:paraId="6B36AAF8" w14:textId="77777777" w:rsidR="001E3D55" w:rsidRPr="00390D39" w:rsidRDefault="001E3D55" w:rsidP="00F01C5C">
      <w:pPr>
        <w:pStyle w:val="ParaNum"/>
        <w:numPr>
          <w:ilvl w:val="0"/>
          <w:numId w:val="0"/>
        </w:numPr>
        <w:ind w:firstLine="720"/>
      </w:pPr>
    </w:p>
    <w:p w14:paraId="1E8FD6BF" w14:textId="2BA59DFC" w:rsidR="001E3D55" w:rsidRPr="00390D39" w:rsidRDefault="002E455C" w:rsidP="00B51B7D">
      <w:pPr>
        <w:pStyle w:val="ParaNum"/>
        <w:numPr>
          <w:ilvl w:val="0"/>
          <w:numId w:val="33"/>
        </w:numPr>
        <w:ind w:left="1080"/>
      </w:pPr>
      <w:r w:rsidRPr="00390D39">
        <w:rPr>
          <w:i/>
        </w:rPr>
        <w:t>70</w:t>
      </w:r>
      <w:r w:rsidR="002E613B" w:rsidRPr="00390D39">
        <w:rPr>
          <w:i/>
        </w:rPr>
        <w:t xml:space="preserve"> Percent Population Coverage </w:t>
      </w:r>
      <w:r w:rsidR="00EA5DA0" w:rsidRPr="00390D39">
        <w:rPr>
          <w:i/>
        </w:rPr>
        <w:t>Benchmark</w:t>
      </w:r>
      <w:r w:rsidR="002E613B" w:rsidRPr="00390D39">
        <w:t xml:space="preserve">.  </w:t>
      </w:r>
      <w:r w:rsidR="0052475E">
        <w:t>The waiver relief described in this Order is effective only if AT&amp;T provided</w:t>
      </w:r>
      <w:r w:rsidR="005F39C8" w:rsidRPr="00390D39">
        <w:t xml:space="preserve"> </w:t>
      </w:r>
      <w:r w:rsidR="00F26D48" w:rsidRPr="00390D39">
        <w:t>signal coverage and offer</w:t>
      </w:r>
      <w:r w:rsidR="0052475E">
        <w:t>ed</w:t>
      </w:r>
      <w:r w:rsidR="00F26D48" w:rsidRPr="00390D39">
        <w:t xml:space="preserve"> service </w:t>
      </w:r>
      <w:r w:rsidR="00B870AE" w:rsidRPr="00390D39">
        <w:t xml:space="preserve">to </w:t>
      </w:r>
      <w:r w:rsidR="00F26D48" w:rsidRPr="00390D39">
        <w:t xml:space="preserve">at least </w:t>
      </w:r>
      <w:r w:rsidRPr="00390D39">
        <w:t>70</w:t>
      </w:r>
      <w:r w:rsidR="00F26D48" w:rsidRPr="00390D39">
        <w:t xml:space="preserve"> percent of </w:t>
      </w:r>
      <w:r w:rsidR="00503F06" w:rsidRPr="00390D39">
        <w:t xml:space="preserve">CMA315’s </w:t>
      </w:r>
      <w:r w:rsidR="00F26D48" w:rsidRPr="00390D39">
        <w:t>population</w:t>
      </w:r>
      <w:r w:rsidR="0052475E">
        <w:t xml:space="preserve"> b</w:t>
      </w:r>
      <w:r w:rsidR="0052475E" w:rsidRPr="00390D39">
        <w:t>y December 13, 2016</w:t>
      </w:r>
      <w:r w:rsidR="00F26D48" w:rsidRPr="00390D39">
        <w:t>.</w:t>
      </w:r>
      <w:r w:rsidR="00F84D09" w:rsidRPr="00390D39">
        <w:rPr>
          <w:rStyle w:val="FootnoteReference"/>
        </w:rPr>
        <w:footnoteReference w:id="52"/>
      </w:r>
      <w:r w:rsidR="00F26D48" w:rsidRPr="00390D39">
        <w:t>  If AT&amp;T fail</w:t>
      </w:r>
      <w:r w:rsidR="0052475E">
        <w:t>ed</w:t>
      </w:r>
      <w:r w:rsidR="00F26D48" w:rsidRPr="00390D39">
        <w:t xml:space="preserve"> to </w:t>
      </w:r>
      <w:r w:rsidR="00503F06" w:rsidRPr="00390D39">
        <w:t xml:space="preserve">meet this </w:t>
      </w:r>
      <w:r w:rsidR="0052475E">
        <w:t xml:space="preserve">initial </w:t>
      </w:r>
      <w:r w:rsidR="00C51F9B" w:rsidRPr="00390D39">
        <w:t>benchmark</w:t>
      </w:r>
      <w:r w:rsidR="00F26D48" w:rsidRPr="00390D39">
        <w:t>,</w:t>
      </w:r>
      <w:r w:rsidR="00B51B7D" w:rsidRPr="00390D39">
        <w:t xml:space="preserve"> its license term </w:t>
      </w:r>
      <w:r w:rsidR="0052475E">
        <w:t>will</w:t>
      </w:r>
      <w:r w:rsidR="00B51B7D" w:rsidRPr="00390D39">
        <w:t xml:space="preserve"> be reduced by two years, to June 13, 2017, and </w:t>
      </w:r>
      <w:r w:rsidR="00F26D48" w:rsidRPr="00390D39">
        <w:t xml:space="preserve">its authorization will automatically terminate, without Commission action, for those geographic portions of the License </w:t>
      </w:r>
      <w:r w:rsidR="005B1FA3" w:rsidRPr="00390D39">
        <w:t xml:space="preserve">area </w:t>
      </w:r>
      <w:r w:rsidR="00F26D48" w:rsidRPr="00390D39">
        <w:t xml:space="preserve">in which AT&amp;T </w:t>
      </w:r>
      <w:r w:rsidR="009F5C43" w:rsidRPr="00390D39">
        <w:t xml:space="preserve">is </w:t>
      </w:r>
      <w:r w:rsidR="00F26D48" w:rsidRPr="00390D39">
        <w:t xml:space="preserve">not providing service </w:t>
      </w:r>
      <w:r w:rsidR="00F26D48" w:rsidRPr="00390D39">
        <w:rPr>
          <w:u w:val="single"/>
        </w:rPr>
        <w:t>by June 13, 2017</w:t>
      </w:r>
      <w:r w:rsidR="00F26D48" w:rsidRPr="00390D39">
        <w:t>, and those unserved areas will become available for reassignment by the Commission</w:t>
      </w:r>
      <w:r w:rsidR="002B4755" w:rsidRPr="00390D39">
        <w:t xml:space="preserve">. </w:t>
      </w:r>
    </w:p>
    <w:p w14:paraId="52126488" w14:textId="77777777" w:rsidR="001E3D55" w:rsidRPr="00390D39" w:rsidRDefault="001E3D55" w:rsidP="00F01C5C">
      <w:pPr>
        <w:pStyle w:val="ParaNum"/>
        <w:numPr>
          <w:ilvl w:val="0"/>
          <w:numId w:val="0"/>
        </w:numPr>
        <w:ind w:left="1080" w:hanging="360"/>
      </w:pPr>
    </w:p>
    <w:p w14:paraId="6EEAD809" w14:textId="18DB9DC9" w:rsidR="007F6EA3" w:rsidRPr="00390D39" w:rsidRDefault="007F6EA3" w:rsidP="002B4755">
      <w:pPr>
        <w:pStyle w:val="ParaNum"/>
        <w:numPr>
          <w:ilvl w:val="0"/>
          <w:numId w:val="33"/>
        </w:numPr>
        <w:ind w:left="1080"/>
      </w:pPr>
      <w:r w:rsidRPr="00390D39">
        <w:rPr>
          <w:i/>
        </w:rPr>
        <w:t>75 Percent Population Coverage Benchmark</w:t>
      </w:r>
      <w:r w:rsidRPr="00390D39">
        <w:t>.  By June 13, 2019, AT&amp;T must provide signal coverage and offer service to at least 75 percent of CMA315’s population.</w:t>
      </w:r>
      <w:r w:rsidR="00EA1507" w:rsidRPr="00390D39">
        <w:rPr>
          <w:rStyle w:val="FootnoteReference"/>
        </w:rPr>
        <w:footnoteReference w:id="53"/>
      </w:r>
      <w:r w:rsidR="00F51B6C" w:rsidRPr="00390D39">
        <w:t xml:space="preserve">  </w:t>
      </w:r>
      <w:r w:rsidRPr="00390D39">
        <w:t xml:space="preserve">If AT&amp;T fails to meet this benchmark, its authorization will automatically terminate, without Commission action, for those geographic portions of the License area in which AT&amp;T was not providing service </w:t>
      </w:r>
      <w:r w:rsidRPr="00390D39">
        <w:rPr>
          <w:u w:val="single"/>
        </w:rPr>
        <w:t>by June 13, 2017</w:t>
      </w:r>
      <w:r w:rsidRPr="00390D39">
        <w:t>, and those unserved areas will become available for reassignment by the Commission. </w:t>
      </w:r>
      <w:r w:rsidRPr="00390D39" w:rsidDel="00E312CE">
        <w:t xml:space="preserve"> </w:t>
      </w:r>
    </w:p>
    <w:p w14:paraId="30D9DB88" w14:textId="77777777" w:rsidR="007F6EA3" w:rsidRPr="00390D39" w:rsidRDefault="007F6EA3" w:rsidP="00147883">
      <w:pPr>
        <w:pStyle w:val="ListParagraph"/>
        <w:rPr>
          <w:i/>
          <w:szCs w:val="22"/>
          <w:highlight w:val="yellow"/>
        </w:rPr>
      </w:pPr>
    </w:p>
    <w:p w14:paraId="565FB070" w14:textId="76485EDE" w:rsidR="002E613B" w:rsidRPr="00390D39" w:rsidRDefault="002E613B" w:rsidP="002B4755">
      <w:pPr>
        <w:pStyle w:val="ParaNum"/>
        <w:numPr>
          <w:ilvl w:val="0"/>
          <w:numId w:val="33"/>
        </w:numPr>
        <w:ind w:left="1080"/>
      </w:pPr>
      <w:r w:rsidRPr="00390D39">
        <w:rPr>
          <w:i/>
        </w:rPr>
        <w:t xml:space="preserve">80 Percent Population Coverage </w:t>
      </w:r>
      <w:r w:rsidR="00C51F9B" w:rsidRPr="00390D39">
        <w:rPr>
          <w:i/>
        </w:rPr>
        <w:t>Benchmark</w:t>
      </w:r>
      <w:r w:rsidRPr="00390D39">
        <w:t xml:space="preserve">.  </w:t>
      </w:r>
      <w:r w:rsidR="00F26D48" w:rsidRPr="00390D39">
        <w:t xml:space="preserve">By June 13, </w:t>
      </w:r>
      <w:r w:rsidR="007F6EA3" w:rsidRPr="00390D39">
        <w:t>2020</w:t>
      </w:r>
      <w:r w:rsidR="00F26D48" w:rsidRPr="00390D39">
        <w:t xml:space="preserve">, </w:t>
      </w:r>
      <w:r w:rsidR="00CE0FA4" w:rsidRPr="00390D39">
        <w:t xml:space="preserve">AT&amp;T must provide signal coverage and offer service </w:t>
      </w:r>
      <w:r w:rsidR="00B870AE" w:rsidRPr="00390D39">
        <w:t xml:space="preserve">to </w:t>
      </w:r>
      <w:r w:rsidR="00CE0FA4" w:rsidRPr="00390D39">
        <w:t xml:space="preserve">at least 80 </w:t>
      </w:r>
      <w:r w:rsidR="005B1FA3" w:rsidRPr="00390D39">
        <w:t xml:space="preserve">percent of </w:t>
      </w:r>
      <w:r w:rsidR="00503F06" w:rsidRPr="00390D39">
        <w:t xml:space="preserve">CMA315’s </w:t>
      </w:r>
      <w:r w:rsidR="00CE0FA4" w:rsidRPr="00390D39">
        <w:t>population</w:t>
      </w:r>
      <w:r w:rsidR="007F6C08" w:rsidRPr="00390D39">
        <w:t>.</w:t>
      </w:r>
      <w:r w:rsidR="00EA1507" w:rsidRPr="00390D39">
        <w:rPr>
          <w:rStyle w:val="FootnoteReference"/>
        </w:rPr>
        <w:footnoteReference w:id="54"/>
      </w:r>
      <w:r w:rsidR="00707019" w:rsidRPr="00390D39">
        <w:t xml:space="preserve">  </w:t>
      </w:r>
      <w:r w:rsidR="00F26D48" w:rsidRPr="00390D39">
        <w:t xml:space="preserve">If </w:t>
      </w:r>
      <w:r w:rsidR="00CE0FA4" w:rsidRPr="00390D39">
        <w:t>AT&amp;T</w:t>
      </w:r>
      <w:r w:rsidR="00F26D48" w:rsidRPr="00390D39">
        <w:t xml:space="preserve"> fails to </w:t>
      </w:r>
      <w:r w:rsidR="00503F06" w:rsidRPr="00390D39">
        <w:t xml:space="preserve">meet this </w:t>
      </w:r>
      <w:r w:rsidR="00C51F9B" w:rsidRPr="00390D39">
        <w:t>benchmark</w:t>
      </w:r>
      <w:r w:rsidR="00F26D48" w:rsidRPr="00390D39">
        <w:t xml:space="preserve">, its authorization will automatically terminate, without Commission action, for those geographic portions of </w:t>
      </w:r>
      <w:r w:rsidR="00CE0FA4" w:rsidRPr="00390D39">
        <w:t>the</w:t>
      </w:r>
      <w:r w:rsidR="00F26D48" w:rsidRPr="00390D39">
        <w:t xml:space="preserve"> License </w:t>
      </w:r>
      <w:r w:rsidR="005B1FA3" w:rsidRPr="00390D39">
        <w:t xml:space="preserve">area </w:t>
      </w:r>
      <w:r w:rsidR="00CE0FA4" w:rsidRPr="00390D39">
        <w:t xml:space="preserve">in which AT&amp;T was not providing service </w:t>
      </w:r>
      <w:r w:rsidR="00CE0FA4" w:rsidRPr="00390D39">
        <w:rPr>
          <w:u w:val="single"/>
        </w:rPr>
        <w:t>by June 13, 2017</w:t>
      </w:r>
      <w:r w:rsidR="00CE0FA4" w:rsidRPr="00390D39">
        <w:t>, and those unserved areas will become available for reassignment by the Commission</w:t>
      </w:r>
      <w:r w:rsidR="00F26D48" w:rsidRPr="00390D39">
        <w:t>. </w:t>
      </w:r>
      <w:r w:rsidR="00F26D48" w:rsidRPr="00390D39" w:rsidDel="00E312CE">
        <w:t xml:space="preserve"> </w:t>
      </w:r>
    </w:p>
    <w:p w14:paraId="208C3C05" w14:textId="77777777" w:rsidR="002E613B" w:rsidRPr="00390D39" w:rsidRDefault="002E613B" w:rsidP="00147883">
      <w:pPr>
        <w:pStyle w:val="ListParagraph"/>
        <w:ind w:left="1080" w:hanging="360"/>
        <w:rPr>
          <w:i/>
          <w:szCs w:val="22"/>
        </w:rPr>
      </w:pPr>
    </w:p>
    <w:p w14:paraId="49EA42C6" w14:textId="79A09055" w:rsidR="00E62221" w:rsidRPr="00390D39" w:rsidRDefault="00F26D48" w:rsidP="00F01C5C">
      <w:pPr>
        <w:pStyle w:val="ParaNum"/>
        <w:numPr>
          <w:ilvl w:val="0"/>
          <w:numId w:val="33"/>
        </w:numPr>
        <w:ind w:left="1080"/>
      </w:pPr>
      <w:r w:rsidRPr="00390D39">
        <w:rPr>
          <w:i/>
        </w:rPr>
        <w:t>Continuity of Coverage</w:t>
      </w:r>
      <w:r w:rsidRPr="00390D39">
        <w:t xml:space="preserve">.  </w:t>
      </w:r>
      <w:r w:rsidR="003D5AB2" w:rsidRPr="00390D39">
        <w:t>AT&amp;T</w:t>
      </w:r>
      <w:r w:rsidRPr="00390D39">
        <w:t xml:space="preserve"> must maintain </w:t>
      </w:r>
      <w:r w:rsidR="002E455C" w:rsidRPr="00390D39">
        <w:t xml:space="preserve">coverage and service to </w:t>
      </w:r>
      <w:r w:rsidR="00B51B7D" w:rsidRPr="00390D39">
        <w:t xml:space="preserve">at least </w:t>
      </w:r>
      <w:r w:rsidR="002E455C" w:rsidRPr="00390D39">
        <w:t xml:space="preserve">80 percent of </w:t>
      </w:r>
      <w:r w:rsidR="00503F06" w:rsidRPr="00390D39">
        <w:t xml:space="preserve">CMA315’s </w:t>
      </w:r>
      <w:r w:rsidR="002E455C" w:rsidRPr="00390D39">
        <w:t>population</w:t>
      </w:r>
      <w:r w:rsidRPr="00390D39">
        <w:t xml:space="preserve"> for a minimum of five years</w:t>
      </w:r>
      <w:r w:rsidR="007F6C08" w:rsidRPr="00390D39">
        <w:t>, commencing</w:t>
      </w:r>
      <w:r w:rsidR="002E455C" w:rsidRPr="00390D39">
        <w:t xml:space="preserve"> June 13, </w:t>
      </w:r>
      <w:r w:rsidR="007F6EA3" w:rsidRPr="00390D39">
        <w:t>2020</w:t>
      </w:r>
      <w:r w:rsidR="007F6C08" w:rsidRPr="00390D39">
        <w:t xml:space="preserve"> (that is, </w:t>
      </w:r>
      <w:r w:rsidR="003D5AB2" w:rsidRPr="00390D39">
        <w:t xml:space="preserve">until </w:t>
      </w:r>
      <w:r w:rsidR="007F6C08" w:rsidRPr="00390D39">
        <w:t xml:space="preserve">at least </w:t>
      </w:r>
      <w:r w:rsidR="003D5AB2" w:rsidRPr="00390D39">
        <w:t xml:space="preserve">June 13, </w:t>
      </w:r>
      <w:r w:rsidR="007F6EA3" w:rsidRPr="00390D39">
        <w:t>2025</w:t>
      </w:r>
      <w:r w:rsidR="007F6C08" w:rsidRPr="00390D39">
        <w:t>)</w:t>
      </w:r>
      <w:r w:rsidR="003D5AB2" w:rsidRPr="00390D39">
        <w:t xml:space="preserve">.  </w:t>
      </w:r>
      <w:r w:rsidRPr="00390D39">
        <w:t xml:space="preserve">However, </w:t>
      </w:r>
      <w:r w:rsidR="003D5AB2" w:rsidRPr="00390D39">
        <w:t>AT&amp;T</w:t>
      </w:r>
      <w:r w:rsidRPr="00390D39">
        <w:t xml:space="preserve"> may reduce </w:t>
      </w:r>
      <w:r w:rsidR="00B51B7D" w:rsidRPr="00390D39">
        <w:t xml:space="preserve">coverage and </w:t>
      </w:r>
      <w:r w:rsidRPr="00390D39">
        <w:t xml:space="preserve">service </w:t>
      </w:r>
      <w:r w:rsidR="00B870AE" w:rsidRPr="00390D39">
        <w:t>to less</w:t>
      </w:r>
      <w:r w:rsidRPr="00390D39">
        <w:t xml:space="preserve"> than </w:t>
      </w:r>
      <w:r w:rsidR="00B870AE" w:rsidRPr="00390D39">
        <w:t>8</w:t>
      </w:r>
      <w:r w:rsidRPr="00390D39">
        <w:t xml:space="preserve">0 percent </w:t>
      </w:r>
      <w:r w:rsidR="00B870AE" w:rsidRPr="00390D39">
        <w:t xml:space="preserve">of </w:t>
      </w:r>
      <w:r w:rsidR="00E70869" w:rsidRPr="00390D39">
        <w:t>CMA315’s</w:t>
      </w:r>
      <w:r w:rsidR="00B870AE" w:rsidRPr="00390D39">
        <w:t xml:space="preserve"> population </w:t>
      </w:r>
      <w:r w:rsidRPr="00390D39">
        <w:t xml:space="preserve">for up to 180 days to accommodate circumstances such as a </w:t>
      </w:r>
      <w:r w:rsidR="00DD7DF5" w:rsidRPr="00390D39">
        <w:t xml:space="preserve">substantial </w:t>
      </w:r>
      <w:r w:rsidR="005B1FA3" w:rsidRPr="00390D39">
        <w:t xml:space="preserve">technology </w:t>
      </w:r>
      <w:r w:rsidRPr="00390D39">
        <w:t>upgrade or recovery from a natural or manmade catastrophe.</w:t>
      </w:r>
      <w:r w:rsidR="003D5AB2" w:rsidRPr="00390D39">
        <w:t xml:space="preserve">  </w:t>
      </w:r>
      <w:r w:rsidR="001F27D6" w:rsidRPr="00390D39">
        <w:t>If AT&amp;T violates this condition, it must provide written notice to the Commission, and its authorization will automatically terminate, without Commission action, for thos</w:t>
      </w:r>
      <w:r w:rsidR="00707019" w:rsidRPr="00390D39">
        <w:t xml:space="preserve">e geographic portions of the </w:t>
      </w:r>
      <w:r w:rsidR="001F27D6" w:rsidRPr="00390D39">
        <w:t xml:space="preserve">License area in which </w:t>
      </w:r>
      <w:r w:rsidR="00707019" w:rsidRPr="00390D39">
        <w:t>AT&amp;T</w:t>
      </w:r>
      <w:r w:rsidR="001F27D6" w:rsidRPr="00390D39">
        <w:t xml:space="preserve"> was not providing service </w:t>
      </w:r>
      <w:r w:rsidR="001F27D6" w:rsidRPr="00390D39">
        <w:rPr>
          <w:u w:val="single"/>
        </w:rPr>
        <w:t>by June 13, 2017</w:t>
      </w:r>
      <w:r w:rsidR="001F27D6" w:rsidRPr="00390D39">
        <w:t>, and those areas will become available for reassignment by the Commission.</w:t>
      </w:r>
    </w:p>
    <w:p w14:paraId="30DBC0B7" w14:textId="77777777" w:rsidR="002E613B" w:rsidRPr="00390D39" w:rsidRDefault="002E613B" w:rsidP="00F01C5C">
      <w:pPr>
        <w:pStyle w:val="ParaNum"/>
        <w:numPr>
          <w:ilvl w:val="0"/>
          <w:numId w:val="0"/>
        </w:numPr>
        <w:ind w:left="1080" w:hanging="360"/>
      </w:pPr>
    </w:p>
    <w:p w14:paraId="2344886B" w14:textId="791FCAC6" w:rsidR="006931BE" w:rsidRPr="00390D39" w:rsidRDefault="002E613B" w:rsidP="006931BE">
      <w:pPr>
        <w:pStyle w:val="ListParagraph"/>
        <w:numPr>
          <w:ilvl w:val="0"/>
          <w:numId w:val="33"/>
        </w:numPr>
        <w:ind w:left="1080"/>
        <w:rPr>
          <w:szCs w:val="22"/>
        </w:rPr>
      </w:pPr>
      <w:r w:rsidRPr="00390D39">
        <w:rPr>
          <w:i/>
          <w:szCs w:val="22"/>
        </w:rPr>
        <w:t>Good Faith Negotiation</w:t>
      </w:r>
      <w:r w:rsidR="00B870AE" w:rsidRPr="00390D39">
        <w:rPr>
          <w:i/>
          <w:szCs w:val="22"/>
        </w:rPr>
        <w:t>s</w:t>
      </w:r>
      <w:r w:rsidR="00E62221" w:rsidRPr="00390D39">
        <w:rPr>
          <w:szCs w:val="22"/>
        </w:rPr>
        <w:t>.  During</w:t>
      </w:r>
      <w:r w:rsidR="00B870AE" w:rsidRPr="00390D39">
        <w:rPr>
          <w:szCs w:val="22"/>
        </w:rPr>
        <w:t xml:space="preserve"> the remainder of the current license term and any subsequent license </w:t>
      </w:r>
      <w:r w:rsidR="00E62221" w:rsidRPr="00390D39">
        <w:rPr>
          <w:szCs w:val="22"/>
        </w:rPr>
        <w:t>term</w:t>
      </w:r>
      <w:r w:rsidR="00C51F9B" w:rsidRPr="00390D39">
        <w:rPr>
          <w:szCs w:val="22"/>
        </w:rPr>
        <w:t>s</w:t>
      </w:r>
      <w:r w:rsidR="00E62221" w:rsidRPr="00390D39">
        <w:rPr>
          <w:szCs w:val="22"/>
        </w:rPr>
        <w:t xml:space="preserve">, AT&amp;T </w:t>
      </w:r>
      <w:r w:rsidR="00A87603" w:rsidRPr="00390D39">
        <w:rPr>
          <w:szCs w:val="22"/>
        </w:rPr>
        <w:t>must</w:t>
      </w:r>
      <w:r w:rsidR="00E62221" w:rsidRPr="00390D39">
        <w:rPr>
          <w:szCs w:val="22"/>
        </w:rPr>
        <w:t xml:space="preserve"> negotiate in good faith with any third party seeking to </w:t>
      </w:r>
      <w:r w:rsidR="00B870AE" w:rsidRPr="00390D39">
        <w:rPr>
          <w:szCs w:val="22"/>
        </w:rPr>
        <w:t xml:space="preserve">acquire or </w:t>
      </w:r>
      <w:r w:rsidR="00E62221" w:rsidRPr="00390D39">
        <w:rPr>
          <w:szCs w:val="22"/>
        </w:rPr>
        <w:t xml:space="preserve">lease spectrum in </w:t>
      </w:r>
      <w:r w:rsidR="00B870AE" w:rsidRPr="00390D39">
        <w:rPr>
          <w:szCs w:val="22"/>
        </w:rPr>
        <w:t>a</w:t>
      </w:r>
      <w:r w:rsidR="005B1FA3" w:rsidRPr="00390D39">
        <w:rPr>
          <w:szCs w:val="22"/>
        </w:rPr>
        <w:t xml:space="preserve"> geographic </w:t>
      </w:r>
      <w:r w:rsidR="00E62221" w:rsidRPr="00390D39">
        <w:rPr>
          <w:szCs w:val="22"/>
        </w:rPr>
        <w:t>area</w:t>
      </w:r>
      <w:r w:rsidR="00E24265" w:rsidRPr="00390D39">
        <w:rPr>
          <w:szCs w:val="22"/>
        </w:rPr>
        <w:t xml:space="preserve"> of CMA315 not served by AT&amp;T</w:t>
      </w:r>
      <w:r w:rsidR="00E62221" w:rsidRPr="00390D39">
        <w:rPr>
          <w:szCs w:val="22"/>
        </w:rPr>
        <w:t>.</w:t>
      </w:r>
      <w:r w:rsidR="00E24265" w:rsidRPr="00390D39">
        <w:rPr>
          <w:rStyle w:val="FootnoteReference"/>
          <w:szCs w:val="22"/>
        </w:rPr>
        <w:footnoteReference w:id="55"/>
      </w:r>
      <w:r w:rsidR="00E62221" w:rsidRPr="00390D39">
        <w:rPr>
          <w:szCs w:val="22"/>
        </w:rPr>
        <w:t xml:space="preserve">  </w:t>
      </w:r>
      <w:r w:rsidR="006931BE" w:rsidRPr="00390D39">
        <w:rPr>
          <w:szCs w:val="22"/>
        </w:rPr>
        <w:t xml:space="preserve">If the Bureau finds that AT&amp;T failed to negotiate in good faith, its authorization will automatically terminate, without Commission action, for that </w:t>
      </w:r>
      <w:r w:rsidR="002E697A" w:rsidRPr="00390D39">
        <w:rPr>
          <w:szCs w:val="22"/>
        </w:rPr>
        <w:t xml:space="preserve">relevant </w:t>
      </w:r>
      <w:r w:rsidR="006931BE" w:rsidRPr="00390D39">
        <w:rPr>
          <w:szCs w:val="22"/>
        </w:rPr>
        <w:t xml:space="preserve">geographic </w:t>
      </w:r>
      <w:r w:rsidR="005B1FA3" w:rsidRPr="00390D39">
        <w:rPr>
          <w:szCs w:val="22"/>
        </w:rPr>
        <w:t xml:space="preserve">area </w:t>
      </w:r>
      <w:r w:rsidR="006931BE" w:rsidRPr="00390D39">
        <w:rPr>
          <w:szCs w:val="22"/>
        </w:rPr>
        <w:t>of the License</w:t>
      </w:r>
      <w:r w:rsidR="002E697A" w:rsidRPr="00390D39">
        <w:rPr>
          <w:szCs w:val="22"/>
        </w:rPr>
        <w:t xml:space="preserve"> subject to the negotiation</w:t>
      </w:r>
      <w:r w:rsidR="006931BE" w:rsidRPr="00390D39">
        <w:rPr>
          <w:szCs w:val="22"/>
        </w:rPr>
        <w:t>, and that unserved area will become available for reassignment by the Commission.</w:t>
      </w:r>
    </w:p>
    <w:p w14:paraId="5D732132" w14:textId="3B107488" w:rsidR="00F26D48" w:rsidRPr="00390D39" w:rsidRDefault="003D5AB2" w:rsidP="00F01C5C">
      <w:pPr>
        <w:pStyle w:val="ParaNum"/>
        <w:numPr>
          <w:ilvl w:val="0"/>
          <w:numId w:val="0"/>
        </w:numPr>
        <w:ind w:firstLine="720"/>
      </w:pPr>
      <w:r w:rsidRPr="00390D39">
        <w:t xml:space="preserve">  </w:t>
      </w:r>
    </w:p>
    <w:p w14:paraId="29FCC731" w14:textId="0F8FEC9A" w:rsidR="001D1F6E" w:rsidRPr="00390D39" w:rsidRDefault="005F39C8" w:rsidP="00147883">
      <w:pPr>
        <w:pStyle w:val="ParaNum"/>
        <w:numPr>
          <w:ilvl w:val="0"/>
          <w:numId w:val="0"/>
        </w:numPr>
        <w:ind w:firstLine="720"/>
      </w:pPr>
      <w:r w:rsidRPr="00390D39">
        <w:t>Accordingly, IT IS ORDERED that, pursuant to Section 4(i) of the Communications Act, as amended, 47 U.S.C. § 154(i), and Section 1.</w:t>
      </w:r>
      <w:r w:rsidR="009F7AE9" w:rsidRPr="00390D39">
        <w:t xml:space="preserve">925(b)(3) </w:t>
      </w:r>
      <w:r w:rsidRPr="00390D39">
        <w:t>of the Commission’s rules, 47 CFR § 1.925</w:t>
      </w:r>
      <w:r w:rsidR="00E24265" w:rsidRPr="00390D39">
        <w:t>(b)(3)</w:t>
      </w:r>
      <w:r w:rsidRPr="00390D39">
        <w:t>, the request f</w:t>
      </w:r>
      <w:r w:rsidR="00AF68BC" w:rsidRPr="00390D39">
        <w:t>or wai</w:t>
      </w:r>
      <w:r w:rsidR="00E24265" w:rsidRPr="00390D39">
        <w:t>v</w:t>
      </w:r>
      <w:r w:rsidR="00AF68BC" w:rsidRPr="00390D39">
        <w:t>er of Section 27.14(g)</w:t>
      </w:r>
      <w:r w:rsidRPr="00390D39">
        <w:t xml:space="preserve"> of the Commission’s rules, 47 CFR §</w:t>
      </w:r>
      <w:r w:rsidR="00AF68BC" w:rsidRPr="00390D39">
        <w:t xml:space="preserve"> 27.14(g)</w:t>
      </w:r>
      <w:r w:rsidR="00103028" w:rsidRPr="00390D39">
        <w:t>, filed October 11, 2016</w:t>
      </w:r>
      <w:r w:rsidRPr="00390D39">
        <w:t xml:space="preserve">, by </w:t>
      </w:r>
      <w:r w:rsidR="00103028" w:rsidRPr="00390D39">
        <w:t>AT&amp;T Mobility Spectrum LLC, ULS File No</w:t>
      </w:r>
      <w:r w:rsidRPr="00390D39">
        <w:t xml:space="preserve">. </w:t>
      </w:r>
      <w:r w:rsidR="00103028" w:rsidRPr="00390D39">
        <w:t>0007499041</w:t>
      </w:r>
      <w:r w:rsidRPr="00390D39">
        <w:t xml:space="preserve">, is HEREBY </w:t>
      </w:r>
      <w:r w:rsidR="00B2689E" w:rsidRPr="00390D39">
        <w:t xml:space="preserve">CONDITIONALLY </w:t>
      </w:r>
      <w:r w:rsidRPr="00390D39">
        <w:t>GRANTED TO THE EXTENT PROVIDED ABOVE AND OTHERWISE DENIED.</w:t>
      </w:r>
    </w:p>
    <w:p w14:paraId="2030F777" w14:textId="77777777" w:rsidR="002E613B" w:rsidRPr="00390D39" w:rsidRDefault="002E613B" w:rsidP="00147883">
      <w:pPr>
        <w:pStyle w:val="ParaNum"/>
        <w:numPr>
          <w:ilvl w:val="0"/>
          <w:numId w:val="0"/>
        </w:numPr>
      </w:pPr>
    </w:p>
    <w:p w14:paraId="623806E7" w14:textId="02668C9E" w:rsidR="005F39C8" w:rsidRPr="00390D39" w:rsidRDefault="005F39C8" w:rsidP="00F01C5C">
      <w:pPr>
        <w:pStyle w:val="ParaNum"/>
        <w:numPr>
          <w:ilvl w:val="0"/>
          <w:numId w:val="0"/>
        </w:numPr>
        <w:ind w:firstLine="720"/>
      </w:pPr>
      <w:r w:rsidRPr="00390D39">
        <w:t>These actions are taken under delegated authority pursuant to Sections 0.131 and 0.331 of the Commission’s rules, 47 CFR §§ 0.131, 0.331.</w:t>
      </w:r>
    </w:p>
    <w:p w14:paraId="1A6DC215" w14:textId="77777777" w:rsidR="005F39C8" w:rsidRPr="00390D39" w:rsidRDefault="005F39C8" w:rsidP="00F01C5C">
      <w:pPr>
        <w:pStyle w:val="ParaNum"/>
        <w:numPr>
          <w:ilvl w:val="0"/>
          <w:numId w:val="0"/>
        </w:numPr>
        <w:ind w:left="2520"/>
      </w:pPr>
    </w:p>
    <w:p w14:paraId="7FBB6442" w14:textId="77777777" w:rsidR="005F39C8" w:rsidRPr="00390D39" w:rsidRDefault="005F39C8" w:rsidP="00F01C5C">
      <w:pPr>
        <w:pStyle w:val="ParaNum"/>
        <w:numPr>
          <w:ilvl w:val="0"/>
          <w:numId w:val="0"/>
        </w:numPr>
        <w:ind w:left="3960" w:firstLine="360"/>
      </w:pPr>
      <w:r w:rsidRPr="00390D39">
        <w:t>Sincerely,</w:t>
      </w:r>
    </w:p>
    <w:p w14:paraId="530246DD" w14:textId="77777777" w:rsidR="005F39C8" w:rsidRPr="00390D39" w:rsidRDefault="005F39C8" w:rsidP="00F01C5C">
      <w:pPr>
        <w:pStyle w:val="ParaNum"/>
        <w:numPr>
          <w:ilvl w:val="0"/>
          <w:numId w:val="0"/>
        </w:numPr>
        <w:ind w:left="2520"/>
      </w:pPr>
    </w:p>
    <w:p w14:paraId="1965751D" w14:textId="77777777" w:rsidR="005F39C8" w:rsidRPr="00390D39" w:rsidRDefault="005F39C8" w:rsidP="00F01C5C">
      <w:pPr>
        <w:pStyle w:val="ParaNum"/>
        <w:numPr>
          <w:ilvl w:val="0"/>
          <w:numId w:val="0"/>
        </w:numPr>
        <w:ind w:left="2520"/>
      </w:pPr>
    </w:p>
    <w:p w14:paraId="644A916E" w14:textId="77777777" w:rsidR="005F39C8" w:rsidRPr="00390D39" w:rsidRDefault="005F39C8" w:rsidP="00F01C5C">
      <w:pPr>
        <w:pStyle w:val="ParaNum"/>
        <w:numPr>
          <w:ilvl w:val="0"/>
          <w:numId w:val="0"/>
        </w:numPr>
        <w:ind w:left="3600" w:firstLine="720"/>
      </w:pPr>
      <w:r w:rsidRPr="00390D39">
        <w:t>Roger S. Noel</w:t>
      </w:r>
    </w:p>
    <w:p w14:paraId="1BBA1622" w14:textId="77777777" w:rsidR="005F39C8" w:rsidRPr="00390D39" w:rsidRDefault="005F39C8" w:rsidP="00F01C5C">
      <w:pPr>
        <w:pStyle w:val="ParaNum"/>
        <w:numPr>
          <w:ilvl w:val="0"/>
          <w:numId w:val="0"/>
        </w:numPr>
        <w:ind w:left="3600" w:firstLine="720"/>
      </w:pPr>
      <w:r w:rsidRPr="00390D39">
        <w:t>Chief, Mobility Division</w:t>
      </w:r>
    </w:p>
    <w:p w14:paraId="260600AF" w14:textId="234EA0F3" w:rsidR="00823DEF" w:rsidRPr="00390D39" w:rsidRDefault="005F39C8" w:rsidP="00FB3F0D">
      <w:pPr>
        <w:pStyle w:val="ParaNum"/>
        <w:numPr>
          <w:ilvl w:val="0"/>
          <w:numId w:val="0"/>
        </w:numPr>
        <w:ind w:left="3960" w:firstLine="360"/>
      </w:pPr>
      <w:r w:rsidRPr="00390D39">
        <w:t>Wireless Telecommunications Bureau</w:t>
      </w:r>
    </w:p>
    <w:sectPr w:rsidR="00823DEF" w:rsidRPr="00390D39" w:rsidSect="00FD1E9B">
      <w:headerReference w:type="even" r:id="rId8"/>
      <w:headerReference w:type="default" r:id="rId9"/>
      <w:footerReference w:type="even" r:id="rId10"/>
      <w:footerReference w:type="default" r:id="rId11"/>
      <w:headerReference w:type="first" r:id="rId12"/>
      <w:footerReference w:type="first" r:id="rId13"/>
      <w:pgSz w:w="12240" w:h="15840" w:code="1"/>
      <w:pgMar w:top="1165" w:right="1440" w:bottom="144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0D0AC" w14:textId="77777777" w:rsidR="00CF1345" w:rsidRDefault="00CF1345">
      <w:r>
        <w:separator/>
      </w:r>
    </w:p>
  </w:endnote>
  <w:endnote w:type="continuationSeparator" w:id="0">
    <w:p w14:paraId="71B2BA4E" w14:textId="77777777" w:rsidR="00CF1345" w:rsidRDefault="00CF1345">
      <w:r>
        <w:continuationSeparator/>
      </w:r>
    </w:p>
  </w:endnote>
  <w:endnote w:type="continuationNotice" w:id="1">
    <w:p w14:paraId="1A1C2E43" w14:textId="77777777" w:rsidR="00CF1345" w:rsidRDefault="00CF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C6F1" w14:textId="77777777" w:rsidR="00EE5D14" w:rsidRDefault="00EE5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53422"/>
      <w:docPartObj>
        <w:docPartGallery w:val="Page Numbers (Bottom of Page)"/>
        <w:docPartUnique/>
      </w:docPartObj>
    </w:sdtPr>
    <w:sdtEndPr>
      <w:rPr>
        <w:noProof/>
      </w:rPr>
    </w:sdtEndPr>
    <w:sdtContent>
      <w:p w14:paraId="776BF168" w14:textId="77777777" w:rsidR="00AE235D" w:rsidRDefault="00AE235D">
        <w:pPr>
          <w:pStyle w:val="Footer"/>
          <w:jc w:val="center"/>
        </w:pPr>
        <w:r>
          <w:fldChar w:fldCharType="begin"/>
        </w:r>
        <w:r>
          <w:instrText xml:space="preserve"> PAGE   \* MERGEFORMAT </w:instrText>
        </w:r>
        <w:r>
          <w:fldChar w:fldCharType="separate"/>
        </w:r>
        <w:r w:rsidR="001B365F">
          <w:rPr>
            <w:noProof/>
          </w:rPr>
          <w:t>2</w:t>
        </w:r>
        <w:r>
          <w:rPr>
            <w:noProof/>
          </w:rPr>
          <w:fldChar w:fldCharType="end"/>
        </w:r>
      </w:p>
    </w:sdtContent>
  </w:sdt>
  <w:p w14:paraId="03190B4F" w14:textId="77777777" w:rsidR="00AE235D" w:rsidRDefault="00AE2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0C0CF" w14:textId="77777777" w:rsidR="00EE5D14" w:rsidRDefault="00EE5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9510D" w14:textId="77777777" w:rsidR="00CF1345" w:rsidRDefault="00CF1345">
      <w:r>
        <w:separator/>
      </w:r>
    </w:p>
  </w:footnote>
  <w:footnote w:type="continuationSeparator" w:id="0">
    <w:p w14:paraId="50FDCA3F" w14:textId="77777777" w:rsidR="00CF1345" w:rsidRDefault="00CF1345">
      <w:r>
        <w:continuationSeparator/>
      </w:r>
    </w:p>
  </w:footnote>
  <w:footnote w:type="continuationNotice" w:id="1">
    <w:p w14:paraId="6DD0FFA9" w14:textId="77777777" w:rsidR="00CF1345" w:rsidRDefault="00CF1345"/>
  </w:footnote>
  <w:footnote w:id="2">
    <w:p w14:paraId="6095E8A4" w14:textId="709DFA8D" w:rsidR="00AE235D" w:rsidRPr="007136BC" w:rsidRDefault="00AE235D" w:rsidP="00D14BDB">
      <w:pPr>
        <w:pStyle w:val="FootnoteText"/>
        <w:tabs>
          <w:tab w:val="left" w:pos="0"/>
        </w:tabs>
        <w:jc w:val="left"/>
      </w:pPr>
      <w:r w:rsidRPr="007136BC">
        <w:rPr>
          <w:rStyle w:val="FootnoteReference"/>
        </w:rPr>
        <w:footnoteRef/>
      </w:r>
      <w:r w:rsidRPr="007136BC">
        <w:t xml:space="preserve"> 47 CFR § 27.14(g).</w:t>
      </w:r>
      <w:r w:rsidR="009938DC" w:rsidRPr="009938DC">
        <w:t xml:space="preserve"> </w:t>
      </w:r>
      <w:r w:rsidR="009938DC">
        <w:t xml:space="preserve"> </w:t>
      </w:r>
      <w:r w:rsidR="009938DC" w:rsidRPr="007136BC">
        <w:t xml:space="preserve">Request for Waiver of Lower 700 MHz Band Interim and End-of-Term Geographic Construction Benchmarks for Alaska </w:t>
      </w:r>
      <w:r w:rsidR="009938DC" w:rsidRPr="007E4AC2">
        <w:t>B</w:t>
      </w:r>
      <w:r w:rsidR="00A10646">
        <w:t xml:space="preserve"> </w:t>
      </w:r>
      <w:r w:rsidR="009938DC" w:rsidRPr="007136BC">
        <w:t xml:space="preserve">Block License WQIZ358, ULS File No. 0007499041 (filed Oct. 11, 2016) (Waiver Request).  </w:t>
      </w:r>
      <w:r w:rsidR="009938DC" w:rsidRPr="007136BC">
        <w:rPr>
          <w:i/>
        </w:rPr>
        <w:t>See also Ex Parte</w:t>
      </w:r>
      <w:r w:rsidR="009938DC" w:rsidRPr="007136BC">
        <w:t xml:space="preserve"> Letter from Celia Nogales, AVP-Federal Regulatory, AT&amp;T, to Marlene H. Dortch, Secretary, FCC, WT Docket No. 16-319 (filed Dec. 2, 2016) (AT&amp;T</w:t>
      </w:r>
      <w:r w:rsidR="00C725D5">
        <w:t xml:space="preserve"> Dec. 2</w:t>
      </w:r>
      <w:r w:rsidR="009938DC" w:rsidRPr="007136BC">
        <w:t xml:space="preserve"> </w:t>
      </w:r>
      <w:r w:rsidR="009938DC" w:rsidRPr="007136BC">
        <w:rPr>
          <w:i/>
        </w:rPr>
        <w:t>Ex Parte</w:t>
      </w:r>
      <w:r w:rsidR="009938DC" w:rsidRPr="007136BC">
        <w:t>)</w:t>
      </w:r>
      <w:r w:rsidR="00C725D5">
        <w:t xml:space="preserve">; </w:t>
      </w:r>
      <w:r w:rsidR="00C725D5" w:rsidRPr="007136BC">
        <w:rPr>
          <w:i/>
        </w:rPr>
        <w:t>Ex Parte</w:t>
      </w:r>
      <w:r w:rsidR="00C725D5" w:rsidRPr="007136BC">
        <w:t xml:space="preserve"> Letter from Celia Nogales, AVP-Federal Regulatory, AT&amp;T, to Marlene H. Dortch, Secretary, FCC, WT Docket No. 16-319 (filed Dec. </w:t>
      </w:r>
      <w:r w:rsidR="00C725D5">
        <w:t>2</w:t>
      </w:r>
      <w:r w:rsidR="00C725D5" w:rsidRPr="007136BC">
        <w:t>2, 2016) (AT&amp;T</w:t>
      </w:r>
      <w:r w:rsidR="00C725D5">
        <w:t xml:space="preserve"> Dec. 22</w:t>
      </w:r>
      <w:r w:rsidR="00C725D5" w:rsidRPr="007136BC">
        <w:t xml:space="preserve"> </w:t>
      </w:r>
      <w:r w:rsidR="00C725D5" w:rsidRPr="007136BC">
        <w:rPr>
          <w:i/>
        </w:rPr>
        <w:t>Ex Parte</w:t>
      </w:r>
      <w:r w:rsidR="00C725D5" w:rsidRPr="007136BC">
        <w:t>)</w:t>
      </w:r>
      <w:r w:rsidR="009938DC" w:rsidRPr="007136BC">
        <w:t xml:space="preserve">.   </w:t>
      </w:r>
    </w:p>
  </w:footnote>
  <w:footnote w:id="3">
    <w:p w14:paraId="72EE3704" w14:textId="77777777" w:rsidR="001D5F40" w:rsidRPr="007136BC" w:rsidRDefault="001D5F40" w:rsidP="00D14BDB">
      <w:pPr>
        <w:pStyle w:val="FootnoteText"/>
        <w:jc w:val="left"/>
      </w:pPr>
      <w:r w:rsidRPr="007136BC">
        <w:rPr>
          <w:rStyle w:val="FootnoteReference"/>
        </w:rPr>
        <w:footnoteRef/>
      </w:r>
      <w:r w:rsidRPr="007136BC">
        <w:t xml:space="preserve"> </w:t>
      </w:r>
      <w:r>
        <w:rPr>
          <w:i/>
        </w:rPr>
        <w:t xml:space="preserve">See </w:t>
      </w:r>
      <w:r w:rsidRPr="007136BC">
        <w:t>AT&amp;T Waiver Request at 3.</w:t>
      </w:r>
    </w:p>
  </w:footnote>
  <w:footnote w:id="4">
    <w:p w14:paraId="42B92ED5" w14:textId="77777777" w:rsidR="00AE235D" w:rsidRPr="00E463A4" w:rsidRDefault="00AE235D" w:rsidP="00D14BDB">
      <w:pPr>
        <w:pStyle w:val="FootnoteText"/>
        <w:jc w:val="left"/>
      </w:pPr>
      <w:r w:rsidRPr="00E463A4">
        <w:rPr>
          <w:rStyle w:val="FootnoteReference"/>
        </w:rPr>
        <w:footnoteRef/>
      </w:r>
      <w:r w:rsidRPr="00E463A4">
        <w:t xml:space="preserve"> </w:t>
      </w:r>
      <w:r w:rsidRPr="00E463A4">
        <w:rPr>
          <w:i/>
        </w:rPr>
        <w:t>See Service Rules for 698-746, 747-762, and 777-792 MHz Bands</w:t>
      </w:r>
      <w:r w:rsidRPr="00E463A4">
        <w:t>, Second Report and Order, 22 FCC Rcd 15289 (2007) (</w:t>
      </w:r>
      <w:r w:rsidRPr="00E463A4">
        <w:rPr>
          <w:i/>
        </w:rPr>
        <w:t>700 MHz Second Report and Order</w:t>
      </w:r>
      <w:r w:rsidRPr="00E463A4">
        <w:t>).</w:t>
      </w:r>
    </w:p>
  </w:footnote>
  <w:footnote w:id="5">
    <w:p w14:paraId="554666E9" w14:textId="77777777" w:rsidR="00AE235D" w:rsidRPr="00E463A4" w:rsidRDefault="00AE235D" w:rsidP="00D14BDB">
      <w:pPr>
        <w:pStyle w:val="FootnoteText"/>
        <w:jc w:val="left"/>
      </w:pPr>
      <w:r w:rsidRPr="00E463A4">
        <w:rPr>
          <w:rStyle w:val="FootnoteReference"/>
        </w:rPr>
        <w:footnoteRef/>
      </w:r>
      <w:r w:rsidRPr="00E463A4">
        <w:t xml:space="preserve"> </w:t>
      </w:r>
      <w:r>
        <w:rPr>
          <w:i/>
        </w:rPr>
        <w:t xml:space="preserve">See </w:t>
      </w:r>
      <w:r w:rsidRPr="00E463A4">
        <w:t>47 CFR § 27.14(g).</w:t>
      </w:r>
    </w:p>
  </w:footnote>
  <w:footnote w:id="6">
    <w:p w14:paraId="08E6E811" w14:textId="022BAFCA" w:rsidR="00AE235D" w:rsidRPr="00E463A4" w:rsidRDefault="00AE235D" w:rsidP="00D14BDB">
      <w:pPr>
        <w:pStyle w:val="FootnoteText"/>
        <w:jc w:val="left"/>
      </w:pPr>
      <w:r w:rsidRPr="00E463A4">
        <w:rPr>
          <w:rStyle w:val="FootnoteReference"/>
        </w:rPr>
        <w:footnoteRef/>
      </w:r>
      <w:r w:rsidRPr="00E463A4">
        <w:t xml:space="preserve"> </w:t>
      </w:r>
      <w:r w:rsidRPr="00E463A4">
        <w:rPr>
          <w:i/>
        </w:rPr>
        <w:t xml:space="preserve">See </w:t>
      </w:r>
      <w:r w:rsidRPr="00E463A4">
        <w:rPr>
          <w:i/>
          <w:iCs/>
        </w:rPr>
        <w:t>Promoting Interoperability in the 700 MHz Commercial Spectrum</w:t>
      </w:r>
      <w:r w:rsidRPr="00E463A4">
        <w:t>, Report and Order and Order of Proposed Modification</w:t>
      </w:r>
      <w:r w:rsidRPr="00E463A4">
        <w:rPr>
          <w:i/>
          <w:iCs/>
        </w:rPr>
        <w:t xml:space="preserve">, </w:t>
      </w:r>
      <w:r w:rsidRPr="00E463A4">
        <w:t>28 FCC Rcd 15122, 15151-52, para. 65 (2013)</w:t>
      </w:r>
      <w:r w:rsidR="004375E0">
        <w:t xml:space="preserve"> (</w:t>
      </w:r>
      <w:r w:rsidR="004375E0">
        <w:rPr>
          <w:i/>
        </w:rPr>
        <w:t>Interoperability Order</w:t>
      </w:r>
      <w:r w:rsidR="004375E0">
        <w:t>)</w:t>
      </w:r>
      <w:r w:rsidRPr="00E463A4">
        <w:t>.</w:t>
      </w:r>
    </w:p>
  </w:footnote>
  <w:footnote w:id="7">
    <w:p w14:paraId="3651CA42" w14:textId="3668863F" w:rsidR="00D71AB4" w:rsidRPr="00E463A4" w:rsidRDefault="00D71AB4" w:rsidP="00D14BDB">
      <w:pPr>
        <w:pStyle w:val="FootnoteText"/>
        <w:jc w:val="left"/>
      </w:pPr>
      <w:r w:rsidRPr="00E463A4">
        <w:rPr>
          <w:rStyle w:val="FootnoteReference"/>
        </w:rPr>
        <w:footnoteRef/>
      </w:r>
      <w:r w:rsidRPr="00E463A4">
        <w:t xml:space="preserve"> </w:t>
      </w:r>
      <w:r>
        <w:rPr>
          <w:i/>
        </w:rPr>
        <w:t xml:space="preserve">See </w:t>
      </w:r>
      <w:r w:rsidRPr="00E463A4">
        <w:t>47 CFR § 27.14(g)</w:t>
      </w:r>
      <w:r>
        <w:t>;</w:t>
      </w:r>
      <w:r w:rsidRPr="00D0255C">
        <w:rPr>
          <w:i/>
        </w:rPr>
        <w:t xml:space="preserve"> </w:t>
      </w:r>
      <w:r w:rsidRPr="009A0FDA">
        <w:rPr>
          <w:i/>
        </w:rPr>
        <w:t>700 MHz Second Report and Order</w:t>
      </w:r>
      <w:r w:rsidRPr="009A0FDA">
        <w:t>, 22 FCC Rcd</w:t>
      </w:r>
      <w:r w:rsidRPr="009A0FDA" w:rsidDel="00BF4C67">
        <w:rPr>
          <w:i/>
        </w:rPr>
        <w:t xml:space="preserve"> </w:t>
      </w:r>
      <w:r w:rsidRPr="009A0FDA">
        <w:t>at</w:t>
      </w:r>
      <w:r>
        <w:t xml:space="preserve"> 15293-94, 15349, paras. 6, 157</w:t>
      </w:r>
      <w:r w:rsidRPr="00E463A4">
        <w:t>.</w:t>
      </w:r>
    </w:p>
  </w:footnote>
  <w:footnote w:id="8">
    <w:p w14:paraId="56086380" w14:textId="1A20B894" w:rsidR="00916CF6" w:rsidRPr="00E463A4" w:rsidRDefault="00916CF6" w:rsidP="00D14BDB">
      <w:pPr>
        <w:pStyle w:val="FootnoteText"/>
        <w:jc w:val="left"/>
      </w:pPr>
      <w:r w:rsidRPr="00E463A4">
        <w:rPr>
          <w:rStyle w:val="FootnoteReference"/>
        </w:rPr>
        <w:footnoteRef/>
      </w:r>
      <w:r w:rsidRPr="00E463A4">
        <w:t xml:space="preserve"> </w:t>
      </w:r>
      <w:r w:rsidR="00244B1A" w:rsidRPr="00E463A4">
        <w:t xml:space="preserve">47 CFR § </w:t>
      </w:r>
      <w:r w:rsidRPr="00E463A4">
        <w:t>27.14(g)(1).</w:t>
      </w:r>
    </w:p>
  </w:footnote>
  <w:footnote w:id="9">
    <w:p w14:paraId="1ADE19F1" w14:textId="1970BD06" w:rsidR="00916CF6" w:rsidRPr="00E463A4" w:rsidRDefault="00916CF6" w:rsidP="00D14BDB">
      <w:pPr>
        <w:pStyle w:val="FootnoteText"/>
        <w:jc w:val="left"/>
      </w:pPr>
      <w:r w:rsidRPr="00E463A4">
        <w:rPr>
          <w:rStyle w:val="FootnoteReference"/>
        </w:rPr>
        <w:footnoteRef/>
      </w:r>
      <w:r w:rsidRPr="00E463A4">
        <w:t xml:space="preserve"> </w:t>
      </w:r>
      <w:r w:rsidR="00244B1A" w:rsidRPr="00244B1A">
        <w:t>47 CFR § 27.14(g)(2).</w:t>
      </w:r>
      <w:r w:rsidR="00244B1A" w:rsidRPr="00244B1A">
        <w:rPr>
          <w:i/>
        </w:rPr>
        <w:t xml:space="preserve"> </w:t>
      </w:r>
      <w:r w:rsidR="00244B1A" w:rsidRPr="00D0255C">
        <w:rPr>
          <w:i/>
        </w:rPr>
        <w:t xml:space="preserve"> </w:t>
      </w:r>
      <w:r w:rsidR="00244B1A" w:rsidRPr="00244B1A">
        <w:rPr>
          <w:i/>
        </w:rPr>
        <w:t xml:space="preserve">See also 700 MHz Second Report and Order, </w:t>
      </w:r>
      <w:r w:rsidR="00244B1A" w:rsidRPr="00244B1A">
        <w:t>22 FCC Rcd at 15348, para. 153.</w:t>
      </w:r>
    </w:p>
  </w:footnote>
  <w:footnote w:id="10">
    <w:p w14:paraId="608469E4" w14:textId="0D64CB85" w:rsidR="00AE235D" w:rsidRPr="007136BC" w:rsidRDefault="00AE235D" w:rsidP="00D14BDB">
      <w:pPr>
        <w:pStyle w:val="FootnoteText"/>
        <w:jc w:val="left"/>
      </w:pPr>
      <w:r w:rsidRPr="007136BC">
        <w:rPr>
          <w:rStyle w:val="FootnoteReference"/>
        </w:rPr>
        <w:footnoteRef/>
      </w:r>
      <w:r w:rsidRPr="007136BC">
        <w:t xml:space="preserve"> </w:t>
      </w:r>
      <w:r w:rsidR="009B6A30">
        <w:rPr>
          <w:i/>
        </w:rPr>
        <w:t xml:space="preserve">See </w:t>
      </w:r>
      <w:r w:rsidRPr="007136BC">
        <w:t>AT&amp;T Waiver Request at 3.</w:t>
      </w:r>
      <w:r w:rsidR="009B6A30">
        <w:t xml:space="preserve">  </w:t>
      </w:r>
      <w:r w:rsidR="009B6A30" w:rsidRPr="007136BC">
        <w:t xml:space="preserve"> </w:t>
      </w:r>
    </w:p>
  </w:footnote>
  <w:footnote w:id="11">
    <w:p w14:paraId="1C79FCAF" w14:textId="23BAC0D8" w:rsidR="00AE235D" w:rsidRPr="007136BC" w:rsidRDefault="00AE235D" w:rsidP="00D14BDB">
      <w:pPr>
        <w:pStyle w:val="FootnoteText"/>
        <w:jc w:val="left"/>
      </w:pPr>
      <w:r w:rsidRPr="007136BC">
        <w:rPr>
          <w:rStyle w:val="FootnoteReference"/>
        </w:rPr>
        <w:footnoteRef/>
      </w:r>
      <w:r w:rsidRPr="007136BC">
        <w:t xml:space="preserve"> </w:t>
      </w:r>
      <w:r w:rsidRPr="007136BC">
        <w:rPr>
          <w:i/>
          <w:iCs/>
        </w:rPr>
        <w:t>See</w:t>
      </w:r>
      <w:r w:rsidRPr="007136BC">
        <w:t xml:space="preserve"> </w:t>
      </w:r>
      <w:r w:rsidR="00DB507D" w:rsidRPr="001973BE">
        <w:rPr>
          <w:i/>
        </w:rPr>
        <w:t>Wireless Telecommunications Bureau</w:t>
      </w:r>
      <w:r w:rsidR="00DB507D" w:rsidRPr="00D0255C">
        <w:rPr>
          <w:i/>
        </w:rPr>
        <w:t xml:space="preserve"> Seeks Comment on AT&amp;T </w:t>
      </w:r>
      <w:r w:rsidR="00DB507D" w:rsidRPr="001973BE">
        <w:rPr>
          <w:i/>
        </w:rPr>
        <w:t xml:space="preserve">Request for Waiver of Geographic Coverage Requirement for </w:t>
      </w:r>
      <w:r w:rsidR="00DB507D" w:rsidRPr="00D0255C">
        <w:rPr>
          <w:i/>
        </w:rPr>
        <w:t xml:space="preserve">700 MHz </w:t>
      </w:r>
      <w:r w:rsidR="00DB507D" w:rsidRPr="001973BE">
        <w:rPr>
          <w:i/>
        </w:rPr>
        <w:t xml:space="preserve">License in </w:t>
      </w:r>
      <w:r w:rsidR="00DB507D" w:rsidRPr="00D0255C">
        <w:rPr>
          <w:i/>
        </w:rPr>
        <w:t>Alaska</w:t>
      </w:r>
      <w:r w:rsidRPr="007136BC">
        <w:t>,</w:t>
      </w:r>
      <w:r w:rsidRPr="00D047CF">
        <w:t xml:space="preserve"> </w:t>
      </w:r>
      <w:r w:rsidR="00306BFD" w:rsidRPr="00306BFD">
        <w:rPr>
          <w:iCs/>
        </w:rPr>
        <w:t xml:space="preserve">WT Docket No. 16-335, </w:t>
      </w:r>
      <w:r w:rsidRPr="00D0255C">
        <w:t>Public Notice</w:t>
      </w:r>
      <w:r w:rsidRPr="007136BC">
        <w:rPr>
          <w:i/>
          <w:iCs/>
        </w:rPr>
        <w:t xml:space="preserve">, </w:t>
      </w:r>
      <w:r w:rsidR="00DB507D" w:rsidRPr="00C725D5">
        <w:rPr>
          <w:iCs/>
        </w:rPr>
        <w:t>31 FCC Rcd</w:t>
      </w:r>
      <w:r w:rsidR="00DB507D" w:rsidRPr="00DB507D">
        <w:rPr>
          <w:i/>
          <w:iCs/>
        </w:rPr>
        <w:t xml:space="preserve"> </w:t>
      </w:r>
      <w:r w:rsidR="00DB507D" w:rsidRPr="00C725D5">
        <w:rPr>
          <w:iCs/>
        </w:rPr>
        <w:t>11640</w:t>
      </w:r>
      <w:r w:rsidR="00DB507D" w:rsidRPr="00D0255C">
        <w:rPr>
          <w:i/>
        </w:rPr>
        <w:t xml:space="preserve"> </w:t>
      </w:r>
      <w:r w:rsidRPr="007136BC">
        <w:t>(WTB 2016).</w:t>
      </w:r>
    </w:p>
  </w:footnote>
  <w:footnote w:id="12">
    <w:p w14:paraId="270600F5" w14:textId="5DD504C4" w:rsidR="00AE235D" w:rsidRPr="00D0255C" w:rsidRDefault="00AE235D" w:rsidP="00D14BDB">
      <w:pPr>
        <w:pStyle w:val="FootnoteText"/>
        <w:jc w:val="left"/>
        <w:rPr>
          <w:i/>
        </w:rPr>
      </w:pPr>
      <w:r w:rsidRPr="007136BC">
        <w:rPr>
          <w:rStyle w:val="FootnoteReference"/>
        </w:rPr>
        <w:footnoteRef/>
      </w:r>
      <w:r w:rsidRPr="007136BC">
        <w:t xml:space="preserve"> </w:t>
      </w:r>
      <w:r w:rsidRPr="007136BC">
        <w:rPr>
          <w:i/>
          <w:iCs/>
        </w:rPr>
        <w:t xml:space="preserve">See </w:t>
      </w:r>
      <w:r w:rsidRPr="007136BC">
        <w:t>General Communication, Inc. Reply Comments (GCI Reply)</w:t>
      </w:r>
      <w:r>
        <w:t xml:space="preserve">; </w:t>
      </w:r>
      <w:r w:rsidRPr="007136BC">
        <w:rPr>
          <w:i/>
        </w:rPr>
        <w:t>Ex Parte</w:t>
      </w:r>
      <w:r w:rsidRPr="007136BC">
        <w:t xml:space="preserve"> Letter from </w:t>
      </w:r>
      <w:r>
        <w:t>Paul Margie</w:t>
      </w:r>
      <w:r w:rsidR="009A07B6">
        <w:t>,</w:t>
      </w:r>
      <w:r>
        <w:t xml:space="preserve"> Counsel to GCI</w:t>
      </w:r>
      <w:r w:rsidRPr="007136BC">
        <w:t xml:space="preserve">, to Marlene H. Dortch, Secretary, FCC, WT Docket No. 16-319 (filed Dec. </w:t>
      </w:r>
      <w:r>
        <w:t>7</w:t>
      </w:r>
      <w:r w:rsidRPr="007136BC">
        <w:t>, 2016) (</w:t>
      </w:r>
      <w:r>
        <w:t>GCI</w:t>
      </w:r>
      <w:r w:rsidRPr="007136BC">
        <w:t xml:space="preserve"> </w:t>
      </w:r>
      <w:r w:rsidRPr="007136BC">
        <w:rPr>
          <w:i/>
        </w:rPr>
        <w:t>Ex Parte</w:t>
      </w:r>
      <w:r w:rsidRPr="007136BC">
        <w:t>).</w:t>
      </w:r>
      <w:r>
        <w:t xml:space="preserve">  GCI </w:t>
      </w:r>
      <w:r w:rsidR="00884A11">
        <w:t xml:space="preserve">attached </w:t>
      </w:r>
      <w:r>
        <w:t xml:space="preserve">a </w:t>
      </w:r>
      <w:r w:rsidR="00884A11">
        <w:t xml:space="preserve">similar </w:t>
      </w:r>
      <w:r>
        <w:t xml:space="preserve">waiver request for its Lower 700 MHz A Block license WQJU656 (Basic Economic Area 171—Anchorage, AK).  </w:t>
      </w:r>
      <w:r w:rsidR="00884A11">
        <w:t xml:space="preserve">GCI’s </w:t>
      </w:r>
      <w:r>
        <w:t xml:space="preserve">waiver request is </w:t>
      </w:r>
      <w:r w:rsidR="00884A11">
        <w:t xml:space="preserve">beyond </w:t>
      </w:r>
      <w:r>
        <w:t xml:space="preserve">the scope of this </w:t>
      </w:r>
      <w:r w:rsidR="00884A11">
        <w:t>proceeding</w:t>
      </w:r>
      <w:r w:rsidR="00DB507D">
        <w:t>,</w:t>
      </w:r>
      <w:r w:rsidR="00884A11">
        <w:t xml:space="preserve"> </w:t>
      </w:r>
      <w:r>
        <w:t xml:space="preserve">and we </w:t>
      </w:r>
      <w:r w:rsidR="00323ADD">
        <w:t xml:space="preserve">will address it in WT Docket No. </w:t>
      </w:r>
      <w:r w:rsidR="00DB507D" w:rsidRPr="00DB507D">
        <w:t>16-402</w:t>
      </w:r>
      <w:r>
        <w:t xml:space="preserve">. </w:t>
      </w:r>
      <w:r w:rsidR="00DB507D">
        <w:t xml:space="preserve"> </w:t>
      </w:r>
      <w:r w:rsidR="00DB507D">
        <w:rPr>
          <w:i/>
        </w:rPr>
        <w:t>See</w:t>
      </w:r>
      <w:r w:rsidR="00DB507D" w:rsidRPr="007136BC">
        <w:t xml:space="preserve"> </w:t>
      </w:r>
      <w:r w:rsidR="00DB507D" w:rsidRPr="001973BE">
        <w:rPr>
          <w:i/>
        </w:rPr>
        <w:t>Wireless Telecommunications Bureau Seeks Comment on Alaska Wireless Network Request for Waiver of Geographic Coverage Requirement for 700 MHz License in Alaska</w:t>
      </w:r>
      <w:r w:rsidR="00DB507D" w:rsidRPr="007136BC">
        <w:t>,</w:t>
      </w:r>
      <w:r w:rsidR="00DB507D" w:rsidRPr="007136BC">
        <w:rPr>
          <w:i/>
          <w:iCs/>
        </w:rPr>
        <w:t xml:space="preserve"> </w:t>
      </w:r>
      <w:r w:rsidR="00DD4389" w:rsidRPr="00306BFD">
        <w:rPr>
          <w:iCs/>
        </w:rPr>
        <w:t xml:space="preserve">WT Docket No. 16-402, </w:t>
      </w:r>
      <w:r w:rsidR="00DB507D" w:rsidRPr="001973BE">
        <w:rPr>
          <w:iCs/>
        </w:rPr>
        <w:t>Public Notice</w:t>
      </w:r>
      <w:r w:rsidR="00DB507D" w:rsidRPr="007136BC">
        <w:rPr>
          <w:i/>
          <w:iCs/>
        </w:rPr>
        <w:t xml:space="preserve">, </w:t>
      </w:r>
      <w:r w:rsidR="00DB507D" w:rsidRPr="00C725D5">
        <w:t>DA 16-1376</w:t>
      </w:r>
      <w:r w:rsidR="00DB507D" w:rsidRPr="007136BC">
        <w:t xml:space="preserve"> (WTB 2016).</w:t>
      </w:r>
    </w:p>
  </w:footnote>
  <w:footnote w:id="13">
    <w:p w14:paraId="4870977C" w14:textId="3A087E18" w:rsidR="00AE235D" w:rsidRPr="007136BC" w:rsidRDefault="00AE235D" w:rsidP="00D14BDB">
      <w:pPr>
        <w:pStyle w:val="FootnoteText"/>
        <w:jc w:val="left"/>
      </w:pPr>
      <w:r w:rsidRPr="007136BC">
        <w:rPr>
          <w:rStyle w:val="FootnoteReference"/>
        </w:rPr>
        <w:footnoteRef/>
      </w:r>
      <w:r w:rsidRPr="007136BC">
        <w:t xml:space="preserve"> </w:t>
      </w:r>
      <w:r w:rsidRPr="007136BC">
        <w:rPr>
          <w:i/>
        </w:rPr>
        <w:t xml:space="preserve">See </w:t>
      </w:r>
      <w:r w:rsidRPr="007136BC">
        <w:t>GCI Reply at 2.</w:t>
      </w:r>
    </w:p>
  </w:footnote>
  <w:footnote w:id="14">
    <w:p w14:paraId="61F6699B" w14:textId="04308BF7" w:rsidR="00AE235D" w:rsidRPr="007136BC" w:rsidRDefault="00AE235D" w:rsidP="00D14BDB">
      <w:pPr>
        <w:pStyle w:val="FootnoteText"/>
        <w:jc w:val="left"/>
      </w:pPr>
      <w:r w:rsidRPr="007136BC">
        <w:rPr>
          <w:rStyle w:val="FootnoteReference"/>
        </w:rPr>
        <w:footnoteRef/>
      </w:r>
      <w:r w:rsidRPr="00D0255C">
        <w:t xml:space="preserve"> </w:t>
      </w:r>
      <w:r w:rsidRPr="007136BC">
        <w:t>AT&amp;T</w:t>
      </w:r>
      <w:r w:rsidR="00C725D5" w:rsidRPr="00D0255C">
        <w:t xml:space="preserve"> </w:t>
      </w:r>
      <w:r w:rsidR="00C725D5">
        <w:t>Dec. 2</w:t>
      </w:r>
      <w:r w:rsidRPr="007136BC">
        <w:rPr>
          <w:i/>
        </w:rPr>
        <w:t xml:space="preserve"> Ex Parte </w:t>
      </w:r>
      <w:r w:rsidRPr="007136BC">
        <w:t>at 1</w:t>
      </w:r>
      <w:r w:rsidR="00C725D5">
        <w:t xml:space="preserve">; </w:t>
      </w:r>
      <w:r w:rsidR="00C725D5" w:rsidRPr="007136BC">
        <w:t>AT&amp;T</w:t>
      </w:r>
      <w:r w:rsidR="00C725D5">
        <w:t xml:space="preserve"> Dec. 22</w:t>
      </w:r>
      <w:r w:rsidR="00C725D5" w:rsidRPr="007136BC">
        <w:rPr>
          <w:i/>
        </w:rPr>
        <w:t xml:space="preserve"> Ex Parte </w:t>
      </w:r>
      <w:r w:rsidR="00C725D5" w:rsidRPr="007136BC">
        <w:t>at 1</w:t>
      </w:r>
      <w:r w:rsidRPr="007136BC">
        <w:t>.</w:t>
      </w:r>
      <w:r w:rsidR="009B6A30">
        <w:t xml:space="preserve">  </w:t>
      </w:r>
      <w:r w:rsidR="009B6A30" w:rsidRPr="007136BC">
        <w:t xml:space="preserve"> </w:t>
      </w:r>
    </w:p>
  </w:footnote>
  <w:footnote w:id="15">
    <w:p w14:paraId="29E79B68" w14:textId="4A7EA138" w:rsidR="00E03C31" w:rsidRDefault="00E03C31" w:rsidP="00D14BDB">
      <w:pPr>
        <w:pStyle w:val="FootnoteText"/>
        <w:jc w:val="left"/>
      </w:pPr>
      <w:r>
        <w:rPr>
          <w:rStyle w:val="FootnoteReference"/>
        </w:rPr>
        <w:footnoteRef/>
      </w:r>
      <w:r>
        <w:t xml:space="preserve"> </w:t>
      </w:r>
      <w:r w:rsidR="009C64E5" w:rsidRPr="007136BC">
        <w:t>AT&amp;T</w:t>
      </w:r>
      <w:r w:rsidR="009C64E5">
        <w:t xml:space="preserve"> Dec. 22</w:t>
      </w:r>
      <w:r w:rsidR="009C64E5" w:rsidRPr="007136BC">
        <w:rPr>
          <w:i/>
        </w:rPr>
        <w:t xml:space="preserve"> Ex Parte </w:t>
      </w:r>
      <w:r w:rsidR="009C64E5" w:rsidRPr="007136BC">
        <w:t>at 1.</w:t>
      </w:r>
      <w:r w:rsidR="009C64E5">
        <w:t xml:space="preserve">  </w:t>
      </w:r>
      <w:r w:rsidR="009C64E5" w:rsidRPr="007136BC">
        <w:t xml:space="preserve"> </w:t>
      </w:r>
    </w:p>
  </w:footnote>
  <w:footnote w:id="16">
    <w:p w14:paraId="03FB2F92" w14:textId="4B891465" w:rsidR="009C64E5" w:rsidRPr="007136BC" w:rsidRDefault="009C64E5" w:rsidP="00D14BDB">
      <w:pPr>
        <w:pStyle w:val="FootnoteText"/>
        <w:jc w:val="left"/>
      </w:pPr>
      <w:r w:rsidRPr="007136BC">
        <w:rPr>
          <w:rStyle w:val="FootnoteReference"/>
        </w:rPr>
        <w:footnoteRef/>
      </w:r>
      <w:r w:rsidRPr="007136BC">
        <w:t xml:space="preserve"> </w:t>
      </w:r>
      <w:r w:rsidR="00214EA2" w:rsidRPr="007136BC">
        <w:t>AT&amp;T</w:t>
      </w:r>
      <w:r w:rsidR="00214EA2" w:rsidRPr="00D0255C">
        <w:t xml:space="preserve"> </w:t>
      </w:r>
      <w:r w:rsidR="00214EA2">
        <w:t>Dec. 22</w:t>
      </w:r>
      <w:r w:rsidR="00214EA2" w:rsidRPr="007136BC">
        <w:rPr>
          <w:i/>
        </w:rPr>
        <w:t xml:space="preserve"> Ex Parte </w:t>
      </w:r>
      <w:r w:rsidR="00214EA2">
        <w:t>at 2</w:t>
      </w:r>
      <w:r w:rsidR="00214EA2" w:rsidRPr="007136BC">
        <w:t>.</w:t>
      </w:r>
      <w:r w:rsidR="00214EA2">
        <w:t xml:space="preserve">  </w:t>
      </w:r>
      <w:r w:rsidR="00214EA2" w:rsidRPr="00D0255C">
        <w:rPr>
          <w:i/>
        </w:rPr>
        <w:t xml:space="preserve">See </w:t>
      </w:r>
      <w:r w:rsidR="00214EA2">
        <w:rPr>
          <w:i/>
        </w:rPr>
        <w:t xml:space="preserve">also </w:t>
      </w:r>
      <w:r w:rsidRPr="007136BC">
        <w:t>AT&amp;T</w:t>
      </w:r>
      <w:r>
        <w:t xml:space="preserve"> Dec. 2</w:t>
      </w:r>
      <w:r w:rsidRPr="007136BC">
        <w:rPr>
          <w:i/>
        </w:rPr>
        <w:t xml:space="preserve"> Ex Parte</w:t>
      </w:r>
      <w:r w:rsidRPr="00D0255C">
        <w:rPr>
          <w:i/>
        </w:rPr>
        <w:t xml:space="preserve"> </w:t>
      </w:r>
      <w:r w:rsidRPr="00D0255C">
        <w:t>at 2</w:t>
      </w:r>
      <w:r w:rsidRPr="007136BC">
        <w:t>.</w:t>
      </w:r>
    </w:p>
  </w:footnote>
  <w:footnote w:id="17">
    <w:p w14:paraId="32CA8008" w14:textId="1639B2BF" w:rsidR="00B76BC9" w:rsidRPr="007136BC" w:rsidRDefault="00B76BC9" w:rsidP="00D14BDB">
      <w:pPr>
        <w:pStyle w:val="FootnoteText"/>
        <w:jc w:val="left"/>
      </w:pPr>
      <w:r w:rsidRPr="007136BC">
        <w:rPr>
          <w:rStyle w:val="FootnoteReference"/>
        </w:rPr>
        <w:footnoteRef/>
      </w:r>
      <w:r w:rsidRPr="007136BC">
        <w:t xml:space="preserve"> AT&amp;T</w:t>
      </w:r>
      <w:r>
        <w:t xml:space="preserve"> Dec. 22</w:t>
      </w:r>
      <w:r w:rsidRPr="007136BC">
        <w:rPr>
          <w:i/>
        </w:rPr>
        <w:t xml:space="preserve"> Ex Parte </w:t>
      </w:r>
      <w:r w:rsidRPr="007136BC">
        <w:t>at 1.</w:t>
      </w:r>
      <w:r>
        <w:t xml:space="preserve"> </w:t>
      </w:r>
    </w:p>
  </w:footnote>
  <w:footnote w:id="18">
    <w:p w14:paraId="1B858EEC" w14:textId="486EB764" w:rsidR="00AE235D" w:rsidRPr="007136BC" w:rsidRDefault="00AE235D" w:rsidP="00D14BDB">
      <w:pPr>
        <w:pStyle w:val="FootnoteText"/>
        <w:jc w:val="left"/>
      </w:pPr>
      <w:r w:rsidRPr="007136BC">
        <w:rPr>
          <w:rStyle w:val="FootnoteReference"/>
        </w:rPr>
        <w:footnoteRef/>
      </w:r>
      <w:r w:rsidRPr="007136BC">
        <w:t xml:space="preserve"> </w:t>
      </w:r>
      <w:r w:rsidR="00214EA2" w:rsidRPr="007136BC">
        <w:t>AT&amp;T</w:t>
      </w:r>
      <w:r w:rsidR="00214EA2">
        <w:t xml:space="preserve"> Dec. 22</w:t>
      </w:r>
      <w:r w:rsidR="00214EA2" w:rsidRPr="007136BC">
        <w:rPr>
          <w:i/>
        </w:rPr>
        <w:t xml:space="preserve"> Ex Parte </w:t>
      </w:r>
      <w:r w:rsidR="00214EA2">
        <w:t>at 2</w:t>
      </w:r>
      <w:r w:rsidR="00214EA2" w:rsidRPr="007136BC">
        <w:t>.</w:t>
      </w:r>
      <w:r w:rsidR="00214EA2">
        <w:t xml:space="preserve">  </w:t>
      </w:r>
      <w:r w:rsidR="00214EA2">
        <w:rPr>
          <w:i/>
        </w:rPr>
        <w:t xml:space="preserve">See also </w:t>
      </w:r>
      <w:r w:rsidR="00214EA2" w:rsidRPr="007136BC">
        <w:t>AT&amp;T</w:t>
      </w:r>
      <w:r w:rsidR="00214EA2">
        <w:t xml:space="preserve"> Dec. 2</w:t>
      </w:r>
      <w:r w:rsidR="00214EA2" w:rsidRPr="007136BC">
        <w:rPr>
          <w:i/>
        </w:rPr>
        <w:t xml:space="preserve"> Ex Parte </w:t>
      </w:r>
      <w:r w:rsidR="00214EA2" w:rsidRPr="007136BC">
        <w:t xml:space="preserve">at </w:t>
      </w:r>
      <w:r w:rsidR="00214EA2">
        <w:t>2</w:t>
      </w:r>
      <w:r w:rsidRPr="007136BC">
        <w:t>.</w:t>
      </w:r>
      <w:r w:rsidR="009B6A30">
        <w:t xml:space="preserve">  </w:t>
      </w:r>
      <w:r w:rsidR="009B6A30" w:rsidRPr="007136BC">
        <w:t xml:space="preserve"> </w:t>
      </w:r>
    </w:p>
  </w:footnote>
  <w:footnote w:id="19">
    <w:p w14:paraId="162F001B" w14:textId="7560D7D3" w:rsidR="00BB7408" w:rsidRDefault="00BB7408" w:rsidP="00D14BDB">
      <w:pPr>
        <w:pStyle w:val="FootnoteText"/>
        <w:jc w:val="left"/>
      </w:pPr>
      <w:r>
        <w:rPr>
          <w:rStyle w:val="FootnoteReference"/>
        </w:rPr>
        <w:footnoteRef/>
      </w:r>
      <w:r>
        <w:t xml:space="preserve"> </w:t>
      </w:r>
      <w:r w:rsidR="00884D8C" w:rsidRPr="007136BC">
        <w:t>AT&amp;T</w:t>
      </w:r>
      <w:r w:rsidR="00884D8C">
        <w:t xml:space="preserve"> Dec. 22</w:t>
      </w:r>
      <w:r w:rsidR="00884D8C" w:rsidRPr="007136BC">
        <w:rPr>
          <w:i/>
        </w:rPr>
        <w:t xml:space="preserve"> Ex Parte </w:t>
      </w:r>
      <w:r w:rsidR="00884D8C" w:rsidRPr="007136BC">
        <w:t xml:space="preserve">at </w:t>
      </w:r>
      <w:r w:rsidR="00884D8C">
        <w:t>2</w:t>
      </w:r>
      <w:r w:rsidR="00884D8C" w:rsidRPr="007136BC">
        <w:t>.</w:t>
      </w:r>
    </w:p>
  </w:footnote>
  <w:footnote w:id="20">
    <w:p w14:paraId="0AA6FDCF" w14:textId="02F15BB9" w:rsidR="00B21536" w:rsidRPr="007136BC" w:rsidRDefault="00B21536" w:rsidP="00D14BDB">
      <w:pPr>
        <w:pStyle w:val="FootnoteText"/>
        <w:jc w:val="left"/>
      </w:pPr>
      <w:r w:rsidRPr="007136BC">
        <w:rPr>
          <w:rStyle w:val="FootnoteReference"/>
        </w:rPr>
        <w:footnoteRef/>
      </w:r>
      <w:r w:rsidRPr="007136BC">
        <w:t xml:space="preserve"> </w:t>
      </w:r>
      <w:r w:rsidR="00214EA2" w:rsidRPr="007136BC">
        <w:t>AT&amp;T</w:t>
      </w:r>
      <w:r w:rsidR="00214EA2" w:rsidRPr="00D0255C">
        <w:t xml:space="preserve"> </w:t>
      </w:r>
      <w:r w:rsidR="00214EA2">
        <w:t>Dec. 22</w:t>
      </w:r>
      <w:r w:rsidR="00214EA2" w:rsidRPr="007136BC">
        <w:rPr>
          <w:i/>
        </w:rPr>
        <w:t xml:space="preserve"> Ex Parte </w:t>
      </w:r>
      <w:r w:rsidR="00214EA2">
        <w:t>at 2</w:t>
      </w:r>
      <w:r w:rsidR="00214EA2" w:rsidRPr="007136BC">
        <w:t>.</w:t>
      </w:r>
      <w:r w:rsidR="00214EA2">
        <w:t xml:space="preserve">  </w:t>
      </w:r>
      <w:r w:rsidR="00214EA2">
        <w:rPr>
          <w:i/>
        </w:rPr>
        <w:t xml:space="preserve">See also </w:t>
      </w:r>
      <w:r w:rsidR="00214EA2" w:rsidRPr="007136BC">
        <w:t>AT&amp;T</w:t>
      </w:r>
      <w:r w:rsidR="00214EA2">
        <w:t xml:space="preserve"> Dec. 2</w:t>
      </w:r>
      <w:r w:rsidR="00214EA2" w:rsidRPr="007136BC">
        <w:rPr>
          <w:i/>
        </w:rPr>
        <w:t xml:space="preserve"> Ex Parte </w:t>
      </w:r>
      <w:r w:rsidR="00214EA2" w:rsidRPr="007136BC">
        <w:t>at 2.</w:t>
      </w:r>
    </w:p>
  </w:footnote>
  <w:footnote w:id="21">
    <w:p w14:paraId="1ED24097" w14:textId="13045906" w:rsidR="00AE235D" w:rsidRPr="007136BC" w:rsidRDefault="00AE235D" w:rsidP="00D14BDB">
      <w:pPr>
        <w:pStyle w:val="FootnoteText"/>
        <w:jc w:val="left"/>
      </w:pPr>
      <w:r w:rsidRPr="007136BC">
        <w:rPr>
          <w:rStyle w:val="FootnoteReference"/>
        </w:rPr>
        <w:footnoteRef/>
      </w:r>
      <w:r w:rsidRPr="007136BC">
        <w:t xml:space="preserve"> </w:t>
      </w:r>
      <w:r w:rsidRPr="007136BC">
        <w:rPr>
          <w:i/>
        </w:rPr>
        <w:t xml:space="preserve">See </w:t>
      </w:r>
      <w:r w:rsidRPr="007136BC">
        <w:t>AT&amp;T</w:t>
      </w:r>
      <w:r w:rsidR="00CB2092" w:rsidRPr="00D0255C">
        <w:t xml:space="preserve"> </w:t>
      </w:r>
      <w:r w:rsidR="00CB2092">
        <w:t>Dec. 2</w:t>
      </w:r>
      <w:r w:rsidRPr="007136BC">
        <w:rPr>
          <w:i/>
        </w:rPr>
        <w:t xml:space="preserve"> Ex Parte </w:t>
      </w:r>
      <w:r w:rsidRPr="007136BC">
        <w:t>at 2.</w:t>
      </w:r>
      <w:r w:rsidR="009B6A30">
        <w:t xml:space="preserve"> </w:t>
      </w:r>
    </w:p>
  </w:footnote>
  <w:footnote w:id="22">
    <w:p w14:paraId="1A1D0046" w14:textId="166A3311" w:rsidR="0086150F" w:rsidRDefault="0086150F" w:rsidP="00D14BDB">
      <w:pPr>
        <w:pStyle w:val="FootnoteText"/>
        <w:jc w:val="left"/>
      </w:pPr>
      <w:r>
        <w:rPr>
          <w:rStyle w:val="FootnoteReference"/>
        </w:rPr>
        <w:footnoteRef/>
      </w:r>
      <w:r>
        <w:t xml:space="preserve"> </w:t>
      </w:r>
      <w:r w:rsidRPr="001B670F">
        <w:t>Rural Wireless Association Comments</w:t>
      </w:r>
      <w:r>
        <w:t>,</w:t>
      </w:r>
      <w:r w:rsidRPr="001B670F">
        <w:t xml:space="preserve"> WT Docket No</w:t>
      </w:r>
      <w:r>
        <w:t>s</w:t>
      </w:r>
      <w:r w:rsidRPr="001B670F">
        <w:t>. 16-402</w:t>
      </w:r>
      <w:r>
        <w:t xml:space="preserve"> and </w:t>
      </w:r>
      <w:r w:rsidRPr="001B670F">
        <w:t xml:space="preserve">16-335 </w:t>
      </w:r>
      <w:r>
        <w:t xml:space="preserve">(Jan. 3, 2017) </w:t>
      </w:r>
      <w:r w:rsidRPr="001B670F">
        <w:t>(RWA Comments)</w:t>
      </w:r>
      <w:r>
        <w:t xml:space="preserve">.  </w:t>
      </w:r>
    </w:p>
  </w:footnote>
  <w:footnote w:id="23">
    <w:p w14:paraId="3FBA18D7" w14:textId="66E35709" w:rsidR="001B670F" w:rsidRDefault="001B670F" w:rsidP="00D14BDB">
      <w:pPr>
        <w:pStyle w:val="FootnoteText"/>
        <w:jc w:val="left"/>
      </w:pPr>
      <w:r>
        <w:rPr>
          <w:rStyle w:val="FootnoteReference"/>
        </w:rPr>
        <w:footnoteRef/>
      </w:r>
      <w:r>
        <w:t xml:space="preserve"> </w:t>
      </w:r>
      <w:r w:rsidR="0044644A">
        <w:rPr>
          <w:i/>
        </w:rPr>
        <w:t xml:space="preserve">Id. </w:t>
      </w:r>
      <w:r w:rsidR="0044644A">
        <w:t xml:space="preserve">at 2, n.4.  </w:t>
      </w:r>
    </w:p>
  </w:footnote>
  <w:footnote w:id="24">
    <w:p w14:paraId="0B39464B" w14:textId="5783FD58" w:rsidR="00106EC4" w:rsidRDefault="00106EC4">
      <w:pPr>
        <w:pStyle w:val="FootnoteText"/>
      </w:pPr>
      <w:r>
        <w:rPr>
          <w:rStyle w:val="FootnoteReference"/>
        </w:rPr>
        <w:footnoteRef/>
      </w:r>
      <w:r>
        <w:t xml:space="preserve"> </w:t>
      </w:r>
      <w:r w:rsidRPr="00106EC4">
        <w:rPr>
          <w:i/>
        </w:rPr>
        <w:t>Ex Parte</w:t>
      </w:r>
      <w:r w:rsidRPr="00106EC4">
        <w:t xml:space="preserve"> Letter from Celia Nogales, AVP-Federal Regulatory, AT&amp;T, to Marlene H. Dortch, Secretary, FCC, WT Docket No. 16-319 (filed </w:t>
      </w:r>
      <w:r>
        <w:t>Jan. 13, 2017</w:t>
      </w:r>
      <w:r w:rsidRPr="00106EC4">
        <w:t xml:space="preserve">) (AT&amp;T </w:t>
      </w:r>
      <w:r>
        <w:t>Jan. 13</w:t>
      </w:r>
      <w:r w:rsidRPr="00106EC4">
        <w:t xml:space="preserve"> </w:t>
      </w:r>
      <w:r w:rsidRPr="00106EC4">
        <w:rPr>
          <w:i/>
        </w:rPr>
        <w:t>Ex Parte</w:t>
      </w:r>
      <w:r w:rsidRPr="00106EC4">
        <w:t xml:space="preserve">).  </w:t>
      </w:r>
    </w:p>
  </w:footnote>
  <w:footnote w:id="25">
    <w:p w14:paraId="2CBCC84F" w14:textId="3A8EEE54" w:rsidR="00C410F2" w:rsidRPr="00012D9D" w:rsidRDefault="00C410F2" w:rsidP="00C410F2">
      <w:pPr>
        <w:pStyle w:val="FootnoteText"/>
      </w:pPr>
      <w:r>
        <w:rPr>
          <w:rStyle w:val="FootnoteReference"/>
        </w:rPr>
        <w:footnoteRef/>
      </w:r>
      <w:r>
        <w:t xml:space="preserve"> </w:t>
      </w:r>
      <w:r w:rsidR="004F33DC">
        <w:rPr>
          <w:i/>
        </w:rPr>
        <w:t xml:space="preserve">See id. </w:t>
      </w:r>
      <w:r w:rsidR="004F33DC">
        <w:t xml:space="preserve">at 1. </w:t>
      </w:r>
    </w:p>
  </w:footnote>
  <w:footnote w:id="26">
    <w:p w14:paraId="4A4AEBDC" w14:textId="473FD956" w:rsidR="00B9107D" w:rsidRDefault="00B9107D">
      <w:pPr>
        <w:pStyle w:val="FootnoteText"/>
      </w:pPr>
      <w:r>
        <w:rPr>
          <w:rStyle w:val="FootnoteReference"/>
        </w:rPr>
        <w:footnoteRef/>
      </w:r>
      <w:r>
        <w:t xml:space="preserve"> </w:t>
      </w:r>
      <w:r w:rsidR="00AE2060">
        <w:rPr>
          <w:i/>
        </w:rPr>
        <w:t xml:space="preserve">Id. </w:t>
      </w:r>
      <w:r w:rsidR="0002069A">
        <w:t xml:space="preserve">at 2. </w:t>
      </w:r>
    </w:p>
  </w:footnote>
  <w:footnote w:id="27">
    <w:p w14:paraId="423EAECB" w14:textId="28D805E3" w:rsidR="00AE235D" w:rsidRPr="007136BC" w:rsidRDefault="00AE235D" w:rsidP="00D14BDB">
      <w:pPr>
        <w:pStyle w:val="FootnoteText"/>
        <w:jc w:val="left"/>
      </w:pPr>
      <w:r w:rsidRPr="007136BC">
        <w:rPr>
          <w:rStyle w:val="FootnoteReference"/>
        </w:rPr>
        <w:footnoteRef/>
      </w:r>
      <w:r w:rsidRPr="007136BC">
        <w:t xml:space="preserve"> 47 CFR § 1.925(b)(3).</w:t>
      </w:r>
    </w:p>
  </w:footnote>
  <w:footnote w:id="28">
    <w:p w14:paraId="6BAFBC61" w14:textId="77A1EAF4" w:rsidR="008650B7" w:rsidRPr="00E463A4" w:rsidRDefault="008650B7" w:rsidP="00D14BDB">
      <w:pPr>
        <w:pStyle w:val="FootnoteText"/>
        <w:jc w:val="left"/>
      </w:pPr>
      <w:r w:rsidRPr="00E463A4">
        <w:rPr>
          <w:rStyle w:val="FootnoteReference"/>
        </w:rPr>
        <w:footnoteRef/>
      </w:r>
      <w:r w:rsidRPr="00E463A4">
        <w:t xml:space="preserve"> </w:t>
      </w:r>
      <w:r w:rsidRPr="00E463A4">
        <w:rPr>
          <w:i/>
        </w:rPr>
        <w:t xml:space="preserve">700 MHz Second Report and Order, </w:t>
      </w:r>
      <w:r w:rsidRPr="00E463A4">
        <w:t>22 FCC Rcd at 15348, para. 153.</w:t>
      </w:r>
    </w:p>
  </w:footnote>
  <w:footnote w:id="29">
    <w:p w14:paraId="37FA3F03" w14:textId="77777777" w:rsidR="00012D9D" w:rsidRDefault="00012D9D" w:rsidP="00012D9D">
      <w:pPr>
        <w:pStyle w:val="FootnoteText"/>
        <w:jc w:val="left"/>
      </w:pPr>
      <w:r>
        <w:rPr>
          <w:rStyle w:val="FootnoteReference"/>
        </w:rPr>
        <w:footnoteRef/>
      </w:r>
      <w:r>
        <w:t xml:space="preserve"> 47 CFR § 1.41.</w:t>
      </w:r>
    </w:p>
  </w:footnote>
  <w:footnote w:id="30">
    <w:p w14:paraId="795542AC" w14:textId="3C664C6E" w:rsidR="001761E3" w:rsidRDefault="001761E3" w:rsidP="00D14BDB">
      <w:pPr>
        <w:pStyle w:val="FootnoteText"/>
        <w:jc w:val="left"/>
      </w:pPr>
      <w:r>
        <w:rPr>
          <w:rStyle w:val="FootnoteReference"/>
        </w:rPr>
        <w:footnoteRef/>
      </w:r>
      <w:r>
        <w:t xml:space="preserve"> </w:t>
      </w:r>
      <w:r>
        <w:rPr>
          <w:i/>
        </w:rPr>
        <w:t xml:space="preserve">See </w:t>
      </w:r>
      <w:r>
        <w:t xml:space="preserve">RWA Comments at 4.  </w:t>
      </w:r>
    </w:p>
  </w:footnote>
  <w:footnote w:id="31">
    <w:p w14:paraId="56EBB512" w14:textId="64CE2DF6" w:rsidR="001761E3" w:rsidRPr="00532752" w:rsidRDefault="001761E3" w:rsidP="00D14BDB">
      <w:pPr>
        <w:pStyle w:val="FootnoteText"/>
        <w:jc w:val="left"/>
      </w:pPr>
      <w:r w:rsidRPr="00532752">
        <w:rPr>
          <w:rStyle w:val="FootnoteReference"/>
        </w:rPr>
        <w:footnoteRef/>
      </w:r>
      <w:r w:rsidRPr="00532752">
        <w:t xml:space="preserve"> </w:t>
      </w:r>
      <w:r w:rsidR="00BB033C" w:rsidRPr="00BB033C">
        <w:rPr>
          <w:i/>
        </w:rPr>
        <w:t>Id</w:t>
      </w:r>
      <w:r w:rsidR="00BB033C" w:rsidRPr="00BB033C">
        <w:t>. at 6.</w:t>
      </w:r>
      <w:r w:rsidR="00371F40">
        <w:t xml:space="preserve"> </w:t>
      </w:r>
    </w:p>
  </w:footnote>
  <w:footnote w:id="32">
    <w:p w14:paraId="2B8E65A8" w14:textId="54C613E0" w:rsidR="001761E3" w:rsidRPr="00532752" w:rsidRDefault="001761E3" w:rsidP="00D14BDB">
      <w:pPr>
        <w:pStyle w:val="FootnoteText"/>
        <w:jc w:val="left"/>
      </w:pPr>
      <w:r w:rsidRPr="00532752">
        <w:rPr>
          <w:rStyle w:val="FootnoteReference"/>
        </w:rPr>
        <w:footnoteRef/>
      </w:r>
      <w:r w:rsidRPr="00532752">
        <w:t xml:space="preserve"> </w:t>
      </w:r>
      <w:r w:rsidR="00BB033C" w:rsidRPr="00BB033C">
        <w:rPr>
          <w:i/>
        </w:rPr>
        <w:t>See id</w:t>
      </w:r>
      <w:r w:rsidR="00BB033C" w:rsidRPr="00BB033C">
        <w:t>.</w:t>
      </w:r>
      <w:r w:rsidR="00BB033C">
        <w:t xml:space="preserve"> </w:t>
      </w:r>
    </w:p>
  </w:footnote>
  <w:footnote w:id="33">
    <w:p w14:paraId="6C899597" w14:textId="72CE35A5" w:rsidR="00454770" w:rsidRPr="007136BC" w:rsidRDefault="00454770" w:rsidP="00D14BDB">
      <w:pPr>
        <w:pStyle w:val="FootnoteText"/>
        <w:jc w:val="left"/>
      </w:pPr>
      <w:r w:rsidRPr="007136BC">
        <w:rPr>
          <w:rStyle w:val="FootnoteReference"/>
        </w:rPr>
        <w:footnoteRef/>
      </w:r>
      <w:r w:rsidRPr="007136BC">
        <w:t xml:space="preserve"> Waiver Request at 5</w:t>
      </w:r>
      <w:r>
        <w:t xml:space="preserve">.  </w:t>
      </w:r>
      <w:r>
        <w:rPr>
          <w:i/>
        </w:rPr>
        <w:t xml:space="preserve">See also </w:t>
      </w:r>
      <w:r w:rsidR="007C55E5" w:rsidRPr="007136BC">
        <w:t xml:space="preserve">Guide to State and Local Census Geography - Selected Data from the 2010 Census, U.S. Census Bureau, </w:t>
      </w:r>
      <w:r w:rsidR="007C55E5" w:rsidRPr="002853E3">
        <w:t>https://www.census.gov/geo/reference/guidestloc/select_data.html</w:t>
      </w:r>
      <w:r w:rsidR="007C55E5" w:rsidRPr="007136BC">
        <w:t xml:space="preserve"> (2010 State and Local Census Guide)</w:t>
      </w:r>
      <w:r w:rsidRPr="007136BC">
        <w:t>; U.S. Census Bureau, 2010 Census of Population and Housing, Population and Housing Unity Counts, Alaska: 2010 (June 2012), at 7, https://www.census.gov/prod/cen2010/cph-2-3.pdf.</w:t>
      </w:r>
    </w:p>
  </w:footnote>
  <w:footnote w:id="34">
    <w:p w14:paraId="3E6E0B54" w14:textId="48BB6142" w:rsidR="00AE235D" w:rsidRPr="007136BC" w:rsidRDefault="00AE235D" w:rsidP="00D14BDB">
      <w:pPr>
        <w:pStyle w:val="FootnoteText"/>
        <w:jc w:val="left"/>
      </w:pPr>
      <w:r w:rsidRPr="007136BC">
        <w:rPr>
          <w:rStyle w:val="FootnoteReference"/>
        </w:rPr>
        <w:footnoteRef/>
      </w:r>
      <w:r w:rsidRPr="007136BC">
        <w:t xml:space="preserve"> </w:t>
      </w:r>
      <w:r w:rsidRPr="007136BC">
        <w:rPr>
          <w:i/>
        </w:rPr>
        <w:t xml:space="preserve">See </w:t>
      </w:r>
      <w:r w:rsidRPr="007136BC">
        <w:t>Waiver Request at 6, 7; AT&amp;T</w:t>
      </w:r>
      <w:r w:rsidR="00214EA2" w:rsidRPr="00D0255C">
        <w:t xml:space="preserve"> </w:t>
      </w:r>
      <w:r w:rsidR="00214EA2">
        <w:t>Dec. 2</w:t>
      </w:r>
      <w:r w:rsidRPr="007136BC">
        <w:rPr>
          <w:i/>
        </w:rPr>
        <w:t xml:space="preserve"> Ex Parte </w:t>
      </w:r>
      <w:r w:rsidRPr="007136BC">
        <w:t>at 2.</w:t>
      </w:r>
    </w:p>
  </w:footnote>
  <w:footnote w:id="35">
    <w:p w14:paraId="062606FE" w14:textId="21379CDA" w:rsidR="00454770" w:rsidRPr="007136BC" w:rsidRDefault="00454770" w:rsidP="00D14BDB">
      <w:pPr>
        <w:pStyle w:val="FootnoteText"/>
        <w:jc w:val="left"/>
      </w:pPr>
      <w:r w:rsidRPr="007136BC">
        <w:rPr>
          <w:rStyle w:val="FootnoteReference"/>
        </w:rPr>
        <w:footnoteRef/>
      </w:r>
      <w:r w:rsidRPr="007136BC">
        <w:t xml:space="preserve"> </w:t>
      </w:r>
      <w:r w:rsidRPr="007136BC">
        <w:rPr>
          <w:i/>
        </w:rPr>
        <w:t>See</w:t>
      </w:r>
      <w:r w:rsidRPr="007136BC">
        <w:t xml:space="preserve"> Waiver Request at 5; FCC’s Geographic Information Systems Database, </w:t>
      </w:r>
      <w:r w:rsidRPr="007056AA">
        <w:t>https://www.fcc.gov/general/geographic-information-systems</w:t>
      </w:r>
      <w:r w:rsidRPr="007136BC">
        <w:t xml:space="preserve"> (FCC GIS Database)</w:t>
      </w:r>
      <w:r>
        <w:t>;</w:t>
      </w:r>
      <w:r w:rsidR="007C55E5">
        <w:t xml:space="preserve"> </w:t>
      </w:r>
      <w:r w:rsidR="007C55E5" w:rsidRPr="007136BC">
        <w:t>2010 State and Local Census Guide</w:t>
      </w:r>
      <w:r>
        <w:t>.</w:t>
      </w:r>
    </w:p>
  </w:footnote>
  <w:footnote w:id="36">
    <w:p w14:paraId="2013E3C6" w14:textId="77777777" w:rsidR="00454770" w:rsidRDefault="00454770" w:rsidP="00D14BDB">
      <w:pPr>
        <w:pStyle w:val="FootnoteText"/>
        <w:jc w:val="left"/>
      </w:pPr>
      <w:r>
        <w:rPr>
          <w:rStyle w:val="FootnoteReference"/>
        </w:rPr>
        <w:footnoteRef/>
      </w:r>
      <w:r>
        <w:t xml:space="preserve"> </w:t>
      </w:r>
      <w:r>
        <w:rPr>
          <w:i/>
        </w:rPr>
        <w:t xml:space="preserve">See </w:t>
      </w:r>
      <w:r>
        <w:t>FCC GIS Database</w:t>
      </w:r>
      <w:r w:rsidRPr="007136BC">
        <w:t>.</w:t>
      </w:r>
      <w:r>
        <w:t xml:space="preserve">  Texas comprises more than </w:t>
      </w:r>
      <w:r w:rsidRPr="00D63F69">
        <w:t>268,585 sq</w:t>
      </w:r>
      <w:r>
        <w:t>uare</w:t>
      </w:r>
      <w:r w:rsidRPr="00D63F69">
        <w:t xml:space="preserve"> miles</w:t>
      </w:r>
      <w:r>
        <w:t xml:space="preserve">.  </w:t>
      </w:r>
      <w:r>
        <w:rPr>
          <w:i/>
        </w:rPr>
        <w:t>See i</w:t>
      </w:r>
      <w:r w:rsidRPr="00D63F69">
        <w:rPr>
          <w:i/>
        </w:rPr>
        <w:t>d</w:t>
      </w:r>
      <w:r>
        <w:t>.</w:t>
      </w:r>
    </w:p>
  </w:footnote>
  <w:footnote w:id="37">
    <w:p w14:paraId="3615EDC9" w14:textId="4DF56C97" w:rsidR="00454770" w:rsidRPr="00724036" w:rsidRDefault="00454770" w:rsidP="00D14BDB">
      <w:pPr>
        <w:pStyle w:val="FootnoteText"/>
        <w:jc w:val="left"/>
        <w:rPr>
          <w:i/>
        </w:rPr>
      </w:pPr>
      <w:r w:rsidRPr="007136BC">
        <w:rPr>
          <w:rStyle w:val="FootnoteReference"/>
        </w:rPr>
        <w:footnoteRef/>
      </w:r>
      <w:r w:rsidRPr="007136BC">
        <w:t xml:space="preserve"> </w:t>
      </w:r>
      <w:r w:rsidR="00BB033C" w:rsidRPr="00BB033C">
        <w:rPr>
          <w:i/>
        </w:rPr>
        <w:t>See id</w:t>
      </w:r>
      <w:r w:rsidR="00BB033C" w:rsidRPr="00BB033C">
        <w:t>.</w:t>
      </w:r>
      <w:r w:rsidR="00BB033C">
        <w:t xml:space="preserve"> </w:t>
      </w:r>
      <w:r w:rsidR="00BB033C" w:rsidRPr="007136BC">
        <w:t xml:space="preserve"> </w:t>
      </w:r>
      <w:r w:rsidRPr="007136BC">
        <w:t xml:space="preserve">Alaska </w:t>
      </w:r>
      <w:r>
        <w:t>comprises</w:t>
      </w:r>
      <w:r w:rsidRPr="007136BC">
        <w:t xml:space="preserve"> </w:t>
      </w:r>
      <w:r>
        <w:t xml:space="preserve">more than </w:t>
      </w:r>
      <w:r w:rsidRPr="007136BC">
        <w:t xml:space="preserve">663,209 </w:t>
      </w:r>
      <w:r>
        <w:t>square miles; CMA315</w:t>
      </w:r>
      <w:r w:rsidRPr="003253A7">
        <w:t xml:space="preserve"> comprises </w:t>
      </w:r>
      <w:r>
        <w:t xml:space="preserve">more than </w:t>
      </w:r>
      <w:r w:rsidRPr="003253A7">
        <w:t>56 percent of Alaska</w:t>
      </w:r>
      <w:r>
        <w:t xml:space="preserve">.  </w:t>
      </w:r>
      <w:r>
        <w:rPr>
          <w:i/>
        </w:rPr>
        <w:t>See id.</w:t>
      </w:r>
    </w:p>
  </w:footnote>
  <w:footnote w:id="38">
    <w:p w14:paraId="6D263DCF" w14:textId="1DD3B4B5" w:rsidR="00870907" w:rsidRDefault="00870907" w:rsidP="00D14BDB">
      <w:pPr>
        <w:spacing w:after="120"/>
      </w:pPr>
      <w:r>
        <w:rPr>
          <w:rStyle w:val="FootnoteReference"/>
        </w:rPr>
        <w:footnoteRef/>
      </w:r>
      <w:r>
        <w:t xml:space="preserve"> </w:t>
      </w:r>
      <w:r w:rsidRPr="00870907">
        <w:rPr>
          <w:i/>
        </w:rPr>
        <w:t>See</w:t>
      </w:r>
      <w:r w:rsidR="00A63DFA">
        <w:rPr>
          <w:i/>
        </w:rPr>
        <w:t xml:space="preserve"> </w:t>
      </w:r>
      <w:r w:rsidR="00A63DFA" w:rsidRPr="00A63DFA">
        <w:t>University of California Museum of Paleontology,</w:t>
      </w:r>
      <w:r w:rsidR="00A63DFA">
        <w:rPr>
          <w:i/>
        </w:rPr>
        <w:t xml:space="preserve"> </w:t>
      </w:r>
      <w:r w:rsidR="00A63DFA" w:rsidRPr="00A63DFA">
        <w:t>The Tundra Biome</w:t>
      </w:r>
      <w:r w:rsidR="00A63DFA">
        <w:t xml:space="preserve">, </w:t>
      </w:r>
      <w:r w:rsidRPr="00F84D09">
        <w:t>http://www.ucmp.berkeley.edu/exhibits/biomes/tundra.php#arctic</w:t>
      </w:r>
      <w:r>
        <w:t>.</w:t>
      </w:r>
    </w:p>
  </w:footnote>
  <w:footnote w:id="39">
    <w:p w14:paraId="098EDCA0" w14:textId="1B37A235" w:rsidR="00A30AA1" w:rsidRDefault="00A30AA1" w:rsidP="00D14BDB">
      <w:pPr>
        <w:pStyle w:val="FootnoteText"/>
        <w:jc w:val="left"/>
      </w:pPr>
      <w:r>
        <w:rPr>
          <w:rStyle w:val="FootnoteReference"/>
        </w:rPr>
        <w:footnoteRef/>
      </w:r>
      <w:r>
        <w:t xml:space="preserve"> </w:t>
      </w:r>
      <w:r w:rsidR="00624952">
        <w:rPr>
          <w:i/>
        </w:rPr>
        <w:t xml:space="preserve">See </w:t>
      </w:r>
      <w:r w:rsidR="00BA6A96">
        <w:t xml:space="preserve">National Geographic, </w:t>
      </w:r>
      <w:r w:rsidR="00BA6A96" w:rsidRPr="00BA6A96">
        <w:t>Tundra</w:t>
      </w:r>
      <w:r w:rsidR="00BA6A96">
        <w:t xml:space="preserve">, </w:t>
      </w:r>
      <w:r w:rsidR="00330117" w:rsidRPr="00E43044">
        <w:t>http://environment.nationalgeographic.com/environment/habitats/tundra-profile/</w:t>
      </w:r>
      <w:r w:rsidR="00330117">
        <w:t xml:space="preserve">; </w:t>
      </w:r>
      <w:r w:rsidR="00330117" w:rsidRPr="00330117">
        <w:t>Alaska Road Map</w:t>
      </w:r>
      <w:r w:rsidR="00330117">
        <w:t xml:space="preserve">, </w:t>
      </w:r>
      <w:r w:rsidR="00330117" w:rsidRPr="00330117">
        <w:t>http://www.alaska-map.org/road-map.htm</w:t>
      </w:r>
      <w:r w:rsidR="00BA6A96">
        <w:t>.</w:t>
      </w:r>
    </w:p>
  </w:footnote>
  <w:footnote w:id="40">
    <w:p w14:paraId="7BBFE822" w14:textId="52C78E00" w:rsidR="00454770" w:rsidRPr="007136BC" w:rsidRDefault="00454770" w:rsidP="00D14BDB">
      <w:pPr>
        <w:pStyle w:val="FootnoteText"/>
        <w:jc w:val="left"/>
      </w:pPr>
      <w:r w:rsidRPr="007136BC">
        <w:rPr>
          <w:rStyle w:val="FootnoteReference"/>
        </w:rPr>
        <w:footnoteRef/>
      </w:r>
      <w:r w:rsidRPr="007136BC">
        <w:t xml:space="preserve"> </w:t>
      </w:r>
      <w:r w:rsidRPr="007136BC">
        <w:rPr>
          <w:i/>
        </w:rPr>
        <w:t>Facilitating the Provision of Spectrum-Based Services to Rural Areas and Promoting Opportunities for Rural Telephone Companies To Provide Spectrum-Based Services</w:t>
      </w:r>
      <w:r w:rsidRPr="007136BC">
        <w:t>, Report and Order and Further Notice of Proposed Rule Making, 19 FCC Rcd 19078, 19086-88, paras. 10-12 (WTB 2004).</w:t>
      </w:r>
    </w:p>
  </w:footnote>
  <w:footnote w:id="41">
    <w:p w14:paraId="4D71472A" w14:textId="39FDF1D9" w:rsidR="003F5FDF" w:rsidRPr="007136BC" w:rsidRDefault="003F5FDF" w:rsidP="00D14BDB">
      <w:pPr>
        <w:pStyle w:val="FootnoteText"/>
        <w:jc w:val="left"/>
      </w:pPr>
      <w:r w:rsidRPr="007136BC">
        <w:rPr>
          <w:rStyle w:val="FootnoteReference"/>
        </w:rPr>
        <w:footnoteRef/>
      </w:r>
      <w:r w:rsidRPr="007136BC">
        <w:t xml:space="preserve"> </w:t>
      </w:r>
      <w:r w:rsidRPr="00E463A4">
        <w:rPr>
          <w:i/>
        </w:rPr>
        <w:t xml:space="preserve">See </w:t>
      </w:r>
      <w:r>
        <w:t>Nat’l Telecommunicati</w:t>
      </w:r>
      <w:r w:rsidRPr="00E463A4">
        <w:t>ons &amp; Info. Admin., U.S. Dep’t of Commerce, U.S. Broadband Availability: June 2010 – June 2012, at 12</w:t>
      </w:r>
      <w:r w:rsidR="00E52E11">
        <w:t>,</w:t>
      </w:r>
      <w:r w:rsidRPr="00E463A4">
        <w:t xml:space="preserve"> tbl. 5 (May 2013), http://www.ntia.doc.gov/files/ntia/publications/usbb_avail_report_05102013.pdf</w:t>
      </w:r>
      <w:r w:rsidRPr="007136BC">
        <w:t xml:space="preserve">  </w:t>
      </w:r>
    </w:p>
  </w:footnote>
  <w:footnote w:id="42">
    <w:p w14:paraId="1EB564DE" w14:textId="038D3017" w:rsidR="00AE235D" w:rsidRPr="007136BC" w:rsidRDefault="00AE235D" w:rsidP="00D14BDB">
      <w:pPr>
        <w:pStyle w:val="FootnoteText"/>
        <w:jc w:val="left"/>
      </w:pPr>
      <w:r w:rsidRPr="007136BC">
        <w:rPr>
          <w:rStyle w:val="FootnoteReference"/>
        </w:rPr>
        <w:footnoteRef/>
      </w:r>
      <w:r w:rsidRPr="007136BC">
        <w:t xml:space="preserve"> </w:t>
      </w:r>
      <w:r w:rsidRPr="007136BC">
        <w:rPr>
          <w:i/>
        </w:rPr>
        <w:t xml:space="preserve">See </w:t>
      </w:r>
      <w:r w:rsidRPr="007136BC">
        <w:t>Waiver Request at 2;</w:t>
      </w:r>
      <w:r w:rsidRPr="007136BC">
        <w:rPr>
          <w:i/>
        </w:rPr>
        <w:t xml:space="preserve"> </w:t>
      </w:r>
      <w:r w:rsidRPr="007136BC">
        <w:t>AT&amp;T</w:t>
      </w:r>
      <w:r w:rsidR="003826E5" w:rsidRPr="00D0255C">
        <w:t xml:space="preserve"> </w:t>
      </w:r>
      <w:r w:rsidR="003826E5">
        <w:t>Dec. 2</w:t>
      </w:r>
      <w:r w:rsidRPr="007136BC">
        <w:rPr>
          <w:i/>
        </w:rPr>
        <w:t xml:space="preserve"> Ex Parte </w:t>
      </w:r>
      <w:r w:rsidRPr="007136BC">
        <w:t>at 2.  AT&amp;T further states that, were spectrum from the License area to be reclaimed, “[o]ther providers would not likely claim the unserved areas and provide service in these remotest and sparsely populated areas and, even if claimed, those new licensees would experience the same challenges as AT&amp;T and not likely meet their geographic coverage benchmarks.”</w:t>
      </w:r>
      <w:r w:rsidR="009E0910">
        <w:t xml:space="preserve"> </w:t>
      </w:r>
      <w:r w:rsidRPr="007136BC">
        <w:t xml:space="preserve"> </w:t>
      </w:r>
      <w:r w:rsidR="00F9799C">
        <w:rPr>
          <w:i/>
        </w:rPr>
        <w:t>Id.</w:t>
      </w:r>
    </w:p>
  </w:footnote>
  <w:footnote w:id="43">
    <w:p w14:paraId="2FEB59D6" w14:textId="049E7C8B" w:rsidR="00AE235D" w:rsidRPr="007136BC" w:rsidRDefault="00AE235D" w:rsidP="00D14BDB">
      <w:pPr>
        <w:pStyle w:val="FootnoteText"/>
        <w:jc w:val="left"/>
      </w:pPr>
      <w:r w:rsidRPr="007136BC">
        <w:rPr>
          <w:rStyle w:val="FootnoteReference"/>
        </w:rPr>
        <w:footnoteRef/>
      </w:r>
      <w:r w:rsidRPr="007136BC">
        <w:t xml:space="preserve"> AT&amp;T</w:t>
      </w:r>
      <w:r w:rsidR="00214EA2">
        <w:rPr>
          <w:i/>
        </w:rPr>
        <w:t xml:space="preserve"> </w:t>
      </w:r>
      <w:r w:rsidR="00214EA2">
        <w:t>Dec. 2</w:t>
      </w:r>
      <w:r w:rsidR="00214EA2" w:rsidRPr="007136BC">
        <w:rPr>
          <w:i/>
        </w:rPr>
        <w:t xml:space="preserve"> </w:t>
      </w:r>
      <w:r w:rsidRPr="007136BC">
        <w:rPr>
          <w:i/>
        </w:rPr>
        <w:t xml:space="preserve">Ex Parte </w:t>
      </w:r>
      <w:r w:rsidRPr="007136BC">
        <w:t>at 2.</w:t>
      </w:r>
    </w:p>
  </w:footnote>
  <w:footnote w:id="44">
    <w:p w14:paraId="08F46A3B" w14:textId="3994E8FF" w:rsidR="00AE235D" w:rsidRPr="007136BC" w:rsidRDefault="00AE235D" w:rsidP="00D14BDB">
      <w:pPr>
        <w:pStyle w:val="FootnoteText"/>
        <w:jc w:val="left"/>
      </w:pPr>
      <w:r w:rsidRPr="007136BC">
        <w:rPr>
          <w:rStyle w:val="FootnoteReference"/>
        </w:rPr>
        <w:footnoteRef/>
      </w:r>
      <w:r w:rsidRPr="007136BC">
        <w:t xml:space="preserve"> </w:t>
      </w:r>
      <w:r w:rsidRPr="007136BC">
        <w:rPr>
          <w:i/>
        </w:rPr>
        <w:t xml:space="preserve">See </w:t>
      </w:r>
      <w:r w:rsidRPr="007136BC">
        <w:t>Waiver Request at 2, 6, 9; AT&amp;T</w:t>
      </w:r>
      <w:r w:rsidR="00EF71EF" w:rsidRPr="00D0255C">
        <w:t xml:space="preserve"> </w:t>
      </w:r>
      <w:r w:rsidR="00EF71EF">
        <w:t>Dec. 2</w:t>
      </w:r>
      <w:r w:rsidRPr="007136BC">
        <w:rPr>
          <w:i/>
        </w:rPr>
        <w:t xml:space="preserve"> Ex Parte </w:t>
      </w:r>
      <w:r w:rsidRPr="007136BC">
        <w:t>at 2.</w:t>
      </w:r>
    </w:p>
  </w:footnote>
  <w:footnote w:id="45">
    <w:p w14:paraId="758BF2C2" w14:textId="4401CBED" w:rsidR="00AE235D" w:rsidRPr="007136BC" w:rsidRDefault="00AE235D" w:rsidP="00D14BDB">
      <w:pPr>
        <w:pStyle w:val="FootnoteText"/>
        <w:jc w:val="left"/>
      </w:pPr>
      <w:r w:rsidRPr="007136BC">
        <w:rPr>
          <w:rStyle w:val="FootnoteReference"/>
        </w:rPr>
        <w:footnoteRef/>
      </w:r>
      <w:r w:rsidRPr="007136BC">
        <w:t xml:space="preserve"> </w:t>
      </w:r>
      <w:r w:rsidRPr="007136BC">
        <w:rPr>
          <w:i/>
        </w:rPr>
        <w:t xml:space="preserve">See </w:t>
      </w:r>
      <w:r w:rsidRPr="007136BC">
        <w:t xml:space="preserve">AT&amp;T </w:t>
      </w:r>
      <w:r w:rsidR="00F2704D">
        <w:t xml:space="preserve">Dec. 2 </w:t>
      </w:r>
      <w:r w:rsidRPr="00D0255C">
        <w:rPr>
          <w:i/>
        </w:rPr>
        <w:t>Ex Parte</w:t>
      </w:r>
      <w:r w:rsidRPr="007136BC">
        <w:t xml:space="preserve"> at 1-2</w:t>
      </w:r>
      <w:r w:rsidR="00F2704D">
        <w:t xml:space="preserve">; </w:t>
      </w:r>
      <w:r w:rsidR="00F2704D" w:rsidRPr="007136BC">
        <w:t>AT&amp;T</w:t>
      </w:r>
      <w:r w:rsidR="00F2704D">
        <w:rPr>
          <w:i/>
        </w:rPr>
        <w:t xml:space="preserve"> </w:t>
      </w:r>
      <w:r w:rsidR="00F2704D">
        <w:t>Dec. 22</w:t>
      </w:r>
      <w:r w:rsidR="00F2704D" w:rsidRPr="007136BC">
        <w:rPr>
          <w:i/>
        </w:rPr>
        <w:t xml:space="preserve"> Ex Parte </w:t>
      </w:r>
      <w:r w:rsidR="00F2704D">
        <w:t>at 1</w:t>
      </w:r>
      <w:r w:rsidRPr="007136BC">
        <w:t>.</w:t>
      </w:r>
    </w:p>
  </w:footnote>
  <w:footnote w:id="46">
    <w:p w14:paraId="58FD4843" w14:textId="496E55AA" w:rsidR="00AE235D" w:rsidRPr="00FB4268" w:rsidRDefault="00AE235D" w:rsidP="00D14BDB">
      <w:pPr>
        <w:pStyle w:val="FootnoteText"/>
        <w:jc w:val="left"/>
        <w:rPr>
          <w:u w:val="single"/>
        </w:rPr>
      </w:pPr>
      <w:r>
        <w:rPr>
          <w:rStyle w:val="FootnoteReference"/>
        </w:rPr>
        <w:footnoteRef/>
      </w:r>
      <w:r>
        <w:t xml:space="preserve"> </w:t>
      </w:r>
      <w:r>
        <w:rPr>
          <w:i/>
        </w:rPr>
        <w:t xml:space="preserve">See </w:t>
      </w:r>
      <w:r w:rsidRPr="007136BC">
        <w:t>AT&amp;T</w:t>
      </w:r>
      <w:r w:rsidR="003826E5" w:rsidRPr="004C0A8A">
        <w:t xml:space="preserve"> </w:t>
      </w:r>
      <w:r w:rsidR="003826E5">
        <w:t>Dec. 2</w:t>
      </w:r>
      <w:r w:rsidRPr="007136BC">
        <w:rPr>
          <w:i/>
        </w:rPr>
        <w:t xml:space="preserve"> Ex Parte </w:t>
      </w:r>
      <w:r>
        <w:t xml:space="preserve">at 2; Waiver Request at 8; </w:t>
      </w:r>
      <w:r>
        <w:rPr>
          <w:i/>
        </w:rPr>
        <w:t>Interoperability Order,</w:t>
      </w:r>
      <w:r w:rsidRPr="00177755">
        <w:t xml:space="preserve"> </w:t>
      </w:r>
      <w:r w:rsidRPr="007136BC">
        <w:t xml:space="preserve">28 FCC Rcd </w:t>
      </w:r>
      <w:r>
        <w:t>at</w:t>
      </w:r>
      <w:r w:rsidRPr="007136BC">
        <w:t xml:space="preserve"> </w:t>
      </w:r>
      <w:r w:rsidRPr="0063469D">
        <w:t>15148</w:t>
      </w:r>
      <w:r w:rsidRPr="007136BC">
        <w:t xml:space="preserve">, para. </w:t>
      </w:r>
      <w:r>
        <w:t>57 (</w:t>
      </w:r>
      <w:r w:rsidRPr="00177755">
        <w:t>all active Lower 700 MHz band E Block licensees may meet their interim construction benchmark by providing signal coverage and offering service to at least 40 percent o</w:t>
      </w:r>
      <w:r>
        <w:t xml:space="preserve">f its total E Block population and </w:t>
      </w:r>
      <w:r w:rsidRPr="00177755">
        <w:t>may meet their end-of-term construction benchmark by providing signal coverage to at least 70 percent of the population in each of its license areas</w:t>
      </w:r>
      <w:r>
        <w:t xml:space="preserve">).  </w:t>
      </w:r>
      <w:r>
        <w:rPr>
          <w:i/>
        </w:rPr>
        <w:t xml:space="preserve">See also </w:t>
      </w:r>
      <w:r>
        <w:t>47 CFR § 27.14(h) (</w:t>
      </w:r>
      <w:r w:rsidRPr="00FB4268">
        <w:t>Upper 700 MHz C Block licensees are required to provide reliable service sufficient to cover 40 percent of the population of their license areas within four years and 75 percent of the population within ten years</w:t>
      </w:r>
      <w:r w:rsidR="00E52E11">
        <w:t>.</w:t>
      </w:r>
      <w:r>
        <w:t>).</w:t>
      </w:r>
    </w:p>
  </w:footnote>
  <w:footnote w:id="47">
    <w:p w14:paraId="2E160CD0" w14:textId="267CA53F" w:rsidR="00AE235D" w:rsidRPr="00117936" w:rsidRDefault="00AE235D" w:rsidP="00D14BDB">
      <w:pPr>
        <w:pStyle w:val="FootnoteText"/>
        <w:jc w:val="left"/>
      </w:pPr>
      <w:r w:rsidRPr="007136BC">
        <w:rPr>
          <w:rStyle w:val="FootnoteReference"/>
        </w:rPr>
        <w:footnoteRef/>
      </w:r>
      <w:r w:rsidRPr="007136BC">
        <w:t xml:space="preserve"> </w:t>
      </w:r>
      <w:r w:rsidRPr="007136BC">
        <w:rPr>
          <w:i/>
        </w:rPr>
        <w:t xml:space="preserve">See </w:t>
      </w:r>
      <w:r w:rsidRPr="007136BC">
        <w:t>AT&amp;T</w:t>
      </w:r>
      <w:r w:rsidR="00EF71EF" w:rsidRPr="00D0255C">
        <w:t xml:space="preserve"> </w:t>
      </w:r>
      <w:r w:rsidR="00EF71EF">
        <w:t>Dec. 2</w:t>
      </w:r>
      <w:r w:rsidRPr="007136BC">
        <w:rPr>
          <w:i/>
        </w:rPr>
        <w:t xml:space="preserve"> Ex Parte </w:t>
      </w:r>
      <w:r w:rsidRPr="007136BC">
        <w:t>at 2.</w:t>
      </w:r>
      <w:r>
        <w:t xml:space="preserve">  </w:t>
      </w:r>
      <w:r>
        <w:rPr>
          <w:i/>
        </w:rPr>
        <w:t>See also, e.g.</w:t>
      </w:r>
      <w:r w:rsidRPr="00CF1345">
        <w:t>,</w:t>
      </w:r>
      <w:r w:rsidRPr="00117936">
        <w:t xml:space="preserve"> </w:t>
      </w:r>
      <w:r w:rsidRPr="007136BC">
        <w:t>47 CFR §</w:t>
      </w:r>
      <w:r w:rsidR="00FC5CFC" w:rsidRPr="007136BC">
        <w:t>§</w:t>
      </w:r>
      <w:r w:rsidRPr="007136BC">
        <w:t xml:space="preserve"> </w:t>
      </w:r>
      <w:r w:rsidRPr="00117936">
        <w:t>24.203</w:t>
      </w:r>
      <w:r>
        <w:t xml:space="preserve"> (PCS</w:t>
      </w:r>
      <w:r w:rsidR="00D96779">
        <w:t xml:space="preserve">), </w:t>
      </w:r>
      <w:r w:rsidRPr="007136BC">
        <w:t>27.14(</w:t>
      </w:r>
      <w:r>
        <w:t>s) (AWS-1).</w:t>
      </w:r>
    </w:p>
  </w:footnote>
  <w:footnote w:id="48">
    <w:p w14:paraId="48E15EE4" w14:textId="4F05FE27" w:rsidR="00CF1345" w:rsidRDefault="00CF1345">
      <w:pPr>
        <w:pStyle w:val="FootnoteText"/>
      </w:pPr>
      <w:r>
        <w:rPr>
          <w:rStyle w:val="FootnoteReference"/>
        </w:rPr>
        <w:footnoteRef/>
      </w:r>
      <w:r>
        <w:t xml:space="preserve"> 47 U.S.C. § 309.</w:t>
      </w:r>
    </w:p>
  </w:footnote>
  <w:footnote w:id="49">
    <w:p w14:paraId="65E0CB8F" w14:textId="65B2C2F9" w:rsidR="00A726B5" w:rsidRPr="007136BC" w:rsidRDefault="00A726B5" w:rsidP="00D14BDB">
      <w:pPr>
        <w:pStyle w:val="FootnoteText"/>
        <w:jc w:val="left"/>
      </w:pPr>
      <w:r w:rsidRPr="007136BC">
        <w:rPr>
          <w:rStyle w:val="FootnoteReference"/>
        </w:rPr>
        <w:footnoteRef/>
      </w:r>
      <w:r w:rsidRPr="007136BC">
        <w:t xml:space="preserve"> Section 309(j) directs the Commission to, among other things, ensure “the development and rapid deployment of new technologies, products, and services for the benefit of the public, including those residing in rural areas.” </w:t>
      </w:r>
      <w:r w:rsidR="00D96779">
        <w:t xml:space="preserve"> </w:t>
      </w:r>
      <w:r w:rsidRPr="007136BC">
        <w:t>47 U.S.C. § 309(j)(3).</w:t>
      </w:r>
    </w:p>
  </w:footnote>
  <w:footnote w:id="50">
    <w:p w14:paraId="5A22ED37" w14:textId="19BF9D09" w:rsidR="00AA7965" w:rsidRPr="00846E74" w:rsidRDefault="00AA7965" w:rsidP="00D14BDB">
      <w:pPr>
        <w:pStyle w:val="FootnoteText"/>
        <w:jc w:val="left"/>
      </w:pPr>
      <w:r w:rsidRPr="00846E74">
        <w:rPr>
          <w:rStyle w:val="FootnoteReference"/>
        </w:rPr>
        <w:footnoteRef/>
      </w:r>
      <w:r w:rsidRPr="00846E74">
        <w:t xml:space="preserve"> </w:t>
      </w:r>
      <w:r w:rsidRPr="00141240">
        <w:t xml:space="preserve">This waiver relief </w:t>
      </w:r>
      <w:r>
        <w:t>will</w:t>
      </w:r>
      <w:r w:rsidRPr="00141240">
        <w:t xml:space="preserve"> not automatically transfer </w:t>
      </w:r>
      <w:r>
        <w:t>if</w:t>
      </w:r>
      <w:r w:rsidRPr="00141240">
        <w:t xml:space="preserve"> </w:t>
      </w:r>
      <w:r w:rsidR="00312C27">
        <w:t>AT&amp;T</w:t>
      </w:r>
      <w:r w:rsidRPr="00141240">
        <w:t xml:space="preserve"> seek</w:t>
      </w:r>
      <w:r>
        <w:t>s</w:t>
      </w:r>
      <w:r w:rsidRPr="00141240">
        <w:t xml:space="preserve"> to assign, partition, </w:t>
      </w:r>
      <w:r w:rsidR="001E181A">
        <w:t xml:space="preserve">or </w:t>
      </w:r>
      <w:r w:rsidRPr="00141240">
        <w:t xml:space="preserve">disaggregate spectrum under </w:t>
      </w:r>
      <w:r w:rsidR="00391F4B">
        <w:t>the</w:t>
      </w:r>
      <w:r w:rsidRPr="00141240">
        <w:t xml:space="preserve"> License to a third party.  Rather, the third party must demonstrate that the waiver relief should transfer, and the Bureau may, in its discretion, grant, modify, or reject such relief.</w:t>
      </w:r>
      <w:r w:rsidRPr="00846E74">
        <w:rPr>
          <w:b/>
        </w:rPr>
        <w:t xml:space="preserve"> </w:t>
      </w:r>
    </w:p>
  </w:footnote>
  <w:footnote w:id="51">
    <w:p w14:paraId="444D5385" w14:textId="77777777" w:rsidR="00AE235D" w:rsidRPr="00940AD9" w:rsidRDefault="00AE235D" w:rsidP="00D14BDB">
      <w:pPr>
        <w:pStyle w:val="FootnoteText"/>
        <w:jc w:val="left"/>
      </w:pPr>
      <w:r w:rsidRPr="00940AD9">
        <w:rPr>
          <w:rStyle w:val="FootnoteReference"/>
        </w:rPr>
        <w:footnoteRef/>
      </w:r>
      <w:r w:rsidRPr="00940AD9">
        <w:t xml:space="preserve"> </w:t>
      </w:r>
      <w:r w:rsidRPr="00940AD9">
        <w:rPr>
          <w:i/>
        </w:rPr>
        <w:t xml:space="preserve">See 700 MHz Second Report and Order, </w:t>
      </w:r>
      <w:r w:rsidRPr="00940AD9">
        <w:t>22 FCC Rcd at 15348, 15349, para. 153; 47 CFR § 27.14(g)(2).</w:t>
      </w:r>
    </w:p>
  </w:footnote>
  <w:footnote w:id="52">
    <w:p w14:paraId="78F9E551" w14:textId="2DDCE590" w:rsidR="00F84D09" w:rsidRDefault="00F84D09" w:rsidP="00D14BDB">
      <w:pPr>
        <w:pStyle w:val="FootnoteText"/>
        <w:jc w:val="left"/>
      </w:pPr>
      <w:r>
        <w:rPr>
          <w:rStyle w:val="FootnoteReference"/>
        </w:rPr>
        <w:footnoteRef/>
      </w:r>
      <w:r>
        <w:t xml:space="preserve"> </w:t>
      </w:r>
      <w:r w:rsidR="00D14BDB" w:rsidRPr="00D14BDB">
        <w:t xml:space="preserve">AT&amp;T must file a notification of construction demonstrating that it has met this benchmark.  </w:t>
      </w:r>
      <w:r w:rsidR="00D14BDB" w:rsidRPr="00D14BDB">
        <w:rPr>
          <w:i/>
        </w:rPr>
        <w:t>See</w:t>
      </w:r>
      <w:r w:rsidR="00D14BDB" w:rsidRPr="00D14BDB">
        <w:t xml:space="preserve"> 47 CFR 1.947(d).</w:t>
      </w:r>
    </w:p>
  </w:footnote>
  <w:footnote w:id="53">
    <w:p w14:paraId="2B5D00DA" w14:textId="3B7CC564" w:rsidR="00EA1507" w:rsidRPr="00EA1507" w:rsidRDefault="00EA1507">
      <w:pPr>
        <w:pStyle w:val="FootnoteText"/>
        <w:rPr>
          <w:i/>
        </w:rPr>
      </w:pPr>
      <w:r>
        <w:rPr>
          <w:rStyle w:val="FootnoteReference"/>
        </w:rPr>
        <w:footnoteRef/>
      </w:r>
      <w:r>
        <w:t xml:space="preserve"> </w:t>
      </w:r>
      <w:r>
        <w:rPr>
          <w:i/>
        </w:rPr>
        <w:t>Id.</w:t>
      </w:r>
    </w:p>
  </w:footnote>
  <w:footnote w:id="54">
    <w:p w14:paraId="5CDE923B" w14:textId="3CAD53FC" w:rsidR="00EA1507" w:rsidRPr="00EA1507" w:rsidRDefault="00EA1507">
      <w:pPr>
        <w:pStyle w:val="FootnoteText"/>
        <w:rPr>
          <w:i/>
        </w:rPr>
      </w:pPr>
      <w:r>
        <w:rPr>
          <w:rStyle w:val="FootnoteReference"/>
        </w:rPr>
        <w:footnoteRef/>
      </w:r>
      <w:r>
        <w:t xml:space="preserve"> </w:t>
      </w:r>
      <w:r>
        <w:rPr>
          <w:i/>
        </w:rPr>
        <w:t>Id.</w:t>
      </w:r>
    </w:p>
  </w:footnote>
  <w:footnote w:id="55">
    <w:p w14:paraId="4716C536" w14:textId="15132D69" w:rsidR="00E24265" w:rsidRPr="007136BC" w:rsidRDefault="00E24265" w:rsidP="00D14BDB">
      <w:pPr>
        <w:pStyle w:val="FootnoteText"/>
        <w:jc w:val="left"/>
      </w:pPr>
      <w:r w:rsidRPr="007136BC">
        <w:rPr>
          <w:rStyle w:val="FootnoteReference"/>
        </w:rPr>
        <w:footnoteRef/>
      </w:r>
      <w:r w:rsidRPr="007136BC">
        <w:t xml:space="preserve"> </w:t>
      </w:r>
      <w:r>
        <w:t>By way of example, g</w:t>
      </w:r>
      <w:r w:rsidRPr="007136BC">
        <w:t>ood faith negotiations</w:t>
      </w:r>
      <w:r>
        <w:t xml:space="preserve"> require </w:t>
      </w:r>
      <w:r w:rsidRPr="00A66025">
        <w:t>reasonable market-based rates.</w:t>
      </w:r>
      <w:r w:rsidR="00F82677">
        <w:t xml:space="preserve">  Although AT&amp;T committed to meet this condition only during renewal term</w:t>
      </w:r>
      <w:r w:rsidR="005B1FA3">
        <w:t>s</w:t>
      </w:r>
      <w:r w:rsidR="00F82677">
        <w:t>, we seek to promote service in Alaska and it will apply d</w:t>
      </w:r>
      <w:r w:rsidR="009B7A0E">
        <w:t xml:space="preserve">uring </w:t>
      </w:r>
      <w:r w:rsidR="00F82677">
        <w:t xml:space="preserve">the </w:t>
      </w:r>
      <w:r w:rsidR="009B7A0E">
        <w:t xml:space="preserve">remainder of </w:t>
      </w:r>
      <w:r w:rsidR="00F82677">
        <w:t xml:space="preserve">the </w:t>
      </w:r>
      <w:r w:rsidR="009B7A0E">
        <w:t xml:space="preserve">current </w:t>
      </w:r>
      <w:r w:rsidR="00F82677">
        <w:t>li</w:t>
      </w:r>
      <w:r w:rsidR="009B7A0E">
        <w:t xml:space="preserve">cense </w:t>
      </w:r>
      <w:r w:rsidR="00F82677">
        <w:t>ter</w:t>
      </w:r>
      <w:r w:rsidR="009B7A0E">
        <w:t>m</w:t>
      </w:r>
      <w:r w:rsidR="00F82677">
        <w:t xml:space="preserve"> as well.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3D7B" w14:textId="77777777" w:rsidR="00EE5D14" w:rsidRDefault="00EE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E0828" w14:textId="77777777" w:rsidR="00EE5D14" w:rsidRDefault="00EE5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3B28" w14:textId="77777777" w:rsidR="00AE235D" w:rsidRDefault="001B365F">
    <w:pPr>
      <w:pStyle w:val="Header"/>
      <w:tabs>
        <w:tab w:val="clear" w:pos="4320"/>
        <w:tab w:val="clear" w:pos="8640"/>
      </w:tabs>
      <w:spacing w:before="360" w:line="228" w:lineRule="auto"/>
      <w:jc w:val="center"/>
    </w:pPr>
    <w:r>
      <w:rPr>
        <w:rFonts w:ascii="CG Times (W1)" w:hAnsi="CG Times (W1)"/>
        <w:sz w:val="28"/>
      </w:rPr>
      <w:pict w14:anchorId="1766E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49" DrawAspect="Content" ObjectID="_1546266336" r:id="rId2"/>
      </w:pict>
    </w:r>
    <w:r w:rsidR="00AE235D">
      <w:rPr>
        <w:rFonts w:ascii="CG Times (W1)" w:hAnsi="CG Times (W1)"/>
        <w:sz w:val="28"/>
      </w:rPr>
      <w:t>Federal Communications Commission</w:t>
    </w:r>
  </w:p>
  <w:p w14:paraId="0AC74B6C" w14:textId="77777777" w:rsidR="00AE235D" w:rsidRDefault="00AE235D">
    <w:pPr>
      <w:jc w:val="center"/>
    </w:pPr>
    <w:r>
      <w:rPr>
        <w:rFonts w:ascii="CG Times (W1)" w:hAnsi="CG Times (W1)"/>
        <w:sz w:val="28"/>
      </w:rPr>
      <w:t>Washington, D.C. 20554</w:t>
    </w:r>
  </w:p>
  <w:p w14:paraId="1AA51234" w14:textId="77777777" w:rsidR="00AE235D" w:rsidRDefault="00AE235D">
    <w:pPr>
      <w:pStyle w:val="Header"/>
      <w:tabs>
        <w:tab w:val="clear" w:pos="4320"/>
      </w:tabs>
      <w:jc w:val="center"/>
      <w:rPr>
        <w:sz w:val="22"/>
      </w:rPr>
    </w:pPr>
  </w:p>
  <w:p w14:paraId="49B80F8F" w14:textId="2B3DA8E9" w:rsidR="00AE235D" w:rsidRPr="00E30660" w:rsidRDefault="00B8235D" w:rsidP="008209C9">
    <w:pPr>
      <w:pStyle w:val="Header"/>
      <w:tabs>
        <w:tab w:val="clear" w:pos="4320"/>
      </w:tabs>
      <w:jc w:val="center"/>
      <w:rPr>
        <w:sz w:val="22"/>
        <w:szCs w:val="22"/>
      </w:rPr>
    </w:pPr>
    <w:r>
      <w:rPr>
        <w:sz w:val="22"/>
        <w:szCs w:val="22"/>
      </w:rPr>
      <w:t xml:space="preserve">January </w:t>
    </w:r>
    <w:r w:rsidR="00CF1345">
      <w:rPr>
        <w:sz w:val="22"/>
        <w:szCs w:val="22"/>
      </w:rPr>
      <w:t>18</w:t>
    </w:r>
    <w:r w:rsidR="00AE235D">
      <w:rPr>
        <w:sz w:val="22"/>
        <w:szCs w:val="22"/>
      </w:rPr>
      <w:t xml:space="preserve">, </w:t>
    </w:r>
    <w:r>
      <w:rPr>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1E8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1BE"/>
    <w:multiLevelType w:val="hybridMultilevel"/>
    <w:tmpl w:val="A26C8556"/>
    <w:lvl w:ilvl="0" w:tplc="BF8CFF98">
      <w:start w:val="1"/>
      <w:numFmt w:val="decimal"/>
      <w:lvlText w:val="%1."/>
      <w:lvlJc w:val="left"/>
      <w:pPr>
        <w:ind w:left="1080" w:hanging="360"/>
      </w:pPr>
      <w:rPr>
        <w:rFonts w:hint="default"/>
        <w:b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832D9"/>
    <w:multiLevelType w:val="hybridMultilevel"/>
    <w:tmpl w:val="CD34C8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65C3375"/>
    <w:multiLevelType w:val="hybridMultilevel"/>
    <w:tmpl w:val="BA8C11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C862C21"/>
    <w:multiLevelType w:val="hybridMultilevel"/>
    <w:tmpl w:val="A03A7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17119"/>
    <w:multiLevelType w:val="hybridMultilevel"/>
    <w:tmpl w:val="1D62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87405"/>
    <w:multiLevelType w:val="hybridMultilevel"/>
    <w:tmpl w:val="6136D1E8"/>
    <w:lvl w:ilvl="0" w:tplc="14D4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BB1142"/>
    <w:multiLevelType w:val="hybridMultilevel"/>
    <w:tmpl w:val="7792A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697756"/>
    <w:multiLevelType w:val="hybridMultilevel"/>
    <w:tmpl w:val="2DB28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27631"/>
    <w:multiLevelType w:val="hybridMultilevel"/>
    <w:tmpl w:val="8990039E"/>
    <w:lvl w:ilvl="0" w:tplc="23A855D0">
      <w:start w:val="1"/>
      <w:numFmt w:val="upperRoman"/>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8132869"/>
    <w:multiLevelType w:val="hybridMultilevel"/>
    <w:tmpl w:val="0C6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3340C"/>
    <w:multiLevelType w:val="hybridMultilevel"/>
    <w:tmpl w:val="DC90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74260AE">
      <w:start w:val="1"/>
      <w:numFmt w:val="decimal"/>
      <w:pStyle w:val="ParaNum"/>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0F030C"/>
    <w:multiLevelType w:val="hybridMultilevel"/>
    <w:tmpl w:val="3EEA1F16"/>
    <w:lvl w:ilvl="0" w:tplc="04090001">
      <w:start w:val="1"/>
      <w:numFmt w:val="bullet"/>
      <w:lvlText w:val=""/>
      <w:lvlJc w:val="left"/>
      <w:pPr>
        <w:ind w:left="3804" w:hanging="360"/>
      </w:pPr>
      <w:rPr>
        <w:rFonts w:ascii="Symbol" w:hAnsi="Symbol" w:hint="default"/>
      </w:rPr>
    </w:lvl>
    <w:lvl w:ilvl="1" w:tplc="04090003" w:tentative="1">
      <w:start w:val="1"/>
      <w:numFmt w:val="bullet"/>
      <w:lvlText w:val="o"/>
      <w:lvlJc w:val="left"/>
      <w:pPr>
        <w:ind w:left="4524" w:hanging="360"/>
      </w:pPr>
      <w:rPr>
        <w:rFonts w:ascii="Courier New" w:hAnsi="Courier New" w:cs="Courier New" w:hint="default"/>
      </w:rPr>
    </w:lvl>
    <w:lvl w:ilvl="2" w:tplc="04090005" w:tentative="1">
      <w:start w:val="1"/>
      <w:numFmt w:val="bullet"/>
      <w:lvlText w:val=""/>
      <w:lvlJc w:val="left"/>
      <w:pPr>
        <w:ind w:left="5244" w:hanging="360"/>
      </w:pPr>
      <w:rPr>
        <w:rFonts w:ascii="Wingdings" w:hAnsi="Wingdings" w:hint="default"/>
      </w:rPr>
    </w:lvl>
    <w:lvl w:ilvl="3" w:tplc="04090001" w:tentative="1">
      <w:start w:val="1"/>
      <w:numFmt w:val="bullet"/>
      <w:lvlText w:val=""/>
      <w:lvlJc w:val="left"/>
      <w:pPr>
        <w:ind w:left="5964" w:hanging="360"/>
      </w:pPr>
      <w:rPr>
        <w:rFonts w:ascii="Symbol" w:hAnsi="Symbol" w:hint="default"/>
      </w:rPr>
    </w:lvl>
    <w:lvl w:ilvl="4" w:tplc="04090003" w:tentative="1">
      <w:start w:val="1"/>
      <w:numFmt w:val="bullet"/>
      <w:lvlText w:val="o"/>
      <w:lvlJc w:val="left"/>
      <w:pPr>
        <w:ind w:left="6684" w:hanging="360"/>
      </w:pPr>
      <w:rPr>
        <w:rFonts w:ascii="Courier New" w:hAnsi="Courier New" w:cs="Courier New" w:hint="default"/>
      </w:rPr>
    </w:lvl>
    <w:lvl w:ilvl="5" w:tplc="04090005" w:tentative="1">
      <w:start w:val="1"/>
      <w:numFmt w:val="bullet"/>
      <w:lvlText w:val=""/>
      <w:lvlJc w:val="left"/>
      <w:pPr>
        <w:ind w:left="7404" w:hanging="360"/>
      </w:pPr>
      <w:rPr>
        <w:rFonts w:ascii="Wingdings" w:hAnsi="Wingdings" w:hint="default"/>
      </w:rPr>
    </w:lvl>
    <w:lvl w:ilvl="6" w:tplc="04090001" w:tentative="1">
      <w:start w:val="1"/>
      <w:numFmt w:val="bullet"/>
      <w:lvlText w:val=""/>
      <w:lvlJc w:val="left"/>
      <w:pPr>
        <w:ind w:left="8124" w:hanging="360"/>
      </w:pPr>
      <w:rPr>
        <w:rFonts w:ascii="Symbol" w:hAnsi="Symbol" w:hint="default"/>
      </w:rPr>
    </w:lvl>
    <w:lvl w:ilvl="7" w:tplc="04090003" w:tentative="1">
      <w:start w:val="1"/>
      <w:numFmt w:val="bullet"/>
      <w:lvlText w:val="o"/>
      <w:lvlJc w:val="left"/>
      <w:pPr>
        <w:ind w:left="8844" w:hanging="360"/>
      </w:pPr>
      <w:rPr>
        <w:rFonts w:ascii="Courier New" w:hAnsi="Courier New" w:cs="Courier New" w:hint="default"/>
      </w:rPr>
    </w:lvl>
    <w:lvl w:ilvl="8" w:tplc="04090005" w:tentative="1">
      <w:start w:val="1"/>
      <w:numFmt w:val="bullet"/>
      <w:lvlText w:val=""/>
      <w:lvlJc w:val="left"/>
      <w:pPr>
        <w:ind w:left="9564" w:hanging="360"/>
      </w:pPr>
      <w:rPr>
        <w:rFonts w:ascii="Wingdings" w:hAnsi="Wingdings" w:hint="default"/>
      </w:rPr>
    </w:lvl>
  </w:abstractNum>
  <w:abstractNum w:abstractNumId="16">
    <w:nsid w:val="519504DA"/>
    <w:multiLevelType w:val="hybridMultilevel"/>
    <w:tmpl w:val="D4066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906B5E"/>
    <w:multiLevelType w:val="hybridMultilevel"/>
    <w:tmpl w:val="6114B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21744"/>
    <w:multiLevelType w:val="hybridMultilevel"/>
    <w:tmpl w:val="83E2067C"/>
    <w:lvl w:ilvl="0" w:tplc="2D28D3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8503F"/>
    <w:multiLevelType w:val="hybridMultilevel"/>
    <w:tmpl w:val="9F5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F62D7"/>
    <w:multiLevelType w:val="hybridMultilevel"/>
    <w:tmpl w:val="2554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81E48"/>
    <w:multiLevelType w:val="hybridMultilevel"/>
    <w:tmpl w:val="FDA2C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82925"/>
    <w:multiLevelType w:val="singleLevel"/>
    <w:tmpl w:val="E89EA4A4"/>
    <w:lvl w:ilvl="0">
      <w:start w:val="1"/>
      <w:numFmt w:val="decimal"/>
      <w:lvlText w:val="%1."/>
      <w:lvlJc w:val="left"/>
      <w:pPr>
        <w:tabs>
          <w:tab w:val="num" w:pos="1080"/>
        </w:tabs>
        <w:ind w:left="0" w:firstLine="720"/>
      </w:pPr>
      <w:rPr>
        <w:b w:val="0"/>
      </w:rPr>
    </w:lvl>
  </w:abstractNum>
  <w:abstractNum w:abstractNumId="24">
    <w:nsid w:val="6E6A18E2"/>
    <w:multiLevelType w:val="hybridMultilevel"/>
    <w:tmpl w:val="519411CA"/>
    <w:lvl w:ilvl="0" w:tplc="04090011">
      <w:start w:val="1"/>
      <w:numFmt w:val="decimal"/>
      <w:lvlText w:val="%1)"/>
      <w:lvlJc w:val="left"/>
      <w:pPr>
        <w:ind w:left="720" w:hanging="360"/>
      </w:pPr>
      <w:rPr>
        <w:rFonts w:hint="default"/>
      </w:rPr>
    </w:lvl>
    <w:lvl w:ilvl="1" w:tplc="C7C8B6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7A4217E0"/>
    <w:multiLevelType w:val="hybridMultilevel"/>
    <w:tmpl w:val="12F0BDE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E9E5D62">
      <w:start w:val="5"/>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444365"/>
    <w:multiLevelType w:val="hybridMultilevel"/>
    <w:tmpl w:val="682CD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3"/>
  </w:num>
  <w:num w:numId="3">
    <w:abstractNumId w:val="9"/>
  </w:num>
  <w:num w:numId="4">
    <w:abstractNumId w:val="1"/>
  </w:num>
  <w:num w:numId="5">
    <w:abstractNumId w:val="26"/>
  </w:num>
  <w:num w:numId="6">
    <w:abstractNumId w:val="19"/>
  </w:num>
  <w:num w:numId="7">
    <w:abstractNumId w:val="11"/>
  </w:num>
  <w:num w:numId="8">
    <w:abstractNumId w:val="10"/>
  </w:num>
  <w:num w:numId="9">
    <w:abstractNumId w:val="17"/>
  </w:num>
  <w:num w:numId="10">
    <w:abstractNumId w:val="25"/>
  </w:num>
  <w:num w:numId="11">
    <w:abstractNumId w:val="0"/>
  </w:num>
  <w:num w:numId="12">
    <w:abstractNumId w:val="12"/>
  </w:num>
  <w:num w:numId="13">
    <w:abstractNumId w:val="23"/>
    <w:lvlOverride w:ilvl="0">
      <w:startOverride w:val="1"/>
    </w:lvlOverride>
  </w:num>
  <w:num w:numId="14">
    <w:abstractNumId w:val="23"/>
    <w:lvlOverride w:ilvl="0">
      <w:startOverride w:val="1"/>
    </w:lvlOverride>
  </w:num>
  <w:num w:numId="15">
    <w:abstractNumId w:val="15"/>
  </w:num>
  <w:num w:numId="16">
    <w:abstractNumId w:val="3"/>
  </w:num>
  <w:num w:numId="17">
    <w:abstractNumId w:val="23"/>
    <w:lvlOverride w:ilvl="0">
      <w:startOverride w:val="1"/>
    </w:lvlOverride>
  </w:num>
  <w:num w:numId="18">
    <w:abstractNumId w:val="27"/>
  </w:num>
  <w:num w:numId="19">
    <w:abstractNumId w:val="4"/>
  </w:num>
  <w:num w:numId="20">
    <w:abstractNumId w:val="16"/>
  </w:num>
  <w:num w:numId="21">
    <w:abstractNumId w:val="24"/>
  </w:num>
  <w:num w:numId="22">
    <w:abstractNumId w:val="19"/>
    <w:lvlOverride w:ilvl="0">
      <w:startOverride w:val="1"/>
    </w:lvlOverride>
  </w:num>
  <w:num w:numId="23">
    <w:abstractNumId w:val="6"/>
  </w:num>
  <w:num w:numId="24">
    <w:abstractNumId w:val="8"/>
  </w:num>
  <w:num w:numId="25">
    <w:abstractNumId w:val="19"/>
  </w:num>
  <w:num w:numId="26">
    <w:abstractNumId w:val="18"/>
  </w:num>
  <w:num w:numId="27">
    <w:abstractNumId w:val="21"/>
  </w:num>
  <w:num w:numId="28">
    <w:abstractNumId w:val="20"/>
  </w:num>
  <w:num w:numId="29">
    <w:abstractNumId w:val="5"/>
  </w:num>
  <w:num w:numId="30">
    <w:abstractNumId w:val="22"/>
  </w:num>
  <w:num w:numId="31">
    <w:abstractNumId w:val="2"/>
  </w:num>
  <w:num w:numId="32">
    <w:abstractNumId w:val="13"/>
  </w:num>
  <w:num w:numId="33">
    <w:abstractNumId w:val="7"/>
  </w:num>
  <w:num w:numId="34">
    <w:abstractNumId w:val="13"/>
  </w:num>
  <w:num w:numId="35">
    <w:abstractNumId w:val="1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60"/>
    <w:rsid w:val="0000048C"/>
    <w:rsid w:val="00002580"/>
    <w:rsid w:val="00003D43"/>
    <w:rsid w:val="00003E3E"/>
    <w:rsid w:val="00006772"/>
    <w:rsid w:val="0001053F"/>
    <w:rsid w:val="0001094C"/>
    <w:rsid w:val="000111A7"/>
    <w:rsid w:val="000115FD"/>
    <w:rsid w:val="000125C3"/>
    <w:rsid w:val="00012D9D"/>
    <w:rsid w:val="000138F4"/>
    <w:rsid w:val="00013918"/>
    <w:rsid w:val="00013F9F"/>
    <w:rsid w:val="00017E13"/>
    <w:rsid w:val="0002069A"/>
    <w:rsid w:val="00023B40"/>
    <w:rsid w:val="00023E47"/>
    <w:rsid w:val="0002591F"/>
    <w:rsid w:val="00025934"/>
    <w:rsid w:val="0002600A"/>
    <w:rsid w:val="000260BC"/>
    <w:rsid w:val="00026578"/>
    <w:rsid w:val="00026E1E"/>
    <w:rsid w:val="00031E36"/>
    <w:rsid w:val="00041330"/>
    <w:rsid w:val="00042459"/>
    <w:rsid w:val="00051384"/>
    <w:rsid w:val="00056F09"/>
    <w:rsid w:val="000608D7"/>
    <w:rsid w:val="00060EC8"/>
    <w:rsid w:val="00062102"/>
    <w:rsid w:val="00062F82"/>
    <w:rsid w:val="000636BA"/>
    <w:rsid w:val="00064A8C"/>
    <w:rsid w:val="00066572"/>
    <w:rsid w:val="00067B3D"/>
    <w:rsid w:val="00071A1C"/>
    <w:rsid w:val="00072C7E"/>
    <w:rsid w:val="00073298"/>
    <w:rsid w:val="000739B0"/>
    <w:rsid w:val="00074B13"/>
    <w:rsid w:val="00081ED4"/>
    <w:rsid w:val="00087415"/>
    <w:rsid w:val="00087ED6"/>
    <w:rsid w:val="00092305"/>
    <w:rsid w:val="0009264D"/>
    <w:rsid w:val="0009275E"/>
    <w:rsid w:val="00092AEF"/>
    <w:rsid w:val="00092CEE"/>
    <w:rsid w:val="00094460"/>
    <w:rsid w:val="0009552D"/>
    <w:rsid w:val="000968AD"/>
    <w:rsid w:val="000A226C"/>
    <w:rsid w:val="000A3DEB"/>
    <w:rsid w:val="000A57D7"/>
    <w:rsid w:val="000A71A7"/>
    <w:rsid w:val="000A7780"/>
    <w:rsid w:val="000B1338"/>
    <w:rsid w:val="000B15D2"/>
    <w:rsid w:val="000B3138"/>
    <w:rsid w:val="000C1A57"/>
    <w:rsid w:val="000C45B5"/>
    <w:rsid w:val="000C6D41"/>
    <w:rsid w:val="000C72CB"/>
    <w:rsid w:val="000C784D"/>
    <w:rsid w:val="000D0114"/>
    <w:rsid w:val="000D19CD"/>
    <w:rsid w:val="000D2130"/>
    <w:rsid w:val="000D3878"/>
    <w:rsid w:val="000D3B12"/>
    <w:rsid w:val="000D5054"/>
    <w:rsid w:val="000D6823"/>
    <w:rsid w:val="000D77BB"/>
    <w:rsid w:val="000E19B2"/>
    <w:rsid w:val="000E260F"/>
    <w:rsid w:val="000E2ECC"/>
    <w:rsid w:val="000E476C"/>
    <w:rsid w:val="000E51AC"/>
    <w:rsid w:val="000E64F5"/>
    <w:rsid w:val="000E6913"/>
    <w:rsid w:val="000E6DFB"/>
    <w:rsid w:val="000E7DF6"/>
    <w:rsid w:val="000F25FE"/>
    <w:rsid w:val="000F5F63"/>
    <w:rsid w:val="00101CDE"/>
    <w:rsid w:val="00103028"/>
    <w:rsid w:val="001053D7"/>
    <w:rsid w:val="00106EC4"/>
    <w:rsid w:val="0010741B"/>
    <w:rsid w:val="00107F66"/>
    <w:rsid w:val="00111D23"/>
    <w:rsid w:val="001131F8"/>
    <w:rsid w:val="00114D52"/>
    <w:rsid w:val="001173B4"/>
    <w:rsid w:val="00117936"/>
    <w:rsid w:val="00117F7B"/>
    <w:rsid w:val="00122A7F"/>
    <w:rsid w:val="00122E81"/>
    <w:rsid w:val="00124BB3"/>
    <w:rsid w:val="00130C1D"/>
    <w:rsid w:val="001329CF"/>
    <w:rsid w:val="00135C7E"/>
    <w:rsid w:val="00136E96"/>
    <w:rsid w:val="00137666"/>
    <w:rsid w:val="001401F1"/>
    <w:rsid w:val="0014309E"/>
    <w:rsid w:val="00145F6D"/>
    <w:rsid w:val="00147883"/>
    <w:rsid w:val="0015198A"/>
    <w:rsid w:val="00153847"/>
    <w:rsid w:val="00153D8F"/>
    <w:rsid w:val="00156200"/>
    <w:rsid w:val="001630B3"/>
    <w:rsid w:val="00163B86"/>
    <w:rsid w:val="00163CF2"/>
    <w:rsid w:val="001679CD"/>
    <w:rsid w:val="00171B22"/>
    <w:rsid w:val="00174FF7"/>
    <w:rsid w:val="001759F2"/>
    <w:rsid w:val="001761E3"/>
    <w:rsid w:val="001775F4"/>
    <w:rsid w:val="00177755"/>
    <w:rsid w:val="00177D42"/>
    <w:rsid w:val="001809C1"/>
    <w:rsid w:val="001826B8"/>
    <w:rsid w:val="00183C24"/>
    <w:rsid w:val="00183E35"/>
    <w:rsid w:val="00184748"/>
    <w:rsid w:val="00184BA9"/>
    <w:rsid w:val="00186348"/>
    <w:rsid w:val="00186458"/>
    <w:rsid w:val="00186D02"/>
    <w:rsid w:val="001912CA"/>
    <w:rsid w:val="0019284B"/>
    <w:rsid w:val="001939D8"/>
    <w:rsid w:val="0019699F"/>
    <w:rsid w:val="001973BE"/>
    <w:rsid w:val="001A0595"/>
    <w:rsid w:val="001A0EAE"/>
    <w:rsid w:val="001A224D"/>
    <w:rsid w:val="001A339C"/>
    <w:rsid w:val="001A4807"/>
    <w:rsid w:val="001A51BC"/>
    <w:rsid w:val="001A54A0"/>
    <w:rsid w:val="001A79DC"/>
    <w:rsid w:val="001B0338"/>
    <w:rsid w:val="001B06EC"/>
    <w:rsid w:val="001B0F95"/>
    <w:rsid w:val="001B16C5"/>
    <w:rsid w:val="001B365F"/>
    <w:rsid w:val="001B5909"/>
    <w:rsid w:val="001B670F"/>
    <w:rsid w:val="001B6C20"/>
    <w:rsid w:val="001C2707"/>
    <w:rsid w:val="001C2778"/>
    <w:rsid w:val="001C4564"/>
    <w:rsid w:val="001C7C16"/>
    <w:rsid w:val="001D1B0C"/>
    <w:rsid w:val="001D1F6E"/>
    <w:rsid w:val="001D43C6"/>
    <w:rsid w:val="001D48EE"/>
    <w:rsid w:val="001D4ADD"/>
    <w:rsid w:val="001D4B1E"/>
    <w:rsid w:val="001D4BB5"/>
    <w:rsid w:val="001D4BE4"/>
    <w:rsid w:val="001D51AC"/>
    <w:rsid w:val="001D57F5"/>
    <w:rsid w:val="001D5F40"/>
    <w:rsid w:val="001D6B85"/>
    <w:rsid w:val="001E01B0"/>
    <w:rsid w:val="001E181A"/>
    <w:rsid w:val="001E34A9"/>
    <w:rsid w:val="001E3D55"/>
    <w:rsid w:val="001E47E5"/>
    <w:rsid w:val="001E4F93"/>
    <w:rsid w:val="001E68D7"/>
    <w:rsid w:val="001E6943"/>
    <w:rsid w:val="001F27D6"/>
    <w:rsid w:val="001F27E4"/>
    <w:rsid w:val="001F2FFD"/>
    <w:rsid w:val="001F481E"/>
    <w:rsid w:val="001F4B62"/>
    <w:rsid w:val="001F60A6"/>
    <w:rsid w:val="00200384"/>
    <w:rsid w:val="00201358"/>
    <w:rsid w:val="002031EF"/>
    <w:rsid w:val="0020425F"/>
    <w:rsid w:val="00204C1A"/>
    <w:rsid w:val="002054DD"/>
    <w:rsid w:val="002129AA"/>
    <w:rsid w:val="002137B7"/>
    <w:rsid w:val="00214EA2"/>
    <w:rsid w:val="00216E6D"/>
    <w:rsid w:val="002210B5"/>
    <w:rsid w:val="00221A66"/>
    <w:rsid w:val="00222C6D"/>
    <w:rsid w:val="0022354A"/>
    <w:rsid w:val="002235EF"/>
    <w:rsid w:val="00225C22"/>
    <w:rsid w:val="00232F09"/>
    <w:rsid w:val="0023396B"/>
    <w:rsid w:val="00234823"/>
    <w:rsid w:val="00234FFA"/>
    <w:rsid w:val="00244B1A"/>
    <w:rsid w:val="00244CCE"/>
    <w:rsid w:val="00244DD3"/>
    <w:rsid w:val="00246A64"/>
    <w:rsid w:val="00250AA2"/>
    <w:rsid w:val="00250D5E"/>
    <w:rsid w:val="002522D8"/>
    <w:rsid w:val="00253E7D"/>
    <w:rsid w:val="00254584"/>
    <w:rsid w:val="00254B49"/>
    <w:rsid w:val="002557CE"/>
    <w:rsid w:val="00257788"/>
    <w:rsid w:val="00261362"/>
    <w:rsid w:val="002614E0"/>
    <w:rsid w:val="00261AC1"/>
    <w:rsid w:val="00263D67"/>
    <w:rsid w:val="00263DE2"/>
    <w:rsid w:val="002713C6"/>
    <w:rsid w:val="00276B56"/>
    <w:rsid w:val="002807F9"/>
    <w:rsid w:val="0028174B"/>
    <w:rsid w:val="00283583"/>
    <w:rsid w:val="002853E3"/>
    <w:rsid w:val="00291C6C"/>
    <w:rsid w:val="00293318"/>
    <w:rsid w:val="002938D3"/>
    <w:rsid w:val="0029423B"/>
    <w:rsid w:val="00297DF2"/>
    <w:rsid w:val="002A4811"/>
    <w:rsid w:val="002A7A9F"/>
    <w:rsid w:val="002A7DFD"/>
    <w:rsid w:val="002B0946"/>
    <w:rsid w:val="002B2660"/>
    <w:rsid w:val="002B27E4"/>
    <w:rsid w:val="002B2CD5"/>
    <w:rsid w:val="002B3D84"/>
    <w:rsid w:val="002B4755"/>
    <w:rsid w:val="002B47F9"/>
    <w:rsid w:val="002B52CA"/>
    <w:rsid w:val="002B5667"/>
    <w:rsid w:val="002B69E0"/>
    <w:rsid w:val="002C1FFD"/>
    <w:rsid w:val="002C4A40"/>
    <w:rsid w:val="002C4AF0"/>
    <w:rsid w:val="002C4C11"/>
    <w:rsid w:val="002C6B21"/>
    <w:rsid w:val="002C6C0A"/>
    <w:rsid w:val="002C770F"/>
    <w:rsid w:val="002C7AEB"/>
    <w:rsid w:val="002D025F"/>
    <w:rsid w:val="002D06A3"/>
    <w:rsid w:val="002D0829"/>
    <w:rsid w:val="002D0D24"/>
    <w:rsid w:val="002D4BE0"/>
    <w:rsid w:val="002D6935"/>
    <w:rsid w:val="002D6995"/>
    <w:rsid w:val="002D70DC"/>
    <w:rsid w:val="002E217E"/>
    <w:rsid w:val="002E455C"/>
    <w:rsid w:val="002E613B"/>
    <w:rsid w:val="002E697A"/>
    <w:rsid w:val="002E7905"/>
    <w:rsid w:val="002E7BB8"/>
    <w:rsid w:val="002F1942"/>
    <w:rsid w:val="002F2AA8"/>
    <w:rsid w:val="002F3013"/>
    <w:rsid w:val="002F5945"/>
    <w:rsid w:val="00300652"/>
    <w:rsid w:val="00300D78"/>
    <w:rsid w:val="00302A57"/>
    <w:rsid w:val="00303BEA"/>
    <w:rsid w:val="00304071"/>
    <w:rsid w:val="003047DC"/>
    <w:rsid w:val="00304BC9"/>
    <w:rsid w:val="00304DEF"/>
    <w:rsid w:val="00306BFD"/>
    <w:rsid w:val="00307983"/>
    <w:rsid w:val="00310530"/>
    <w:rsid w:val="00311A8A"/>
    <w:rsid w:val="003126C2"/>
    <w:rsid w:val="003126D7"/>
    <w:rsid w:val="003126EC"/>
    <w:rsid w:val="003127C7"/>
    <w:rsid w:val="00312C27"/>
    <w:rsid w:val="003131A9"/>
    <w:rsid w:val="0031611E"/>
    <w:rsid w:val="00317D3E"/>
    <w:rsid w:val="0032058C"/>
    <w:rsid w:val="00321082"/>
    <w:rsid w:val="00321E84"/>
    <w:rsid w:val="00323ADD"/>
    <w:rsid w:val="00323F63"/>
    <w:rsid w:val="003253A7"/>
    <w:rsid w:val="003258A7"/>
    <w:rsid w:val="00325BD8"/>
    <w:rsid w:val="00327114"/>
    <w:rsid w:val="00330117"/>
    <w:rsid w:val="00330D8E"/>
    <w:rsid w:val="003348FF"/>
    <w:rsid w:val="00335BE8"/>
    <w:rsid w:val="00335DC1"/>
    <w:rsid w:val="00335F96"/>
    <w:rsid w:val="0033709E"/>
    <w:rsid w:val="00337FF0"/>
    <w:rsid w:val="00340C15"/>
    <w:rsid w:val="00342422"/>
    <w:rsid w:val="00342BF0"/>
    <w:rsid w:val="003440AE"/>
    <w:rsid w:val="00345B13"/>
    <w:rsid w:val="00346AE2"/>
    <w:rsid w:val="00351099"/>
    <w:rsid w:val="00351805"/>
    <w:rsid w:val="003543C9"/>
    <w:rsid w:val="00355284"/>
    <w:rsid w:val="00357847"/>
    <w:rsid w:val="003611C5"/>
    <w:rsid w:val="00361351"/>
    <w:rsid w:val="00361B4E"/>
    <w:rsid w:val="00361D8A"/>
    <w:rsid w:val="0036636B"/>
    <w:rsid w:val="003719DA"/>
    <w:rsid w:val="00371F40"/>
    <w:rsid w:val="0037240E"/>
    <w:rsid w:val="0037328F"/>
    <w:rsid w:val="003740A3"/>
    <w:rsid w:val="003758E4"/>
    <w:rsid w:val="00380ABC"/>
    <w:rsid w:val="00381024"/>
    <w:rsid w:val="00382208"/>
    <w:rsid w:val="00382558"/>
    <w:rsid w:val="003826E5"/>
    <w:rsid w:val="00382BBF"/>
    <w:rsid w:val="00385EE7"/>
    <w:rsid w:val="00387746"/>
    <w:rsid w:val="00387F0D"/>
    <w:rsid w:val="00390427"/>
    <w:rsid w:val="00390D39"/>
    <w:rsid w:val="00391377"/>
    <w:rsid w:val="00391383"/>
    <w:rsid w:val="00391F4B"/>
    <w:rsid w:val="00393587"/>
    <w:rsid w:val="00396B2F"/>
    <w:rsid w:val="003A0183"/>
    <w:rsid w:val="003A0E06"/>
    <w:rsid w:val="003A39B3"/>
    <w:rsid w:val="003A4482"/>
    <w:rsid w:val="003A64C2"/>
    <w:rsid w:val="003A6589"/>
    <w:rsid w:val="003A7960"/>
    <w:rsid w:val="003B0B7C"/>
    <w:rsid w:val="003B4176"/>
    <w:rsid w:val="003B4F2C"/>
    <w:rsid w:val="003B52D1"/>
    <w:rsid w:val="003C36A8"/>
    <w:rsid w:val="003C5244"/>
    <w:rsid w:val="003D1881"/>
    <w:rsid w:val="003D3BA2"/>
    <w:rsid w:val="003D4821"/>
    <w:rsid w:val="003D5AB2"/>
    <w:rsid w:val="003D7014"/>
    <w:rsid w:val="003E1A36"/>
    <w:rsid w:val="003E336D"/>
    <w:rsid w:val="003E34CF"/>
    <w:rsid w:val="003E6A98"/>
    <w:rsid w:val="003F043A"/>
    <w:rsid w:val="003F0554"/>
    <w:rsid w:val="003F06AF"/>
    <w:rsid w:val="003F1506"/>
    <w:rsid w:val="003F1631"/>
    <w:rsid w:val="003F1C17"/>
    <w:rsid w:val="003F5485"/>
    <w:rsid w:val="003F5FDF"/>
    <w:rsid w:val="003F692B"/>
    <w:rsid w:val="003F706D"/>
    <w:rsid w:val="0040794F"/>
    <w:rsid w:val="00410E68"/>
    <w:rsid w:val="0041111E"/>
    <w:rsid w:val="004120C7"/>
    <w:rsid w:val="004129AF"/>
    <w:rsid w:val="00413448"/>
    <w:rsid w:val="00414247"/>
    <w:rsid w:val="0041617B"/>
    <w:rsid w:val="00417D15"/>
    <w:rsid w:val="00420983"/>
    <w:rsid w:val="00422493"/>
    <w:rsid w:val="00422672"/>
    <w:rsid w:val="00423A64"/>
    <w:rsid w:val="00424237"/>
    <w:rsid w:val="00424AB2"/>
    <w:rsid w:val="00424FA9"/>
    <w:rsid w:val="00425514"/>
    <w:rsid w:val="00427DA4"/>
    <w:rsid w:val="00430567"/>
    <w:rsid w:val="00431778"/>
    <w:rsid w:val="004317F4"/>
    <w:rsid w:val="0043588F"/>
    <w:rsid w:val="004375E0"/>
    <w:rsid w:val="004401CF"/>
    <w:rsid w:val="00441271"/>
    <w:rsid w:val="00442857"/>
    <w:rsid w:val="00442FB4"/>
    <w:rsid w:val="004432DB"/>
    <w:rsid w:val="004437BE"/>
    <w:rsid w:val="004442B2"/>
    <w:rsid w:val="0044644A"/>
    <w:rsid w:val="0045253C"/>
    <w:rsid w:val="00454770"/>
    <w:rsid w:val="00456B6D"/>
    <w:rsid w:val="00456D17"/>
    <w:rsid w:val="00457124"/>
    <w:rsid w:val="00457ED7"/>
    <w:rsid w:val="004623E3"/>
    <w:rsid w:val="00465C8A"/>
    <w:rsid w:val="00466939"/>
    <w:rsid w:val="00467CED"/>
    <w:rsid w:val="00472F1E"/>
    <w:rsid w:val="004742F2"/>
    <w:rsid w:val="004745D7"/>
    <w:rsid w:val="00475CFF"/>
    <w:rsid w:val="00476046"/>
    <w:rsid w:val="0047681A"/>
    <w:rsid w:val="004773A8"/>
    <w:rsid w:val="00477B35"/>
    <w:rsid w:val="00477F14"/>
    <w:rsid w:val="00477F23"/>
    <w:rsid w:val="0048510E"/>
    <w:rsid w:val="0048605C"/>
    <w:rsid w:val="00490E97"/>
    <w:rsid w:val="004930D1"/>
    <w:rsid w:val="004971FF"/>
    <w:rsid w:val="004A0A9D"/>
    <w:rsid w:val="004A10D6"/>
    <w:rsid w:val="004A1710"/>
    <w:rsid w:val="004A20E9"/>
    <w:rsid w:val="004A2648"/>
    <w:rsid w:val="004A2A1D"/>
    <w:rsid w:val="004A5A72"/>
    <w:rsid w:val="004A6EBA"/>
    <w:rsid w:val="004A77EA"/>
    <w:rsid w:val="004B5648"/>
    <w:rsid w:val="004B59ED"/>
    <w:rsid w:val="004B5C21"/>
    <w:rsid w:val="004B67E3"/>
    <w:rsid w:val="004C0236"/>
    <w:rsid w:val="004C0A8A"/>
    <w:rsid w:val="004C0D17"/>
    <w:rsid w:val="004C3376"/>
    <w:rsid w:val="004C3E83"/>
    <w:rsid w:val="004C4D8F"/>
    <w:rsid w:val="004C6BA3"/>
    <w:rsid w:val="004C6C3E"/>
    <w:rsid w:val="004C7412"/>
    <w:rsid w:val="004D0ECD"/>
    <w:rsid w:val="004D170F"/>
    <w:rsid w:val="004D37B6"/>
    <w:rsid w:val="004D5504"/>
    <w:rsid w:val="004D6235"/>
    <w:rsid w:val="004D6248"/>
    <w:rsid w:val="004E34E4"/>
    <w:rsid w:val="004E44D8"/>
    <w:rsid w:val="004E4F0F"/>
    <w:rsid w:val="004E7D0D"/>
    <w:rsid w:val="004F0004"/>
    <w:rsid w:val="004F17BE"/>
    <w:rsid w:val="004F1BCD"/>
    <w:rsid w:val="004F3381"/>
    <w:rsid w:val="004F33DC"/>
    <w:rsid w:val="004F48FE"/>
    <w:rsid w:val="005006D2"/>
    <w:rsid w:val="00501272"/>
    <w:rsid w:val="00501B85"/>
    <w:rsid w:val="00503F06"/>
    <w:rsid w:val="00504BF9"/>
    <w:rsid w:val="00506354"/>
    <w:rsid w:val="00506C46"/>
    <w:rsid w:val="00506EE8"/>
    <w:rsid w:val="005076E0"/>
    <w:rsid w:val="00507BD7"/>
    <w:rsid w:val="00512F15"/>
    <w:rsid w:val="00513738"/>
    <w:rsid w:val="00515C07"/>
    <w:rsid w:val="00515E74"/>
    <w:rsid w:val="00517F44"/>
    <w:rsid w:val="0052084B"/>
    <w:rsid w:val="00520B51"/>
    <w:rsid w:val="0052103D"/>
    <w:rsid w:val="0052475E"/>
    <w:rsid w:val="005258B2"/>
    <w:rsid w:val="005263D3"/>
    <w:rsid w:val="00526B2A"/>
    <w:rsid w:val="00531AEB"/>
    <w:rsid w:val="00531FB3"/>
    <w:rsid w:val="00532D1A"/>
    <w:rsid w:val="00534B3C"/>
    <w:rsid w:val="00537734"/>
    <w:rsid w:val="00537E35"/>
    <w:rsid w:val="005407FA"/>
    <w:rsid w:val="00541648"/>
    <w:rsid w:val="00542013"/>
    <w:rsid w:val="00542D12"/>
    <w:rsid w:val="00544398"/>
    <w:rsid w:val="005461C1"/>
    <w:rsid w:val="0054777A"/>
    <w:rsid w:val="00550CDC"/>
    <w:rsid w:val="00551805"/>
    <w:rsid w:val="0055246F"/>
    <w:rsid w:val="005525C7"/>
    <w:rsid w:val="00552815"/>
    <w:rsid w:val="00560ECA"/>
    <w:rsid w:val="005611E7"/>
    <w:rsid w:val="00562264"/>
    <w:rsid w:val="005630E7"/>
    <w:rsid w:val="00563C7B"/>
    <w:rsid w:val="005640FE"/>
    <w:rsid w:val="005648C4"/>
    <w:rsid w:val="00564DCF"/>
    <w:rsid w:val="00565DFF"/>
    <w:rsid w:val="00565E89"/>
    <w:rsid w:val="005714A8"/>
    <w:rsid w:val="005723DF"/>
    <w:rsid w:val="005728EF"/>
    <w:rsid w:val="00573D76"/>
    <w:rsid w:val="00576E68"/>
    <w:rsid w:val="00580004"/>
    <w:rsid w:val="005823F8"/>
    <w:rsid w:val="005836AE"/>
    <w:rsid w:val="00585CDC"/>
    <w:rsid w:val="005907F7"/>
    <w:rsid w:val="00591C52"/>
    <w:rsid w:val="00592171"/>
    <w:rsid w:val="0059363D"/>
    <w:rsid w:val="00593E4C"/>
    <w:rsid w:val="005965FF"/>
    <w:rsid w:val="00596FF6"/>
    <w:rsid w:val="005A11F4"/>
    <w:rsid w:val="005A26DB"/>
    <w:rsid w:val="005A4239"/>
    <w:rsid w:val="005A6E8E"/>
    <w:rsid w:val="005A78CC"/>
    <w:rsid w:val="005B1FA3"/>
    <w:rsid w:val="005B788F"/>
    <w:rsid w:val="005C2BBA"/>
    <w:rsid w:val="005C4869"/>
    <w:rsid w:val="005C52C4"/>
    <w:rsid w:val="005C57E7"/>
    <w:rsid w:val="005C6128"/>
    <w:rsid w:val="005C653D"/>
    <w:rsid w:val="005C7362"/>
    <w:rsid w:val="005D075E"/>
    <w:rsid w:val="005D3989"/>
    <w:rsid w:val="005D44EB"/>
    <w:rsid w:val="005D471A"/>
    <w:rsid w:val="005D504E"/>
    <w:rsid w:val="005D614D"/>
    <w:rsid w:val="005D6C7E"/>
    <w:rsid w:val="005D70C0"/>
    <w:rsid w:val="005E023A"/>
    <w:rsid w:val="005E23A7"/>
    <w:rsid w:val="005E5E41"/>
    <w:rsid w:val="005E6B25"/>
    <w:rsid w:val="005E73D3"/>
    <w:rsid w:val="005F0407"/>
    <w:rsid w:val="005F07F7"/>
    <w:rsid w:val="005F39C8"/>
    <w:rsid w:val="005F40FE"/>
    <w:rsid w:val="005F4C06"/>
    <w:rsid w:val="00602871"/>
    <w:rsid w:val="006034E8"/>
    <w:rsid w:val="0060377A"/>
    <w:rsid w:val="0060755E"/>
    <w:rsid w:val="00616A63"/>
    <w:rsid w:val="00617462"/>
    <w:rsid w:val="0061778A"/>
    <w:rsid w:val="00620AAE"/>
    <w:rsid w:val="00622D49"/>
    <w:rsid w:val="00623246"/>
    <w:rsid w:val="00623566"/>
    <w:rsid w:val="0062432D"/>
    <w:rsid w:val="00624952"/>
    <w:rsid w:val="00624D2A"/>
    <w:rsid w:val="00624EA1"/>
    <w:rsid w:val="0062656B"/>
    <w:rsid w:val="0063317B"/>
    <w:rsid w:val="0063322A"/>
    <w:rsid w:val="00633588"/>
    <w:rsid w:val="0063469D"/>
    <w:rsid w:val="00634F2E"/>
    <w:rsid w:val="00641E6C"/>
    <w:rsid w:val="0064661A"/>
    <w:rsid w:val="00646AEA"/>
    <w:rsid w:val="0064745F"/>
    <w:rsid w:val="00650475"/>
    <w:rsid w:val="00650F9C"/>
    <w:rsid w:val="0065500E"/>
    <w:rsid w:val="00660FBF"/>
    <w:rsid w:val="00661ACA"/>
    <w:rsid w:val="00662620"/>
    <w:rsid w:val="006634B3"/>
    <w:rsid w:val="00665FAE"/>
    <w:rsid w:val="00667535"/>
    <w:rsid w:val="006726A5"/>
    <w:rsid w:val="0067482D"/>
    <w:rsid w:val="00674ACE"/>
    <w:rsid w:val="00675111"/>
    <w:rsid w:val="00676390"/>
    <w:rsid w:val="0067680D"/>
    <w:rsid w:val="006839E5"/>
    <w:rsid w:val="00685090"/>
    <w:rsid w:val="00686AEB"/>
    <w:rsid w:val="00690DA4"/>
    <w:rsid w:val="00692DA7"/>
    <w:rsid w:val="006931BE"/>
    <w:rsid w:val="00693FEA"/>
    <w:rsid w:val="00695A7E"/>
    <w:rsid w:val="00695DEE"/>
    <w:rsid w:val="006973EA"/>
    <w:rsid w:val="006A0191"/>
    <w:rsid w:val="006A17D1"/>
    <w:rsid w:val="006A2609"/>
    <w:rsid w:val="006A5042"/>
    <w:rsid w:val="006A7E12"/>
    <w:rsid w:val="006B0B75"/>
    <w:rsid w:val="006B521D"/>
    <w:rsid w:val="006B559D"/>
    <w:rsid w:val="006B5BDA"/>
    <w:rsid w:val="006B700D"/>
    <w:rsid w:val="006C364F"/>
    <w:rsid w:val="006C4891"/>
    <w:rsid w:val="006C536E"/>
    <w:rsid w:val="006C5CF3"/>
    <w:rsid w:val="006C6FCD"/>
    <w:rsid w:val="006D0482"/>
    <w:rsid w:val="006D208A"/>
    <w:rsid w:val="006D310E"/>
    <w:rsid w:val="006D6BB2"/>
    <w:rsid w:val="006D72E9"/>
    <w:rsid w:val="006D7C2C"/>
    <w:rsid w:val="006E12A1"/>
    <w:rsid w:val="006E2067"/>
    <w:rsid w:val="006E2944"/>
    <w:rsid w:val="006E31E4"/>
    <w:rsid w:val="006E434F"/>
    <w:rsid w:val="006E534F"/>
    <w:rsid w:val="006E5B36"/>
    <w:rsid w:val="006E6505"/>
    <w:rsid w:val="006F0EB5"/>
    <w:rsid w:val="006F157B"/>
    <w:rsid w:val="006F2B4F"/>
    <w:rsid w:val="006F42E3"/>
    <w:rsid w:val="006F6C31"/>
    <w:rsid w:val="006F6C59"/>
    <w:rsid w:val="00701E73"/>
    <w:rsid w:val="00702A2E"/>
    <w:rsid w:val="007038EE"/>
    <w:rsid w:val="00706965"/>
    <w:rsid w:val="00707019"/>
    <w:rsid w:val="00712CB5"/>
    <w:rsid w:val="007136BC"/>
    <w:rsid w:val="007156F0"/>
    <w:rsid w:val="007172D8"/>
    <w:rsid w:val="007226D1"/>
    <w:rsid w:val="00723952"/>
    <w:rsid w:val="00723E87"/>
    <w:rsid w:val="00724036"/>
    <w:rsid w:val="007278D0"/>
    <w:rsid w:val="00727DDD"/>
    <w:rsid w:val="00727DF3"/>
    <w:rsid w:val="00730902"/>
    <w:rsid w:val="007310EE"/>
    <w:rsid w:val="00732396"/>
    <w:rsid w:val="007330F6"/>
    <w:rsid w:val="007356C5"/>
    <w:rsid w:val="00736199"/>
    <w:rsid w:val="00737EC0"/>
    <w:rsid w:val="00740A69"/>
    <w:rsid w:val="00740D22"/>
    <w:rsid w:val="0074274F"/>
    <w:rsid w:val="00744493"/>
    <w:rsid w:val="00744A07"/>
    <w:rsid w:val="00750A05"/>
    <w:rsid w:val="00752138"/>
    <w:rsid w:val="00754225"/>
    <w:rsid w:val="00761C74"/>
    <w:rsid w:val="00762397"/>
    <w:rsid w:val="00765417"/>
    <w:rsid w:val="007744F7"/>
    <w:rsid w:val="0077494B"/>
    <w:rsid w:val="00775B01"/>
    <w:rsid w:val="00784E16"/>
    <w:rsid w:val="00786EEF"/>
    <w:rsid w:val="00791EA6"/>
    <w:rsid w:val="007962C3"/>
    <w:rsid w:val="007A153B"/>
    <w:rsid w:val="007A2214"/>
    <w:rsid w:val="007A2BC5"/>
    <w:rsid w:val="007A54BE"/>
    <w:rsid w:val="007A6807"/>
    <w:rsid w:val="007A74B1"/>
    <w:rsid w:val="007B09B5"/>
    <w:rsid w:val="007C0D20"/>
    <w:rsid w:val="007C44F1"/>
    <w:rsid w:val="007C55E5"/>
    <w:rsid w:val="007C5954"/>
    <w:rsid w:val="007D1DAE"/>
    <w:rsid w:val="007D4353"/>
    <w:rsid w:val="007D4689"/>
    <w:rsid w:val="007D629B"/>
    <w:rsid w:val="007D6C9D"/>
    <w:rsid w:val="007E009B"/>
    <w:rsid w:val="007E1610"/>
    <w:rsid w:val="007E167B"/>
    <w:rsid w:val="007E4AC2"/>
    <w:rsid w:val="007E60D8"/>
    <w:rsid w:val="007E6655"/>
    <w:rsid w:val="007E7E42"/>
    <w:rsid w:val="007F202F"/>
    <w:rsid w:val="007F6C08"/>
    <w:rsid w:val="007F6D1B"/>
    <w:rsid w:val="007F6EA3"/>
    <w:rsid w:val="007F7D7B"/>
    <w:rsid w:val="00801410"/>
    <w:rsid w:val="0080325A"/>
    <w:rsid w:val="00803B20"/>
    <w:rsid w:val="00804FE5"/>
    <w:rsid w:val="00805530"/>
    <w:rsid w:val="008067DC"/>
    <w:rsid w:val="0081000C"/>
    <w:rsid w:val="00811084"/>
    <w:rsid w:val="00811FF8"/>
    <w:rsid w:val="00814503"/>
    <w:rsid w:val="00816137"/>
    <w:rsid w:val="008209AA"/>
    <w:rsid w:val="008209C9"/>
    <w:rsid w:val="008219A9"/>
    <w:rsid w:val="008219CC"/>
    <w:rsid w:val="00822288"/>
    <w:rsid w:val="00822E1A"/>
    <w:rsid w:val="00823DEF"/>
    <w:rsid w:val="00824806"/>
    <w:rsid w:val="00826169"/>
    <w:rsid w:val="00826BB1"/>
    <w:rsid w:val="00826C2F"/>
    <w:rsid w:val="00826E9A"/>
    <w:rsid w:val="00827389"/>
    <w:rsid w:val="00833653"/>
    <w:rsid w:val="00833D9D"/>
    <w:rsid w:val="0083775E"/>
    <w:rsid w:val="00841567"/>
    <w:rsid w:val="008423FD"/>
    <w:rsid w:val="00842EE3"/>
    <w:rsid w:val="0084346C"/>
    <w:rsid w:val="00845193"/>
    <w:rsid w:val="00850EF9"/>
    <w:rsid w:val="00851D06"/>
    <w:rsid w:val="00851F10"/>
    <w:rsid w:val="00853532"/>
    <w:rsid w:val="00855F8E"/>
    <w:rsid w:val="00856996"/>
    <w:rsid w:val="008579A1"/>
    <w:rsid w:val="00857F5E"/>
    <w:rsid w:val="0086150F"/>
    <w:rsid w:val="00862478"/>
    <w:rsid w:val="00862B1B"/>
    <w:rsid w:val="00863105"/>
    <w:rsid w:val="00864E97"/>
    <w:rsid w:val="00864EB2"/>
    <w:rsid w:val="00864F24"/>
    <w:rsid w:val="008650B7"/>
    <w:rsid w:val="0086767B"/>
    <w:rsid w:val="00867E3E"/>
    <w:rsid w:val="00870907"/>
    <w:rsid w:val="00873AF1"/>
    <w:rsid w:val="00874F35"/>
    <w:rsid w:val="00875EB9"/>
    <w:rsid w:val="00876D26"/>
    <w:rsid w:val="0088152B"/>
    <w:rsid w:val="00881EA3"/>
    <w:rsid w:val="00882321"/>
    <w:rsid w:val="00883307"/>
    <w:rsid w:val="00884A11"/>
    <w:rsid w:val="00884D8C"/>
    <w:rsid w:val="00885AE8"/>
    <w:rsid w:val="00885C0C"/>
    <w:rsid w:val="0088690C"/>
    <w:rsid w:val="0088729F"/>
    <w:rsid w:val="00887A79"/>
    <w:rsid w:val="008901DC"/>
    <w:rsid w:val="008906FE"/>
    <w:rsid w:val="0089121D"/>
    <w:rsid w:val="00892F26"/>
    <w:rsid w:val="00896441"/>
    <w:rsid w:val="00896A18"/>
    <w:rsid w:val="008A2598"/>
    <w:rsid w:val="008A2765"/>
    <w:rsid w:val="008A73DA"/>
    <w:rsid w:val="008B0752"/>
    <w:rsid w:val="008B2984"/>
    <w:rsid w:val="008B3C37"/>
    <w:rsid w:val="008B57E6"/>
    <w:rsid w:val="008B6544"/>
    <w:rsid w:val="008B7F9F"/>
    <w:rsid w:val="008C1EAF"/>
    <w:rsid w:val="008C1ED0"/>
    <w:rsid w:val="008C36DE"/>
    <w:rsid w:val="008C37C7"/>
    <w:rsid w:val="008C3FEA"/>
    <w:rsid w:val="008C59FE"/>
    <w:rsid w:val="008C76BE"/>
    <w:rsid w:val="008C7D69"/>
    <w:rsid w:val="008D0564"/>
    <w:rsid w:val="008D05C3"/>
    <w:rsid w:val="008D110B"/>
    <w:rsid w:val="008D1CF4"/>
    <w:rsid w:val="008D505F"/>
    <w:rsid w:val="008D50FF"/>
    <w:rsid w:val="008D67DB"/>
    <w:rsid w:val="008E212A"/>
    <w:rsid w:val="008E27DF"/>
    <w:rsid w:val="008E4367"/>
    <w:rsid w:val="008E4961"/>
    <w:rsid w:val="008E7D12"/>
    <w:rsid w:val="008F0181"/>
    <w:rsid w:val="008F07EE"/>
    <w:rsid w:val="008F2009"/>
    <w:rsid w:val="008F2C26"/>
    <w:rsid w:val="008F4883"/>
    <w:rsid w:val="008F61F1"/>
    <w:rsid w:val="008F6460"/>
    <w:rsid w:val="008F6B7A"/>
    <w:rsid w:val="008F6FB8"/>
    <w:rsid w:val="008F7886"/>
    <w:rsid w:val="00900C38"/>
    <w:rsid w:val="009012A1"/>
    <w:rsid w:val="00902A56"/>
    <w:rsid w:val="00903F0E"/>
    <w:rsid w:val="00905CB4"/>
    <w:rsid w:val="009107FE"/>
    <w:rsid w:val="00911857"/>
    <w:rsid w:val="00912827"/>
    <w:rsid w:val="00912C58"/>
    <w:rsid w:val="00914A1D"/>
    <w:rsid w:val="00915CBA"/>
    <w:rsid w:val="00916CF6"/>
    <w:rsid w:val="0092045F"/>
    <w:rsid w:val="009261AF"/>
    <w:rsid w:val="00926E8C"/>
    <w:rsid w:val="0093005A"/>
    <w:rsid w:val="00930E2F"/>
    <w:rsid w:val="00931FC7"/>
    <w:rsid w:val="00932F2D"/>
    <w:rsid w:val="00934BC8"/>
    <w:rsid w:val="00936F2B"/>
    <w:rsid w:val="00940AD9"/>
    <w:rsid w:val="00941673"/>
    <w:rsid w:val="00942884"/>
    <w:rsid w:val="00943407"/>
    <w:rsid w:val="00943E45"/>
    <w:rsid w:val="009441BE"/>
    <w:rsid w:val="00946180"/>
    <w:rsid w:val="00953062"/>
    <w:rsid w:val="00953787"/>
    <w:rsid w:val="00956476"/>
    <w:rsid w:val="009657D2"/>
    <w:rsid w:val="00970202"/>
    <w:rsid w:val="00971579"/>
    <w:rsid w:val="009715A2"/>
    <w:rsid w:val="0097267C"/>
    <w:rsid w:val="00975298"/>
    <w:rsid w:val="009753FC"/>
    <w:rsid w:val="0097573B"/>
    <w:rsid w:val="00976CDB"/>
    <w:rsid w:val="009779B3"/>
    <w:rsid w:val="00977EEB"/>
    <w:rsid w:val="0098008A"/>
    <w:rsid w:val="00981377"/>
    <w:rsid w:val="00983D60"/>
    <w:rsid w:val="009862C7"/>
    <w:rsid w:val="009870B9"/>
    <w:rsid w:val="00990D00"/>
    <w:rsid w:val="009938DC"/>
    <w:rsid w:val="00995772"/>
    <w:rsid w:val="009959ED"/>
    <w:rsid w:val="00996E53"/>
    <w:rsid w:val="00996FD1"/>
    <w:rsid w:val="009A01B1"/>
    <w:rsid w:val="009A07B6"/>
    <w:rsid w:val="009A0C4A"/>
    <w:rsid w:val="009A4684"/>
    <w:rsid w:val="009A4FB4"/>
    <w:rsid w:val="009B06BC"/>
    <w:rsid w:val="009B2183"/>
    <w:rsid w:val="009B3C31"/>
    <w:rsid w:val="009B3FC5"/>
    <w:rsid w:val="009B6A30"/>
    <w:rsid w:val="009B6FB4"/>
    <w:rsid w:val="009B7317"/>
    <w:rsid w:val="009B7A0E"/>
    <w:rsid w:val="009B7E6F"/>
    <w:rsid w:val="009C274C"/>
    <w:rsid w:val="009C35D9"/>
    <w:rsid w:val="009C42A0"/>
    <w:rsid w:val="009C43A9"/>
    <w:rsid w:val="009C5574"/>
    <w:rsid w:val="009C5EA2"/>
    <w:rsid w:val="009C6155"/>
    <w:rsid w:val="009C64E5"/>
    <w:rsid w:val="009C6DDA"/>
    <w:rsid w:val="009D0211"/>
    <w:rsid w:val="009D0410"/>
    <w:rsid w:val="009D2F26"/>
    <w:rsid w:val="009D334F"/>
    <w:rsid w:val="009D5182"/>
    <w:rsid w:val="009D672C"/>
    <w:rsid w:val="009D72E0"/>
    <w:rsid w:val="009D76F5"/>
    <w:rsid w:val="009E040D"/>
    <w:rsid w:val="009E08CA"/>
    <w:rsid w:val="009E0910"/>
    <w:rsid w:val="009E1D89"/>
    <w:rsid w:val="009E26BA"/>
    <w:rsid w:val="009E2E50"/>
    <w:rsid w:val="009E397A"/>
    <w:rsid w:val="009E3993"/>
    <w:rsid w:val="009E5277"/>
    <w:rsid w:val="009E67BB"/>
    <w:rsid w:val="009F0433"/>
    <w:rsid w:val="009F068F"/>
    <w:rsid w:val="009F5C43"/>
    <w:rsid w:val="009F7AE9"/>
    <w:rsid w:val="00A005DA"/>
    <w:rsid w:val="00A01F63"/>
    <w:rsid w:val="00A03F09"/>
    <w:rsid w:val="00A04006"/>
    <w:rsid w:val="00A05925"/>
    <w:rsid w:val="00A068DE"/>
    <w:rsid w:val="00A06E06"/>
    <w:rsid w:val="00A10646"/>
    <w:rsid w:val="00A10BA8"/>
    <w:rsid w:val="00A141BA"/>
    <w:rsid w:val="00A17991"/>
    <w:rsid w:val="00A17EE8"/>
    <w:rsid w:val="00A204BB"/>
    <w:rsid w:val="00A204D7"/>
    <w:rsid w:val="00A21EC2"/>
    <w:rsid w:val="00A22496"/>
    <w:rsid w:val="00A228F3"/>
    <w:rsid w:val="00A232C9"/>
    <w:rsid w:val="00A24D1F"/>
    <w:rsid w:val="00A30AA1"/>
    <w:rsid w:val="00A316C7"/>
    <w:rsid w:val="00A35FA8"/>
    <w:rsid w:val="00A3673C"/>
    <w:rsid w:val="00A41510"/>
    <w:rsid w:val="00A415E4"/>
    <w:rsid w:val="00A42D77"/>
    <w:rsid w:val="00A448FE"/>
    <w:rsid w:val="00A44D91"/>
    <w:rsid w:val="00A454C2"/>
    <w:rsid w:val="00A544CE"/>
    <w:rsid w:val="00A55147"/>
    <w:rsid w:val="00A63742"/>
    <w:rsid w:val="00A63DFA"/>
    <w:rsid w:val="00A64D0C"/>
    <w:rsid w:val="00A66025"/>
    <w:rsid w:val="00A678A3"/>
    <w:rsid w:val="00A715BF"/>
    <w:rsid w:val="00A726B5"/>
    <w:rsid w:val="00A729C2"/>
    <w:rsid w:val="00A7514D"/>
    <w:rsid w:val="00A77496"/>
    <w:rsid w:val="00A77695"/>
    <w:rsid w:val="00A827AE"/>
    <w:rsid w:val="00A85324"/>
    <w:rsid w:val="00A87603"/>
    <w:rsid w:val="00A91048"/>
    <w:rsid w:val="00A9128C"/>
    <w:rsid w:val="00A95C67"/>
    <w:rsid w:val="00A9678B"/>
    <w:rsid w:val="00A96873"/>
    <w:rsid w:val="00AA4585"/>
    <w:rsid w:val="00AA60F0"/>
    <w:rsid w:val="00AA631E"/>
    <w:rsid w:val="00AA7965"/>
    <w:rsid w:val="00AB05BF"/>
    <w:rsid w:val="00AB1B2A"/>
    <w:rsid w:val="00AB3336"/>
    <w:rsid w:val="00AB37BE"/>
    <w:rsid w:val="00AB68AE"/>
    <w:rsid w:val="00AB6E87"/>
    <w:rsid w:val="00AC0A14"/>
    <w:rsid w:val="00AC2F5A"/>
    <w:rsid w:val="00AC37D9"/>
    <w:rsid w:val="00AC7B7A"/>
    <w:rsid w:val="00AD017C"/>
    <w:rsid w:val="00AD18AA"/>
    <w:rsid w:val="00AD216F"/>
    <w:rsid w:val="00AD40C9"/>
    <w:rsid w:val="00AE02E4"/>
    <w:rsid w:val="00AE049B"/>
    <w:rsid w:val="00AE2060"/>
    <w:rsid w:val="00AE235D"/>
    <w:rsid w:val="00AE5740"/>
    <w:rsid w:val="00AF0BFC"/>
    <w:rsid w:val="00AF2DB7"/>
    <w:rsid w:val="00AF57E2"/>
    <w:rsid w:val="00AF5CFE"/>
    <w:rsid w:val="00AF6534"/>
    <w:rsid w:val="00AF68BC"/>
    <w:rsid w:val="00AF7554"/>
    <w:rsid w:val="00B0002D"/>
    <w:rsid w:val="00B0403F"/>
    <w:rsid w:val="00B04BF4"/>
    <w:rsid w:val="00B054AB"/>
    <w:rsid w:val="00B06EC5"/>
    <w:rsid w:val="00B06FFB"/>
    <w:rsid w:val="00B106E8"/>
    <w:rsid w:val="00B12E70"/>
    <w:rsid w:val="00B13C5C"/>
    <w:rsid w:val="00B16519"/>
    <w:rsid w:val="00B166E9"/>
    <w:rsid w:val="00B1732D"/>
    <w:rsid w:val="00B21536"/>
    <w:rsid w:val="00B215DF"/>
    <w:rsid w:val="00B21EAD"/>
    <w:rsid w:val="00B23CD0"/>
    <w:rsid w:val="00B26585"/>
    <w:rsid w:val="00B2689E"/>
    <w:rsid w:val="00B3027D"/>
    <w:rsid w:val="00B31688"/>
    <w:rsid w:val="00B31A91"/>
    <w:rsid w:val="00B31D43"/>
    <w:rsid w:val="00B41F72"/>
    <w:rsid w:val="00B474BB"/>
    <w:rsid w:val="00B51B7D"/>
    <w:rsid w:val="00B52C98"/>
    <w:rsid w:val="00B53215"/>
    <w:rsid w:val="00B578BC"/>
    <w:rsid w:val="00B6037F"/>
    <w:rsid w:val="00B60655"/>
    <w:rsid w:val="00B60E48"/>
    <w:rsid w:val="00B610A0"/>
    <w:rsid w:val="00B645D2"/>
    <w:rsid w:val="00B64C36"/>
    <w:rsid w:val="00B651ED"/>
    <w:rsid w:val="00B65684"/>
    <w:rsid w:val="00B657A1"/>
    <w:rsid w:val="00B661B9"/>
    <w:rsid w:val="00B67582"/>
    <w:rsid w:val="00B70500"/>
    <w:rsid w:val="00B71256"/>
    <w:rsid w:val="00B719D6"/>
    <w:rsid w:val="00B73673"/>
    <w:rsid w:val="00B747C3"/>
    <w:rsid w:val="00B751E6"/>
    <w:rsid w:val="00B7614E"/>
    <w:rsid w:val="00B7662D"/>
    <w:rsid w:val="00B76B39"/>
    <w:rsid w:val="00B76BC9"/>
    <w:rsid w:val="00B80B12"/>
    <w:rsid w:val="00B8218F"/>
    <w:rsid w:val="00B8226F"/>
    <w:rsid w:val="00B8235D"/>
    <w:rsid w:val="00B867B3"/>
    <w:rsid w:val="00B86E06"/>
    <w:rsid w:val="00B870AE"/>
    <w:rsid w:val="00B90827"/>
    <w:rsid w:val="00B9107D"/>
    <w:rsid w:val="00B96C48"/>
    <w:rsid w:val="00B97ADE"/>
    <w:rsid w:val="00BA3171"/>
    <w:rsid w:val="00BA4198"/>
    <w:rsid w:val="00BA5B8E"/>
    <w:rsid w:val="00BA5BF7"/>
    <w:rsid w:val="00BA6A96"/>
    <w:rsid w:val="00BA6AB9"/>
    <w:rsid w:val="00BA7B0C"/>
    <w:rsid w:val="00BB033C"/>
    <w:rsid w:val="00BB1C7A"/>
    <w:rsid w:val="00BB2A9E"/>
    <w:rsid w:val="00BB4DA4"/>
    <w:rsid w:val="00BB4E53"/>
    <w:rsid w:val="00BB73C9"/>
    <w:rsid w:val="00BB7408"/>
    <w:rsid w:val="00BB7C5E"/>
    <w:rsid w:val="00BC1AEF"/>
    <w:rsid w:val="00BC2A38"/>
    <w:rsid w:val="00BC326C"/>
    <w:rsid w:val="00BC32BD"/>
    <w:rsid w:val="00BC63DE"/>
    <w:rsid w:val="00BD1816"/>
    <w:rsid w:val="00BD2618"/>
    <w:rsid w:val="00BD273D"/>
    <w:rsid w:val="00BD3DAE"/>
    <w:rsid w:val="00BD434A"/>
    <w:rsid w:val="00BD76DF"/>
    <w:rsid w:val="00BD7FDE"/>
    <w:rsid w:val="00BE4991"/>
    <w:rsid w:val="00BE606D"/>
    <w:rsid w:val="00BE68F4"/>
    <w:rsid w:val="00BE69F2"/>
    <w:rsid w:val="00BE7238"/>
    <w:rsid w:val="00BE7D5C"/>
    <w:rsid w:val="00BF19AB"/>
    <w:rsid w:val="00BF2BF4"/>
    <w:rsid w:val="00C014E2"/>
    <w:rsid w:val="00C01B71"/>
    <w:rsid w:val="00C02A24"/>
    <w:rsid w:val="00C03FC9"/>
    <w:rsid w:val="00C070E6"/>
    <w:rsid w:val="00C100C7"/>
    <w:rsid w:val="00C110DC"/>
    <w:rsid w:val="00C1118A"/>
    <w:rsid w:val="00C12BD0"/>
    <w:rsid w:val="00C13185"/>
    <w:rsid w:val="00C143BA"/>
    <w:rsid w:val="00C22544"/>
    <w:rsid w:val="00C24BC6"/>
    <w:rsid w:val="00C2515A"/>
    <w:rsid w:val="00C3090B"/>
    <w:rsid w:val="00C322BB"/>
    <w:rsid w:val="00C32624"/>
    <w:rsid w:val="00C410F2"/>
    <w:rsid w:val="00C42C79"/>
    <w:rsid w:val="00C452F1"/>
    <w:rsid w:val="00C45E44"/>
    <w:rsid w:val="00C46A71"/>
    <w:rsid w:val="00C51F9B"/>
    <w:rsid w:val="00C53A5F"/>
    <w:rsid w:val="00C5427C"/>
    <w:rsid w:val="00C548B9"/>
    <w:rsid w:val="00C56882"/>
    <w:rsid w:val="00C60957"/>
    <w:rsid w:val="00C63A9D"/>
    <w:rsid w:val="00C6628E"/>
    <w:rsid w:val="00C665E5"/>
    <w:rsid w:val="00C700EB"/>
    <w:rsid w:val="00C70C79"/>
    <w:rsid w:val="00C72154"/>
    <w:rsid w:val="00C725D5"/>
    <w:rsid w:val="00C735E7"/>
    <w:rsid w:val="00C75E6F"/>
    <w:rsid w:val="00C766D4"/>
    <w:rsid w:val="00C76B14"/>
    <w:rsid w:val="00C8033E"/>
    <w:rsid w:val="00C821E0"/>
    <w:rsid w:val="00C831BD"/>
    <w:rsid w:val="00C86E76"/>
    <w:rsid w:val="00C87E29"/>
    <w:rsid w:val="00C90BA0"/>
    <w:rsid w:val="00C922EA"/>
    <w:rsid w:val="00C92C1F"/>
    <w:rsid w:val="00C92ECC"/>
    <w:rsid w:val="00C93634"/>
    <w:rsid w:val="00C9711A"/>
    <w:rsid w:val="00CA0150"/>
    <w:rsid w:val="00CA3905"/>
    <w:rsid w:val="00CA39F9"/>
    <w:rsid w:val="00CA45EC"/>
    <w:rsid w:val="00CA559C"/>
    <w:rsid w:val="00CA5CD0"/>
    <w:rsid w:val="00CA6C16"/>
    <w:rsid w:val="00CB2092"/>
    <w:rsid w:val="00CB2F25"/>
    <w:rsid w:val="00CB4231"/>
    <w:rsid w:val="00CB451F"/>
    <w:rsid w:val="00CB64AD"/>
    <w:rsid w:val="00CB6AD6"/>
    <w:rsid w:val="00CC5143"/>
    <w:rsid w:val="00CC5957"/>
    <w:rsid w:val="00CD0FE9"/>
    <w:rsid w:val="00CD53A1"/>
    <w:rsid w:val="00CD5AC4"/>
    <w:rsid w:val="00CD5B39"/>
    <w:rsid w:val="00CD7529"/>
    <w:rsid w:val="00CD7548"/>
    <w:rsid w:val="00CE0FA4"/>
    <w:rsid w:val="00CE5163"/>
    <w:rsid w:val="00CF0B3B"/>
    <w:rsid w:val="00CF1345"/>
    <w:rsid w:val="00CF1AA7"/>
    <w:rsid w:val="00CF2949"/>
    <w:rsid w:val="00CF2B5E"/>
    <w:rsid w:val="00CF59C3"/>
    <w:rsid w:val="00CF5F60"/>
    <w:rsid w:val="00CF6963"/>
    <w:rsid w:val="00D00CC3"/>
    <w:rsid w:val="00D0255C"/>
    <w:rsid w:val="00D03961"/>
    <w:rsid w:val="00D047CF"/>
    <w:rsid w:val="00D04F5D"/>
    <w:rsid w:val="00D06272"/>
    <w:rsid w:val="00D064CE"/>
    <w:rsid w:val="00D06707"/>
    <w:rsid w:val="00D10332"/>
    <w:rsid w:val="00D11873"/>
    <w:rsid w:val="00D12BD9"/>
    <w:rsid w:val="00D140E7"/>
    <w:rsid w:val="00D14BDB"/>
    <w:rsid w:val="00D17CC0"/>
    <w:rsid w:val="00D20372"/>
    <w:rsid w:val="00D21344"/>
    <w:rsid w:val="00D2347F"/>
    <w:rsid w:val="00D252C8"/>
    <w:rsid w:val="00D260C1"/>
    <w:rsid w:val="00D26881"/>
    <w:rsid w:val="00D32392"/>
    <w:rsid w:val="00D3432A"/>
    <w:rsid w:val="00D34EEF"/>
    <w:rsid w:val="00D35D7E"/>
    <w:rsid w:val="00D35DF9"/>
    <w:rsid w:val="00D41B8A"/>
    <w:rsid w:val="00D4248F"/>
    <w:rsid w:val="00D42C08"/>
    <w:rsid w:val="00D43CA2"/>
    <w:rsid w:val="00D43E32"/>
    <w:rsid w:val="00D4411D"/>
    <w:rsid w:val="00D45054"/>
    <w:rsid w:val="00D4568E"/>
    <w:rsid w:val="00D46618"/>
    <w:rsid w:val="00D5186D"/>
    <w:rsid w:val="00D51C19"/>
    <w:rsid w:val="00D52FAE"/>
    <w:rsid w:val="00D5371C"/>
    <w:rsid w:val="00D5692F"/>
    <w:rsid w:val="00D60613"/>
    <w:rsid w:val="00D60F75"/>
    <w:rsid w:val="00D63F69"/>
    <w:rsid w:val="00D65A92"/>
    <w:rsid w:val="00D71AB4"/>
    <w:rsid w:val="00D727BA"/>
    <w:rsid w:val="00D7506C"/>
    <w:rsid w:val="00D770CD"/>
    <w:rsid w:val="00D806DE"/>
    <w:rsid w:val="00D8073A"/>
    <w:rsid w:val="00D80F4F"/>
    <w:rsid w:val="00D82B64"/>
    <w:rsid w:val="00D82F63"/>
    <w:rsid w:val="00D85BC2"/>
    <w:rsid w:val="00D92CFD"/>
    <w:rsid w:val="00D93505"/>
    <w:rsid w:val="00D95612"/>
    <w:rsid w:val="00D96779"/>
    <w:rsid w:val="00D9697F"/>
    <w:rsid w:val="00DA1ED4"/>
    <w:rsid w:val="00DA3A21"/>
    <w:rsid w:val="00DA49A8"/>
    <w:rsid w:val="00DA565D"/>
    <w:rsid w:val="00DA5E4D"/>
    <w:rsid w:val="00DA6573"/>
    <w:rsid w:val="00DA65E0"/>
    <w:rsid w:val="00DA6FE7"/>
    <w:rsid w:val="00DB1F8C"/>
    <w:rsid w:val="00DB3A58"/>
    <w:rsid w:val="00DB4966"/>
    <w:rsid w:val="00DB507D"/>
    <w:rsid w:val="00DC0140"/>
    <w:rsid w:val="00DC2A55"/>
    <w:rsid w:val="00DC337A"/>
    <w:rsid w:val="00DC3BA7"/>
    <w:rsid w:val="00DC3CFA"/>
    <w:rsid w:val="00DC4129"/>
    <w:rsid w:val="00DC4587"/>
    <w:rsid w:val="00DC531E"/>
    <w:rsid w:val="00DC608A"/>
    <w:rsid w:val="00DC62F1"/>
    <w:rsid w:val="00DC69CA"/>
    <w:rsid w:val="00DC6E4C"/>
    <w:rsid w:val="00DC758E"/>
    <w:rsid w:val="00DC78C1"/>
    <w:rsid w:val="00DD01D3"/>
    <w:rsid w:val="00DD02FC"/>
    <w:rsid w:val="00DD176A"/>
    <w:rsid w:val="00DD1F26"/>
    <w:rsid w:val="00DD3356"/>
    <w:rsid w:val="00DD3544"/>
    <w:rsid w:val="00DD3A13"/>
    <w:rsid w:val="00DD4389"/>
    <w:rsid w:val="00DD7DF5"/>
    <w:rsid w:val="00DE09C7"/>
    <w:rsid w:val="00DE131B"/>
    <w:rsid w:val="00DE1EF8"/>
    <w:rsid w:val="00DE213B"/>
    <w:rsid w:val="00DE240A"/>
    <w:rsid w:val="00DE358C"/>
    <w:rsid w:val="00DE4A9A"/>
    <w:rsid w:val="00DE6A6D"/>
    <w:rsid w:val="00DE6D8D"/>
    <w:rsid w:val="00DE75A7"/>
    <w:rsid w:val="00DF2E8C"/>
    <w:rsid w:val="00DF47B6"/>
    <w:rsid w:val="00DF5635"/>
    <w:rsid w:val="00DF5D61"/>
    <w:rsid w:val="00E014C5"/>
    <w:rsid w:val="00E01616"/>
    <w:rsid w:val="00E02481"/>
    <w:rsid w:val="00E03C31"/>
    <w:rsid w:val="00E05AD7"/>
    <w:rsid w:val="00E05BE8"/>
    <w:rsid w:val="00E06407"/>
    <w:rsid w:val="00E06C88"/>
    <w:rsid w:val="00E07E5C"/>
    <w:rsid w:val="00E11D09"/>
    <w:rsid w:val="00E12743"/>
    <w:rsid w:val="00E12A80"/>
    <w:rsid w:val="00E1354A"/>
    <w:rsid w:val="00E14E70"/>
    <w:rsid w:val="00E1535E"/>
    <w:rsid w:val="00E159C7"/>
    <w:rsid w:val="00E22900"/>
    <w:rsid w:val="00E235BC"/>
    <w:rsid w:val="00E24265"/>
    <w:rsid w:val="00E30660"/>
    <w:rsid w:val="00E312CE"/>
    <w:rsid w:val="00E3195A"/>
    <w:rsid w:val="00E33364"/>
    <w:rsid w:val="00E3512A"/>
    <w:rsid w:val="00E36633"/>
    <w:rsid w:val="00E37E6F"/>
    <w:rsid w:val="00E43044"/>
    <w:rsid w:val="00E441C0"/>
    <w:rsid w:val="00E508AD"/>
    <w:rsid w:val="00E522EB"/>
    <w:rsid w:val="00E52E11"/>
    <w:rsid w:val="00E53795"/>
    <w:rsid w:val="00E540B2"/>
    <w:rsid w:val="00E54A81"/>
    <w:rsid w:val="00E57512"/>
    <w:rsid w:val="00E61BA3"/>
    <w:rsid w:val="00E62221"/>
    <w:rsid w:val="00E657BD"/>
    <w:rsid w:val="00E65A46"/>
    <w:rsid w:val="00E66369"/>
    <w:rsid w:val="00E702C3"/>
    <w:rsid w:val="00E706A6"/>
    <w:rsid w:val="00E70869"/>
    <w:rsid w:val="00E70B1B"/>
    <w:rsid w:val="00E730CA"/>
    <w:rsid w:val="00E74BB7"/>
    <w:rsid w:val="00E75BC3"/>
    <w:rsid w:val="00E77201"/>
    <w:rsid w:val="00E82B07"/>
    <w:rsid w:val="00E85D41"/>
    <w:rsid w:val="00E87C84"/>
    <w:rsid w:val="00E87D2E"/>
    <w:rsid w:val="00E90EC4"/>
    <w:rsid w:val="00E92ADE"/>
    <w:rsid w:val="00E92F95"/>
    <w:rsid w:val="00E93D7A"/>
    <w:rsid w:val="00E946EB"/>
    <w:rsid w:val="00E9472D"/>
    <w:rsid w:val="00E96619"/>
    <w:rsid w:val="00E96CEE"/>
    <w:rsid w:val="00EA002F"/>
    <w:rsid w:val="00EA02AC"/>
    <w:rsid w:val="00EA0561"/>
    <w:rsid w:val="00EA0E27"/>
    <w:rsid w:val="00EA1507"/>
    <w:rsid w:val="00EA2A69"/>
    <w:rsid w:val="00EA439A"/>
    <w:rsid w:val="00EA4963"/>
    <w:rsid w:val="00EA500A"/>
    <w:rsid w:val="00EA587D"/>
    <w:rsid w:val="00EA5DA0"/>
    <w:rsid w:val="00EA66E2"/>
    <w:rsid w:val="00EA7350"/>
    <w:rsid w:val="00EB304C"/>
    <w:rsid w:val="00EB43BF"/>
    <w:rsid w:val="00EB5771"/>
    <w:rsid w:val="00EB5A62"/>
    <w:rsid w:val="00EB5E1E"/>
    <w:rsid w:val="00EB734D"/>
    <w:rsid w:val="00EC1189"/>
    <w:rsid w:val="00EC12D7"/>
    <w:rsid w:val="00EC2C5F"/>
    <w:rsid w:val="00EC2FBD"/>
    <w:rsid w:val="00EC35D5"/>
    <w:rsid w:val="00EC3CCE"/>
    <w:rsid w:val="00EC40B1"/>
    <w:rsid w:val="00EC747E"/>
    <w:rsid w:val="00EC752D"/>
    <w:rsid w:val="00EC75A0"/>
    <w:rsid w:val="00ED1D13"/>
    <w:rsid w:val="00ED3D59"/>
    <w:rsid w:val="00ED7F8F"/>
    <w:rsid w:val="00EE29D1"/>
    <w:rsid w:val="00EE3E1E"/>
    <w:rsid w:val="00EE43E7"/>
    <w:rsid w:val="00EE5D14"/>
    <w:rsid w:val="00EE6E0F"/>
    <w:rsid w:val="00EF172A"/>
    <w:rsid w:val="00EF1CAA"/>
    <w:rsid w:val="00EF71EF"/>
    <w:rsid w:val="00EF7279"/>
    <w:rsid w:val="00EF7F4D"/>
    <w:rsid w:val="00F008D7"/>
    <w:rsid w:val="00F014BB"/>
    <w:rsid w:val="00F01AAC"/>
    <w:rsid w:val="00F01C5C"/>
    <w:rsid w:val="00F03D94"/>
    <w:rsid w:val="00F03E24"/>
    <w:rsid w:val="00F06769"/>
    <w:rsid w:val="00F10BC0"/>
    <w:rsid w:val="00F10C90"/>
    <w:rsid w:val="00F11ACC"/>
    <w:rsid w:val="00F11AF7"/>
    <w:rsid w:val="00F13F3C"/>
    <w:rsid w:val="00F15FF7"/>
    <w:rsid w:val="00F26D48"/>
    <w:rsid w:val="00F2704D"/>
    <w:rsid w:val="00F30BB1"/>
    <w:rsid w:val="00F32C3D"/>
    <w:rsid w:val="00F3341A"/>
    <w:rsid w:val="00F33E48"/>
    <w:rsid w:val="00F3444F"/>
    <w:rsid w:val="00F352C2"/>
    <w:rsid w:val="00F35FEF"/>
    <w:rsid w:val="00F36863"/>
    <w:rsid w:val="00F40198"/>
    <w:rsid w:val="00F42333"/>
    <w:rsid w:val="00F448AD"/>
    <w:rsid w:val="00F452BB"/>
    <w:rsid w:val="00F45DBD"/>
    <w:rsid w:val="00F4645C"/>
    <w:rsid w:val="00F50154"/>
    <w:rsid w:val="00F51B6C"/>
    <w:rsid w:val="00F53591"/>
    <w:rsid w:val="00F6122A"/>
    <w:rsid w:val="00F702FB"/>
    <w:rsid w:val="00F71C66"/>
    <w:rsid w:val="00F71DEF"/>
    <w:rsid w:val="00F72957"/>
    <w:rsid w:val="00F732AC"/>
    <w:rsid w:val="00F74BE1"/>
    <w:rsid w:val="00F76839"/>
    <w:rsid w:val="00F77750"/>
    <w:rsid w:val="00F81504"/>
    <w:rsid w:val="00F81BC1"/>
    <w:rsid w:val="00F82677"/>
    <w:rsid w:val="00F84D09"/>
    <w:rsid w:val="00F85452"/>
    <w:rsid w:val="00F85C28"/>
    <w:rsid w:val="00F86CE4"/>
    <w:rsid w:val="00F911F4"/>
    <w:rsid w:val="00F91619"/>
    <w:rsid w:val="00F9202B"/>
    <w:rsid w:val="00F926E4"/>
    <w:rsid w:val="00F92DE0"/>
    <w:rsid w:val="00F95332"/>
    <w:rsid w:val="00F95EFB"/>
    <w:rsid w:val="00F9799C"/>
    <w:rsid w:val="00FA40E7"/>
    <w:rsid w:val="00FA57FF"/>
    <w:rsid w:val="00FA6DD8"/>
    <w:rsid w:val="00FA72C9"/>
    <w:rsid w:val="00FA7763"/>
    <w:rsid w:val="00FA7D81"/>
    <w:rsid w:val="00FB3804"/>
    <w:rsid w:val="00FB3C8F"/>
    <w:rsid w:val="00FB3F0D"/>
    <w:rsid w:val="00FB4268"/>
    <w:rsid w:val="00FB4619"/>
    <w:rsid w:val="00FB5876"/>
    <w:rsid w:val="00FB5C3F"/>
    <w:rsid w:val="00FB744B"/>
    <w:rsid w:val="00FB7698"/>
    <w:rsid w:val="00FC0D75"/>
    <w:rsid w:val="00FC4826"/>
    <w:rsid w:val="00FC4B60"/>
    <w:rsid w:val="00FC5CFC"/>
    <w:rsid w:val="00FD1E9B"/>
    <w:rsid w:val="00FD524F"/>
    <w:rsid w:val="00FD5B26"/>
    <w:rsid w:val="00FD5D26"/>
    <w:rsid w:val="00FD6A65"/>
    <w:rsid w:val="00FD7C20"/>
    <w:rsid w:val="00FE04F0"/>
    <w:rsid w:val="00FE3357"/>
    <w:rsid w:val="00FE4AA4"/>
    <w:rsid w:val="00FF01FD"/>
    <w:rsid w:val="00FF23DD"/>
    <w:rsid w:val="00FF6F8F"/>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91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uiPriority w:val="9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2A7A9F"/>
    <w:pPr>
      <w:widowControl w:val="0"/>
      <w:numPr>
        <w:ilvl w:val="3"/>
        <w:numId w:val="32"/>
      </w:numPr>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nhideWhenUsed/>
    <w:rsid w:val="006D310E"/>
  </w:style>
  <w:style w:type="character" w:customStyle="1" w:styleId="CommentTextChar">
    <w:name w:val="Comment Text Char"/>
    <w:basedOn w:val="DefaultParagraphFont"/>
    <w:link w:val="CommentText"/>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uiPriority w:val="9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2A7A9F"/>
    <w:pPr>
      <w:widowControl w:val="0"/>
      <w:numPr>
        <w:ilvl w:val="3"/>
        <w:numId w:val="32"/>
      </w:numPr>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nhideWhenUsed/>
    <w:rsid w:val="006D310E"/>
  </w:style>
  <w:style w:type="character" w:customStyle="1" w:styleId="CommentTextChar">
    <w:name w:val="Comment Text Char"/>
    <w:basedOn w:val="DefaultParagraphFont"/>
    <w:link w:val="CommentText"/>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459">
      <w:bodyDiv w:val="1"/>
      <w:marLeft w:val="0"/>
      <w:marRight w:val="0"/>
      <w:marTop w:val="0"/>
      <w:marBottom w:val="0"/>
      <w:divBdr>
        <w:top w:val="none" w:sz="0" w:space="0" w:color="auto"/>
        <w:left w:val="none" w:sz="0" w:space="0" w:color="auto"/>
        <w:bottom w:val="none" w:sz="0" w:space="0" w:color="auto"/>
        <w:right w:val="none" w:sz="0" w:space="0" w:color="auto"/>
      </w:divBdr>
    </w:div>
    <w:div w:id="216166470">
      <w:bodyDiv w:val="1"/>
      <w:marLeft w:val="0"/>
      <w:marRight w:val="0"/>
      <w:marTop w:val="0"/>
      <w:marBottom w:val="0"/>
      <w:divBdr>
        <w:top w:val="none" w:sz="0" w:space="0" w:color="auto"/>
        <w:left w:val="none" w:sz="0" w:space="0" w:color="auto"/>
        <w:bottom w:val="none" w:sz="0" w:space="0" w:color="auto"/>
        <w:right w:val="none" w:sz="0" w:space="0" w:color="auto"/>
      </w:divBdr>
    </w:div>
    <w:div w:id="356076876">
      <w:bodyDiv w:val="1"/>
      <w:marLeft w:val="0"/>
      <w:marRight w:val="0"/>
      <w:marTop w:val="0"/>
      <w:marBottom w:val="0"/>
      <w:divBdr>
        <w:top w:val="none" w:sz="0" w:space="0" w:color="auto"/>
        <w:left w:val="none" w:sz="0" w:space="0" w:color="auto"/>
        <w:bottom w:val="none" w:sz="0" w:space="0" w:color="auto"/>
        <w:right w:val="none" w:sz="0" w:space="0" w:color="auto"/>
      </w:divBdr>
    </w:div>
    <w:div w:id="474687588">
      <w:bodyDiv w:val="1"/>
      <w:marLeft w:val="0"/>
      <w:marRight w:val="0"/>
      <w:marTop w:val="0"/>
      <w:marBottom w:val="0"/>
      <w:divBdr>
        <w:top w:val="none" w:sz="0" w:space="0" w:color="auto"/>
        <w:left w:val="none" w:sz="0" w:space="0" w:color="auto"/>
        <w:bottom w:val="none" w:sz="0" w:space="0" w:color="auto"/>
        <w:right w:val="none" w:sz="0" w:space="0" w:color="auto"/>
      </w:divBdr>
    </w:div>
    <w:div w:id="695541014">
      <w:bodyDiv w:val="1"/>
      <w:marLeft w:val="0"/>
      <w:marRight w:val="0"/>
      <w:marTop w:val="0"/>
      <w:marBottom w:val="0"/>
      <w:divBdr>
        <w:top w:val="none" w:sz="0" w:space="0" w:color="auto"/>
        <w:left w:val="none" w:sz="0" w:space="0" w:color="auto"/>
        <w:bottom w:val="none" w:sz="0" w:space="0" w:color="auto"/>
        <w:right w:val="none" w:sz="0" w:space="0" w:color="auto"/>
      </w:divBdr>
    </w:div>
    <w:div w:id="1302346853">
      <w:bodyDiv w:val="1"/>
      <w:marLeft w:val="0"/>
      <w:marRight w:val="0"/>
      <w:marTop w:val="0"/>
      <w:marBottom w:val="0"/>
      <w:divBdr>
        <w:top w:val="none" w:sz="0" w:space="0" w:color="auto"/>
        <w:left w:val="none" w:sz="0" w:space="0" w:color="auto"/>
        <w:bottom w:val="none" w:sz="0" w:space="0" w:color="auto"/>
        <w:right w:val="none" w:sz="0" w:space="0" w:color="auto"/>
      </w:divBdr>
    </w:div>
    <w:div w:id="1353263505">
      <w:bodyDiv w:val="1"/>
      <w:marLeft w:val="0"/>
      <w:marRight w:val="0"/>
      <w:marTop w:val="0"/>
      <w:marBottom w:val="0"/>
      <w:divBdr>
        <w:top w:val="none" w:sz="0" w:space="0" w:color="auto"/>
        <w:left w:val="none" w:sz="0" w:space="0" w:color="auto"/>
        <w:bottom w:val="none" w:sz="0" w:space="0" w:color="auto"/>
        <w:right w:val="none" w:sz="0" w:space="0" w:color="auto"/>
      </w:divBdr>
    </w:div>
    <w:div w:id="1355691061">
      <w:bodyDiv w:val="1"/>
      <w:marLeft w:val="0"/>
      <w:marRight w:val="0"/>
      <w:marTop w:val="0"/>
      <w:marBottom w:val="0"/>
      <w:divBdr>
        <w:top w:val="none" w:sz="0" w:space="0" w:color="auto"/>
        <w:left w:val="none" w:sz="0" w:space="0" w:color="auto"/>
        <w:bottom w:val="none" w:sz="0" w:space="0" w:color="auto"/>
        <w:right w:val="none" w:sz="0" w:space="0" w:color="auto"/>
      </w:divBdr>
    </w:div>
    <w:div w:id="1527669188">
      <w:bodyDiv w:val="1"/>
      <w:marLeft w:val="0"/>
      <w:marRight w:val="0"/>
      <w:marTop w:val="0"/>
      <w:marBottom w:val="0"/>
      <w:divBdr>
        <w:top w:val="none" w:sz="0" w:space="0" w:color="auto"/>
        <w:left w:val="none" w:sz="0" w:space="0" w:color="auto"/>
        <w:bottom w:val="none" w:sz="0" w:space="0" w:color="auto"/>
        <w:right w:val="none" w:sz="0" w:space="0" w:color="auto"/>
      </w:divBdr>
    </w:div>
    <w:div w:id="1695037064">
      <w:bodyDiv w:val="1"/>
      <w:marLeft w:val="0"/>
      <w:marRight w:val="0"/>
      <w:marTop w:val="0"/>
      <w:marBottom w:val="0"/>
      <w:divBdr>
        <w:top w:val="none" w:sz="0" w:space="0" w:color="auto"/>
        <w:left w:val="none" w:sz="0" w:space="0" w:color="auto"/>
        <w:bottom w:val="none" w:sz="0" w:space="0" w:color="auto"/>
        <w:right w:val="none" w:sz="0" w:space="0" w:color="auto"/>
      </w:divBdr>
    </w:div>
    <w:div w:id="1709333493">
      <w:bodyDiv w:val="1"/>
      <w:marLeft w:val="0"/>
      <w:marRight w:val="0"/>
      <w:marTop w:val="0"/>
      <w:marBottom w:val="0"/>
      <w:divBdr>
        <w:top w:val="none" w:sz="0" w:space="0" w:color="auto"/>
        <w:left w:val="none" w:sz="0" w:space="0" w:color="auto"/>
        <w:bottom w:val="none" w:sz="0" w:space="0" w:color="auto"/>
        <w:right w:val="none" w:sz="0" w:space="0" w:color="auto"/>
      </w:divBdr>
    </w:div>
    <w:div w:id="1868518836">
      <w:bodyDiv w:val="1"/>
      <w:marLeft w:val="0"/>
      <w:marRight w:val="0"/>
      <w:marTop w:val="0"/>
      <w:marBottom w:val="0"/>
      <w:divBdr>
        <w:top w:val="none" w:sz="0" w:space="0" w:color="auto"/>
        <w:left w:val="none" w:sz="0" w:space="0" w:color="auto"/>
        <w:bottom w:val="none" w:sz="0" w:space="0" w:color="auto"/>
        <w:right w:val="none" w:sz="0" w:space="0" w:color="auto"/>
      </w:divBdr>
    </w:div>
    <w:div w:id="1931087654">
      <w:bodyDiv w:val="1"/>
      <w:marLeft w:val="0"/>
      <w:marRight w:val="0"/>
      <w:marTop w:val="0"/>
      <w:marBottom w:val="0"/>
      <w:divBdr>
        <w:top w:val="none" w:sz="0" w:space="0" w:color="auto"/>
        <w:left w:val="none" w:sz="0" w:space="0" w:color="auto"/>
        <w:bottom w:val="none" w:sz="0" w:space="0" w:color="auto"/>
        <w:right w:val="none" w:sz="0" w:space="0" w:color="auto"/>
      </w:divBdr>
    </w:div>
    <w:div w:id="1951430568">
      <w:bodyDiv w:val="1"/>
      <w:marLeft w:val="0"/>
      <w:marRight w:val="0"/>
      <w:marTop w:val="0"/>
      <w:marBottom w:val="0"/>
      <w:divBdr>
        <w:top w:val="none" w:sz="0" w:space="0" w:color="auto"/>
        <w:left w:val="none" w:sz="0" w:space="0" w:color="auto"/>
        <w:bottom w:val="none" w:sz="0" w:space="0" w:color="auto"/>
        <w:right w:val="none" w:sz="0" w:space="0" w:color="auto"/>
      </w:divBdr>
    </w:div>
    <w:div w:id="20010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2503</Words>
  <Characters>13298</Characters>
  <Application>Microsoft Office Word</Application>
  <DocSecurity>0</DocSecurity>
  <Lines>221</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2015-05-18T15:21:00Z</cp:lastPrinted>
  <dcterms:created xsi:type="dcterms:W3CDTF">2017-01-18T22:39:00Z</dcterms:created>
  <dcterms:modified xsi:type="dcterms:W3CDTF">2017-01-18T22:39:00Z</dcterms:modified>
  <cp:category> </cp:category>
  <cp:contentStatus> </cp:contentStatus>
</cp:coreProperties>
</file>