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9EA5E" w14:textId="77777777" w:rsidR="004C2EE3" w:rsidRDefault="004C2EE3" w:rsidP="00D268DD">
      <w:pPr>
        <w:widowControl/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1EF0E554" w14:textId="77777777" w:rsidR="00921803" w:rsidRDefault="00921803" w:rsidP="00D268DD">
      <w:pPr>
        <w:pStyle w:val="StyleBoldCentered"/>
        <w:widowControl/>
      </w:pPr>
      <w:r>
        <w:t>F</w:t>
      </w:r>
      <w:r>
        <w:rPr>
          <w:caps w:val="0"/>
        </w:rPr>
        <w:t>ederal Communications Commission</w:t>
      </w:r>
    </w:p>
    <w:p w14:paraId="1A9A7E71" w14:textId="77777777" w:rsidR="004C2EE3" w:rsidRDefault="00810B6F" w:rsidP="00D268DD">
      <w:pPr>
        <w:pStyle w:val="StyleBoldCentered"/>
        <w:widowControl/>
      </w:pPr>
      <w:r>
        <w:rPr>
          <w:caps w:val="0"/>
        </w:rPr>
        <w:t>Washington, D.C. 20554</w:t>
      </w:r>
    </w:p>
    <w:p w14:paraId="33F16DFF" w14:textId="77777777" w:rsidR="004C2EE3" w:rsidRDefault="004C2EE3" w:rsidP="00D268DD">
      <w:pPr>
        <w:widowControl/>
      </w:pPr>
    </w:p>
    <w:p w14:paraId="5015AB46" w14:textId="77777777" w:rsidR="004C2EE3" w:rsidRDefault="004C2EE3" w:rsidP="00D268DD">
      <w:pPr>
        <w:widowControl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14:paraId="1F4A249C" w14:textId="77777777">
        <w:tc>
          <w:tcPr>
            <w:tcW w:w="4698" w:type="dxa"/>
          </w:tcPr>
          <w:p w14:paraId="6A587BE3" w14:textId="77777777" w:rsidR="004C2EE3" w:rsidRDefault="004C2EE3" w:rsidP="00D268DD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14:paraId="5F959D0A" w14:textId="77777777" w:rsidR="004C2EE3" w:rsidRDefault="004C2EE3" w:rsidP="00D268DD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09B65FDA" w14:textId="77777777" w:rsidR="004C2EE3" w:rsidRDefault="000B6B8A" w:rsidP="00D268DD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STATE OF INDIANA</w:t>
            </w:r>
          </w:p>
          <w:p w14:paraId="3487F228" w14:textId="77777777" w:rsidR="000B6B8A" w:rsidRDefault="000B6B8A" w:rsidP="00D268DD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5E61B8B4" w14:textId="77777777" w:rsidR="000B6B8A" w:rsidRDefault="000B6B8A" w:rsidP="00D268DD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and </w:t>
            </w:r>
          </w:p>
          <w:p w14:paraId="65F7B8DD" w14:textId="77777777" w:rsidR="000B6B8A" w:rsidRDefault="000B6B8A" w:rsidP="00D268DD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6B7BF091" w14:textId="77777777" w:rsidR="000B6B8A" w:rsidRPr="007115F7" w:rsidRDefault="000B6B8A" w:rsidP="00D268DD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SPRINT CORPORATION </w:t>
            </w:r>
          </w:p>
        </w:tc>
        <w:tc>
          <w:tcPr>
            <w:tcW w:w="630" w:type="dxa"/>
          </w:tcPr>
          <w:p w14:paraId="0CC8D54D" w14:textId="77777777" w:rsidR="004C2EE3" w:rsidRDefault="004C2EE3" w:rsidP="00D268DD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0FABB0BC" w14:textId="77777777" w:rsidR="004C2EE3" w:rsidRDefault="004C2EE3" w:rsidP="00D268DD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48A7D3E5" w14:textId="77777777" w:rsidR="004C2EE3" w:rsidRDefault="004C2EE3" w:rsidP="00D268DD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978C97D" w14:textId="77777777" w:rsidR="004C2EE3" w:rsidRDefault="004C2EE3" w:rsidP="00D268DD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59D69D52" w14:textId="77777777" w:rsidR="004C2EE3" w:rsidRDefault="004C2EE3" w:rsidP="00D268DD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195E359F" w14:textId="77777777" w:rsidR="004C2EE3" w:rsidRDefault="004C2EE3" w:rsidP="00D268DD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9D91729" w14:textId="0BC247D7" w:rsidR="004C2EE3" w:rsidRDefault="004C2EE3" w:rsidP="00D268DD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485A7B14" w14:textId="77777777" w:rsidR="004C2EE3" w:rsidRDefault="004C2EE3" w:rsidP="00D268DD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14:paraId="5230796B" w14:textId="77777777" w:rsidR="004C2EE3" w:rsidRDefault="004C2EE3" w:rsidP="00D268DD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28AEDED4" w14:textId="77777777" w:rsidR="004C2EE3" w:rsidRDefault="004C2EE3" w:rsidP="00D268DD">
            <w:pPr>
              <w:pStyle w:val="TOAHeading"/>
              <w:widowControl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14:paraId="57A74680" w14:textId="77777777" w:rsidR="004C2EE3" w:rsidRDefault="000B6B8A" w:rsidP="00D268DD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WT Docket No.02-55</w:t>
            </w:r>
          </w:p>
          <w:p w14:paraId="47489463" w14:textId="77777777" w:rsidR="000B6B8A" w:rsidRDefault="000B6B8A" w:rsidP="00D268DD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4671656B" w14:textId="77777777" w:rsidR="000B6B8A" w:rsidRDefault="000B6B8A" w:rsidP="00D268DD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074C9058" w14:textId="77777777" w:rsidR="000B6B8A" w:rsidRDefault="000B6B8A" w:rsidP="00D268DD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TAM-12005</w:t>
            </w:r>
          </w:p>
        </w:tc>
      </w:tr>
    </w:tbl>
    <w:p w14:paraId="7A6B47B0" w14:textId="77777777" w:rsidR="004C2EE3" w:rsidRDefault="004C2EE3" w:rsidP="00D268DD">
      <w:pPr>
        <w:widowControl/>
      </w:pPr>
    </w:p>
    <w:p w14:paraId="00AA3509" w14:textId="77777777" w:rsidR="00841AB1" w:rsidRDefault="000B6B8A" w:rsidP="00D268DD">
      <w:pPr>
        <w:pStyle w:val="StyleBoldCentered"/>
        <w:widowControl/>
      </w:pPr>
      <w:r>
        <w:t>ORDER</w:t>
      </w:r>
    </w:p>
    <w:p w14:paraId="1CC144C2" w14:textId="77777777" w:rsidR="004C2EE3" w:rsidRDefault="004C2EE3" w:rsidP="00D268DD">
      <w:pPr>
        <w:widowControl/>
        <w:tabs>
          <w:tab w:val="left" w:pos="-720"/>
        </w:tabs>
        <w:suppressAutoHyphens/>
        <w:spacing w:line="227" w:lineRule="auto"/>
        <w:rPr>
          <w:spacing w:val="-2"/>
        </w:rPr>
      </w:pPr>
    </w:p>
    <w:p w14:paraId="3D777994" w14:textId="1A0770EE" w:rsidR="004C2EE3" w:rsidRDefault="004C2EE3" w:rsidP="00D268DD">
      <w:pPr>
        <w:widowControl/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D9603F">
        <w:rPr>
          <w:b/>
          <w:spacing w:val="-2"/>
        </w:rPr>
        <w:t>Ju</w:t>
      </w:r>
      <w:r w:rsidR="000720D8">
        <w:rPr>
          <w:b/>
          <w:spacing w:val="-2"/>
        </w:rPr>
        <w:t>ly</w:t>
      </w:r>
      <w:r w:rsidR="00D9603F">
        <w:rPr>
          <w:b/>
          <w:spacing w:val="-2"/>
        </w:rPr>
        <w:t xml:space="preserve"> </w:t>
      </w:r>
      <w:r w:rsidR="00767CB6">
        <w:rPr>
          <w:b/>
          <w:spacing w:val="-2"/>
        </w:rPr>
        <w:t>10</w:t>
      </w:r>
      <w:r w:rsidR="000B6B8A">
        <w:rPr>
          <w:b/>
          <w:spacing w:val="-2"/>
        </w:rPr>
        <w:t>, 2017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D9603F">
        <w:rPr>
          <w:b/>
          <w:spacing w:val="-2"/>
        </w:rPr>
        <w:t>Ju</w:t>
      </w:r>
      <w:r w:rsidR="000720D8">
        <w:rPr>
          <w:b/>
          <w:spacing w:val="-2"/>
        </w:rPr>
        <w:t>ly</w:t>
      </w:r>
      <w:r w:rsidR="00D9603F">
        <w:rPr>
          <w:b/>
          <w:spacing w:val="-2"/>
        </w:rPr>
        <w:t xml:space="preserve"> </w:t>
      </w:r>
      <w:r w:rsidR="00767CB6">
        <w:rPr>
          <w:b/>
          <w:spacing w:val="-2"/>
        </w:rPr>
        <w:t>10</w:t>
      </w:r>
      <w:r w:rsidR="000B6B8A">
        <w:rPr>
          <w:b/>
          <w:spacing w:val="-2"/>
        </w:rPr>
        <w:t>, 2017</w:t>
      </w:r>
    </w:p>
    <w:p w14:paraId="2B800376" w14:textId="77777777" w:rsidR="00822CE0" w:rsidRDefault="00822CE0" w:rsidP="00D268DD">
      <w:pPr>
        <w:widowControl/>
      </w:pPr>
    </w:p>
    <w:p w14:paraId="69119C2F" w14:textId="77777777" w:rsidR="004C2EE3" w:rsidRDefault="004C2EE3" w:rsidP="00D268DD">
      <w:pPr>
        <w:widowControl/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0B6B8A">
        <w:rPr>
          <w:spacing w:val="-2"/>
        </w:rPr>
        <w:t>Acting Chief, Policy and Licensing Division Public Safety and Homeland Security Bureau</w:t>
      </w:r>
      <w:r>
        <w:rPr>
          <w:spacing w:val="-2"/>
        </w:rPr>
        <w:t>:</w:t>
      </w:r>
    </w:p>
    <w:p w14:paraId="63A19A81" w14:textId="77777777" w:rsidR="00822CE0" w:rsidRDefault="00822CE0" w:rsidP="00D268DD">
      <w:pPr>
        <w:widowControl/>
        <w:rPr>
          <w:spacing w:val="-2"/>
        </w:rPr>
      </w:pPr>
    </w:p>
    <w:p w14:paraId="49B12220" w14:textId="77777777" w:rsidR="00412FC5" w:rsidRDefault="00412FC5" w:rsidP="00D268DD">
      <w:pPr>
        <w:widowControl/>
      </w:pPr>
    </w:p>
    <w:p w14:paraId="2B77089B" w14:textId="77777777" w:rsidR="002C00E8" w:rsidRDefault="000B6B8A" w:rsidP="00D268DD">
      <w:pPr>
        <w:pStyle w:val="Heading1"/>
        <w:widowControl/>
      </w:pPr>
      <w:r>
        <w:t>introduction</w:t>
      </w:r>
    </w:p>
    <w:p w14:paraId="1091FA21" w14:textId="7CF1BB4D" w:rsidR="00B950C2" w:rsidRDefault="000B6B8A" w:rsidP="00D268DD">
      <w:pPr>
        <w:pStyle w:val="ParaNum"/>
        <w:widowControl/>
      </w:pPr>
      <w:r>
        <w:t xml:space="preserve">Under consideration is the Motion for Stay of Memorandum Opinion and Order or, In the Alternative, Motion to Modify the Daily Call Requirement, </w:t>
      </w:r>
      <w:r w:rsidR="00B950C2" w:rsidRPr="00B950C2">
        <w:t>(Motion)</w:t>
      </w:r>
      <w:r w:rsidR="00B950C2">
        <w:t xml:space="preserve"> </w:t>
      </w:r>
      <w:r>
        <w:t>filed June 7, 2017 by the State of Indiana (</w:t>
      </w:r>
      <w:r w:rsidR="00B950C2">
        <w:t>Indiana</w:t>
      </w:r>
      <w:r>
        <w:t>)</w:t>
      </w:r>
      <w:r w:rsidR="00F62A1D">
        <w:t>, and the Opposition to Motion to Stay filed June 8, 2017 by Sprint Corporation (Sprint)</w:t>
      </w:r>
      <w:r>
        <w:t xml:space="preserve">.  The Motion seeks to stay the effectiveness of the Policy and Licensing Division’s Memorandum Opinion and Order </w:t>
      </w:r>
      <w:r w:rsidR="00B950C2">
        <w:t>released May 22, 2017 (Order),</w:t>
      </w:r>
      <w:r w:rsidR="009E3470">
        <w:rPr>
          <w:rStyle w:val="FootnoteReference"/>
        </w:rPr>
        <w:footnoteReference w:id="2"/>
      </w:r>
      <w:r w:rsidR="009E3470">
        <w:t xml:space="preserve"> </w:t>
      </w:r>
      <w:r w:rsidR="00B950C2">
        <w:t xml:space="preserve">to the extent that said Order required the parties to meet once each business day until they reached an agreement consistent with the Order.  For the reasons set </w:t>
      </w:r>
      <w:r w:rsidR="009E3470">
        <w:t>forth</w:t>
      </w:r>
      <w:r w:rsidR="00B950C2">
        <w:t xml:space="preserve"> below</w:t>
      </w:r>
      <w:r w:rsidR="0002016E">
        <w:t>,</w:t>
      </w:r>
      <w:r w:rsidR="009E3470">
        <w:t xml:space="preserve"> we </w:t>
      </w:r>
      <w:r w:rsidR="0002016E">
        <w:t xml:space="preserve">deny </w:t>
      </w:r>
      <w:r w:rsidR="009E3470">
        <w:t xml:space="preserve">Indiana’s </w:t>
      </w:r>
      <w:r w:rsidR="0002016E">
        <w:t>stay request but grant the M</w:t>
      </w:r>
      <w:r w:rsidR="00B950C2">
        <w:t>otion in part</w:t>
      </w:r>
      <w:r w:rsidR="009E3470">
        <w:t xml:space="preserve"> by reducing the </w:t>
      </w:r>
      <w:r w:rsidR="00A03015">
        <w:t xml:space="preserve">required </w:t>
      </w:r>
      <w:r w:rsidR="00B950C2">
        <w:t>meeting interval to weekly.</w:t>
      </w:r>
    </w:p>
    <w:p w14:paraId="4B3572F8" w14:textId="77777777" w:rsidR="00B950C2" w:rsidRDefault="00B950C2" w:rsidP="00D268DD">
      <w:pPr>
        <w:pStyle w:val="Heading1"/>
        <w:widowControl/>
      </w:pPr>
      <w:r>
        <w:t xml:space="preserve">background  </w:t>
      </w:r>
    </w:p>
    <w:p w14:paraId="5C8869A9" w14:textId="06176212" w:rsidR="00B950C2" w:rsidRDefault="00B950C2" w:rsidP="00D268DD">
      <w:pPr>
        <w:pStyle w:val="ParaNum"/>
        <w:widowControl/>
      </w:pPr>
      <w:r>
        <w:t>The Order resolved 14 issues in dispute between the parties</w:t>
      </w:r>
      <w:r w:rsidR="00931441">
        <w:t xml:space="preserve"> and </w:t>
      </w:r>
      <w:r w:rsidR="009E3470">
        <w:t xml:space="preserve">required the parties to meet (by conference call or in person) </w:t>
      </w:r>
      <w:r w:rsidR="00931441">
        <w:t xml:space="preserve">daily </w:t>
      </w:r>
      <w:r w:rsidR="00265BBC">
        <w:t>until the</w:t>
      </w:r>
      <w:r w:rsidR="009E3470">
        <w:t>y</w:t>
      </w:r>
      <w:r w:rsidR="00265BBC">
        <w:t xml:space="preserve"> reached agreement consistent with the Order’s disposition of those issues.</w:t>
      </w:r>
      <w:r w:rsidR="00F3732E">
        <w:rPr>
          <w:rStyle w:val="FootnoteReference"/>
        </w:rPr>
        <w:footnoteReference w:id="3"/>
      </w:r>
      <w:r w:rsidR="00265BBC">
        <w:t xml:space="preserve">  On June 1, 2017</w:t>
      </w:r>
      <w:r w:rsidR="009E3470">
        <w:t>,</w:t>
      </w:r>
      <w:r w:rsidR="00265BBC">
        <w:t xml:space="preserve"> Indiana filed a </w:t>
      </w:r>
      <w:r w:rsidR="009E3470">
        <w:t xml:space="preserve">timely </w:t>
      </w:r>
      <w:r w:rsidR="00265BBC">
        <w:t xml:space="preserve">request for a </w:t>
      </w:r>
      <w:r w:rsidR="00265BBC" w:rsidRPr="006A2BEA">
        <w:rPr>
          <w:i/>
        </w:rPr>
        <w:t>de novo</w:t>
      </w:r>
      <w:r w:rsidR="00265BBC">
        <w:t xml:space="preserve"> hearing of the disputed issues before a Commission administrative law judge pursuant to Section 90.677(d) of the Commission’s rules.</w:t>
      </w:r>
      <w:r w:rsidR="00265BBC">
        <w:rPr>
          <w:rStyle w:val="FootnoteReference"/>
        </w:rPr>
        <w:footnoteReference w:id="4"/>
      </w:r>
      <w:r w:rsidR="00931441">
        <w:t xml:space="preserve"> </w:t>
      </w:r>
      <w:r w:rsidR="00F62A1D">
        <w:t xml:space="preserve"> </w:t>
      </w:r>
      <w:r w:rsidR="00265BBC">
        <w:t>On June 7, 2017, Indiana filed its instant Motion.</w:t>
      </w:r>
    </w:p>
    <w:p w14:paraId="784A62DD" w14:textId="77777777" w:rsidR="00265BBC" w:rsidRDefault="00265BBC" w:rsidP="00D268DD">
      <w:pPr>
        <w:pStyle w:val="Heading1"/>
        <w:widowControl/>
      </w:pPr>
      <w:r>
        <w:t>discussion</w:t>
      </w:r>
    </w:p>
    <w:p w14:paraId="58BFBCC2" w14:textId="74DB43A0" w:rsidR="00265BBC" w:rsidRDefault="00392B2B" w:rsidP="00D268DD">
      <w:pPr>
        <w:pStyle w:val="ParaNum"/>
        <w:widowControl/>
      </w:pPr>
      <w:r>
        <w:t xml:space="preserve">Indiana submits that it meets the criteria for a stay enunciated in </w:t>
      </w:r>
      <w:r w:rsidRPr="00A07789">
        <w:rPr>
          <w:i/>
        </w:rPr>
        <w:t>Virginia Petroleum Jobbers Association v. Federal Power Commission</w:t>
      </w:r>
      <w:r w:rsidR="006A2BEA">
        <w:t>.</w:t>
      </w:r>
      <w:r>
        <w:rPr>
          <w:rStyle w:val="FootnoteReference"/>
        </w:rPr>
        <w:footnoteReference w:id="5"/>
      </w:r>
      <w:r>
        <w:t xml:space="preserve"> </w:t>
      </w:r>
      <w:r w:rsidR="00F62A1D">
        <w:t xml:space="preserve"> It claims </w:t>
      </w:r>
      <w:r>
        <w:t xml:space="preserve">that </w:t>
      </w:r>
      <w:r w:rsidR="00B42405">
        <w:t xml:space="preserve">there is a strong likelihood that it will prevail </w:t>
      </w:r>
      <w:r w:rsidR="009E3470">
        <w:lastRenderedPageBreak/>
        <w:t xml:space="preserve">in an administrative </w:t>
      </w:r>
      <w:r w:rsidR="00B42405">
        <w:t>hearing because there are “valid jurisdictional arguments” to be considered.</w:t>
      </w:r>
      <w:r w:rsidR="00A07789">
        <w:rPr>
          <w:rStyle w:val="FootnoteReference"/>
        </w:rPr>
        <w:footnoteReference w:id="6"/>
      </w:r>
      <w:r w:rsidR="00B42405">
        <w:t xml:space="preserve"> </w:t>
      </w:r>
      <w:r w:rsidR="000720D8">
        <w:t xml:space="preserve"> </w:t>
      </w:r>
      <w:r w:rsidR="00B42405">
        <w:t>Indiana also alleges it would suffer irreparable injury</w:t>
      </w:r>
      <w:r w:rsidR="006A2BEA">
        <w:t xml:space="preserve"> absent a stay</w:t>
      </w:r>
      <w:r w:rsidR="00B42405">
        <w:t xml:space="preserve"> because participating in daily meetings would force Indiana to “rearrange its attorney’s calendars.”</w:t>
      </w:r>
      <w:r w:rsidR="005C24A1">
        <w:rPr>
          <w:rStyle w:val="FootnoteReference"/>
        </w:rPr>
        <w:footnoteReference w:id="7"/>
      </w:r>
      <w:r w:rsidR="00B42405">
        <w:t xml:space="preserve"> </w:t>
      </w:r>
      <w:r w:rsidR="000720D8">
        <w:t xml:space="preserve"> </w:t>
      </w:r>
      <w:r w:rsidR="00B42405">
        <w:t>With respect to injury being caused to Sprint, Indiana claims that no such injury will occur because Sprint “will not be required to participate in both matters [the hearing and the meetings], and, further, the reconciliation of the rebanding has been ongoing for more than 10 years.”</w:t>
      </w:r>
      <w:r w:rsidR="005C24A1">
        <w:rPr>
          <w:rStyle w:val="FootnoteReference"/>
        </w:rPr>
        <w:footnoteReference w:id="8"/>
      </w:r>
      <w:r w:rsidR="00B42405">
        <w:t xml:space="preserve">  </w:t>
      </w:r>
      <w:r w:rsidR="00A07789">
        <w:t xml:space="preserve">In terms of the public interest component of the </w:t>
      </w:r>
      <w:r w:rsidR="00A07789" w:rsidRPr="00A07789">
        <w:rPr>
          <w:i/>
        </w:rPr>
        <w:t>Virginia Petroleum</w:t>
      </w:r>
      <w:r w:rsidR="00A07789">
        <w:t xml:space="preserve"> test, Indiana argues that “for public policy reasons, it makes sense to allow the State to make the necessary arguments to the Administrative Law Judge and obtain a ruling there before considering any reconciliation efforts.”</w:t>
      </w:r>
      <w:r w:rsidR="005C24A1">
        <w:rPr>
          <w:rStyle w:val="FootnoteReference"/>
        </w:rPr>
        <w:footnoteReference w:id="9"/>
      </w:r>
    </w:p>
    <w:p w14:paraId="4EB93DB6" w14:textId="5A650C9A" w:rsidR="00A07789" w:rsidRDefault="009E3470" w:rsidP="00D268DD">
      <w:pPr>
        <w:pStyle w:val="ParaNum"/>
        <w:widowControl/>
      </w:pPr>
      <w:r>
        <w:t xml:space="preserve">Should </w:t>
      </w:r>
      <w:r w:rsidR="00A07789">
        <w:t xml:space="preserve">the Commission find that a stay is </w:t>
      </w:r>
      <w:r>
        <w:t xml:space="preserve">not </w:t>
      </w:r>
      <w:r w:rsidR="00A07789">
        <w:t xml:space="preserve">warranted, Indiana </w:t>
      </w:r>
      <w:r>
        <w:t xml:space="preserve">requests </w:t>
      </w:r>
      <w:r w:rsidR="00A07789">
        <w:t xml:space="preserve">that the meeting schedule </w:t>
      </w:r>
      <w:r w:rsidR="00A03015">
        <w:t xml:space="preserve">be modified to have meetings or </w:t>
      </w:r>
      <w:r w:rsidR="00A07789">
        <w:t>calls occur twice a week</w:t>
      </w:r>
      <w:r w:rsidR="00A03015">
        <w:t xml:space="preserve"> rather than daily</w:t>
      </w:r>
      <w:r w:rsidR="005C24A1">
        <w:t>.</w:t>
      </w:r>
      <w:r w:rsidR="005C24A1">
        <w:rPr>
          <w:rStyle w:val="FootnoteReference"/>
        </w:rPr>
        <w:footnoteReference w:id="10"/>
      </w:r>
      <w:r w:rsidR="00A07789">
        <w:t xml:space="preserve">  </w:t>
      </w:r>
      <w:r w:rsidR="00A03015">
        <w:t xml:space="preserve">Indiana </w:t>
      </w:r>
      <w:r w:rsidR="00A07789">
        <w:t xml:space="preserve">contends that </w:t>
      </w:r>
      <w:r w:rsidR="00A03015">
        <w:t xml:space="preserve">allowing </w:t>
      </w:r>
      <w:r w:rsidR="00A07789">
        <w:t xml:space="preserve">a longer interval between calls would </w:t>
      </w:r>
      <w:r w:rsidR="00A03015">
        <w:t xml:space="preserve">afford </w:t>
      </w:r>
      <w:r w:rsidR="00A07789">
        <w:t>the parties sufficient time to review material from prior calls and that its attorneys are otherwise too occupied to participate in daily calls.</w:t>
      </w:r>
      <w:r w:rsidR="003B61F9">
        <w:rPr>
          <w:rStyle w:val="FootnoteReference"/>
        </w:rPr>
        <w:footnoteReference w:id="11"/>
      </w:r>
    </w:p>
    <w:p w14:paraId="338143CA" w14:textId="77777777" w:rsidR="00A07789" w:rsidRDefault="00A07789" w:rsidP="00D268DD">
      <w:pPr>
        <w:pStyle w:val="Heading1"/>
        <w:widowControl/>
      </w:pPr>
      <w:r>
        <w:t>decision</w:t>
      </w:r>
    </w:p>
    <w:p w14:paraId="0112599A" w14:textId="3F8DA487" w:rsidR="00A07789" w:rsidRDefault="00A07789" w:rsidP="00D268DD">
      <w:pPr>
        <w:pStyle w:val="ParaNum"/>
        <w:widowControl/>
      </w:pPr>
      <w:r>
        <w:t xml:space="preserve">We are not persuaded </w:t>
      </w:r>
      <w:r w:rsidR="00A03015">
        <w:t xml:space="preserve">that </w:t>
      </w:r>
      <w:r>
        <w:t>Indiana</w:t>
      </w:r>
      <w:r w:rsidR="00B370CF">
        <w:t xml:space="preserve"> meets the accepted criteria for institution of a stay.  </w:t>
      </w:r>
      <w:r w:rsidR="00A03015">
        <w:t xml:space="preserve">First, Indiana has failed to show likelihood of success </w:t>
      </w:r>
      <w:r w:rsidR="00B370CF">
        <w:t xml:space="preserve">on </w:t>
      </w:r>
      <w:r w:rsidR="00A03015">
        <w:t xml:space="preserve">its </w:t>
      </w:r>
      <w:r w:rsidR="00B370CF">
        <w:t xml:space="preserve">jurisdictional </w:t>
      </w:r>
      <w:r w:rsidR="00A03015">
        <w:t xml:space="preserve">claim </w:t>
      </w:r>
      <w:r w:rsidR="00B370CF">
        <w:t xml:space="preserve">because </w:t>
      </w:r>
      <w:r w:rsidR="00A03015">
        <w:t xml:space="preserve">it </w:t>
      </w:r>
      <w:r w:rsidR="00B370CF">
        <w:t xml:space="preserve">cites no authority for the proposition that the Commission lacks jurisdiction to hear this matter. </w:t>
      </w:r>
      <w:r w:rsidR="000720D8">
        <w:t xml:space="preserve"> </w:t>
      </w:r>
      <w:r w:rsidR="00B370CF">
        <w:t xml:space="preserve">Indeed, Indiana has submitted itself to Commission jurisdiction in its Frequency Reconfiguration Agreement (FRA) with Sprint and by </w:t>
      </w:r>
      <w:r w:rsidR="00A03015">
        <w:t xml:space="preserve">filing a request for </w:t>
      </w:r>
      <w:r w:rsidR="00A03015" w:rsidRPr="00FA5A97">
        <w:rPr>
          <w:i/>
        </w:rPr>
        <w:t>de novo</w:t>
      </w:r>
      <w:r w:rsidR="00A03015">
        <w:t xml:space="preserve"> review of its </w:t>
      </w:r>
      <w:r w:rsidR="00B370CF">
        <w:t xml:space="preserve">case </w:t>
      </w:r>
      <w:r w:rsidR="00E40BFA">
        <w:t xml:space="preserve">before </w:t>
      </w:r>
      <w:r w:rsidR="00B370CF">
        <w:t xml:space="preserve">a Commission administrative law judge.  </w:t>
      </w:r>
    </w:p>
    <w:p w14:paraId="13107266" w14:textId="16D18FC5" w:rsidR="00F24C44" w:rsidRPr="00302F5F" w:rsidRDefault="00A03015" w:rsidP="00E40BFA">
      <w:pPr>
        <w:pStyle w:val="ParaNum"/>
        <w:widowControl/>
      </w:pPr>
      <w:r>
        <w:t>We also reject Indiana’s claim of irreparable injury based on the prospect of interference with its attorneys’ schedules</w:t>
      </w:r>
      <w:r w:rsidR="00E40BFA">
        <w:t>.</w:t>
      </w:r>
      <w:r>
        <w:t xml:space="preserve"> </w:t>
      </w:r>
      <w:r w:rsidR="0002016E">
        <w:t xml:space="preserve"> </w:t>
      </w:r>
      <w:r>
        <w:t xml:space="preserve">Scheduling difficulties </w:t>
      </w:r>
      <w:r w:rsidR="0002016E">
        <w:t xml:space="preserve">of counsel </w:t>
      </w:r>
      <w:r>
        <w:t xml:space="preserve">do not </w:t>
      </w:r>
      <w:r w:rsidR="00B370CF">
        <w:t xml:space="preserve">constitute </w:t>
      </w:r>
      <w:r>
        <w:t>“</w:t>
      </w:r>
      <w:r w:rsidR="00B370CF">
        <w:t>irreparable</w:t>
      </w:r>
      <w:r>
        <w:t>”</w:t>
      </w:r>
      <w:r w:rsidR="00B370CF">
        <w:t xml:space="preserve"> injury.</w:t>
      </w:r>
      <w:r w:rsidR="003B61F9">
        <w:t xml:space="preserve"> </w:t>
      </w:r>
      <w:r w:rsidR="00B370CF">
        <w:t xml:space="preserve"> </w:t>
      </w:r>
      <w:r w:rsidR="00F24C44">
        <w:t xml:space="preserve">As was said in the </w:t>
      </w:r>
      <w:r w:rsidR="00F24C44" w:rsidRPr="00E40BFA">
        <w:rPr>
          <w:i/>
        </w:rPr>
        <w:t xml:space="preserve">Virginia Petroleum </w:t>
      </w:r>
      <w:r w:rsidR="00F24C44">
        <w:t>case</w:t>
      </w:r>
      <w:r w:rsidR="000A47B0">
        <w:t xml:space="preserve">: </w:t>
      </w:r>
      <w:r w:rsidR="00F24C44">
        <w:t xml:space="preserve"> “</w:t>
      </w:r>
      <w:r w:rsidR="00F24C44" w:rsidRPr="00F24C44">
        <w:t xml:space="preserve">The key word in this consideration is irreparable. </w:t>
      </w:r>
      <w:r w:rsidR="000720D8">
        <w:t xml:space="preserve"> </w:t>
      </w:r>
      <w:r w:rsidR="00F24C44" w:rsidRPr="00F24C44">
        <w:t>Mere injuries, however substantial, in terms of money, time and energy necessarily expended in the absence of a stay, are not enough.</w:t>
      </w:r>
      <w:r w:rsidR="00F24C44">
        <w:t>”</w:t>
      </w:r>
      <w:r w:rsidR="003B61F9">
        <w:rPr>
          <w:rStyle w:val="FootnoteReference"/>
        </w:rPr>
        <w:footnoteReference w:id="12"/>
      </w:r>
      <w:r w:rsidR="00E40BFA">
        <w:t xml:space="preserve">  Similarly, we reject t</w:t>
      </w:r>
      <w:r w:rsidR="00F24C44">
        <w:t xml:space="preserve">he claim that Sprint </w:t>
      </w:r>
      <w:r w:rsidR="00E40BFA">
        <w:t>faces no injury from</w:t>
      </w:r>
      <w:r w:rsidR="003B61F9">
        <w:t xml:space="preserve"> a stay</w:t>
      </w:r>
      <w:r w:rsidR="00E40BFA">
        <w:t xml:space="preserve">.  The fact that the rebanding process has been lengthy does not mean that Sprint </w:t>
      </w:r>
      <w:r w:rsidR="0002016E">
        <w:t xml:space="preserve">would not be </w:t>
      </w:r>
      <w:r w:rsidR="00E40BFA">
        <w:t xml:space="preserve">harmed by further delay in the process.  </w:t>
      </w:r>
      <w:r w:rsidR="00302F5F" w:rsidRPr="00E40BFA">
        <w:rPr>
          <w:i/>
        </w:rPr>
        <w:t xml:space="preserve">  </w:t>
      </w:r>
    </w:p>
    <w:p w14:paraId="790170B8" w14:textId="340D5461" w:rsidR="00302F5F" w:rsidRDefault="00E40BFA" w:rsidP="00D268DD">
      <w:pPr>
        <w:pStyle w:val="ParaNum"/>
        <w:widowControl/>
      </w:pPr>
      <w:r>
        <w:t xml:space="preserve">Finally, we disagree with </w:t>
      </w:r>
      <w:r w:rsidR="00302F5F">
        <w:t>Indiana</w:t>
      </w:r>
      <w:r>
        <w:t xml:space="preserve">’s </w:t>
      </w:r>
      <w:r w:rsidR="00302F5F">
        <w:t>“public policy</w:t>
      </w:r>
      <w:r>
        <w:t xml:space="preserve">” argument that the parties should </w:t>
      </w:r>
      <w:r w:rsidR="00302F5F">
        <w:t>await the administrative law judge’s opinion before attempting settlement of this matter.</w:t>
      </w:r>
      <w:r w:rsidR="003B61F9">
        <w:rPr>
          <w:rStyle w:val="FootnoteReference"/>
        </w:rPr>
        <w:footnoteReference w:id="13"/>
      </w:r>
      <w:r w:rsidR="00302F5F">
        <w:t xml:space="preserve">  </w:t>
      </w:r>
      <w:r>
        <w:t xml:space="preserve">It may be some time before this matter comes before an administrative law judge, and in the meantime </w:t>
      </w:r>
      <w:r w:rsidR="00302F5F">
        <w:t xml:space="preserve">the public interest </w:t>
      </w:r>
      <w:r>
        <w:t xml:space="preserve">is better </w:t>
      </w:r>
      <w:r w:rsidR="00302F5F">
        <w:t xml:space="preserve">served by </w:t>
      </w:r>
      <w:r w:rsidR="0002016E">
        <w:t xml:space="preserve">continuing to </w:t>
      </w:r>
      <w:r w:rsidR="008C2B34">
        <w:t xml:space="preserve">take steps to </w:t>
      </w:r>
      <w:r w:rsidR="0002016E">
        <w:t xml:space="preserve">encourage </w:t>
      </w:r>
      <w:r w:rsidR="00302F5F">
        <w:t xml:space="preserve">the parties </w:t>
      </w:r>
      <w:r w:rsidR="0002016E">
        <w:t xml:space="preserve">to </w:t>
      </w:r>
      <w:r w:rsidR="00302F5F">
        <w:t>settl</w:t>
      </w:r>
      <w:r w:rsidR="0002016E">
        <w:t>e</w:t>
      </w:r>
      <w:r w:rsidR="00302F5F">
        <w:t xml:space="preserve"> this matter in advance of a hearing, </w:t>
      </w:r>
      <w:r w:rsidR="008C2B34">
        <w:t xml:space="preserve">which would avoid delay and </w:t>
      </w:r>
      <w:r w:rsidR="00302F5F">
        <w:t>obviat</w:t>
      </w:r>
      <w:r w:rsidR="008C2B34">
        <w:t>e</w:t>
      </w:r>
      <w:r w:rsidR="00302F5F">
        <w:t xml:space="preserve"> the expenditure of </w:t>
      </w:r>
      <w:r w:rsidR="008C2B34">
        <w:t xml:space="preserve">party </w:t>
      </w:r>
      <w:r w:rsidR="00D268DD">
        <w:t xml:space="preserve">and </w:t>
      </w:r>
      <w:r w:rsidR="00302F5F">
        <w:t xml:space="preserve">Commission resources in </w:t>
      </w:r>
      <w:r w:rsidR="006D19C6">
        <w:t>conducting a hearing.</w:t>
      </w:r>
    </w:p>
    <w:p w14:paraId="474E2F7D" w14:textId="63650607" w:rsidR="006D19C6" w:rsidRDefault="006D19C6" w:rsidP="00D268DD">
      <w:pPr>
        <w:pStyle w:val="ParaNum"/>
        <w:widowControl/>
      </w:pPr>
      <w:r>
        <w:t xml:space="preserve">While we </w:t>
      </w:r>
      <w:r w:rsidR="0002016E">
        <w:t xml:space="preserve">find </w:t>
      </w:r>
      <w:r>
        <w:t xml:space="preserve">that Indiana has </w:t>
      </w:r>
      <w:r w:rsidR="0002016E">
        <w:t xml:space="preserve">not met </w:t>
      </w:r>
      <w:r>
        <w:t xml:space="preserve">the criteria </w:t>
      </w:r>
      <w:r w:rsidR="0002016E">
        <w:t xml:space="preserve">for </w:t>
      </w:r>
      <w:r>
        <w:t>a stay, we find merit in its contention that daily meetings, at this juncture, may not be as productive as less frequent meeting</w:t>
      </w:r>
      <w:r w:rsidR="008700E7">
        <w:t xml:space="preserve">s.  Accordingly, we </w:t>
      </w:r>
      <w:r w:rsidR="0002016E">
        <w:t xml:space="preserve">modify our prior Order by </w:t>
      </w:r>
      <w:r w:rsidR="008700E7">
        <w:t xml:space="preserve">directing the parties </w:t>
      </w:r>
      <w:r w:rsidR="0002016E">
        <w:t xml:space="preserve">to </w:t>
      </w:r>
      <w:r w:rsidR="008700E7">
        <w:t xml:space="preserve">meet weekly </w:t>
      </w:r>
      <w:r w:rsidR="0002016E">
        <w:t xml:space="preserve">(in person or by telephone) </w:t>
      </w:r>
      <w:r w:rsidR="008700E7">
        <w:t xml:space="preserve">at a time and date mutually convenient, to </w:t>
      </w:r>
      <w:r w:rsidR="00D268DD">
        <w:t>finalize documentation of relevant expenditures</w:t>
      </w:r>
      <w:r w:rsidR="0002016E">
        <w:t>,</w:t>
      </w:r>
      <w:r w:rsidR="00D268DD">
        <w:t xml:space="preserve"> and to </w:t>
      </w:r>
      <w:r w:rsidR="008700E7">
        <w:t xml:space="preserve">attempt to reach a </w:t>
      </w:r>
      <w:r w:rsidR="008700E7">
        <w:lastRenderedPageBreak/>
        <w:t>settlement of this matter</w:t>
      </w:r>
      <w:r w:rsidR="0002016E">
        <w:t xml:space="preserve">.  We retain the discretion to </w:t>
      </w:r>
      <w:r w:rsidR="009841C1">
        <w:t xml:space="preserve">increase the frequency of meetings in the future </w:t>
      </w:r>
      <w:r w:rsidR="0002016E">
        <w:t xml:space="preserve">if, in our </w:t>
      </w:r>
      <w:r w:rsidR="008C2B34">
        <w:t>judg</w:t>
      </w:r>
      <w:r w:rsidR="0002016E">
        <w:t xml:space="preserve">ment, </w:t>
      </w:r>
      <w:r w:rsidR="009841C1">
        <w:t xml:space="preserve">the record indicates that such an increase </w:t>
      </w:r>
      <w:r w:rsidR="007204F9">
        <w:t>would facilitate settlement.</w:t>
      </w:r>
    </w:p>
    <w:p w14:paraId="1D80B6F0" w14:textId="77777777" w:rsidR="007204F9" w:rsidRDefault="007204F9" w:rsidP="00D268DD">
      <w:pPr>
        <w:pStyle w:val="Heading1"/>
        <w:widowControl/>
      </w:pPr>
      <w:r>
        <w:t>ordering clauses</w:t>
      </w:r>
    </w:p>
    <w:p w14:paraId="6DF6D792" w14:textId="77777777" w:rsidR="007204F9" w:rsidRDefault="007204F9" w:rsidP="00D268DD">
      <w:pPr>
        <w:pStyle w:val="ParaNum"/>
        <w:widowControl/>
      </w:pPr>
      <w:r>
        <w:t xml:space="preserve">Accordingly, IT IS ORDERED, that </w:t>
      </w:r>
      <w:r w:rsidRPr="007204F9">
        <w:t>the Motion for Stay of Memorandum Opinion and Order or, In the Alternative, Motion to Modify the Daily Call Requirement</w:t>
      </w:r>
      <w:r>
        <w:t>, filed June 7, 2017, by the State of Indiana is GRANTED IN PART as to the alternative relief sought and in all other respects IS DENIED.</w:t>
      </w:r>
    </w:p>
    <w:p w14:paraId="31B8F9B2" w14:textId="30EF0EB3" w:rsidR="00D97C16" w:rsidRDefault="007204F9" w:rsidP="00D268DD">
      <w:pPr>
        <w:pStyle w:val="ParaNum"/>
        <w:widowControl/>
        <w:tabs>
          <w:tab w:val="clear" w:pos="1080"/>
        </w:tabs>
      </w:pPr>
      <w:r>
        <w:t>IT IS FURTHER ORDERED that represent</w:t>
      </w:r>
      <w:r w:rsidR="00D97C16">
        <w:t>atives of Sprint Corporation and the State of Indiana, each with the authority to bind its principal</w:t>
      </w:r>
      <w:r w:rsidR="0002016E">
        <w:t>,</w:t>
      </w:r>
      <w:r w:rsidR="00D97C16">
        <w:t xml:space="preserve"> shall meet weekly at a mutually agreed date and time to discuss settlement of issues disputed by the parties.</w:t>
      </w:r>
      <w:r w:rsidR="000A47B0">
        <w:t xml:space="preserve">  </w:t>
      </w:r>
    </w:p>
    <w:p w14:paraId="204FECAB" w14:textId="3AA5BE1A" w:rsidR="000A47B0" w:rsidRDefault="000A47B0" w:rsidP="00D268DD">
      <w:pPr>
        <w:pStyle w:val="ParaNum"/>
        <w:widowControl/>
        <w:tabs>
          <w:tab w:val="clear" w:pos="1080"/>
        </w:tabs>
      </w:pPr>
      <w:r>
        <w:t xml:space="preserve">IT IS FURTHER ORDERED that the first such meeting shall take place no later than </w:t>
      </w:r>
      <w:r w:rsidR="003F4D88">
        <w:t>July 17,</w:t>
      </w:r>
      <w:r>
        <w:t xml:space="preserve"> 2017.</w:t>
      </w:r>
    </w:p>
    <w:p w14:paraId="35372F25" w14:textId="0C54D395" w:rsidR="00D97C16" w:rsidRPr="00526B51" w:rsidRDefault="00D97C16" w:rsidP="00D268DD">
      <w:pPr>
        <w:pStyle w:val="ParaNum"/>
        <w:widowControl/>
        <w:tabs>
          <w:tab w:val="clear" w:pos="1080"/>
        </w:tabs>
      </w:pPr>
      <w:r w:rsidRPr="00526B51">
        <w:t xml:space="preserve">This action is taken under delegated authority pursuant to Sections 0.191(a) and 0.392 </w:t>
      </w:r>
      <w:r>
        <w:t>of the Commission's Rules, 47 C</w:t>
      </w:r>
      <w:r w:rsidRPr="00526B51">
        <w:t>FR §§ 0.191(a), 0.392.</w:t>
      </w:r>
    </w:p>
    <w:p w14:paraId="21185BCF" w14:textId="77777777" w:rsidR="00D97C16" w:rsidRDefault="006A2BEA" w:rsidP="00D268DD">
      <w:pPr>
        <w:pStyle w:val="ParaNum"/>
        <w:widowControl/>
        <w:numPr>
          <w:ilvl w:val="0"/>
          <w:numId w:val="0"/>
        </w:numPr>
        <w:ind w:left="3600"/>
      </w:pPr>
      <w:r>
        <w:t>FEDERAL COMMUNICATIONS COMMISSION</w:t>
      </w:r>
    </w:p>
    <w:p w14:paraId="3E86E4F9" w14:textId="77777777" w:rsidR="006A2BEA" w:rsidRDefault="006A2BEA" w:rsidP="00D268DD">
      <w:pPr>
        <w:pStyle w:val="ParaNum"/>
        <w:widowControl/>
        <w:numPr>
          <w:ilvl w:val="0"/>
          <w:numId w:val="0"/>
        </w:numPr>
        <w:ind w:left="3600"/>
      </w:pPr>
    </w:p>
    <w:p w14:paraId="580AF6F4" w14:textId="77777777" w:rsidR="006A2BEA" w:rsidRDefault="006A2BEA" w:rsidP="00D268DD">
      <w:pPr>
        <w:pStyle w:val="ParaNum"/>
        <w:widowControl/>
        <w:numPr>
          <w:ilvl w:val="0"/>
          <w:numId w:val="0"/>
        </w:numPr>
        <w:ind w:left="3600"/>
      </w:pPr>
    </w:p>
    <w:p w14:paraId="37B0C7F5" w14:textId="77777777" w:rsidR="006A2BEA" w:rsidRDefault="006A2BEA" w:rsidP="00D268DD">
      <w:pPr>
        <w:pStyle w:val="ParaNum"/>
        <w:widowControl/>
        <w:numPr>
          <w:ilvl w:val="0"/>
          <w:numId w:val="0"/>
        </w:numPr>
        <w:spacing w:after="0"/>
        <w:ind w:left="3600"/>
      </w:pPr>
      <w:r>
        <w:t>Michael J. Wilhelm</w:t>
      </w:r>
    </w:p>
    <w:p w14:paraId="13F3C944" w14:textId="77777777" w:rsidR="006A2BEA" w:rsidRDefault="006A2BEA" w:rsidP="00D268DD">
      <w:pPr>
        <w:pStyle w:val="ParaNum"/>
        <w:widowControl/>
        <w:numPr>
          <w:ilvl w:val="0"/>
          <w:numId w:val="0"/>
        </w:numPr>
        <w:spacing w:after="0"/>
        <w:ind w:left="3600"/>
      </w:pPr>
      <w:r>
        <w:t>Acting Chief, Policy and Licensing Division</w:t>
      </w:r>
    </w:p>
    <w:p w14:paraId="0A7CDF38" w14:textId="77777777" w:rsidR="006A2BEA" w:rsidRPr="007204F9" w:rsidRDefault="006A2BEA" w:rsidP="00D268DD">
      <w:pPr>
        <w:pStyle w:val="ParaNum"/>
        <w:widowControl/>
        <w:numPr>
          <w:ilvl w:val="0"/>
          <w:numId w:val="0"/>
        </w:numPr>
        <w:spacing w:after="0"/>
        <w:ind w:left="3600"/>
      </w:pPr>
      <w:r>
        <w:t xml:space="preserve">Public Safety and Homeland Security Bureau </w:t>
      </w:r>
    </w:p>
    <w:p w14:paraId="738C0C95" w14:textId="77777777" w:rsidR="000B6B8A" w:rsidRPr="000B6B8A" w:rsidRDefault="000B6B8A" w:rsidP="00D268DD">
      <w:pPr>
        <w:pStyle w:val="ParaNum"/>
        <w:widowControl/>
        <w:numPr>
          <w:ilvl w:val="0"/>
          <w:numId w:val="0"/>
        </w:numPr>
        <w:spacing w:after="0"/>
        <w:ind w:left="720"/>
      </w:pPr>
    </w:p>
    <w:sectPr w:rsidR="000B6B8A" w:rsidRPr="000B6B8A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391CE" w14:textId="77777777" w:rsidR="000B6B8A" w:rsidRDefault="000B6B8A">
      <w:pPr>
        <w:spacing w:line="20" w:lineRule="exact"/>
      </w:pPr>
    </w:p>
  </w:endnote>
  <w:endnote w:type="continuationSeparator" w:id="0">
    <w:p w14:paraId="79FCB5ED" w14:textId="77777777" w:rsidR="000B6B8A" w:rsidRDefault="000B6B8A">
      <w:r>
        <w:t xml:space="preserve"> </w:t>
      </w:r>
    </w:p>
  </w:endnote>
  <w:endnote w:type="continuationNotice" w:id="1">
    <w:p w14:paraId="12BD53C3" w14:textId="77777777" w:rsidR="000B6B8A" w:rsidRDefault="000B6B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CBBDC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AEFB320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94E1" w14:textId="5EE16C5A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E7476">
      <w:rPr>
        <w:noProof/>
      </w:rPr>
      <w:t>2</w:t>
    </w:r>
    <w:r>
      <w:fldChar w:fldCharType="end"/>
    </w:r>
  </w:p>
  <w:p w14:paraId="27EC5282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3A66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0DA08" w14:textId="77777777" w:rsidR="000B6B8A" w:rsidRDefault="000B6B8A">
      <w:r>
        <w:separator/>
      </w:r>
    </w:p>
  </w:footnote>
  <w:footnote w:type="continuationSeparator" w:id="0">
    <w:p w14:paraId="37FFA968" w14:textId="77777777" w:rsidR="000B6B8A" w:rsidRDefault="000B6B8A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7BD844E7" w14:textId="77777777" w:rsidR="000B6B8A" w:rsidRDefault="000B6B8A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248BBFE5" w14:textId="23CB3374" w:rsidR="009E3470" w:rsidRDefault="009E3470" w:rsidP="009E3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38C2">
        <w:rPr>
          <w:i/>
        </w:rPr>
        <w:t>State of Indiana and Sprint</w:t>
      </w:r>
      <w:r>
        <w:rPr>
          <w:i/>
        </w:rPr>
        <w:t xml:space="preserve"> Corporation</w:t>
      </w:r>
      <w:r w:rsidRPr="00DA0E41">
        <w:t xml:space="preserve">, </w:t>
      </w:r>
      <w:r w:rsidRPr="00F538C2">
        <w:t>Memorandum Opinion and Order</w:t>
      </w:r>
      <w:r w:rsidRPr="00DA0E41">
        <w:t xml:space="preserve">, </w:t>
      </w:r>
      <w:r>
        <w:t>DA 17-494</w:t>
      </w:r>
      <w:r w:rsidRPr="00DA0E41">
        <w:t xml:space="preserve"> (PSHSB</w:t>
      </w:r>
      <w:r>
        <w:t xml:space="preserve"> 2017</w:t>
      </w:r>
      <w:r w:rsidRPr="00DA0E41">
        <w:t>)</w:t>
      </w:r>
      <w:r>
        <w:t xml:space="preserve"> (Order)</w:t>
      </w:r>
    </w:p>
  </w:footnote>
  <w:footnote w:id="3">
    <w:p w14:paraId="230FA7BC" w14:textId="6961D7DF" w:rsidR="00F3732E" w:rsidRDefault="00F373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124DB">
        <w:rPr>
          <w:i/>
        </w:rPr>
        <w:t>Id.</w:t>
      </w:r>
    </w:p>
  </w:footnote>
  <w:footnote w:id="4">
    <w:p w14:paraId="3CDD0F9F" w14:textId="77777777" w:rsidR="00265BBC" w:rsidRDefault="00265BBC">
      <w:pPr>
        <w:pStyle w:val="FootnoteText"/>
      </w:pPr>
      <w:r>
        <w:rPr>
          <w:rStyle w:val="FootnoteReference"/>
        </w:rPr>
        <w:footnoteRef/>
      </w:r>
      <w:r>
        <w:t xml:space="preserve"> Indiana Petition for De Novo Review, Jun. 1, 2017.</w:t>
      </w:r>
    </w:p>
  </w:footnote>
  <w:footnote w:id="5">
    <w:p w14:paraId="07AD25C6" w14:textId="2D45AA1C" w:rsidR="00392B2B" w:rsidRDefault="00392B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2BEA">
        <w:t>Motion at page 2.</w:t>
      </w:r>
      <w:r w:rsidR="00564EAD">
        <w:t xml:space="preserve"> </w:t>
      </w:r>
      <w:r w:rsidR="00564EAD" w:rsidRPr="00564EAD">
        <w:rPr>
          <w:i/>
        </w:rPr>
        <w:t>Virginia Petroleum Jobbers Association v. Federal Power Commission</w:t>
      </w:r>
      <w:r w:rsidR="00564EAD" w:rsidRPr="00564EAD">
        <w:t>, 259 F2d 921, 925 (D.C. Cir. 1958)</w:t>
      </w:r>
      <w:r w:rsidR="00564EAD">
        <w:t xml:space="preserve"> (Virginia Petroleum).  </w:t>
      </w:r>
      <w:r w:rsidR="00564EAD" w:rsidRPr="00564EAD">
        <w:t>To prevail, the proponent of a stay must show: (1) it is likely to prevail on the merits, (2) it will suffer irreparable harm if a stay is not granted; (3) other interested parties will not be harmed if a stay is granted and (4) the public interest favors grant of the stay</w:t>
      </w:r>
      <w:r w:rsidR="00564EAD">
        <w:t xml:space="preserve">. </w:t>
      </w:r>
      <w:r w:rsidR="000720D8">
        <w:t xml:space="preserve"> </w:t>
      </w:r>
      <w:r w:rsidR="00564EAD" w:rsidRPr="001C2AA0">
        <w:rPr>
          <w:i/>
        </w:rPr>
        <w:t>Id.</w:t>
      </w:r>
      <w:r w:rsidR="00564EAD">
        <w:rPr>
          <w:i/>
        </w:rPr>
        <w:t xml:space="preserve"> </w:t>
      </w:r>
      <w:r w:rsidR="00564EAD">
        <w:t>at 925.</w:t>
      </w:r>
    </w:p>
  </w:footnote>
  <w:footnote w:id="6">
    <w:p w14:paraId="188EDCB2" w14:textId="77777777" w:rsidR="00A07789" w:rsidRDefault="00A077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2BEA" w:rsidRPr="001C2AA0">
        <w:rPr>
          <w:i/>
        </w:rPr>
        <w:t>Id.</w:t>
      </w:r>
      <w:r w:rsidR="006A2BEA">
        <w:rPr>
          <w:i/>
        </w:rPr>
        <w:t xml:space="preserve"> </w:t>
      </w:r>
    </w:p>
  </w:footnote>
  <w:footnote w:id="7">
    <w:p w14:paraId="3BB5623F" w14:textId="1FAC0C8C" w:rsidR="005C24A1" w:rsidRPr="005C24A1" w:rsidRDefault="005C2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2AA0">
        <w:rPr>
          <w:i/>
        </w:rPr>
        <w:t>Id.</w:t>
      </w:r>
      <w:r>
        <w:rPr>
          <w:i/>
        </w:rPr>
        <w:t xml:space="preserve"> </w:t>
      </w:r>
      <w:r>
        <w:t>at page 3.</w:t>
      </w:r>
    </w:p>
  </w:footnote>
  <w:footnote w:id="8">
    <w:p w14:paraId="3886CC9A" w14:textId="77777777" w:rsidR="005C24A1" w:rsidRDefault="005C2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2AA0">
        <w:rPr>
          <w:i/>
        </w:rPr>
        <w:t>Id.</w:t>
      </w:r>
    </w:p>
  </w:footnote>
  <w:footnote w:id="9">
    <w:p w14:paraId="2663EEE3" w14:textId="77777777" w:rsidR="005C24A1" w:rsidRDefault="005C2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2AA0">
        <w:rPr>
          <w:i/>
        </w:rPr>
        <w:t>Id.</w:t>
      </w:r>
    </w:p>
  </w:footnote>
  <w:footnote w:id="10">
    <w:p w14:paraId="62D0441E" w14:textId="266A0757" w:rsidR="005C24A1" w:rsidRDefault="005C2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2AA0">
        <w:rPr>
          <w:i/>
        </w:rPr>
        <w:t>Id.</w:t>
      </w:r>
      <w:r w:rsidRPr="005C24A1">
        <w:t xml:space="preserve"> at page 4.</w:t>
      </w:r>
    </w:p>
  </w:footnote>
  <w:footnote w:id="11">
    <w:p w14:paraId="6AD221F1" w14:textId="77777777" w:rsidR="003B61F9" w:rsidRDefault="003B61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2AA0">
        <w:rPr>
          <w:i/>
        </w:rPr>
        <w:t>Id.</w:t>
      </w:r>
    </w:p>
  </w:footnote>
  <w:footnote w:id="12">
    <w:p w14:paraId="1A6CFBBC" w14:textId="77777777" w:rsidR="003B61F9" w:rsidRDefault="003B61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61F9">
        <w:rPr>
          <w:i/>
        </w:rPr>
        <w:t>Virginia Petroleum</w:t>
      </w:r>
      <w:r>
        <w:t>, 259 F2d at 925.</w:t>
      </w:r>
    </w:p>
  </w:footnote>
  <w:footnote w:id="13">
    <w:p w14:paraId="62022566" w14:textId="4CA85C16" w:rsidR="003B61F9" w:rsidRDefault="003B61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68DD">
        <w:t>Motion at page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D3F1" w14:textId="77777777" w:rsidR="004414E8" w:rsidRDefault="00441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362D3" w14:textId="1C826B2A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3F4D88">
      <w:t>DA 17-</w:t>
    </w:r>
    <w:r w:rsidR="00767CB6">
      <w:t>657</w:t>
    </w:r>
  </w:p>
  <w:p w14:paraId="4BE30228" w14:textId="477BE49E" w:rsidR="00D25FB5" w:rsidRDefault="000A47B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392CB4" wp14:editId="214AA3D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5C0120A" id="Rectangle 1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5ED699A3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0C8F" w14:textId="77D00805" w:rsidR="00D25FB5" w:rsidRDefault="000A47B0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774A8CB" wp14:editId="2C287C6D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61BA42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931441">
      <w:rPr>
        <w:spacing w:val="-2"/>
      </w:rPr>
      <w:t>DA 17-</w:t>
    </w:r>
    <w:r w:rsidR="00767CB6">
      <w:rPr>
        <w:spacing w:val="-2"/>
      </w:rPr>
      <w:t>657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8A"/>
    <w:rsid w:val="0002016E"/>
    <w:rsid w:val="00036039"/>
    <w:rsid w:val="00037F90"/>
    <w:rsid w:val="00050E58"/>
    <w:rsid w:val="000720D8"/>
    <w:rsid w:val="000875BF"/>
    <w:rsid w:val="00096D8C"/>
    <w:rsid w:val="000A47B0"/>
    <w:rsid w:val="000B6B8A"/>
    <w:rsid w:val="000C0B65"/>
    <w:rsid w:val="000E05FE"/>
    <w:rsid w:val="000E3D42"/>
    <w:rsid w:val="00122BD5"/>
    <w:rsid w:val="00133F79"/>
    <w:rsid w:val="00194A66"/>
    <w:rsid w:val="001D6BCF"/>
    <w:rsid w:val="001E01CA"/>
    <w:rsid w:val="00265BBC"/>
    <w:rsid w:val="00275CF5"/>
    <w:rsid w:val="0028301F"/>
    <w:rsid w:val="00285017"/>
    <w:rsid w:val="002A2D2E"/>
    <w:rsid w:val="002C00E8"/>
    <w:rsid w:val="002E7476"/>
    <w:rsid w:val="00302F5F"/>
    <w:rsid w:val="00343749"/>
    <w:rsid w:val="003660ED"/>
    <w:rsid w:val="00392B2B"/>
    <w:rsid w:val="003B0550"/>
    <w:rsid w:val="003B61F9"/>
    <w:rsid w:val="003B694F"/>
    <w:rsid w:val="003F171C"/>
    <w:rsid w:val="003F4D88"/>
    <w:rsid w:val="00412FC5"/>
    <w:rsid w:val="00422276"/>
    <w:rsid w:val="004242F1"/>
    <w:rsid w:val="004414E8"/>
    <w:rsid w:val="00445A00"/>
    <w:rsid w:val="00451B0F"/>
    <w:rsid w:val="004C2EE3"/>
    <w:rsid w:val="004E4A22"/>
    <w:rsid w:val="00511968"/>
    <w:rsid w:val="0055614C"/>
    <w:rsid w:val="00564EAD"/>
    <w:rsid w:val="005C24A1"/>
    <w:rsid w:val="005E14C2"/>
    <w:rsid w:val="00607BA5"/>
    <w:rsid w:val="0061180A"/>
    <w:rsid w:val="00626EB6"/>
    <w:rsid w:val="00655D03"/>
    <w:rsid w:val="00683388"/>
    <w:rsid w:val="00683F84"/>
    <w:rsid w:val="006A2BEA"/>
    <w:rsid w:val="006A6A81"/>
    <w:rsid w:val="006D19C6"/>
    <w:rsid w:val="006F7393"/>
    <w:rsid w:val="0070224F"/>
    <w:rsid w:val="007115F7"/>
    <w:rsid w:val="007204F9"/>
    <w:rsid w:val="00730D9A"/>
    <w:rsid w:val="00767CB6"/>
    <w:rsid w:val="00785689"/>
    <w:rsid w:val="0079754B"/>
    <w:rsid w:val="007A1E6D"/>
    <w:rsid w:val="007B0EB2"/>
    <w:rsid w:val="007D2835"/>
    <w:rsid w:val="00810B6F"/>
    <w:rsid w:val="00822CE0"/>
    <w:rsid w:val="00841AB1"/>
    <w:rsid w:val="008700E7"/>
    <w:rsid w:val="008C2B34"/>
    <w:rsid w:val="008C68F1"/>
    <w:rsid w:val="00921803"/>
    <w:rsid w:val="00926503"/>
    <w:rsid w:val="00931441"/>
    <w:rsid w:val="009726D8"/>
    <w:rsid w:val="009841C1"/>
    <w:rsid w:val="009B3423"/>
    <w:rsid w:val="009E3470"/>
    <w:rsid w:val="009F76DB"/>
    <w:rsid w:val="00A03015"/>
    <w:rsid w:val="00A07789"/>
    <w:rsid w:val="00A124DB"/>
    <w:rsid w:val="00A32C3B"/>
    <w:rsid w:val="00A34E4A"/>
    <w:rsid w:val="00A45F4F"/>
    <w:rsid w:val="00A600A9"/>
    <w:rsid w:val="00AA55B7"/>
    <w:rsid w:val="00AA5B9E"/>
    <w:rsid w:val="00AB2407"/>
    <w:rsid w:val="00AB53DF"/>
    <w:rsid w:val="00B07E5C"/>
    <w:rsid w:val="00B370CF"/>
    <w:rsid w:val="00B42405"/>
    <w:rsid w:val="00B811F7"/>
    <w:rsid w:val="00B950C2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268DD"/>
    <w:rsid w:val="00D44223"/>
    <w:rsid w:val="00D70D4F"/>
    <w:rsid w:val="00D9603F"/>
    <w:rsid w:val="00D97C16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40BFA"/>
    <w:rsid w:val="00E5409F"/>
    <w:rsid w:val="00EE6488"/>
    <w:rsid w:val="00F021FA"/>
    <w:rsid w:val="00F24C44"/>
    <w:rsid w:val="00F3732E"/>
    <w:rsid w:val="00F62A1D"/>
    <w:rsid w:val="00F62E97"/>
    <w:rsid w:val="00F64209"/>
    <w:rsid w:val="00F93BF5"/>
    <w:rsid w:val="00F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4FAD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0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0D9A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0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0D9A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3</Pages>
  <Words>1013</Words>
  <Characters>5258</Characters>
  <Application>Microsoft Office Word</Application>
  <DocSecurity>0</DocSecurity>
  <Lines>107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6266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2017-06-08T16:48:00Z</cp:lastPrinted>
  <dcterms:created xsi:type="dcterms:W3CDTF">2017-07-07T17:31:00Z</dcterms:created>
  <dcterms:modified xsi:type="dcterms:W3CDTF">2017-07-07T17:31:00Z</dcterms:modified>
  <cp:category> </cp:category>
  <cp:contentStatus> </cp:contentStatus>
</cp:coreProperties>
</file>