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EE55" w14:textId="77777777" w:rsidR="004C2EE3" w:rsidRDefault="004C2EE3" w:rsidP="0031463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DB8DCC4" w14:textId="77777777" w:rsidR="00921803" w:rsidRDefault="00921803" w:rsidP="0031463D">
      <w:pPr>
        <w:pStyle w:val="StyleBoldCentered"/>
        <w:widowControl/>
      </w:pPr>
      <w:r>
        <w:t>F</w:t>
      </w:r>
      <w:r>
        <w:rPr>
          <w:caps w:val="0"/>
        </w:rPr>
        <w:t>ederal Communications Commission</w:t>
      </w:r>
    </w:p>
    <w:p w14:paraId="77FA1348" w14:textId="77777777" w:rsidR="004C2EE3" w:rsidRDefault="00810B6F" w:rsidP="0031463D">
      <w:pPr>
        <w:pStyle w:val="StyleBoldCentered"/>
        <w:widowControl/>
      </w:pPr>
      <w:r>
        <w:rPr>
          <w:caps w:val="0"/>
        </w:rPr>
        <w:t>Washington, D.C. 20554</w:t>
      </w:r>
    </w:p>
    <w:p w14:paraId="4FC2B2C8" w14:textId="77777777" w:rsidR="004C2EE3" w:rsidRDefault="004C2EE3" w:rsidP="0031463D">
      <w:pPr>
        <w:widowControl/>
      </w:pPr>
    </w:p>
    <w:tbl>
      <w:tblPr>
        <w:tblW w:w="9576" w:type="dxa"/>
        <w:tblLayout w:type="fixed"/>
        <w:tblLook w:val="0000" w:firstRow="0" w:lastRow="0" w:firstColumn="0" w:lastColumn="0" w:noHBand="0" w:noVBand="0"/>
      </w:tblPr>
      <w:tblGrid>
        <w:gridCol w:w="4698"/>
        <w:gridCol w:w="630"/>
        <w:gridCol w:w="4248"/>
      </w:tblGrid>
      <w:tr w:rsidR="004E50A6" w:rsidRPr="001D1D02" w14:paraId="762FF44F" w14:textId="77777777" w:rsidTr="00A56835">
        <w:tc>
          <w:tcPr>
            <w:tcW w:w="4698" w:type="dxa"/>
          </w:tcPr>
          <w:p w14:paraId="7B5185C8" w14:textId="77777777" w:rsidR="004E50A6" w:rsidRPr="001D1D02" w:rsidRDefault="004E50A6" w:rsidP="0031463D">
            <w:pPr>
              <w:widowControl/>
              <w:tabs>
                <w:tab w:val="center" w:pos="4680"/>
              </w:tabs>
              <w:suppressAutoHyphens/>
              <w:rPr>
                <w:spacing w:val="-2"/>
                <w:szCs w:val="22"/>
              </w:rPr>
            </w:pPr>
            <w:r w:rsidRPr="001D1D02">
              <w:rPr>
                <w:spacing w:val="-2"/>
                <w:szCs w:val="22"/>
              </w:rPr>
              <w:t>In the Matter of</w:t>
            </w:r>
          </w:p>
          <w:p w14:paraId="018655C7" w14:textId="77777777" w:rsidR="004E50A6" w:rsidRPr="001D1D02" w:rsidRDefault="004E50A6" w:rsidP="0031463D">
            <w:pPr>
              <w:widowControl/>
              <w:tabs>
                <w:tab w:val="center" w:pos="4680"/>
              </w:tabs>
              <w:suppressAutoHyphens/>
              <w:rPr>
                <w:spacing w:val="-2"/>
                <w:szCs w:val="22"/>
              </w:rPr>
            </w:pPr>
          </w:p>
          <w:p w14:paraId="19955A2F" w14:textId="31672EA7" w:rsidR="004E50A6" w:rsidRDefault="003942FB" w:rsidP="0031463D">
            <w:pPr>
              <w:widowControl/>
              <w:tabs>
                <w:tab w:val="center" w:pos="4680"/>
              </w:tabs>
              <w:suppressAutoHyphens/>
              <w:rPr>
                <w:spacing w:val="-2"/>
                <w:szCs w:val="22"/>
              </w:rPr>
            </w:pPr>
            <w:r>
              <w:rPr>
                <w:spacing w:val="-2"/>
                <w:szCs w:val="22"/>
              </w:rPr>
              <w:t>Accelerating Wireless Broadband Deployment by Removing Barriers to Infrastructure Investment</w:t>
            </w:r>
          </w:p>
          <w:p w14:paraId="11B17AF8" w14:textId="77777777" w:rsidR="00A672F7" w:rsidRDefault="00A672F7" w:rsidP="0031463D">
            <w:pPr>
              <w:widowControl/>
              <w:tabs>
                <w:tab w:val="center" w:pos="4680"/>
              </w:tabs>
              <w:suppressAutoHyphens/>
              <w:rPr>
                <w:spacing w:val="-2"/>
                <w:szCs w:val="22"/>
              </w:rPr>
            </w:pPr>
          </w:p>
          <w:p w14:paraId="4CA18693" w14:textId="73D4FF8E" w:rsidR="003942FB" w:rsidRDefault="003942FB" w:rsidP="003942FB">
            <w:pPr>
              <w:widowControl/>
              <w:tabs>
                <w:tab w:val="center" w:pos="4680"/>
              </w:tabs>
              <w:suppressAutoHyphens/>
              <w:rPr>
                <w:spacing w:val="-2"/>
                <w:szCs w:val="22"/>
              </w:rPr>
            </w:pPr>
            <w:r>
              <w:rPr>
                <w:spacing w:val="-2"/>
                <w:szCs w:val="22"/>
              </w:rPr>
              <w:t>Accelerating Wireline Broadband Deployment by Removing Barriers to Infrastructure Investment</w:t>
            </w:r>
          </w:p>
          <w:p w14:paraId="5665BF88" w14:textId="77777777" w:rsidR="004E50A6" w:rsidRPr="001D1D02" w:rsidRDefault="004E50A6" w:rsidP="0031463D">
            <w:pPr>
              <w:widowControl/>
              <w:tabs>
                <w:tab w:val="center" w:pos="4680"/>
              </w:tabs>
              <w:suppressAutoHyphens/>
              <w:rPr>
                <w:spacing w:val="-2"/>
                <w:szCs w:val="22"/>
              </w:rPr>
            </w:pPr>
          </w:p>
          <w:p w14:paraId="1871A0B8" w14:textId="77777777" w:rsidR="004E50A6" w:rsidRPr="001D1D02" w:rsidRDefault="004E50A6" w:rsidP="0031463D">
            <w:pPr>
              <w:widowControl/>
              <w:tabs>
                <w:tab w:val="center" w:pos="4680"/>
              </w:tabs>
              <w:suppressAutoHyphens/>
              <w:rPr>
                <w:spacing w:val="-2"/>
                <w:szCs w:val="22"/>
              </w:rPr>
            </w:pPr>
          </w:p>
        </w:tc>
        <w:tc>
          <w:tcPr>
            <w:tcW w:w="630" w:type="dxa"/>
          </w:tcPr>
          <w:p w14:paraId="5A2F844A"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6BF2F5BA"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62C9E185"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75DD9C61"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51C5391C"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162CDB63"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51E9343D" w14:textId="77777777" w:rsidR="00A672F7" w:rsidRPr="001D1D02" w:rsidRDefault="00A672F7" w:rsidP="0031463D">
            <w:pPr>
              <w:widowControl/>
              <w:tabs>
                <w:tab w:val="center" w:pos="4680"/>
              </w:tabs>
              <w:suppressAutoHyphens/>
              <w:rPr>
                <w:spacing w:val="-2"/>
                <w:szCs w:val="22"/>
              </w:rPr>
            </w:pPr>
            <w:r w:rsidRPr="001D1D02">
              <w:rPr>
                <w:spacing w:val="-2"/>
                <w:szCs w:val="22"/>
              </w:rPr>
              <w:t>)</w:t>
            </w:r>
          </w:p>
          <w:p w14:paraId="7E3EA007" w14:textId="45025886" w:rsidR="004E50A6" w:rsidRPr="001D1D02" w:rsidRDefault="00A672F7" w:rsidP="0031463D">
            <w:pPr>
              <w:widowControl/>
              <w:tabs>
                <w:tab w:val="center" w:pos="4680"/>
              </w:tabs>
              <w:suppressAutoHyphens/>
              <w:rPr>
                <w:spacing w:val="-2"/>
                <w:szCs w:val="22"/>
              </w:rPr>
            </w:pPr>
            <w:r w:rsidRPr="001D1D02">
              <w:rPr>
                <w:spacing w:val="-2"/>
                <w:szCs w:val="22"/>
              </w:rPr>
              <w:t>)</w:t>
            </w:r>
          </w:p>
        </w:tc>
        <w:tc>
          <w:tcPr>
            <w:tcW w:w="4248" w:type="dxa"/>
          </w:tcPr>
          <w:p w14:paraId="438E3909" w14:textId="77777777" w:rsidR="004E50A6" w:rsidRPr="001D1D02" w:rsidRDefault="004E50A6" w:rsidP="0031463D">
            <w:pPr>
              <w:widowControl/>
              <w:tabs>
                <w:tab w:val="center" w:pos="4680"/>
              </w:tabs>
              <w:suppressAutoHyphens/>
              <w:rPr>
                <w:spacing w:val="-2"/>
                <w:szCs w:val="22"/>
              </w:rPr>
            </w:pPr>
          </w:p>
          <w:p w14:paraId="422ED7ED" w14:textId="77777777" w:rsidR="004E50A6" w:rsidRPr="001D1D02" w:rsidRDefault="004E50A6" w:rsidP="0031463D">
            <w:pPr>
              <w:widowControl/>
              <w:rPr>
                <w:spacing w:val="-2"/>
                <w:szCs w:val="22"/>
              </w:rPr>
            </w:pPr>
          </w:p>
          <w:p w14:paraId="1A1E67C8" w14:textId="21237C3C" w:rsidR="00A672F7" w:rsidRPr="001D1D02" w:rsidRDefault="003942FB" w:rsidP="0031463D">
            <w:pPr>
              <w:widowControl/>
              <w:tabs>
                <w:tab w:val="center" w:pos="4680"/>
              </w:tabs>
              <w:suppressAutoHyphens/>
              <w:rPr>
                <w:spacing w:val="-2"/>
                <w:szCs w:val="22"/>
              </w:rPr>
            </w:pPr>
            <w:r>
              <w:rPr>
                <w:spacing w:val="-2"/>
                <w:szCs w:val="22"/>
              </w:rPr>
              <w:t>WT Docket No. 17-79</w:t>
            </w:r>
          </w:p>
          <w:p w14:paraId="1B801E7A" w14:textId="77777777" w:rsidR="004E50A6" w:rsidRPr="001D1D02" w:rsidRDefault="004E50A6" w:rsidP="0031463D">
            <w:pPr>
              <w:widowControl/>
              <w:tabs>
                <w:tab w:val="center" w:pos="4680"/>
              </w:tabs>
              <w:suppressAutoHyphens/>
              <w:rPr>
                <w:spacing w:val="-2"/>
                <w:szCs w:val="22"/>
              </w:rPr>
            </w:pPr>
          </w:p>
          <w:p w14:paraId="1D1DF85A" w14:textId="77777777" w:rsidR="004E50A6" w:rsidRPr="001D1D02" w:rsidRDefault="004E50A6" w:rsidP="0031463D">
            <w:pPr>
              <w:widowControl/>
              <w:tabs>
                <w:tab w:val="center" w:pos="4680"/>
              </w:tabs>
              <w:suppressAutoHyphens/>
              <w:rPr>
                <w:spacing w:val="-2"/>
                <w:szCs w:val="22"/>
              </w:rPr>
            </w:pPr>
          </w:p>
          <w:p w14:paraId="21CD59DB" w14:textId="70EDA121" w:rsidR="004E50A6" w:rsidRPr="001D1D02" w:rsidRDefault="003942FB" w:rsidP="0031463D">
            <w:pPr>
              <w:widowControl/>
              <w:tabs>
                <w:tab w:val="center" w:pos="4680"/>
              </w:tabs>
              <w:suppressAutoHyphens/>
              <w:rPr>
                <w:spacing w:val="-2"/>
                <w:szCs w:val="22"/>
              </w:rPr>
            </w:pPr>
            <w:r>
              <w:rPr>
                <w:spacing w:val="-2"/>
                <w:szCs w:val="22"/>
              </w:rPr>
              <w:t>WC Docket No. 17-84</w:t>
            </w:r>
          </w:p>
          <w:p w14:paraId="5DFCF322" w14:textId="77777777" w:rsidR="004E50A6" w:rsidRPr="001D1D02" w:rsidRDefault="004E50A6" w:rsidP="0031463D">
            <w:pPr>
              <w:widowControl/>
              <w:tabs>
                <w:tab w:val="center" w:pos="4680"/>
              </w:tabs>
              <w:suppressAutoHyphens/>
              <w:rPr>
                <w:spacing w:val="-2"/>
                <w:szCs w:val="22"/>
              </w:rPr>
            </w:pPr>
          </w:p>
          <w:p w14:paraId="4C08519E" w14:textId="77777777" w:rsidR="004E50A6" w:rsidRPr="001D1D02" w:rsidRDefault="004E50A6" w:rsidP="0031463D">
            <w:pPr>
              <w:widowControl/>
              <w:tabs>
                <w:tab w:val="center" w:pos="4680"/>
              </w:tabs>
              <w:suppressAutoHyphens/>
              <w:rPr>
                <w:spacing w:val="-2"/>
                <w:szCs w:val="22"/>
              </w:rPr>
            </w:pPr>
          </w:p>
        </w:tc>
      </w:tr>
    </w:tbl>
    <w:p w14:paraId="28BC79B4" w14:textId="77777777" w:rsidR="004E50A6" w:rsidRDefault="004E50A6" w:rsidP="0031463D">
      <w:pPr>
        <w:widowControl/>
        <w:rPr>
          <w:b/>
          <w:szCs w:val="22"/>
        </w:rPr>
      </w:pPr>
    </w:p>
    <w:p w14:paraId="6195C3BB" w14:textId="77777777" w:rsidR="004E50A6" w:rsidRDefault="004E50A6" w:rsidP="0031463D">
      <w:pPr>
        <w:pStyle w:val="StyleBoldCentered"/>
        <w:widowControl/>
      </w:pPr>
      <w:r w:rsidRPr="00FE2E8C">
        <w:t>Order</w:t>
      </w:r>
    </w:p>
    <w:p w14:paraId="4982D8DD" w14:textId="77777777" w:rsidR="004E50A6" w:rsidRPr="00FE2E8C" w:rsidRDefault="004E50A6" w:rsidP="0031463D">
      <w:pPr>
        <w:pStyle w:val="StyleBoldCentered"/>
        <w:widowControl/>
        <w:rPr>
          <w:spacing w:val="-2"/>
        </w:rPr>
      </w:pPr>
    </w:p>
    <w:p w14:paraId="3BC680C2" w14:textId="7D44B78B" w:rsidR="004E50A6" w:rsidRPr="00FE2E8C" w:rsidRDefault="004E50A6" w:rsidP="0031463D">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3942FB">
        <w:rPr>
          <w:b/>
          <w:spacing w:val="-2"/>
          <w:szCs w:val="22"/>
        </w:rPr>
        <w:t xml:space="preserve">July </w:t>
      </w:r>
      <w:r w:rsidR="006551E7">
        <w:rPr>
          <w:b/>
          <w:spacing w:val="-2"/>
          <w:szCs w:val="22"/>
        </w:rPr>
        <w:t xml:space="preserve">13, </w:t>
      </w:r>
      <w:r w:rsidR="00A672F7">
        <w:rPr>
          <w:b/>
          <w:spacing w:val="-2"/>
          <w:szCs w:val="22"/>
        </w:rPr>
        <w:t>2017</w:t>
      </w:r>
      <w:r w:rsidRPr="00FE2E8C">
        <w:rPr>
          <w:b/>
          <w:spacing w:val="-2"/>
          <w:szCs w:val="22"/>
        </w:rPr>
        <w:tab/>
      </w:r>
      <w:r>
        <w:rPr>
          <w:b/>
          <w:spacing w:val="-2"/>
          <w:szCs w:val="22"/>
        </w:rPr>
        <w:tab/>
      </w:r>
      <w:r w:rsidRPr="00FE2E8C">
        <w:rPr>
          <w:b/>
          <w:spacing w:val="-2"/>
          <w:szCs w:val="22"/>
        </w:rPr>
        <w:t xml:space="preserve">Released:  </w:t>
      </w:r>
      <w:r w:rsidR="003942FB">
        <w:rPr>
          <w:b/>
          <w:spacing w:val="-2"/>
          <w:szCs w:val="22"/>
        </w:rPr>
        <w:t xml:space="preserve">July </w:t>
      </w:r>
      <w:r w:rsidR="006551E7">
        <w:rPr>
          <w:b/>
          <w:spacing w:val="-2"/>
          <w:szCs w:val="22"/>
        </w:rPr>
        <w:t>13</w:t>
      </w:r>
      <w:r>
        <w:rPr>
          <w:b/>
          <w:spacing w:val="-2"/>
          <w:szCs w:val="22"/>
        </w:rPr>
        <w:t>, 201</w:t>
      </w:r>
      <w:r w:rsidR="00A672F7">
        <w:rPr>
          <w:b/>
          <w:spacing w:val="-2"/>
          <w:szCs w:val="22"/>
        </w:rPr>
        <w:t>7</w:t>
      </w:r>
    </w:p>
    <w:p w14:paraId="49467096" w14:textId="77777777" w:rsidR="004E50A6" w:rsidRDefault="004E50A6" w:rsidP="0031463D">
      <w:pPr>
        <w:widowControl/>
        <w:rPr>
          <w:szCs w:val="22"/>
        </w:rPr>
      </w:pPr>
    </w:p>
    <w:p w14:paraId="2E5A09BA" w14:textId="235C0C04" w:rsidR="004E50A6" w:rsidRPr="00FE2E8C" w:rsidRDefault="004E50A6" w:rsidP="00302BAD">
      <w:pPr>
        <w:widowControl/>
        <w:ind w:left="720" w:hanging="720"/>
        <w:rPr>
          <w:spacing w:val="-2"/>
          <w:szCs w:val="22"/>
        </w:rPr>
      </w:pPr>
      <w:r w:rsidRPr="00FE2E8C">
        <w:rPr>
          <w:szCs w:val="22"/>
        </w:rPr>
        <w:t>By the</w:t>
      </w:r>
      <w:r w:rsidRPr="00FE2E8C">
        <w:rPr>
          <w:spacing w:val="-2"/>
          <w:szCs w:val="22"/>
        </w:rPr>
        <w:t xml:space="preserve"> </w:t>
      </w:r>
      <w:r w:rsidR="00A672F7">
        <w:rPr>
          <w:spacing w:val="-2"/>
          <w:szCs w:val="22"/>
        </w:rPr>
        <w:t xml:space="preserve">Chief, </w:t>
      </w:r>
      <w:r w:rsidR="000D14CC">
        <w:rPr>
          <w:spacing w:val="-2"/>
          <w:szCs w:val="22"/>
        </w:rPr>
        <w:t xml:space="preserve">Competition and Infrastructure Policy Division, </w:t>
      </w:r>
      <w:r w:rsidR="00A672F7">
        <w:rPr>
          <w:spacing w:val="-2"/>
          <w:szCs w:val="22"/>
        </w:rPr>
        <w:t>Wireless Telecommunications</w:t>
      </w:r>
      <w:r>
        <w:rPr>
          <w:spacing w:val="-2"/>
          <w:szCs w:val="22"/>
        </w:rPr>
        <w:t xml:space="preserve"> Bureau</w:t>
      </w:r>
      <w:r w:rsidR="003942FB">
        <w:rPr>
          <w:spacing w:val="-2"/>
          <w:szCs w:val="22"/>
        </w:rPr>
        <w:t>, and the Chief, Competition Policy Division, Wireline Competition Bureau</w:t>
      </w:r>
      <w:r>
        <w:rPr>
          <w:spacing w:val="-2"/>
          <w:szCs w:val="22"/>
        </w:rPr>
        <w:t>:</w:t>
      </w:r>
    </w:p>
    <w:p w14:paraId="4F33F93D" w14:textId="77777777" w:rsidR="004E50A6" w:rsidRDefault="004E50A6" w:rsidP="0031463D">
      <w:pPr>
        <w:widowControl/>
        <w:rPr>
          <w:b/>
          <w:spacing w:val="-2"/>
          <w:szCs w:val="22"/>
        </w:rPr>
      </w:pPr>
    </w:p>
    <w:p w14:paraId="17ED7CBE" w14:textId="2C64FAF1" w:rsidR="004E50A6" w:rsidRPr="000A088E" w:rsidRDefault="00F76439" w:rsidP="0031463D">
      <w:pPr>
        <w:pStyle w:val="ParaNum"/>
        <w:widowControl/>
      </w:pPr>
      <w:bookmarkStart w:id="1" w:name="_Toc361330014"/>
      <w:r>
        <w:rPr>
          <w:snapToGrid/>
        </w:rPr>
        <w:t xml:space="preserve">On </w:t>
      </w:r>
      <w:r w:rsidR="003942FB">
        <w:rPr>
          <w:snapToGrid/>
        </w:rPr>
        <w:t>July 7</w:t>
      </w:r>
      <w:r>
        <w:rPr>
          <w:snapToGrid/>
        </w:rPr>
        <w:t xml:space="preserve">, 2017, the </w:t>
      </w:r>
      <w:r w:rsidR="00A672F7">
        <w:rPr>
          <w:snapToGrid/>
        </w:rPr>
        <w:t xml:space="preserve">National </w:t>
      </w:r>
      <w:r w:rsidR="003942FB">
        <w:rPr>
          <w:snapToGrid/>
        </w:rPr>
        <w:t xml:space="preserve">League of Cities, United States Conference of Mayors, Government Finance Officers Association, International Municipal Lawyers Association, National Association of Counties, National Association of Towns and Townships, National Association of Regional Councils, and National </w:t>
      </w:r>
      <w:r w:rsidR="00A672F7">
        <w:rPr>
          <w:snapToGrid/>
        </w:rPr>
        <w:t>Association of Telecommunications Officers and Advisors</w:t>
      </w:r>
      <w:r w:rsidR="003942FB">
        <w:rPr>
          <w:snapToGrid/>
        </w:rPr>
        <w:t xml:space="preserve"> </w:t>
      </w:r>
      <w:r w:rsidR="004E50A6">
        <w:rPr>
          <w:snapToGrid/>
        </w:rPr>
        <w:t>(Petitioners)</w:t>
      </w:r>
      <w:r w:rsidR="000C6DBB" w:rsidRPr="000C6DBB">
        <w:rPr>
          <w:snapToGrid/>
        </w:rPr>
        <w:t xml:space="preserve"> </w:t>
      </w:r>
      <w:r>
        <w:rPr>
          <w:snapToGrid/>
        </w:rPr>
        <w:t xml:space="preserve">filed a </w:t>
      </w:r>
      <w:r w:rsidR="003942FB">
        <w:rPr>
          <w:snapToGrid/>
        </w:rPr>
        <w:t xml:space="preserve">Request </w:t>
      </w:r>
      <w:r>
        <w:rPr>
          <w:snapToGrid/>
        </w:rPr>
        <w:t>for Extension of Time to File Reply Comments (Motion)</w:t>
      </w:r>
      <w:r w:rsidR="00E360C7">
        <w:rPr>
          <w:snapToGrid/>
        </w:rPr>
        <w:t xml:space="preserve"> in </w:t>
      </w:r>
      <w:r w:rsidR="003942FB">
        <w:rPr>
          <w:snapToGrid/>
        </w:rPr>
        <w:t xml:space="preserve">both of </w:t>
      </w:r>
      <w:r w:rsidR="00E360C7">
        <w:rPr>
          <w:snapToGrid/>
        </w:rPr>
        <w:t xml:space="preserve">the captioned </w:t>
      </w:r>
      <w:r w:rsidR="003942FB">
        <w:rPr>
          <w:snapToGrid/>
        </w:rPr>
        <w:t>proceedings</w:t>
      </w:r>
      <w:r>
        <w:rPr>
          <w:snapToGrid/>
        </w:rPr>
        <w:t>.</w:t>
      </w:r>
      <w:r w:rsidR="00E360C7">
        <w:rPr>
          <w:rStyle w:val="FootnoteReference"/>
          <w:snapToGrid/>
        </w:rPr>
        <w:footnoteReference w:id="2"/>
      </w:r>
      <w:r>
        <w:rPr>
          <w:snapToGrid/>
        </w:rPr>
        <w:t xml:space="preserve">  Petitioners </w:t>
      </w:r>
      <w:r w:rsidR="00E360C7">
        <w:rPr>
          <w:snapToGrid/>
        </w:rPr>
        <w:t xml:space="preserve">ask us </w:t>
      </w:r>
      <w:r>
        <w:rPr>
          <w:snapToGrid/>
        </w:rPr>
        <w:t>to extend the deadline</w:t>
      </w:r>
      <w:r w:rsidR="003942FB">
        <w:rPr>
          <w:snapToGrid/>
        </w:rPr>
        <w:t>s</w:t>
      </w:r>
      <w:r>
        <w:rPr>
          <w:snapToGrid/>
        </w:rPr>
        <w:t xml:space="preserve"> for reply comments in </w:t>
      </w:r>
      <w:r w:rsidR="003942FB">
        <w:rPr>
          <w:snapToGrid/>
        </w:rPr>
        <w:t xml:space="preserve">each of </w:t>
      </w:r>
      <w:r>
        <w:rPr>
          <w:snapToGrid/>
        </w:rPr>
        <w:t>th</w:t>
      </w:r>
      <w:r w:rsidR="003942FB">
        <w:rPr>
          <w:snapToGrid/>
        </w:rPr>
        <w:t>e</w:t>
      </w:r>
      <w:r>
        <w:rPr>
          <w:snapToGrid/>
        </w:rPr>
        <w:t>s</w:t>
      </w:r>
      <w:r w:rsidR="003942FB">
        <w:rPr>
          <w:snapToGrid/>
        </w:rPr>
        <w:t>e</w:t>
      </w:r>
      <w:r>
        <w:rPr>
          <w:snapToGrid/>
        </w:rPr>
        <w:t xml:space="preserve"> proceeding</w:t>
      </w:r>
      <w:r w:rsidR="003942FB">
        <w:rPr>
          <w:snapToGrid/>
        </w:rPr>
        <w:t>s</w:t>
      </w:r>
      <w:r>
        <w:rPr>
          <w:snapToGrid/>
        </w:rPr>
        <w:t xml:space="preserve"> from </w:t>
      </w:r>
      <w:r w:rsidR="00CD000D">
        <w:rPr>
          <w:snapToGrid/>
        </w:rPr>
        <w:t>July 1</w:t>
      </w:r>
      <w:r w:rsidR="00993A32">
        <w:rPr>
          <w:snapToGrid/>
        </w:rPr>
        <w:t>7</w:t>
      </w:r>
      <w:r>
        <w:rPr>
          <w:snapToGrid/>
        </w:rPr>
        <w:t xml:space="preserve">, 2017 to </w:t>
      </w:r>
      <w:r w:rsidR="00CD000D">
        <w:rPr>
          <w:snapToGrid/>
        </w:rPr>
        <w:t>August 1</w:t>
      </w:r>
      <w:r>
        <w:rPr>
          <w:snapToGrid/>
        </w:rPr>
        <w:t xml:space="preserve">5, 2017.  For the reasons set forth below, we deny the Motion. </w:t>
      </w:r>
    </w:p>
    <w:p w14:paraId="2F53C2D3" w14:textId="3710DF6D" w:rsidR="00C667C5" w:rsidRDefault="00E77629" w:rsidP="00CD000D">
      <w:pPr>
        <w:pStyle w:val="ParaNum"/>
      </w:pPr>
      <w:r>
        <w:t xml:space="preserve">Under Section </w:t>
      </w:r>
      <w:r w:rsidRPr="00E77629">
        <w:t xml:space="preserve">1.46 </w:t>
      </w:r>
      <w:r>
        <w:t xml:space="preserve">of the Commission’s rules, it </w:t>
      </w:r>
      <w:r w:rsidRPr="00E77629">
        <w:t>is the policy of the Commission that extensions of time shall not be routinely granted</w:t>
      </w:r>
      <w:r>
        <w:t>.</w:t>
      </w:r>
      <w:r>
        <w:rPr>
          <w:rStyle w:val="FootnoteReference"/>
        </w:rPr>
        <w:footnoteReference w:id="3"/>
      </w:r>
      <w:r>
        <w:t xml:space="preserve">  </w:t>
      </w:r>
      <w:r w:rsidR="007F43BB">
        <w:t xml:space="preserve">Petitioners </w:t>
      </w:r>
      <w:r w:rsidR="005B3332">
        <w:t>contend</w:t>
      </w:r>
      <w:r w:rsidR="005024E9">
        <w:t xml:space="preserve"> that an extension is warranted due </w:t>
      </w:r>
      <w:r w:rsidR="002973BC">
        <w:t xml:space="preserve">to: </w:t>
      </w:r>
      <w:r w:rsidR="007F43BB">
        <w:t>“</w:t>
      </w:r>
      <w:r w:rsidR="00CD000D">
        <w:t>(1) t</w:t>
      </w:r>
      <w:r w:rsidR="00CD000D" w:rsidRPr="00CD000D">
        <w:t>he number of and complexity of comments filed to date in both proceedings</w:t>
      </w:r>
      <w:r w:rsidR="00CD000D">
        <w:t>; (2) t</w:t>
      </w:r>
      <w:r w:rsidR="00CD000D" w:rsidRPr="00CD000D">
        <w:t xml:space="preserve">he number of existing rules that are proposed for revision; </w:t>
      </w:r>
      <w:r w:rsidR="00CD000D">
        <w:t>(</w:t>
      </w:r>
      <w:r w:rsidR="00CD000D" w:rsidRPr="00CD000D">
        <w:t>3</w:t>
      </w:r>
      <w:r w:rsidR="00CD000D">
        <w:t>)</w:t>
      </w:r>
      <w:r w:rsidR="00CD000D" w:rsidRPr="00CD000D">
        <w:t xml:space="preserve"> </w:t>
      </w:r>
      <w:r w:rsidR="00CD000D">
        <w:t>t</w:t>
      </w:r>
      <w:r w:rsidR="00CD000D" w:rsidRPr="00CD000D">
        <w:t xml:space="preserve">he number of communities that are maligned directly or by inference and the need to alert them to provide the Commission with a complete factual record of any alleged bad acts; </w:t>
      </w:r>
      <w:r w:rsidR="00CD000D">
        <w:t>(</w:t>
      </w:r>
      <w:r w:rsidR="00CD000D" w:rsidRPr="00CD000D">
        <w:t>4</w:t>
      </w:r>
      <w:r w:rsidR="00CD000D">
        <w:t>)</w:t>
      </w:r>
      <w:r w:rsidR="00CD000D" w:rsidRPr="00CD000D">
        <w:t xml:space="preserve"> </w:t>
      </w:r>
      <w:r w:rsidR="00CD000D">
        <w:t>i</w:t>
      </w:r>
      <w:r w:rsidR="00CD000D" w:rsidRPr="00CD000D">
        <w:t xml:space="preserve">ntervening state laws that have been adopted on small wireless facilities siting in the public rights-of-way and requests to preempt these laws; and </w:t>
      </w:r>
      <w:r w:rsidR="00CD000D">
        <w:t>(5) t</w:t>
      </w:r>
      <w:r w:rsidR="00CD000D" w:rsidRPr="00CD000D">
        <w:t>he number of conflicts that fall within the current reply comment period.</w:t>
      </w:r>
      <w:r w:rsidR="007F43BB">
        <w:t>”</w:t>
      </w:r>
      <w:r w:rsidR="007F43BB">
        <w:rPr>
          <w:rStyle w:val="FootnoteReference"/>
        </w:rPr>
        <w:footnoteReference w:id="4"/>
      </w:r>
      <w:r w:rsidR="007F43BB">
        <w:t xml:space="preserve">  </w:t>
      </w:r>
      <w:r w:rsidR="00CD000D">
        <w:t xml:space="preserve">We find that none of these factors justifies the requested delay in the comment cycles in these proceedings.  </w:t>
      </w:r>
    </w:p>
    <w:p w14:paraId="17DC78B1" w14:textId="6F2433BD" w:rsidR="00C667C5" w:rsidRDefault="002C7412" w:rsidP="00CD000D">
      <w:pPr>
        <w:pStyle w:val="ParaNum"/>
      </w:pPr>
      <w:r>
        <w:t>First, t</w:t>
      </w:r>
      <w:r w:rsidR="00CD000D">
        <w:t>he number of initial comments</w:t>
      </w:r>
      <w:r>
        <w:t>,</w:t>
      </w:r>
      <w:r w:rsidR="00CD000D">
        <w:t xml:space="preserve"> </w:t>
      </w:r>
      <w:r>
        <w:t xml:space="preserve">the complexity of the issues they address, </w:t>
      </w:r>
      <w:r w:rsidR="005B3E2F">
        <w:t xml:space="preserve">and </w:t>
      </w:r>
      <w:r>
        <w:t xml:space="preserve">the range of proposed </w:t>
      </w:r>
      <w:r w:rsidR="001F21A8">
        <w:t xml:space="preserve">rule changes </w:t>
      </w:r>
      <w:r w:rsidR="00CD000D">
        <w:t>do not justify the requested extension</w:t>
      </w:r>
      <w:r>
        <w:t>.</w:t>
      </w:r>
      <w:r w:rsidR="00CD000D">
        <w:t xml:space="preserve">  </w:t>
      </w:r>
      <w:r>
        <w:t>M</w:t>
      </w:r>
      <w:r w:rsidR="00CD000D">
        <w:t xml:space="preserve">any of the Commission’s </w:t>
      </w:r>
      <w:r>
        <w:t xml:space="preserve">major </w:t>
      </w:r>
      <w:r w:rsidR="00CD000D">
        <w:t xml:space="preserve">rulemaking notices </w:t>
      </w:r>
      <w:r>
        <w:t xml:space="preserve">raise complex issues involving a broad array of rules and </w:t>
      </w:r>
      <w:r w:rsidR="00CD000D">
        <w:t xml:space="preserve">attract </w:t>
      </w:r>
      <w:r w:rsidR="00BE3FCA">
        <w:t>large</w:t>
      </w:r>
      <w:r w:rsidR="00CD000D">
        <w:t xml:space="preserve"> numbers of initial comments</w:t>
      </w:r>
      <w:r w:rsidR="00C667C5">
        <w:t xml:space="preserve">.  To </w:t>
      </w:r>
      <w:r>
        <w:t xml:space="preserve">grant extensions on those </w:t>
      </w:r>
      <w:r w:rsidR="00C667C5">
        <w:t xml:space="preserve">grounds, in the absence of other significant factors, </w:t>
      </w:r>
      <w:r>
        <w:t xml:space="preserve">would </w:t>
      </w:r>
      <w:r w:rsidR="00C667C5">
        <w:t>thwart the objective</w:t>
      </w:r>
      <w:r w:rsidR="005B3332">
        <w:t>s</w:t>
      </w:r>
      <w:r w:rsidR="00C667C5">
        <w:t xml:space="preserve"> that </w:t>
      </w:r>
      <w:r>
        <w:t xml:space="preserve">Section 1.46 of </w:t>
      </w:r>
      <w:r w:rsidR="00C667C5">
        <w:t xml:space="preserve">the </w:t>
      </w:r>
      <w:r>
        <w:t>rules is designed to advance:  safeguard</w:t>
      </w:r>
      <w:r w:rsidR="00C667C5">
        <w:t>ing</w:t>
      </w:r>
      <w:r>
        <w:t xml:space="preserve"> the </w:t>
      </w:r>
      <w:r w:rsidR="00C667C5">
        <w:t>orderly conduct of agency procedures and facilitating the</w:t>
      </w:r>
      <w:r>
        <w:t xml:space="preserve"> prompt resolution of disputed proceedings.  </w:t>
      </w:r>
      <w:r w:rsidR="00BE3FCA">
        <w:t>Similarly,</w:t>
      </w:r>
      <w:r w:rsidR="005B3E2F">
        <w:t xml:space="preserve"> conferences of interested organizations occur year-round, and granting extensions </w:t>
      </w:r>
      <w:r w:rsidR="002D4F40">
        <w:t xml:space="preserve">based on </w:t>
      </w:r>
      <w:r w:rsidR="00F960DC">
        <w:t xml:space="preserve">scheduling </w:t>
      </w:r>
      <w:r w:rsidR="002D4F40">
        <w:lastRenderedPageBreak/>
        <w:t xml:space="preserve">conflicts with such conferences </w:t>
      </w:r>
      <w:r w:rsidR="005B3E2F">
        <w:t xml:space="preserve">would make it impossible to maintain comment cycles in rulemaking proceedings </w:t>
      </w:r>
      <w:r w:rsidR="00BE3FCA">
        <w:t>that</w:t>
      </w:r>
      <w:r w:rsidR="005B3E2F">
        <w:t xml:space="preserve"> implicate the interests of a wide range of parties and associations.  </w:t>
      </w:r>
      <w:r w:rsidR="003B4F72">
        <w:t xml:space="preserve">The adoption of </w:t>
      </w:r>
      <w:r w:rsidR="005B3E2F">
        <w:t>state laws during the comment period</w:t>
      </w:r>
      <w:r w:rsidR="003B4F72">
        <w:t xml:space="preserve"> </w:t>
      </w:r>
      <w:r w:rsidR="002D4F40">
        <w:t xml:space="preserve">likewise </w:t>
      </w:r>
      <w:r w:rsidR="003B4F72">
        <w:t>does not justify a delay in the pleading cycle</w:t>
      </w:r>
      <w:r w:rsidR="005B3332">
        <w:t>.</w:t>
      </w:r>
      <w:r w:rsidR="003B4F72">
        <w:t xml:space="preserve">  </w:t>
      </w:r>
      <w:r w:rsidR="005B3332">
        <w:t xml:space="preserve">Petitioners cite </w:t>
      </w:r>
      <w:r w:rsidR="00BE3FCA">
        <w:t>no new statutes</w:t>
      </w:r>
      <w:r w:rsidR="00E865DE">
        <w:t xml:space="preserve"> enacted </w:t>
      </w:r>
      <w:r w:rsidR="005B3332">
        <w:t>since the initial comment filing date in these proceedings</w:t>
      </w:r>
      <w:r w:rsidR="00BE3FCA">
        <w:t>, and we see no reason why earlier-enacted statutes cannot be addressed within the existing reply comment period</w:t>
      </w:r>
      <w:r w:rsidR="005B3332">
        <w:t>.</w:t>
      </w:r>
      <w:r w:rsidR="00097CE1">
        <w:t xml:space="preserve">  </w:t>
      </w:r>
    </w:p>
    <w:p w14:paraId="75FF1836" w14:textId="5AE1C9D4" w:rsidR="00935E16" w:rsidRDefault="00935E16" w:rsidP="00CD000D">
      <w:pPr>
        <w:pStyle w:val="ParaNum"/>
      </w:pPr>
      <w:r>
        <w:t xml:space="preserve">Finally, we </w:t>
      </w:r>
      <w:r w:rsidR="00142538">
        <w:t xml:space="preserve">disagree with Petitioners’ contention </w:t>
      </w:r>
      <w:r>
        <w:t>that an extension is needed to al</w:t>
      </w:r>
      <w:r w:rsidR="003B46D0">
        <w:t xml:space="preserve">ert </w:t>
      </w:r>
      <w:r>
        <w:t xml:space="preserve">local governments </w:t>
      </w:r>
      <w:r w:rsidR="003B46D0">
        <w:t xml:space="preserve">that their </w:t>
      </w:r>
      <w:r>
        <w:t xml:space="preserve">practices were “maligned” in other parties’ initial comments </w:t>
      </w:r>
      <w:r w:rsidR="003B46D0">
        <w:t xml:space="preserve">and to allow them sufficient time </w:t>
      </w:r>
      <w:r>
        <w:t>to “review the allegations against them and provide the Commission with the full story on why any delays in the siting process may have occurred, including industry failures, as well as explaining how current siting and application practices promote deployment.”</w:t>
      </w:r>
      <w:r>
        <w:rPr>
          <w:rStyle w:val="FootnoteReference"/>
        </w:rPr>
        <w:footnoteReference w:id="5"/>
      </w:r>
      <w:r>
        <w:t xml:space="preserve">  </w:t>
      </w:r>
      <w:r w:rsidR="00F960DC">
        <w:t xml:space="preserve">Although </w:t>
      </w:r>
      <w:r w:rsidR="00BE3FCA">
        <w:t>local governments’ explanations regarding their practices are an important part of the record, we are not persuaded that they need more time to learn of and respond to such claims than to any other comments</w:t>
      </w:r>
      <w:r w:rsidR="002437B6">
        <w:t>.</w:t>
      </w:r>
      <w:r w:rsidR="00BE3FCA">
        <w:rPr>
          <w:rStyle w:val="FootnoteReference"/>
        </w:rPr>
        <w:footnoteReference w:id="6"/>
      </w:r>
      <w:r w:rsidR="002437B6">
        <w:t xml:space="preserve">  </w:t>
      </w:r>
      <w:r w:rsidR="00097CE1">
        <w:t>If additional information regarding such matters</w:t>
      </w:r>
      <w:r w:rsidR="00BE3FCA">
        <w:t xml:space="preserve"> comes to light</w:t>
      </w:r>
      <w:r w:rsidR="00097CE1">
        <w:t xml:space="preserve"> after the reply comments are due, </w:t>
      </w:r>
      <w:r w:rsidR="00BE3FCA">
        <w:t>parties</w:t>
      </w:r>
      <w:r w:rsidR="00097CE1">
        <w:t xml:space="preserve"> may provide </w:t>
      </w:r>
      <w:r w:rsidR="00BE3FCA">
        <w:t>it</w:t>
      </w:r>
      <w:r w:rsidR="00097CE1">
        <w:t xml:space="preserve"> through </w:t>
      </w:r>
      <w:r w:rsidR="00097CE1" w:rsidRPr="00B72CFD">
        <w:rPr>
          <w:i/>
        </w:rPr>
        <w:t>ex parte</w:t>
      </w:r>
      <w:r w:rsidR="00097CE1">
        <w:t xml:space="preserve"> filings in the relevant docket.</w:t>
      </w:r>
      <w:r w:rsidR="0069576E">
        <w:rPr>
          <w:rStyle w:val="FootnoteReference"/>
        </w:rPr>
        <w:footnoteReference w:id="7"/>
      </w:r>
    </w:p>
    <w:bookmarkEnd w:id="1"/>
    <w:p w14:paraId="2EFCD754" w14:textId="1D1ED436" w:rsidR="004E50A6" w:rsidRDefault="004E50A6" w:rsidP="0031463D">
      <w:pPr>
        <w:pStyle w:val="ParaNum"/>
        <w:widowControl/>
      </w:pPr>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rsidR="00126C57">
        <w:t xml:space="preserve">0.91, 0.131, 0.291, </w:t>
      </w:r>
      <w:r>
        <w:t>0.</w:t>
      </w:r>
      <w:r w:rsidR="002F3997">
        <w:t>33</w:t>
      </w:r>
      <w:r>
        <w:t>1, 1.46, and 1.415</w:t>
      </w:r>
      <w:r w:rsidRPr="004769E4">
        <w:t xml:space="preserve"> of the Commission’s rules, 47 CFR §§ </w:t>
      </w:r>
      <w:r w:rsidR="00F960DC">
        <w:t>0</w:t>
      </w:r>
      <w:r w:rsidR="00126C57">
        <w:t xml:space="preserve">.91, </w:t>
      </w:r>
      <w:r>
        <w:t>0.</w:t>
      </w:r>
      <w:r w:rsidR="002F3997">
        <w:t>13</w:t>
      </w:r>
      <w:r>
        <w:t xml:space="preserve">1, </w:t>
      </w:r>
      <w:r w:rsidR="00126C57">
        <w:t xml:space="preserve">0.291, </w:t>
      </w:r>
      <w:r>
        <w:t>0.</w:t>
      </w:r>
      <w:r w:rsidR="002F3997">
        <w:t>33</w:t>
      </w:r>
      <w:r>
        <w:t>1, 1.46</w:t>
      </w:r>
      <w:r w:rsidRPr="004769E4">
        <w:t>,</w:t>
      </w:r>
      <w:r w:rsidR="00C22681">
        <w:t xml:space="preserve"> and 1.415, that</w:t>
      </w:r>
      <w:r w:rsidR="00C22681">
        <w:rPr>
          <w:snapToGrid/>
        </w:rPr>
        <w:t xml:space="preserve"> the</w:t>
      </w:r>
      <w:r w:rsidR="003F77DB">
        <w:rPr>
          <w:snapToGrid/>
        </w:rPr>
        <w:t xml:space="preserve"> </w:t>
      </w:r>
      <w:r w:rsidR="00126C57">
        <w:rPr>
          <w:snapToGrid/>
        </w:rPr>
        <w:t xml:space="preserve">Request for Extension of Time to File Reply Comments filed by the National League of Cities, United States Conference of Mayors, Government Finance Officers Association, International Municipal Lawyers Association, National Association of Counties, National Association of Towns and Townships, National Association of Regional Councils, and National Association of Telecommunications Officers and Advisors </w:t>
      </w:r>
      <w:r w:rsidR="00BA3A86">
        <w:t xml:space="preserve">on </w:t>
      </w:r>
      <w:r w:rsidR="00126C57">
        <w:t>July 7</w:t>
      </w:r>
      <w:r w:rsidR="00BC18B3">
        <w:t xml:space="preserve">, </w:t>
      </w:r>
      <w:r w:rsidR="00BA3A86">
        <w:t>2017</w:t>
      </w:r>
      <w:r>
        <w:t xml:space="preserve">, IS </w:t>
      </w:r>
      <w:r w:rsidR="00BC18B3">
        <w:t>DENIED.</w:t>
      </w:r>
    </w:p>
    <w:p w14:paraId="34DD6C69" w14:textId="77777777" w:rsidR="004E50A6" w:rsidRDefault="004E50A6" w:rsidP="0031463D">
      <w:pPr>
        <w:pStyle w:val="ParaNum"/>
        <w:widowControl/>
        <w:numPr>
          <w:ilvl w:val="0"/>
          <w:numId w:val="0"/>
        </w:numPr>
      </w:pPr>
    </w:p>
    <w:p w14:paraId="2D94C925" w14:textId="77777777" w:rsidR="004E50A6" w:rsidRDefault="004E50A6" w:rsidP="0031463D">
      <w:pPr>
        <w:pStyle w:val="ParaNum"/>
        <w:widowControl/>
        <w:numPr>
          <w:ilvl w:val="0"/>
          <w:numId w:val="0"/>
        </w:numPr>
        <w:spacing w:after="0"/>
        <w:ind w:left="3600"/>
      </w:pPr>
      <w:r>
        <w:t>FEDERAL COMMUNICATIONS COMMISSION</w:t>
      </w:r>
    </w:p>
    <w:p w14:paraId="3FF5517B" w14:textId="77777777" w:rsidR="004E50A6" w:rsidRDefault="004E50A6" w:rsidP="0031463D">
      <w:pPr>
        <w:pStyle w:val="ParaNum"/>
        <w:widowControl/>
        <w:numPr>
          <w:ilvl w:val="0"/>
          <w:numId w:val="0"/>
        </w:numPr>
        <w:spacing w:after="0"/>
        <w:ind w:left="3600"/>
      </w:pPr>
    </w:p>
    <w:p w14:paraId="4143A8A3" w14:textId="77777777" w:rsidR="004E50A6" w:rsidRDefault="004E50A6" w:rsidP="0031463D">
      <w:pPr>
        <w:pStyle w:val="ParaNum"/>
        <w:widowControl/>
        <w:numPr>
          <w:ilvl w:val="0"/>
          <w:numId w:val="0"/>
        </w:numPr>
        <w:spacing w:after="0"/>
        <w:ind w:left="3600"/>
      </w:pPr>
    </w:p>
    <w:p w14:paraId="5BA93D98" w14:textId="77777777" w:rsidR="004E50A6" w:rsidRDefault="004E50A6" w:rsidP="0031463D">
      <w:pPr>
        <w:pStyle w:val="ParaNum"/>
        <w:widowControl/>
        <w:numPr>
          <w:ilvl w:val="0"/>
          <w:numId w:val="0"/>
        </w:numPr>
        <w:spacing w:after="0"/>
        <w:ind w:left="3600"/>
      </w:pPr>
    </w:p>
    <w:p w14:paraId="06ACDBE5" w14:textId="77777777" w:rsidR="004E50A6" w:rsidRDefault="004E50A6" w:rsidP="0031463D">
      <w:pPr>
        <w:pStyle w:val="ParaNum"/>
        <w:widowControl/>
        <w:numPr>
          <w:ilvl w:val="0"/>
          <w:numId w:val="0"/>
        </w:numPr>
        <w:spacing w:after="0"/>
        <w:ind w:left="3600"/>
      </w:pPr>
    </w:p>
    <w:p w14:paraId="307C9458" w14:textId="6D8FBF15" w:rsidR="004E50A6" w:rsidRPr="005E3FE4" w:rsidRDefault="00BB789B" w:rsidP="0031463D">
      <w:pPr>
        <w:widowControl/>
        <w:spacing w:before="40"/>
        <w:ind w:left="2880" w:firstLine="720"/>
        <w:rPr>
          <w:b/>
          <w:szCs w:val="22"/>
        </w:rPr>
      </w:pPr>
      <w:r>
        <w:rPr>
          <w:szCs w:val="22"/>
        </w:rPr>
        <w:t>Garnet Hanly</w:t>
      </w:r>
    </w:p>
    <w:p w14:paraId="3653B7A1" w14:textId="005F6A70" w:rsidR="004E50A6" w:rsidRDefault="004E50A6" w:rsidP="0031463D">
      <w:pPr>
        <w:pStyle w:val="ParaNum"/>
        <w:widowControl/>
        <w:numPr>
          <w:ilvl w:val="0"/>
          <w:numId w:val="0"/>
        </w:numPr>
        <w:spacing w:after="0"/>
        <w:ind w:left="3600"/>
      </w:pPr>
      <w:r>
        <w:t xml:space="preserve">Chief </w:t>
      </w:r>
    </w:p>
    <w:p w14:paraId="0B9621B2" w14:textId="3F169E09" w:rsidR="00BB789B" w:rsidRDefault="00BB789B" w:rsidP="0031463D">
      <w:pPr>
        <w:pStyle w:val="ParaNum"/>
        <w:widowControl/>
        <w:numPr>
          <w:ilvl w:val="0"/>
          <w:numId w:val="0"/>
        </w:numPr>
        <w:spacing w:after="0"/>
        <w:ind w:left="3600"/>
      </w:pPr>
      <w:r>
        <w:t>Competition and Infrastructure Policy Division</w:t>
      </w:r>
    </w:p>
    <w:p w14:paraId="44B87627" w14:textId="42282345" w:rsidR="004C2EE3" w:rsidRDefault="00C22681" w:rsidP="0031463D">
      <w:pPr>
        <w:widowControl/>
        <w:ind w:left="2880" w:firstLine="720"/>
      </w:pPr>
      <w:r>
        <w:t>Wireless Telecommunications</w:t>
      </w:r>
      <w:r w:rsidR="004E50A6">
        <w:t xml:space="preserve"> Bureau</w:t>
      </w:r>
    </w:p>
    <w:p w14:paraId="18DDF83E" w14:textId="2ABB6553" w:rsidR="00616F33" w:rsidRDefault="00616F33" w:rsidP="0031463D">
      <w:pPr>
        <w:widowControl/>
        <w:ind w:left="2880" w:firstLine="720"/>
      </w:pPr>
    </w:p>
    <w:p w14:paraId="722ADD18" w14:textId="08B664DB" w:rsidR="00616F33" w:rsidRDefault="00616F33" w:rsidP="0031463D">
      <w:pPr>
        <w:widowControl/>
        <w:ind w:left="2880" w:firstLine="720"/>
      </w:pPr>
    </w:p>
    <w:p w14:paraId="5847EC37" w14:textId="12F6843F" w:rsidR="00616F33" w:rsidRDefault="00616F33" w:rsidP="0031463D">
      <w:pPr>
        <w:widowControl/>
        <w:ind w:left="2880" w:firstLine="720"/>
      </w:pPr>
    </w:p>
    <w:p w14:paraId="163C1658" w14:textId="30D37367" w:rsidR="00616F33" w:rsidRDefault="00616F33" w:rsidP="0031463D">
      <w:pPr>
        <w:widowControl/>
        <w:ind w:left="2880" w:firstLine="720"/>
      </w:pPr>
    </w:p>
    <w:p w14:paraId="3AFEF38F" w14:textId="14F61F51" w:rsidR="00616F33" w:rsidRDefault="00616F33" w:rsidP="0031463D">
      <w:pPr>
        <w:widowControl/>
        <w:ind w:left="2880" w:firstLine="720"/>
      </w:pPr>
      <w:r>
        <w:t xml:space="preserve">Daniel Kahn </w:t>
      </w:r>
    </w:p>
    <w:p w14:paraId="726986B4" w14:textId="0D0D1CFE" w:rsidR="00616F33" w:rsidRDefault="00616F33" w:rsidP="0031463D">
      <w:pPr>
        <w:widowControl/>
        <w:ind w:left="2880" w:firstLine="720"/>
      </w:pPr>
      <w:r>
        <w:t>Chief</w:t>
      </w:r>
    </w:p>
    <w:p w14:paraId="4B1DEF73" w14:textId="29688A7B" w:rsidR="00616F33" w:rsidRDefault="00616F33" w:rsidP="0031463D">
      <w:pPr>
        <w:widowControl/>
        <w:ind w:left="2880" w:firstLine="720"/>
      </w:pPr>
      <w:r>
        <w:t>Competition Policy Division</w:t>
      </w:r>
    </w:p>
    <w:p w14:paraId="2A956953" w14:textId="6C436B48" w:rsidR="00616F33" w:rsidRDefault="00616F33" w:rsidP="0031463D">
      <w:pPr>
        <w:widowControl/>
        <w:ind w:left="2880" w:firstLine="720"/>
      </w:pPr>
      <w:r>
        <w:lastRenderedPageBreak/>
        <w:t>Wireline Competition Bureau</w:t>
      </w:r>
    </w:p>
    <w:sectPr w:rsidR="00616F33" w:rsidSect="003B46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A3FC" w14:textId="77777777" w:rsidR="009E36D6" w:rsidRDefault="009E36D6">
      <w:pPr>
        <w:spacing w:line="20" w:lineRule="exact"/>
      </w:pPr>
    </w:p>
  </w:endnote>
  <w:endnote w:type="continuationSeparator" w:id="0">
    <w:p w14:paraId="61A025E3" w14:textId="77777777" w:rsidR="009E36D6" w:rsidRDefault="009E36D6">
      <w:r>
        <w:t xml:space="preserve"> </w:t>
      </w:r>
    </w:p>
  </w:endnote>
  <w:endnote w:type="continuationNotice" w:id="1">
    <w:p w14:paraId="71B3205F" w14:textId="77777777" w:rsidR="009E36D6" w:rsidRDefault="009E36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CAF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A6CEB8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DB77" w14:textId="0DDD6DB5" w:rsidR="00D25FB5" w:rsidRDefault="00D25FB5" w:rsidP="0055614C">
    <w:pPr>
      <w:pStyle w:val="Footer"/>
      <w:framePr w:wrap="around" w:vAnchor="text" w:hAnchor="margin" w:xAlign="center" w:y="1"/>
    </w:pPr>
    <w:r>
      <w:fldChar w:fldCharType="begin"/>
    </w:r>
    <w:r>
      <w:instrText xml:space="preserve">PAGE  </w:instrText>
    </w:r>
    <w:r>
      <w:fldChar w:fldCharType="separate"/>
    </w:r>
    <w:r w:rsidR="00836EDE">
      <w:rPr>
        <w:noProof/>
      </w:rPr>
      <w:t>2</w:t>
    </w:r>
    <w:r>
      <w:fldChar w:fldCharType="end"/>
    </w:r>
  </w:p>
  <w:p w14:paraId="48BF6A2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F64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93D7F" w14:textId="77777777" w:rsidR="009E36D6" w:rsidRDefault="009E36D6">
      <w:r>
        <w:separator/>
      </w:r>
    </w:p>
  </w:footnote>
  <w:footnote w:type="continuationSeparator" w:id="0">
    <w:p w14:paraId="715A6C3F" w14:textId="5F131132" w:rsidR="009E36D6" w:rsidRDefault="009868E4" w:rsidP="00C721AC">
      <w:pPr>
        <w:spacing w:before="120"/>
        <w:rPr>
          <w:sz w:val="20"/>
        </w:rPr>
      </w:pPr>
      <w:r>
        <w:continuationSeparator/>
      </w:r>
    </w:p>
  </w:footnote>
  <w:footnote w:type="continuationNotice" w:id="1">
    <w:p w14:paraId="1D563611" w14:textId="34FFEA84" w:rsidR="009E36D6" w:rsidRPr="009868E4" w:rsidRDefault="009E36D6" w:rsidP="009868E4">
      <w:pPr>
        <w:pStyle w:val="Footer"/>
      </w:pPr>
    </w:p>
  </w:footnote>
  <w:footnote w:id="2">
    <w:p w14:paraId="347FD170" w14:textId="49E69707" w:rsidR="00E360C7" w:rsidRDefault="00E360C7">
      <w:pPr>
        <w:pStyle w:val="FootnoteText"/>
      </w:pPr>
      <w:r>
        <w:rPr>
          <w:rStyle w:val="FootnoteReference"/>
        </w:rPr>
        <w:footnoteRef/>
      </w:r>
      <w:r>
        <w:t xml:space="preserve"> </w:t>
      </w:r>
      <w:r w:rsidR="003942FB">
        <w:t>Request</w:t>
      </w:r>
      <w:r w:rsidR="00465625">
        <w:t xml:space="preserve"> for Extension of Time to File Reply Comments, W</w:t>
      </w:r>
      <w:r w:rsidR="003942FB">
        <w:t>C</w:t>
      </w:r>
      <w:r w:rsidR="00465625">
        <w:t xml:space="preserve"> Docket No. </w:t>
      </w:r>
      <w:r w:rsidR="003942FB">
        <w:t>17-84 and WT Docket No. 17-79 (</w:t>
      </w:r>
      <w:r w:rsidR="00465625">
        <w:t>filed March 23, 2017 (Motion).</w:t>
      </w:r>
    </w:p>
  </w:footnote>
  <w:footnote w:id="3">
    <w:p w14:paraId="64147E78" w14:textId="76DD1F51" w:rsidR="00E77629" w:rsidRDefault="00E77629">
      <w:pPr>
        <w:pStyle w:val="FootnoteText"/>
      </w:pPr>
      <w:r>
        <w:rPr>
          <w:rStyle w:val="FootnoteReference"/>
        </w:rPr>
        <w:footnoteRef/>
      </w:r>
      <w:r>
        <w:t xml:space="preserve"> </w:t>
      </w:r>
      <w:r w:rsidRPr="00E77629">
        <w:t>47 CFR § 1.46</w:t>
      </w:r>
      <w:r>
        <w:t>.</w:t>
      </w:r>
    </w:p>
  </w:footnote>
  <w:footnote w:id="4">
    <w:p w14:paraId="3A33ED1C" w14:textId="5A7D3D0E" w:rsidR="007F43BB" w:rsidRPr="007F43BB" w:rsidRDefault="007F43BB">
      <w:pPr>
        <w:pStyle w:val="FootnoteText"/>
        <w:rPr>
          <w:i/>
        </w:rPr>
      </w:pPr>
      <w:r>
        <w:rPr>
          <w:rStyle w:val="FootnoteReference"/>
        </w:rPr>
        <w:footnoteRef/>
      </w:r>
      <w:r>
        <w:t xml:space="preserve"> </w:t>
      </w:r>
      <w:r w:rsidR="00960E62">
        <w:t xml:space="preserve">Motion at </w:t>
      </w:r>
      <w:r w:rsidR="00CD000D">
        <w:t>1-</w:t>
      </w:r>
      <w:r w:rsidR="00960E62">
        <w:t>2</w:t>
      </w:r>
      <w:r w:rsidR="00CD000D">
        <w:t xml:space="preserve"> (formatting altered)</w:t>
      </w:r>
      <w:r w:rsidR="00960E62">
        <w:t>.</w:t>
      </w:r>
    </w:p>
  </w:footnote>
  <w:footnote w:id="5">
    <w:p w14:paraId="463F7554" w14:textId="2C590221" w:rsidR="00935E16" w:rsidRDefault="00935E16">
      <w:pPr>
        <w:pStyle w:val="FootnoteText"/>
      </w:pPr>
      <w:r>
        <w:rPr>
          <w:rStyle w:val="FootnoteReference"/>
        </w:rPr>
        <w:footnoteRef/>
      </w:r>
      <w:r>
        <w:t xml:space="preserve"> Motion at 3.</w:t>
      </w:r>
      <w:r w:rsidR="003B46D0">
        <w:t xml:space="preserve">   </w:t>
      </w:r>
    </w:p>
  </w:footnote>
  <w:footnote w:id="6">
    <w:p w14:paraId="68FF8A60" w14:textId="65342E13" w:rsidR="00BE3FCA" w:rsidRDefault="00BE3FCA">
      <w:pPr>
        <w:pStyle w:val="FootnoteText"/>
      </w:pPr>
      <w:r>
        <w:rPr>
          <w:rStyle w:val="FootnoteReference"/>
        </w:rPr>
        <w:footnoteRef/>
      </w:r>
      <w:r>
        <w:t xml:space="preserve"> All parties are deemed to have notice of the opportunity to file initial and reply comments in these proceedings via the publication of notices in the Federal Register.</w:t>
      </w:r>
    </w:p>
  </w:footnote>
  <w:footnote w:id="7">
    <w:p w14:paraId="2E37D657" w14:textId="0B841261" w:rsidR="0069576E" w:rsidRDefault="0069576E">
      <w:pPr>
        <w:pStyle w:val="FootnoteText"/>
      </w:pPr>
      <w:r>
        <w:rPr>
          <w:rStyle w:val="FootnoteReference"/>
        </w:rPr>
        <w:footnoteRef/>
      </w:r>
      <w:r>
        <w:t xml:space="preserve"> </w:t>
      </w:r>
      <w:r w:rsidR="00507ED3">
        <w:t>P</w:t>
      </w:r>
      <w:r>
        <w:t>etitioners assert that “the Commission must strike from the record any claims that do not cite the specific government whose conduct is being impugned”</w:t>
      </w:r>
      <w:r w:rsidR="001B4B3F">
        <w:t xml:space="preserve"> because, they </w:t>
      </w:r>
      <w:r w:rsidR="00507ED3">
        <w:t>contend</w:t>
      </w:r>
      <w:r w:rsidR="001B4B3F">
        <w:t>,</w:t>
      </w:r>
      <w:r w:rsidR="00507ED3">
        <w:t xml:space="preserve"> </w:t>
      </w:r>
      <w:r>
        <w:t xml:space="preserve">the goal of making “data-driven decisions . . . cannot be met through the use of allegations in the abstract,” and “[p]ermitting such conduct undercuts the credibility of any decisions the Commission may reach.”  </w:t>
      </w:r>
      <w:r w:rsidR="001B4B3F">
        <w:t xml:space="preserve">Motion at 3.  We </w:t>
      </w:r>
      <w:r w:rsidR="00142538">
        <w:t>are not persuaded</w:t>
      </w:r>
      <w:r w:rsidR="001B4B3F">
        <w:t xml:space="preserve">.  </w:t>
      </w:r>
      <w:r w:rsidR="00B709B4">
        <w:t xml:space="preserve">The Commission </w:t>
      </w:r>
      <w:r w:rsidR="00F960DC" w:rsidRPr="00F960DC">
        <w:t>is able to evaluate the extent to which arguments submitted into the record are sufficiently supported and credible for purposes of decisional reliance, and therefore it need not strike the claims at issue from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B111" w14:textId="77777777" w:rsidR="00D13C69" w:rsidRDefault="00D13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3D2B" w14:textId="6E2A2B61" w:rsidR="00D25FB5" w:rsidRDefault="00D25FB5" w:rsidP="00810B6F">
    <w:pPr>
      <w:pStyle w:val="Header"/>
      <w:rPr>
        <w:b w:val="0"/>
      </w:rPr>
    </w:pPr>
    <w:r>
      <w:tab/>
      <w:t>Federal Communications Commission</w:t>
    </w:r>
    <w:r>
      <w:tab/>
    </w:r>
    <w:r w:rsidR="004E50A6">
      <w:t>DA 1</w:t>
    </w:r>
    <w:r w:rsidR="00B30CB6">
      <w:t>7</w:t>
    </w:r>
    <w:r w:rsidR="0063112C">
      <w:t>-</w:t>
    </w:r>
    <w:r w:rsidR="006161B5">
      <w:t>669</w:t>
    </w:r>
  </w:p>
  <w:p w14:paraId="09C26028" w14:textId="77777777" w:rsidR="00D25FB5" w:rsidRDefault="003E668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1F7090" wp14:editId="1E2E019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31C7EB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0EFA79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AA97" w14:textId="103D31F6" w:rsidR="00D25FB5" w:rsidRDefault="003E6684" w:rsidP="00810B6F">
    <w:pPr>
      <w:pStyle w:val="Header"/>
      <w:rPr>
        <w:b w:val="0"/>
      </w:rPr>
    </w:pPr>
    <w:r>
      <w:rPr>
        <w:noProof/>
      </w:rPr>
      <mc:AlternateContent>
        <mc:Choice Requires="wps">
          <w:drawing>
            <wp:anchor distT="0" distB="0" distL="114300" distR="114300" simplePos="0" relativeHeight="251658240" behindDoc="1" locked="0" layoutInCell="0" allowOverlap="1" wp14:anchorId="6600611C" wp14:editId="379A6C2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557684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672F7">
      <w:rPr>
        <w:spacing w:val="-2"/>
      </w:rPr>
      <w:t>DA 17</w:t>
    </w:r>
    <w:r w:rsidR="004E50A6">
      <w:rPr>
        <w:spacing w:val="-2"/>
      </w:rPr>
      <w:t>-</w:t>
    </w:r>
    <w:r w:rsidR="006161B5">
      <w:rPr>
        <w:spacing w:val="-2"/>
      </w:rPr>
      <w:t>669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11833"/>
    <w:rsid w:val="00025E3B"/>
    <w:rsid w:val="000315B2"/>
    <w:rsid w:val="00036039"/>
    <w:rsid w:val="00037F90"/>
    <w:rsid w:val="000875BF"/>
    <w:rsid w:val="00096D8C"/>
    <w:rsid w:val="00097CE1"/>
    <w:rsid w:val="000B5D82"/>
    <w:rsid w:val="000C0B65"/>
    <w:rsid w:val="000C6DBB"/>
    <w:rsid w:val="000D14CC"/>
    <w:rsid w:val="000E05FE"/>
    <w:rsid w:val="000E3D42"/>
    <w:rsid w:val="000E453B"/>
    <w:rsid w:val="000E6333"/>
    <w:rsid w:val="000F6640"/>
    <w:rsid w:val="00101982"/>
    <w:rsid w:val="00111DF9"/>
    <w:rsid w:val="00121F36"/>
    <w:rsid w:val="00122BD5"/>
    <w:rsid w:val="00126C57"/>
    <w:rsid w:val="00133F79"/>
    <w:rsid w:val="0013796C"/>
    <w:rsid w:val="00142538"/>
    <w:rsid w:val="00156085"/>
    <w:rsid w:val="00177EA5"/>
    <w:rsid w:val="0018524B"/>
    <w:rsid w:val="00194A66"/>
    <w:rsid w:val="001B4B3F"/>
    <w:rsid w:val="001B620F"/>
    <w:rsid w:val="001D403D"/>
    <w:rsid w:val="001D5918"/>
    <w:rsid w:val="001D6BCF"/>
    <w:rsid w:val="001E01CA"/>
    <w:rsid w:val="001F21A8"/>
    <w:rsid w:val="001F515F"/>
    <w:rsid w:val="002437B6"/>
    <w:rsid w:val="00256764"/>
    <w:rsid w:val="00272E9B"/>
    <w:rsid w:val="00275CF5"/>
    <w:rsid w:val="002777F5"/>
    <w:rsid w:val="0028301F"/>
    <w:rsid w:val="00285017"/>
    <w:rsid w:val="002973BC"/>
    <w:rsid w:val="002A2D2E"/>
    <w:rsid w:val="002C00E8"/>
    <w:rsid w:val="002C7412"/>
    <w:rsid w:val="002D4F40"/>
    <w:rsid w:val="002E41A2"/>
    <w:rsid w:val="002F16F5"/>
    <w:rsid w:val="002F3997"/>
    <w:rsid w:val="00302BAD"/>
    <w:rsid w:val="00304D6F"/>
    <w:rsid w:val="0031463D"/>
    <w:rsid w:val="00323CA4"/>
    <w:rsid w:val="003249E2"/>
    <w:rsid w:val="00330136"/>
    <w:rsid w:val="00343749"/>
    <w:rsid w:val="003549D8"/>
    <w:rsid w:val="003660ED"/>
    <w:rsid w:val="00392385"/>
    <w:rsid w:val="00393A60"/>
    <w:rsid w:val="003942FB"/>
    <w:rsid w:val="003A2A94"/>
    <w:rsid w:val="003A6C19"/>
    <w:rsid w:val="003A73CE"/>
    <w:rsid w:val="003B0550"/>
    <w:rsid w:val="003B46D0"/>
    <w:rsid w:val="003B4F72"/>
    <w:rsid w:val="003B521D"/>
    <w:rsid w:val="003B694F"/>
    <w:rsid w:val="003E6684"/>
    <w:rsid w:val="003F171C"/>
    <w:rsid w:val="003F77DB"/>
    <w:rsid w:val="0040216F"/>
    <w:rsid w:val="00407209"/>
    <w:rsid w:val="00412FC5"/>
    <w:rsid w:val="004156AE"/>
    <w:rsid w:val="00422276"/>
    <w:rsid w:val="004242F1"/>
    <w:rsid w:val="00436D49"/>
    <w:rsid w:val="00445A00"/>
    <w:rsid w:val="00451028"/>
    <w:rsid w:val="00451B0F"/>
    <w:rsid w:val="004571F5"/>
    <w:rsid w:val="00461275"/>
    <w:rsid w:val="00465625"/>
    <w:rsid w:val="00466FB2"/>
    <w:rsid w:val="0046791E"/>
    <w:rsid w:val="0047010F"/>
    <w:rsid w:val="004B07CA"/>
    <w:rsid w:val="004C2EE3"/>
    <w:rsid w:val="004C5BB1"/>
    <w:rsid w:val="004C642D"/>
    <w:rsid w:val="004C7225"/>
    <w:rsid w:val="004E00D7"/>
    <w:rsid w:val="004E4A22"/>
    <w:rsid w:val="004E50A6"/>
    <w:rsid w:val="004F1A52"/>
    <w:rsid w:val="00501A66"/>
    <w:rsid w:val="005024E9"/>
    <w:rsid w:val="00507ED3"/>
    <w:rsid w:val="00511968"/>
    <w:rsid w:val="005375C9"/>
    <w:rsid w:val="00554C6B"/>
    <w:rsid w:val="0055614C"/>
    <w:rsid w:val="00590817"/>
    <w:rsid w:val="00595A65"/>
    <w:rsid w:val="005A3688"/>
    <w:rsid w:val="005A5C1F"/>
    <w:rsid w:val="005B3332"/>
    <w:rsid w:val="005B3E2F"/>
    <w:rsid w:val="005D2843"/>
    <w:rsid w:val="005D3031"/>
    <w:rsid w:val="005E14C2"/>
    <w:rsid w:val="00606AD7"/>
    <w:rsid w:val="00607BA5"/>
    <w:rsid w:val="0061180A"/>
    <w:rsid w:val="00614C8D"/>
    <w:rsid w:val="006161B5"/>
    <w:rsid w:val="00616F33"/>
    <w:rsid w:val="00626EB6"/>
    <w:rsid w:val="0063112C"/>
    <w:rsid w:val="006313AE"/>
    <w:rsid w:val="0063163F"/>
    <w:rsid w:val="00635B3B"/>
    <w:rsid w:val="0064593B"/>
    <w:rsid w:val="006551E7"/>
    <w:rsid w:val="00655D03"/>
    <w:rsid w:val="006602A2"/>
    <w:rsid w:val="00670BEF"/>
    <w:rsid w:val="00683388"/>
    <w:rsid w:val="00683F84"/>
    <w:rsid w:val="00687318"/>
    <w:rsid w:val="0069576E"/>
    <w:rsid w:val="006A6A81"/>
    <w:rsid w:val="006B3F1A"/>
    <w:rsid w:val="006C3BBE"/>
    <w:rsid w:val="006D0363"/>
    <w:rsid w:val="006D2107"/>
    <w:rsid w:val="006F21A0"/>
    <w:rsid w:val="006F7393"/>
    <w:rsid w:val="0070224F"/>
    <w:rsid w:val="007115F7"/>
    <w:rsid w:val="00711C37"/>
    <w:rsid w:val="007171F0"/>
    <w:rsid w:val="00740156"/>
    <w:rsid w:val="00751216"/>
    <w:rsid w:val="00763CFE"/>
    <w:rsid w:val="0076493F"/>
    <w:rsid w:val="00767CFF"/>
    <w:rsid w:val="00782F20"/>
    <w:rsid w:val="00784DEF"/>
    <w:rsid w:val="00785689"/>
    <w:rsid w:val="0079754B"/>
    <w:rsid w:val="007A1E6D"/>
    <w:rsid w:val="007B0EB2"/>
    <w:rsid w:val="007B7AC1"/>
    <w:rsid w:val="007E1199"/>
    <w:rsid w:val="007F43BB"/>
    <w:rsid w:val="007F5840"/>
    <w:rsid w:val="00810B6F"/>
    <w:rsid w:val="00816C96"/>
    <w:rsid w:val="00817315"/>
    <w:rsid w:val="00822CE0"/>
    <w:rsid w:val="00836EDE"/>
    <w:rsid w:val="0083753E"/>
    <w:rsid w:val="00841AB1"/>
    <w:rsid w:val="0087011C"/>
    <w:rsid w:val="00895FED"/>
    <w:rsid w:val="008A1B2B"/>
    <w:rsid w:val="008C1C63"/>
    <w:rsid w:val="008C68F1"/>
    <w:rsid w:val="008C6DBB"/>
    <w:rsid w:val="008F654C"/>
    <w:rsid w:val="00904649"/>
    <w:rsid w:val="00912A9E"/>
    <w:rsid w:val="00921803"/>
    <w:rsid w:val="00926503"/>
    <w:rsid w:val="00935E16"/>
    <w:rsid w:val="00960E62"/>
    <w:rsid w:val="00967A24"/>
    <w:rsid w:val="009726D8"/>
    <w:rsid w:val="009868E4"/>
    <w:rsid w:val="00993A32"/>
    <w:rsid w:val="009C685E"/>
    <w:rsid w:val="009E36D6"/>
    <w:rsid w:val="009F76DB"/>
    <w:rsid w:val="00A2519B"/>
    <w:rsid w:val="00A32B99"/>
    <w:rsid w:val="00A32C3B"/>
    <w:rsid w:val="00A368D3"/>
    <w:rsid w:val="00A45F4F"/>
    <w:rsid w:val="00A600A9"/>
    <w:rsid w:val="00A672F7"/>
    <w:rsid w:val="00AA55B7"/>
    <w:rsid w:val="00AA572A"/>
    <w:rsid w:val="00AA5B9E"/>
    <w:rsid w:val="00AB2407"/>
    <w:rsid w:val="00AB53DF"/>
    <w:rsid w:val="00AB7371"/>
    <w:rsid w:val="00AE141A"/>
    <w:rsid w:val="00B07E5C"/>
    <w:rsid w:val="00B1787E"/>
    <w:rsid w:val="00B251D7"/>
    <w:rsid w:val="00B30CB6"/>
    <w:rsid w:val="00B45F96"/>
    <w:rsid w:val="00B709B4"/>
    <w:rsid w:val="00B72CFD"/>
    <w:rsid w:val="00B811F7"/>
    <w:rsid w:val="00B82EE8"/>
    <w:rsid w:val="00B9036E"/>
    <w:rsid w:val="00B9602B"/>
    <w:rsid w:val="00BA3A86"/>
    <w:rsid w:val="00BA5DC6"/>
    <w:rsid w:val="00BA6196"/>
    <w:rsid w:val="00BB789B"/>
    <w:rsid w:val="00BC18B3"/>
    <w:rsid w:val="00BC6D8C"/>
    <w:rsid w:val="00BD4CC2"/>
    <w:rsid w:val="00BE3FCA"/>
    <w:rsid w:val="00BE54B1"/>
    <w:rsid w:val="00C17A8B"/>
    <w:rsid w:val="00C22681"/>
    <w:rsid w:val="00C34006"/>
    <w:rsid w:val="00C426B1"/>
    <w:rsid w:val="00C66160"/>
    <w:rsid w:val="00C667C5"/>
    <w:rsid w:val="00C721AC"/>
    <w:rsid w:val="00C86F3A"/>
    <w:rsid w:val="00C90D6A"/>
    <w:rsid w:val="00CA247E"/>
    <w:rsid w:val="00CB7E86"/>
    <w:rsid w:val="00CC72B6"/>
    <w:rsid w:val="00CD000D"/>
    <w:rsid w:val="00D0218D"/>
    <w:rsid w:val="00D0602E"/>
    <w:rsid w:val="00D13C69"/>
    <w:rsid w:val="00D25FB5"/>
    <w:rsid w:val="00D44223"/>
    <w:rsid w:val="00D62DCA"/>
    <w:rsid w:val="00D81A3F"/>
    <w:rsid w:val="00DA2529"/>
    <w:rsid w:val="00DB130A"/>
    <w:rsid w:val="00DB2EBB"/>
    <w:rsid w:val="00DC10A1"/>
    <w:rsid w:val="00DC655F"/>
    <w:rsid w:val="00DD0B59"/>
    <w:rsid w:val="00DD5E0F"/>
    <w:rsid w:val="00DD7EBD"/>
    <w:rsid w:val="00DE03FD"/>
    <w:rsid w:val="00DF62B6"/>
    <w:rsid w:val="00E06E32"/>
    <w:rsid w:val="00E07225"/>
    <w:rsid w:val="00E259A7"/>
    <w:rsid w:val="00E360C7"/>
    <w:rsid w:val="00E37116"/>
    <w:rsid w:val="00E3795F"/>
    <w:rsid w:val="00E52A46"/>
    <w:rsid w:val="00E5409F"/>
    <w:rsid w:val="00E63289"/>
    <w:rsid w:val="00E73506"/>
    <w:rsid w:val="00E753B6"/>
    <w:rsid w:val="00E77629"/>
    <w:rsid w:val="00E865DE"/>
    <w:rsid w:val="00E916B0"/>
    <w:rsid w:val="00ED34A9"/>
    <w:rsid w:val="00EE6488"/>
    <w:rsid w:val="00EF7365"/>
    <w:rsid w:val="00EF79C7"/>
    <w:rsid w:val="00F021FA"/>
    <w:rsid w:val="00F02FA3"/>
    <w:rsid w:val="00F221CB"/>
    <w:rsid w:val="00F23FE8"/>
    <w:rsid w:val="00F31BC3"/>
    <w:rsid w:val="00F40DC2"/>
    <w:rsid w:val="00F60738"/>
    <w:rsid w:val="00F62E97"/>
    <w:rsid w:val="00F64209"/>
    <w:rsid w:val="00F76439"/>
    <w:rsid w:val="00F93BF5"/>
    <w:rsid w:val="00F960DC"/>
    <w:rsid w:val="00FA3A90"/>
    <w:rsid w:val="00FD15E1"/>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4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
    <w:name w:val="Mention"/>
    <w:basedOn w:val="DefaultParagraphFont"/>
    <w:uiPriority w:val="99"/>
    <w:semiHidden/>
    <w:unhideWhenUsed/>
    <w:rsid w:val="00782F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
    <w:name w:val="Mention"/>
    <w:basedOn w:val="DefaultParagraphFont"/>
    <w:uiPriority w:val="99"/>
    <w:semiHidden/>
    <w:unhideWhenUsed/>
    <w:rsid w:val="00782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4360</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2017-07-13T19:26:00Z</dcterms:created>
  <dcterms:modified xsi:type="dcterms:W3CDTF">2017-07-13T19:26:00Z</dcterms:modified>
  <cp:category> </cp:category>
  <cp:contentStatus> </cp:contentStatus>
</cp:coreProperties>
</file>