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528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FD427CA" w14:textId="77777777" w:rsidR="00921803" w:rsidRDefault="00921803" w:rsidP="00921803">
      <w:pPr>
        <w:pStyle w:val="StyleBoldCentered"/>
      </w:pPr>
      <w:r>
        <w:t>F</w:t>
      </w:r>
      <w:r>
        <w:rPr>
          <w:caps w:val="0"/>
        </w:rPr>
        <w:t>ederal Communications Commission</w:t>
      </w:r>
    </w:p>
    <w:p w14:paraId="490737F1" w14:textId="77777777" w:rsidR="004C2EE3" w:rsidRDefault="00810B6F" w:rsidP="00096D8C">
      <w:pPr>
        <w:pStyle w:val="StyleBoldCentered"/>
      </w:pPr>
      <w:r>
        <w:rPr>
          <w:caps w:val="0"/>
        </w:rPr>
        <w:t>Washington, D.C. 20554</w:t>
      </w:r>
    </w:p>
    <w:p w14:paraId="34F9E966" w14:textId="77777777" w:rsidR="004C2EE3" w:rsidRDefault="004C2EE3" w:rsidP="0070224F"/>
    <w:p w14:paraId="727BC78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D56BA5E" w14:textId="77777777">
        <w:tc>
          <w:tcPr>
            <w:tcW w:w="4698" w:type="dxa"/>
          </w:tcPr>
          <w:p w14:paraId="11A20E83" w14:textId="77777777" w:rsidR="004C2EE3" w:rsidRDefault="004C2EE3">
            <w:pPr>
              <w:tabs>
                <w:tab w:val="center" w:pos="4680"/>
              </w:tabs>
              <w:suppressAutoHyphens/>
              <w:rPr>
                <w:spacing w:val="-2"/>
              </w:rPr>
            </w:pPr>
            <w:r>
              <w:rPr>
                <w:spacing w:val="-2"/>
              </w:rPr>
              <w:t>In the Matter of</w:t>
            </w:r>
          </w:p>
          <w:p w14:paraId="11137F4D" w14:textId="77777777" w:rsidR="004C2EE3" w:rsidRDefault="004C2EE3">
            <w:pPr>
              <w:tabs>
                <w:tab w:val="center" w:pos="4680"/>
              </w:tabs>
              <w:suppressAutoHyphens/>
              <w:rPr>
                <w:spacing w:val="-2"/>
              </w:rPr>
            </w:pPr>
          </w:p>
          <w:p w14:paraId="340759EE" w14:textId="77777777" w:rsidR="004C2EE3" w:rsidRDefault="007E7DFD" w:rsidP="007115F7">
            <w:pPr>
              <w:tabs>
                <w:tab w:val="center" w:pos="4680"/>
              </w:tabs>
              <w:suppressAutoHyphens/>
              <w:rPr>
                <w:spacing w:val="-2"/>
              </w:rPr>
            </w:pPr>
            <w:r>
              <w:rPr>
                <w:spacing w:val="-2"/>
              </w:rPr>
              <w:t>Ravi</w:t>
            </w:r>
            <w:r w:rsidR="00990CED">
              <w:rPr>
                <w:spacing w:val="-2"/>
              </w:rPr>
              <w:t>’</w:t>
            </w:r>
            <w:r>
              <w:rPr>
                <w:spacing w:val="-2"/>
              </w:rPr>
              <w:t>s Import Warehouse</w:t>
            </w:r>
            <w:r w:rsidR="00877079">
              <w:rPr>
                <w:spacing w:val="-2"/>
              </w:rPr>
              <w:t xml:space="preserve"> Inc.,</w:t>
            </w:r>
          </w:p>
          <w:p w14:paraId="1911D8B4" w14:textId="77777777" w:rsidR="007E7DFD" w:rsidRPr="007115F7" w:rsidRDefault="007E7DFD" w:rsidP="007115F7">
            <w:pPr>
              <w:tabs>
                <w:tab w:val="center" w:pos="4680"/>
              </w:tabs>
              <w:suppressAutoHyphens/>
              <w:rPr>
                <w:spacing w:val="-2"/>
              </w:rPr>
            </w:pPr>
            <w:r>
              <w:rPr>
                <w:spacing w:val="-2"/>
              </w:rPr>
              <w:t>Dallas, Texas</w:t>
            </w:r>
          </w:p>
        </w:tc>
        <w:tc>
          <w:tcPr>
            <w:tcW w:w="630" w:type="dxa"/>
          </w:tcPr>
          <w:p w14:paraId="5CB331AD" w14:textId="77777777" w:rsidR="004C2EE3" w:rsidRDefault="004C2EE3">
            <w:pPr>
              <w:tabs>
                <w:tab w:val="center" w:pos="4680"/>
              </w:tabs>
              <w:suppressAutoHyphens/>
              <w:rPr>
                <w:b/>
                <w:spacing w:val="-2"/>
              </w:rPr>
            </w:pPr>
            <w:r>
              <w:rPr>
                <w:b/>
                <w:spacing w:val="-2"/>
              </w:rPr>
              <w:t>)</w:t>
            </w:r>
          </w:p>
          <w:p w14:paraId="6185B434" w14:textId="77777777" w:rsidR="004C2EE3" w:rsidRDefault="004C2EE3">
            <w:pPr>
              <w:tabs>
                <w:tab w:val="center" w:pos="4680"/>
              </w:tabs>
              <w:suppressAutoHyphens/>
              <w:rPr>
                <w:b/>
                <w:spacing w:val="-2"/>
              </w:rPr>
            </w:pPr>
            <w:r>
              <w:rPr>
                <w:b/>
                <w:spacing w:val="-2"/>
              </w:rPr>
              <w:t>)</w:t>
            </w:r>
          </w:p>
          <w:p w14:paraId="615F207B" w14:textId="77777777" w:rsidR="004C2EE3" w:rsidRDefault="004C2EE3">
            <w:pPr>
              <w:tabs>
                <w:tab w:val="center" w:pos="4680"/>
              </w:tabs>
              <w:suppressAutoHyphens/>
              <w:rPr>
                <w:b/>
                <w:spacing w:val="-2"/>
              </w:rPr>
            </w:pPr>
            <w:r>
              <w:rPr>
                <w:b/>
                <w:spacing w:val="-2"/>
              </w:rPr>
              <w:t>)</w:t>
            </w:r>
          </w:p>
          <w:p w14:paraId="196DF69D" w14:textId="77777777" w:rsidR="004C2EE3" w:rsidRDefault="004C2EE3">
            <w:pPr>
              <w:tabs>
                <w:tab w:val="center" w:pos="4680"/>
              </w:tabs>
              <w:suppressAutoHyphens/>
              <w:rPr>
                <w:b/>
                <w:spacing w:val="-2"/>
              </w:rPr>
            </w:pPr>
            <w:r>
              <w:rPr>
                <w:b/>
                <w:spacing w:val="-2"/>
              </w:rPr>
              <w:t>)</w:t>
            </w:r>
          </w:p>
          <w:p w14:paraId="79061AE2" w14:textId="77777777" w:rsidR="004C2EE3" w:rsidRDefault="004C2EE3">
            <w:pPr>
              <w:tabs>
                <w:tab w:val="center" w:pos="4680"/>
              </w:tabs>
              <w:suppressAutoHyphens/>
              <w:rPr>
                <w:b/>
                <w:spacing w:val="-2"/>
              </w:rPr>
            </w:pPr>
            <w:r>
              <w:rPr>
                <w:b/>
                <w:spacing w:val="-2"/>
              </w:rPr>
              <w:t>)</w:t>
            </w:r>
          </w:p>
          <w:p w14:paraId="2A9A960A" w14:textId="2C5C97E2" w:rsidR="00B119CD" w:rsidRPr="00FE3F11" w:rsidRDefault="00B119CD">
            <w:pPr>
              <w:tabs>
                <w:tab w:val="center" w:pos="4680"/>
              </w:tabs>
              <w:suppressAutoHyphens/>
              <w:rPr>
                <w:b/>
                <w:spacing w:val="-2"/>
              </w:rPr>
            </w:pPr>
            <w:r>
              <w:rPr>
                <w:b/>
                <w:spacing w:val="-2"/>
              </w:rPr>
              <w:t>)</w:t>
            </w:r>
          </w:p>
        </w:tc>
        <w:tc>
          <w:tcPr>
            <w:tcW w:w="4248" w:type="dxa"/>
          </w:tcPr>
          <w:p w14:paraId="077ACF89" w14:textId="77777777" w:rsidR="004C2EE3" w:rsidRDefault="004C2EE3">
            <w:pPr>
              <w:tabs>
                <w:tab w:val="center" w:pos="4680"/>
              </w:tabs>
              <w:suppressAutoHyphens/>
              <w:rPr>
                <w:spacing w:val="-2"/>
              </w:rPr>
            </w:pPr>
          </w:p>
          <w:p w14:paraId="0D785C57" w14:textId="77777777" w:rsidR="004C2EE3" w:rsidRDefault="0087308E">
            <w:pPr>
              <w:tabs>
                <w:tab w:val="center" w:pos="4680"/>
              </w:tabs>
              <w:suppressAutoHyphens/>
              <w:rPr>
                <w:spacing w:val="-2"/>
              </w:rPr>
            </w:pPr>
            <w:r>
              <w:rPr>
                <w:spacing w:val="-2"/>
              </w:rPr>
              <w:t xml:space="preserve">File No.: </w:t>
            </w:r>
            <w:r w:rsidR="007E7DFD">
              <w:rPr>
                <w:spacing w:val="-2"/>
              </w:rPr>
              <w:t>EB-FIELDSCR-17-00024142</w:t>
            </w:r>
          </w:p>
          <w:p w14:paraId="5D7B3777" w14:textId="77777777" w:rsidR="007E7DFD" w:rsidRDefault="0087308E">
            <w:pPr>
              <w:tabs>
                <w:tab w:val="center" w:pos="4680"/>
              </w:tabs>
              <w:suppressAutoHyphens/>
              <w:rPr>
                <w:spacing w:val="-2"/>
              </w:rPr>
            </w:pPr>
            <w:r>
              <w:rPr>
                <w:spacing w:val="-2"/>
              </w:rPr>
              <w:t xml:space="preserve">NAL/Acct No.: </w:t>
            </w:r>
            <w:r w:rsidRPr="0087308E">
              <w:rPr>
                <w:spacing w:val="-2"/>
              </w:rPr>
              <w:t>201732500001</w:t>
            </w:r>
          </w:p>
          <w:p w14:paraId="5B0BC378" w14:textId="77777777" w:rsidR="007E7DFD" w:rsidRDefault="007E7DFD">
            <w:pPr>
              <w:tabs>
                <w:tab w:val="center" w:pos="4680"/>
              </w:tabs>
              <w:suppressAutoHyphens/>
              <w:rPr>
                <w:spacing w:val="-2"/>
              </w:rPr>
            </w:pPr>
            <w:r>
              <w:rPr>
                <w:spacing w:val="-2"/>
              </w:rPr>
              <w:t xml:space="preserve">FRN: </w:t>
            </w:r>
            <w:r w:rsidR="00862F35" w:rsidRPr="00862F35">
              <w:rPr>
                <w:spacing w:val="-2"/>
              </w:rPr>
              <w:t>0026514281</w:t>
            </w:r>
          </w:p>
        </w:tc>
      </w:tr>
    </w:tbl>
    <w:p w14:paraId="333897F1" w14:textId="2411DEE0" w:rsidR="004C2EE3" w:rsidRDefault="004C2EE3" w:rsidP="0070224F"/>
    <w:p w14:paraId="1D29D2B1" w14:textId="77777777" w:rsidR="00841AB1" w:rsidRDefault="00692471" w:rsidP="00F021FA">
      <w:pPr>
        <w:pStyle w:val="StyleBoldCentered"/>
      </w:pPr>
      <w:r>
        <w:t>Notice of apparent liability for forfeiture</w:t>
      </w:r>
    </w:p>
    <w:p w14:paraId="6884977B" w14:textId="77777777" w:rsidR="004C2EE3" w:rsidRDefault="004C2EE3">
      <w:pPr>
        <w:tabs>
          <w:tab w:val="left" w:pos="-720"/>
        </w:tabs>
        <w:suppressAutoHyphens/>
        <w:spacing w:line="227" w:lineRule="auto"/>
        <w:rPr>
          <w:spacing w:val="-2"/>
        </w:rPr>
      </w:pPr>
    </w:p>
    <w:p w14:paraId="41B438F4" w14:textId="3CA4E4E8" w:rsidR="004C2EE3" w:rsidRDefault="004C2EE3" w:rsidP="00133F79">
      <w:pPr>
        <w:tabs>
          <w:tab w:val="left" w:pos="720"/>
          <w:tab w:val="right" w:pos="9360"/>
        </w:tabs>
        <w:suppressAutoHyphens/>
        <w:spacing w:line="227" w:lineRule="auto"/>
        <w:rPr>
          <w:spacing w:val="-2"/>
        </w:rPr>
      </w:pPr>
      <w:r>
        <w:rPr>
          <w:b/>
          <w:spacing w:val="-2"/>
        </w:rPr>
        <w:t xml:space="preserve">Adopted:  </w:t>
      </w:r>
      <w:r w:rsidR="001D6CF3">
        <w:rPr>
          <w:b/>
          <w:spacing w:val="-2"/>
        </w:rPr>
        <w:t>July 25,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6CF3">
        <w:rPr>
          <w:b/>
          <w:spacing w:val="-2"/>
        </w:rPr>
        <w:t>July 26, 2017</w:t>
      </w:r>
    </w:p>
    <w:p w14:paraId="39F9B85D" w14:textId="77777777" w:rsidR="00822CE0" w:rsidRDefault="00822CE0"/>
    <w:p w14:paraId="3C22ABD1" w14:textId="77777777" w:rsidR="004C2EE3" w:rsidRDefault="004C2EE3">
      <w:pPr>
        <w:rPr>
          <w:spacing w:val="-2"/>
        </w:rPr>
      </w:pPr>
      <w:r>
        <w:t xml:space="preserve">By </w:t>
      </w:r>
      <w:r w:rsidR="004E4A22">
        <w:t>the</w:t>
      </w:r>
      <w:r w:rsidR="00692471">
        <w:t xml:space="preserve"> Regional Director, Region Two:</w:t>
      </w:r>
    </w:p>
    <w:p w14:paraId="525B325D" w14:textId="77777777" w:rsidR="00B119CD" w:rsidRDefault="00B119CD" w:rsidP="00412FC5"/>
    <w:p w14:paraId="0889FF4E" w14:textId="77777777" w:rsidR="002C00E8" w:rsidRDefault="00B17EA9" w:rsidP="002C00E8">
      <w:pPr>
        <w:pStyle w:val="Heading1"/>
      </w:pPr>
      <w:r>
        <w:t xml:space="preserve">introduction </w:t>
      </w:r>
    </w:p>
    <w:p w14:paraId="31140C82" w14:textId="57745EDA" w:rsidR="00B17EA9" w:rsidRDefault="00B17EA9" w:rsidP="00B17EA9">
      <w:pPr>
        <w:pStyle w:val="ParaNum"/>
      </w:pPr>
      <w:r>
        <w:t>We propose a penalty of $</w:t>
      </w:r>
      <w:r w:rsidR="0062176A">
        <w:t>22,000</w:t>
      </w:r>
      <w:r>
        <w:t xml:space="preserve"> against Ravi</w:t>
      </w:r>
      <w:r w:rsidR="00990CED">
        <w:t>’</w:t>
      </w:r>
      <w:r>
        <w:t>s Import Warehouse (Ravi</w:t>
      </w:r>
      <w:r w:rsidR="00990CED">
        <w:t>’</w:t>
      </w:r>
      <w:r>
        <w:t xml:space="preserve">s), for operating a cellular phone jammer (jammer or signal jammer) </w:t>
      </w:r>
      <w:r w:rsidR="004A1822">
        <w:t xml:space="preserve">in its commercial establishment in Dallas, Texas, </w:t>
      </w:r>
      <w:r>
        <w:t xml:space="preserve">in apparent willful violation of </w:t>
      </w:r>
      <w:r w:rsidRPr="00A9346C">
        <w:t>Sections 301, 302(b), and 333 of the Communications Act of 1934, as amended (Act),</w:t>
      </w:r>
      <w:r w:rsidRPr="00A9346C">
        <w:rPr>
          <w:rStyle w:val="FootnoteReference"/>
          <w:spacing w:val="-2"/>
          <w:szCs w:val="22"/>
        </w:rPr>
        <w:footnoteReference w:id="2"/>
      </w:r>
      <w:r w:rsidRPr="00A9346C">
        <w:t xml:space="preserve"> and Sections 2.805(a) and 15.1(c) of the Commission</w:t>
      </w:r>
      <w:r w:rsidR="00990CED">
        <w:t>’</w:t>
      </w:r>
      <w:r w:rsidRPr="00A9346C">
        <w:t>s rules</w:t>
      </w:r>
      <w:r w:rsidR="004A1822">
        <w:t>.</w:t>
      </w:r>
      <w:r w:rsidRPr="00A9346C">
        <w:rPr>
          <w:rStyle w:val="FootnoteReference"/>
          <w:spacing w:val="-2"/>
          <w:szCs w:val="22"/>
        </w:rPr>
        <w:footnoteReference w:id="3"/>
      </w:r>
      <w:r>
        <w:t xml:space="preserve"> </w:t>
      </w:r>
      <w:r w:rsidR="004A1822">
        <w:t xml:space="preserve"> </w:t>
      </w:r>
      <w:r w:rsidR="004209C2" w:rsidRPr="00A9346C">
        <w:t xml:space="preserve">Signal jamming devices </w:t>
      </w:r>
      <w:r w:rsidR="00273D32">
        <w:t xml:space="preserve">typically </w:t>
      </w:r>
      <w:r w:rsidR="004209C2" w:rsidRPr="00A9346C">
        <w:t xml:space="preserve">operate by transmitting powerful radio signals that overpower, jam, or interfere with authorized communications.  </w:t>
      </w:r>
      <w:r w:rsidR="004209C2">
        <w:t>With limited exception</w:t>
      </w:r>
      <w:r w:rsidR="00273D32">
        <w:t xml:space="preserve"> for certain Federal government purposes</w:t>
      </w:r>
      <w:r w:rsidR="004209C2">
        <w:t>, these devices have no lawful use in the United States.</w:t>
      </w:r>
      <w:r w:rsidR="00587CAE" w:rsidRPr="00A9346C">
        <w:rPr>
          <w:rStyle w:val="FootnoteReference"/>
          <w:szCs w:val="22"/>
        </w:rPr>
        <w:footnoteReference w:id="4"/>
      </w:r>
      <w:r w:rsidR="004209C2">
        <w:t xml:space="preserve"> </w:t>
      </w:r>
      <w:r w:rsidR="00587CAE">
        <w:t xml:space="preserve"> </w:t>
      </w:r>
    </w:p>
    <w:p w14:paraId="6930A167" w14:textId="4F2F1C12" w:rsidR="006C2E4B" w:rsidRPr="00A9346C" w:rsidRDefault="00587CAE" w:rsidP="00B119CD">
      <w:pPr>
        <w:pStyle w:val="ParaNum"/>
        <w:widowControl/>
      </w:pPr>
      <w:r>
        <w:t xml:space="preserve">Commission action </w:t>
      </w:r>
      <w:r w:rsidR="00273D32">
        <w:t>against the use of signal jammer</w:t>
      </w:r>
      <w:r w:rsidR="00784342">
        <w:t>s</w:t>
      </w:r>
      <w:r>
        <w:t xml:space="preserve"> is important, as the operation of a jammer </w:t>
      </w:r>
      <w:r w:rsidR="00273D32">
        <w:t xml:space="preserve">is unauthorized and </w:t>
      </w:r>
      <w:r>
        <w:t xml:space="preserve">can create potential public safety </w:t>
      </w:r>
      <w:r w:rsidR="00273D32">
        <w:t xml:space="preserve">and other </w:t>
      </w:r>
      <w:r>
        <w:t>risks by causing harmful interference to mobile communications</w:t>
      </w:r>
      <w:r w:rsidR="000361AC">
        <w:t xml:space="preserve">.  </w:t>
      </w:r>
      <w:r w:rsidR="006C2E4B" w:rsidRPr="00A9346C">
        <w:t xml:space="preserve">For example, jammers can </w:t>
      </w:r>
      <w:r w:rsidR="00DE350E">
        <w:t>endanger life and property by preventing individuals from making</w:t>
      </w:r>
      <w:r w:rsidR="00273D32">
        <w:t xml:space="preserve"> 911 </w:t>
      </w:r>
      <w:r w:rsidR="00DE350E">
        <w:t xml:space="preserve">or </w:t>
      </w:r>
      <w:r w:rsidR="00273D32">
        <w:t xml:space="preserve">other emergency </w:t>
      </w:r>
      <w:r w:rsidR="00784C80">
        <w:t>call</w:t>
      </w:r>
      <w:r w:rsidR="00273D32">
        <w:t>s</w:t>
      </w:r>
      <w:r w:rsidR="00DE350E">
        <w:t xml:space="preserve"> or disrupting the basic communications essential to aviation and marine safety.  Jammers</w:t>
      </w:r>
      <w:r w:rsidR="00784C80">
        <w:t xml:space="preserve"> also prevent </w:t>
      </w:r>
      <w:r w:rsidR="00DE350E">
        <w:t xml:space="preserve">consumers and business </w:t>
      </w:r>
      <w:r w:rsidR="00784C80">
        <w:t xml:space="preserve">from engaging in </w:t>
      </w:r>
      <w:r w:rsidR="00DE350E">
        <w:t>numerous, daily</w:t>
      </w:r>
      <w:r w:rsidR="00784C80">
        <w:t xml:space="preserve"> forms of communi</w:t>
      </w:r>
      <w:r w:rsidR="000B4AC3">
        <w:t>c</w:t>
      </w:r>
      <w:r w:rsidR="00784C80">
        <w:t>at</w:t>
      </w:r>
      <w:r w:rsidR="000B4AC3">
        <w:t>i</w:t>
      </w:r>
      <w:r w:rsidR="00784C80">
        <w:t>ons</w:t>
      </w:r>
      <w:r w:rsidR="00DE350E">
        <w:t xml:space="preserve">, ranging from </w:t>
      </w:r>
      <w:r w:rsidR="00784C80">
        <w:t>simple one-on-one phone conversations</w:t>
      </w:r>
      <w:r w:rsidR="00DE350E">
        <w:t xml:space="preserve"> to the</w:t>
      </w:r>
      <w:r w:rsidR="00784C80">
        <w:t xml:space="preserve"> use of Global Positioning S</w:t>
      </w:r>
      <w:r w:rsidR="00DE350E">
        <w:t>ystem</w:t>
      </w:r>
      <w:r w:rsidR="00784C80">
        <w:t xml:space="preserve"> (GPS)-based map applications</w:t>
      </w:r>
      <w:r w:rsidR="00DE350E">
        <w:t xml:space="preserve"> to</w:t>
      </w:r>
      <w:r w:rsidR="000B4AC3">
        <w:t xml:space="preserve"> </w:t>
      </w:r>
      <w:r w:rsidR="00784C80">
        <w:t xml:space="preserve">social media use.  </w:t>
      </w:r>
      <w:r w:rsidR="008D76EB">
        <w:t>The Commission has issued several enforcement advisories and consumer alerts emphasizing the importance of strict compliance in this area.</w:t>
      </w:r>
      <w:r w:rsidR="008D76EB">
        <w:rPr>
          <w:rStyle w:val="FootnoteReference"/>
        </w:rPr>
        <w:footnoteReference w:id="5"/>
      </w:r>
      <w:r w:rsidR="008D76EB">
        <w:t xml:space="preserve">  We expect individuals and businesses, like Ravi’s, to take immediate steps to ensure compliance and to avoid any recurrence of this type of misconduct, including ceasing operation of any signal jamming devices that may be in their possession, custody, or control.  </w:t>
      </w:r>
    </w:p>
    <w:p w14:paraId="09ACE5E1" w14:textId="77777777" w:rsidR="00B17EA9" w:rsidRDefault="00B17EA9" w:rsidP="00B17EA9">
      <w:pPr>
        <w:pStyle w:val="Heading1"/>
      </w:pPr>
      <w:r>
        <w:lastRenderedPageBreak/>
        <w:t>Background</w:t>
      </w:r>
    </w:p>
    <w:p w14:paraId="48FBAD13" w14:textId="137FABD7" w:rsidR="00451742" w:rsidRDefault="00451742" w:rsidP="00451742">
      <w:pPr>
        <w:pStyle w:val="ParaNum"/>
      </w:pPr>
      <w:r>
        <w:t xml:space="preserve">On April 10, </w:t>
      </w:r>
      <w:r w:rsidR="001E2D2B">
        <w:t xml:space="preserve">2017, </w:t>
      </w:r>
      <w:r>
        <w:t>an agent from the Commission</w:t>
      </w:r>
      <w:r w:rsidR="00990CED">
        <w:t>’</w:t>
      </w:r>
      <w:r>
        <w:t xml:space="preserve">s Dallas Field Office (Dallas Office) received a complaint from an AT&amp;T </w:t>
      </w:r>
      <w:r w:rsidR="00D76710">
        <w:t>representative</w:t>
      </w:r>
      <w:r w:rsidR="008D04F5">
        <w:t>, claiming</w:t>
      </w:r>
      <w:r>
        <w:t xml:space="preserve"> that an AT&amp;T base station was receiving</w:t>
      </w:r>
      <w:r w:rsidR="008D04F5">
        <w:t xml:space="preserve"> interference</w:t>
      </w:r>
      <w:r>
        <w:t xml:space="preserve">.  </w:t>
      </w:r>
      <w:r w:rsidR="001E2D2B">
        <w:t xml:space="preserve">The AT&amp;T </w:t>
      </w:r>
      <w:r w:rsidR="00D76710">
        <w:t>representative</w:t>
      </w:r>
      <w:r w:rsidR="001E2D2B">
        <w:t xml:space="preserve"> advised the agent that the characteristics of the interference were typical of a signal jammer.  While the agent was on route to the general location of the possible signal jammer, the AT&amp;T </w:t>
      </w:r>
      <w:r w:rsidR="00D76710">
        <w:t>representative</w:t>
      </w:r>
      <w:r w:rsidR="001E2D2B">
        <w:t xml:space="preserve"> determined that the jammer was likely located within </w:t>
      </w:r>
      <w:r>
        <w:t>Ravi</w:t>
      </w:r>
      <w:r w:rsidR="00990CED">
        <w:t>’</w:t>
      </w:r>
      <w:r>
        <w:t xml:space="preserve">s </w:t>
      </w:r>
      <w:r w:rsidR="001E2D2B">
        <w:t xml:space="preserve">commercial establishment at </w:t>
      </w:r>
      <w:r w:rsidR="0087308E">
        <w:t>11029 Harry Hines Blvd</w:t>
      </w:r>
      <w:r w:rsidR="008D04F5">
        <w:t>.</w:t>
      </w:r>
      <w:r w:rsidR="0087308E">
        <w:t>, Dallas, Texas</w:t>
      </w:r>
      <w:r w:rsidR="001E2D2B">
        <w:t xml:space="preserve">, a business which the AT&amp;T </w:t>
      </w:r>
      <w:r w:rsidR="00D76710">
        <w:t>representative</w:t>
      </w:r>
      <w:r w:rsidR="000B4AC3">
        <w:t xml:space="preserve"> stated he had</w:t>
      </w:r>
      <w:r w:rsidR="001E2D2B">
        <w:t xml:space="preserve"> previously visited to request that </w:t>
      </w:r>
      <w:r w:rsidR="008D04F5">
        <w:t>it</w:t>
      </w:r>
      <w:r w:rsidR="001E2D2B">
        <w:t xml:space="preserve"> cease </w:t>
      </w:r>
      <w:r w:rsidR="0087308E">
        <w:t>operating a signal jammer</w:t>
      </w:r>
      <w:r w:rsidR="001E2D2B">
        <w:t xml:space="preserve">.  When the </w:t>
      </w:r>
      <w:r w:rsidR="000B4AC3">
        <w:t xml:space="preserve">Dallas Office </w:t>
      </w:r>
      <w:r w:rsidR="001E2D2B">
        <w:t>agent arrived on scene at Ravi</w:t>
      </w:r>
      <w:r w:rsidR="00990CED">
        <w:t>’</w:t>
      </w:r>
      <w:r w:rsidR="001E2D2B">
        <w:t xml:space="preserve">s commercial establishment, the AT&amp;T </w:t>
      </w:r>
      <w:r w:rsidR="00D76710">
        <w:t>representative</w:t>
      </w:r>
      <w:r w:rsidR="001E2D2B">
        <w:t xml:space="preserve"> stated that Ravi</w:t>
      </w:r>
      <w:r w:rsidR="00990CED">
        <w:t>’</w:t>
      </w:r>
      <w:r w:rsidR="001E2D2B">
        <w:t xml:space="preserve">s security </w:t>
      </w:r>
      <w:r w:rsidR="00D76710">
        <w:t>personnel noticed</w:t>
      </w:r>
      <w:r w:rsidR="000B4AC3">
        <w:t xml:space="preserve"> the AT&amp;T representative’s</w:t>
      </w:r>
      <w:r w:rsidR="00D76710">
        <w:t xml:space="preserve"> presence and, shortly thereafter, the </w:t>
      </w:r>
      <w:r w:rsidR="001E2D2B">
        <w:t xml:space="preserve">jammer ceased </w:t>
      </w:r>
      <w:r w:rsidR="00D76710">
        <w:t>operating</w:t>
      </w:r>
      <w:r w:rsidR="001E2D2B">
        <w:t xml:space="preserve">.  In the presence of the AT&amp;T </w:t>
      </w:r>
      <w:r w:rsidR="00D76710">
        <w:t>representative</w:t>
      </w:r>
      <w:r w:rsidR="001E2D2B">
        <w:t xml:space="preserve">, the agent spoke with </w:t>
      </w:r>
      <w:r>
        <w:t xml:space="preserve">Anita Bhatia, </w:t>
      </w:r>
      <w:r w:rsidR="001E2D2B">
        <w:t xml:space="preserve">who </w:t>
      </w:r>
      <w:r w:rsidR="00FC20C4">
        <w:t xml:space="preserve">stated that she was </w:t>
      </w:r>
      <w:r w:rsidR="001E2D2B">
        <w:t xml:space="preserve">the </w:t>
      </w:r>
      <w:r>
        <w:t>owner of Ravi</w:t>
      </w:r>
      <w:r w:rsidR="00990CED">
        <w:t>’</w:t>
      </w:r>
      <w:r>
        <w:t xml:space="preserve">s. </w:t>
      </w:r>
      <w:r w:rsidR="001E2D2B">
        <w:t xml:space="preserve"> Ms. Bhatia </w:t>
      </w:r>
      <w:r>
        <w:t xml:space="preserve">admitted </w:t>
      </w:r>
      <w:r w:rsidR="001E2D2B">
        <w:t xml:space="preserve">to deploying a signal jammer as a means of preventing her employees from using mobile phones while at work.  The agent informed Ms. Bhatia of the </w:t>
      </w:r>
      <w:r>
        <w:t xml:space="preserve">public safety </w:t>
      </w:r>
      <w:r w:rsidR="001E2D2B">
        <w:t xml:space="preserve">issues </w:t>
      </w:r>
      <w:r w:rsidR="004A1822">
        <w:t xml:space="preserve">that could be caused by Ravi’s </w:t>
      </w:r>
      <w:r>
        <w:t>us</w:t>
      </w:r>
      <w:r w:rsidR="004A1822">
        <w:t>e of</w:t>
      </w:r>
      <w:r>
        <w:t xml:space="preserve"> a cell jammer. </w:t>
      </w:r>
      <w:r w:rsidR="001E2D2B">
        <w:t xml:space="preserve"> </w:t>
      </w:r>
      <w:r w:rsidR="00D76710">
        <w:t xml:space="preserve">Ms. Bhatia </w:t>
      </w:r>
      <w:r w:rsidR="0087308E">
        <w:t>acknowledged that</w:t>
      </w:r>
      <w:r w:rsidR="00DA67E3">
        <w:t xml:space="preserve">, in February 2017, the AT&amp;T </w:t>
      </w:r>
      <w:r w:rsidR="00D76710">
        <w:t>representative</w:t>
      </w:r>
      <w:r w:rsidR="00DA67E3">
        <w:t xml:space="preserve"> had warned her adult son against the operation of a signa</w:t>
      </w:r>
      <w:r w:rsidR="00D76710">
        <w:t>l jammer</w:t>
      </w:r>
      <w:r w:rsidR="0087308E">
        <w:t xml:space="preserve">.  Ms. Bhatia </w:t>
      </w:r>
      <w:r w:rsidR="00D76710">
        <w:t xml:space="preserve">further stated </w:t>
      </w:r>
      <w:r w:rsidR="0087308E">
        <w:t xml:space="preserve">that she disposed of the </w:t>
      </w:r>
      <w:r w:rsidR="00D76710">
        <w:t xml:space="preserve">jammer </w:t>
      </w:r>
      <w:r w:rsidR="0087308E">
        <w:t>shortly before the agent</w:t>
      </w:r>
      <w:r w:rsidR="00990CED">
        <w:t>’</w:t>
      </w:r>
      <w:r w:rsidR="0087308E">
        <w:t>s</w:t>
      </w:r>
      <w:r w:rsidR="00D76710">
        <w:t xml:space="preserve"> arrival</w:t>
      </w:r>
      <w:r w:rsidR="00C52A7C">
        <w:t xml:space="preserve">.  Ms. Bhatia </w:t>
      </w:r>
      <w:r w:rsidR="00DA67E3">
        <w:t xml:space="preserve">refused to </w:t>
      </w:r>
      <w:r w:rsidR="00C52A7C">
        <w:t xml:space="preserve">voluntarily surrender the device to the agent </w:t>
      </w:r>
      <w:r w:rsidR="004955EC">
        <w:t>and refused to state where within her commercial establishment she disposed of it.  I</w:t>
      </w:r>
      <w:r w:rsidR="00C52A7C">
        <w:t>nstead</w:t>
      </w:r>
      <w:r w:rsidR="004955EC">
        <w:t>, Ms. Bhatia</w:t>
      </w:r>
      <w:r w:rsidR="00C52A7C">
        <w:t xml:space="preserve"> </w:t>
      </w:r>
      <w:r w:rsidR="0087308E">
        <w:t xml:space="preserve">offered to sell the signal jammer to the agent.  </w:t>
      </w:r>
      <w:r w:rsidR="006C2E4B">
        <w:t xml:space="preserve">The agent declined </w:t>
      </w:r>
      <w:r w:rsidR="00D76710">
        <w:t xml:space="preserve">the offer </w:t>
      </w:r>
      <w:r w:rsidR="006C2E4B">
        <w:t xml:space="preserve">and issued a Notice of Unlicensed Radio Operation informing </w:t>
      </w:r>
      <w:r w:rsidR="00D76710">
        <w:t>Ravi</w:t>
      </w:r>
      <w:r w:rsidR="00990CED">
        <w:t>’</w:t>
      </w:r>
      <w:r w:rsidR="00D76710">
        <w:t xml:space="preserve">s </w:t>
      </w:r>
      <w:r w:rsidR="006C2E4B">
        <w:t>that the operation of a signal jammer was illegal.</w:t>
      </w:r>
      <w:r w:rsidR="006C2E4B">
        <w:rPr>
          <w:rStyle w:val="FootnoteReference"/>
        </w:rPr>
        <w:footnoteReference w:id="6"/>
      </w:r>
      <w:r w:rsidR="006C2E4B">
        <w:t xml:space="preserve"> </w:t>
      </w:r>
      <w:r w:rsidR="008D76EB">
        <w:t xml:space="preserve"> The following day,</w:t>
      </w:r>
      <w:r w:rsidR="0098071F">
        <w:t xml:space="preserve"> the agent</w:t>
      </w:r>
      <w:r w:rsidR="008D76EB">
        <w:t xml:space="preserve"> contacted the AT&amp;T representative, who confirmed that AT&amp;T was no longer receiving interference from equipment operated at Ravi’s commercial establishment.  </w:t>
      </w:r>
    </w:p>
    <w:p w14:paraId="7A2B7E8D" w14:textId="77777777" w:rsidR="00B17EA9" w:rsidRDefault="00B17EA9" w:rsidP="00B17EA9">
      <w:pPr>
        <w:pStyle w:val="Heading1"/>
      </w:pPr>
      <w:r>
        <w:t>Discussion</w:t>
      </w:r>
    </w:p>
    <w:p w14:paraId="71A2E074" w14:textId="77777777" w:rsidR="00B17EA9" w:rsidRPr="00055D9F" w:rsidRDefault="00B17EA9" w:rsidP="00B17EA9">
      <w:pPr>
        <w:pStyle w:val="Heading2"/>
      </w:pPr>
      <w:r w:rsidRPr="00A9346C">
        <w:t>Applicable Law</w:t>
      </w:r>
    </w:p>
    <w:p w14:paraId="1089BE73" w14:textId="77777777" w:rsidR="00B17EA9" w:rsidRPr="00A9346C" w:rsidRDefault="00B17EA9" w:rsidP="00DF2AA3">
      <w:pPr>
        <w:pStyle w:val="ParaNum"/>
        <w:widowControl/>
      </w:pPr>
      <w:r w:rsidRPr="00A9346C">
        <w:t xml:space="preserve">Federal law prohibits the operation of jamming devices 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and its territories.  Section 301 of the Act prohibits the use or operation of </w:t>
      </w:r>
      <w:r w:rsidR="00990CED">
        <w:t>“</w:t>
      </w:r>
      <w:r w:rsidRPr="00A9346C">
        <w:t>any apparatus for the transmission of energy or communications or signals by radio</w:t>
      </w:r>
      <w:r w:rsidR="00990CED">
        <w:t>”</w:t>
      </w:r>
      <w:r w:rsidRPr="00A9346C">
        <w:t xml:space="preserve"> within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unless such use is licensed or authorized.</w:t>
      </w:r>
      <w:r w:rsidRPr="00A9346C">
        <w:rPr>
          <w:vertAlign w:val="superscript"/>
        </w:rPr>
        <w:footnoteReference w:id="7"/>
      </w:r>
      <w:r w:rsidRPr="00A9346C">
        <w:t xml:space="preserve">  Section 333 of the Act states that </w:t>
      </w:r>
      <w:r w:rsidR="00990CED">
        <w:t>“</w:t>
      </w:r>
      <w:r w:rsidRPr="00A9346C">
        <w:t>[n]o person shall willfully or maliciously interfere with or cause interference to any radio communications of any station licensed or authorized by or under this Act or operated by the United States Government.</w:t>
      </w:r>
      <w:r w:rsidR="00990CED">
        <w:t>”</w:t>
      </w:r>
      <w:r w:rsidRPr="00A9346C">
        <w:rPr>
          <w:vertAlign w:val="superscript"/>
        </w:rPr>
        <w:footnoteReference w:id="8"/>
      </w:r>
      <w:r w:rsidRPr="00A9346C">
        <w:t xml:space="preserve">  In addition, Section 302(b) of the Act provides that </w:t>
      </w:r>
      <w:r w:rsidR="00990CED">
        <w:t>“</w:t>
      </w:r>
      <w:r w:rsidRPr="00A9346C">
        <w:t xml:space="preserve">[n]o person shall manufacture, import, sell, offer for sale, or ship devices or home electronic equipment and systems, or </w:t>
      </w:r>
      <w:r w:rsidRPr="00A9346C">
        <w:rPr>
          <w:i/>
        </w:rPr>
        <w:t>use</w:t>
      </w:r>
      <w:r w:rsidRPr="00A9346C">
        <w:t xml:space="preserve"> devices, which fail to comply with regulations promulgated pursuant to this section.</w:t>
      </w:r>
      <w:r w:rsidR="00990CED">
        <w:t>”</w:t>
      </w:r>
      <w:r w:rsidRPr="00A9346C">
        <w:rPr>
          <w:vertAlign w:val="superscript"/>
        </w:rPr>
        <w:footnoteReference w:id="9"/>
      </w:r>
    </w:p>
    <w:p w14:paraId="0F5C0272" w14:textId="15470719" w:rsidR="00B17EA9" w:rsidRPr="00A9346C" w:rsidRDefault="00B17EA9" w:rsidP="00862F35">
      <w:pPr>
        <w:pStyle w:val="ParaNum"/>
        <w:widowControl/>
      </w:pPr>
      <w:r w:rsidRPr="00A9346C">
        <w:t xml:space="preserve">The applicable implementing regulations for Section 302(b) of the Act are set forth in Sections 2.805, 15.1(c), and 15.201 of the </w:t>
      </w:r>
      <w:r w:rsidR="007F7BB9">
        <w:t>Commission</w:t>
      </w:r>
      <w:r w:rsidR="00990CED">
        <w:t>’</w:t>
      </w:r>
      <w:r w:rsidR="007F7BB9">
        <w:t>s r</w:t>
      </w:r>
      <w:r w:rsidRPr="00A9346C">
        <w:t>ules.</w:t>
      </w:r>
      <w:r w:rsidRPr="00A9346C">
        <w:rPr>
          <w:vertAlign w:val="superscript"/>
        </w:rPr>
        <w:footnoteReference w:id="10"/>
      </w:r>
      <w:r w:rsidRPr="00A9346C">
        <w:t xml:space="preserve">  Section 2.805(a) of the </w:t>
      </w:r>
      <w:r w:rsidR="007F7BB9">
        <w:t>Commission</w:t>
      </w:r>
      <w:r w:rsidR="00990CED">
        <w:t>’</w:t>
      </w:r>
      <w:r w:rsidR="007F7BB9">
        <w:t xml:space="preserve">s rules </w:t>
      </w:r>
      <w:r w:rsidRPr="00A9346C">
        <w:t>provides</w:t>
      </w:r>
      <w:r w:rsidR="00862F35">
        <w:t>,</w:t>
      </w:r>
      <w:r w:rsidRPr="00A9346C">
        <w:t xml:space="preserve"> in relevant part </w:t>
      </w:r>
      <w:r w:rsidR="00862F35">
        <w:t>(</w:t>
      </w:r>
      <w:r w:rsidR="00862F35" w:rsidRPr="00A9346C">
        <w:t>except in a few narrow circumstances not pertinent here</w:t>
      </w:r>
      <w:r w:rsidR="00862F35">
        <w:t xml:space="preserve">), </w:t>
      </w:r>
      <w:r w:rsidRPr="00A9346C">
        <w:t xml:space="preserve">that </w:t>
      </w:r>
      <w:r w:rsidR="00990CED">
        <w:t>“</w:t>
      </w:r>
      <w:r w:rsidRPr="00A9346C">
        <w:t>[a] radio frequency device may not be operated prior to equipment authorization.</w:t>
      </w:r>
      <w:r w:rsidR="00990CED">
        <w:t>”</w:t>
      </w:r>
      <w:r w:rsidRPr="00A9346C">
        <w:rPr>
          <w:vertAlign w:val="superscript"/>
        </w:rPr>
        <w:footnoteReference w:id="11"/>
      </w:r>
      <w:r w:rsidRPr="00A9346C">
        <w:t xml:space="preserve">  In addition, pursuant to Sections 15.1(c) and 15.201(b) of the </w:t>
      </w:r>
      <w:r w:rsidR="007F7BB9">
        <w:t>Commission</w:t>
      </w:r>
      <w:r w:rsidR="00990CED">
        <w:t>’</w:t>
      </w:r>
      <w:r w:rsidR="007F7BB9">
        <w:t>s r</w:t>
      </w:r>
      <w:r w:rsidRPr="00A9346C">
        <w:t>ules,</w:t>
      </w:r>
      <w:r w:rsidR="00FF1936">
        <w:rPr>
          <w:rStyle w:val="FootnoteReference"/>
        </w:rPr>
        <w:footnoteReference w:id="12"/>
      </w:r>
      <w:r w:rsidRPr="00A9346C">
        <w:t xml:space="preserve"> intentional radiators</w:t>
      </w:r>
      <w:r w:rsidR="00FF1936" w:rsidRPr="00A9346C">
        <w:rPr>
          <w:vertAlign w:val="superscript"/>
        </w:rPr>
        <w:footnoteReference w:id="13"/>
      </w:r>
      <w:r w:rsidRPr="00A9346C">
        <w:t xml:space="preserve"> cannot be operated in the United States or its territories unless they have first been authorized in accordance with the Commission</w:t>
      </w:r>
      <w:r w:rsidR="00990CED">
        <w:t>’</w:t>
      </w:r>
      <w:r w:rsidRPr="00A9346C">
        <w:t>s certification procedures.</w:t>
      </w:r>
      <w:r w:rsidRPr="00A9346C">
        <w:rPr>
          <w:rStyle w:val="FootnoteReference"/>
        </w:rPr>
        <w:footnoteReference w:id="14"/>
      </w:r>
      <w:r w:rsidRPr="00A9346C">
        <w:t xml:space="preserve">  Jamming devices cannot be certified or authorized because their primary purpose is to block or interfere with authorized radio communications and their use would compromise the integrity of the nation</w:t>
      </w:r>
      <w:r w:rsidR="00990CED">
        <w:t>’</w:t>
      </w:r>
      <w:r w:rsidRPr="00A9346C">
        <w:t xml:space="preserve">s communications infrastructure.  Thus, jamming devices such as the one used by </w:t>
      </w:r>
      <w:r w:rsidR="006C2E4B">
        <w:t>Ravi</w:t>
      </w:r>
      <w:r w:rsidR="00990CED">
        <w:t>’</w:t>
      </w:r>
      <w:r w:rsidR="006C2E4B">
        <w:t>s</w:t>
      </w:r>
      <w:r w:rsidRPr="00A9346C">
        <w:t xml:space="preserve"> cannot comply with the </w:t>
      </w:r>
      <w:r w:rsidR="006C2E4B">
        <w:t>Commission</w:t>
      </w:r>
      <w:r w:rsidR="00990CED">
        <w:t>’</w:t>
      </w:r>
      <w:r w:rsidR="006C2E4B">
        <w:t xml:space="preserve">s </w:t>
      </w:r>
      <w:r w:rsidRPr="00A9346C">
        <w:t>technical standards and, therefore, cannot be operated lawfully by consumers in the Uni</w:t>
      </w:r>
      <w:r w:rsidR="00862F35">
        <w:t>ted States or its territories</w:t>
      </w:r>
      <w:r w:rsidRPr="00A9346C">
        <w:t>.</w:t>
      </w:r>
      <w:r w:rsidRPr="00A9346C">
        <w:rPr>
          <w:rStyle w:val="FootnoteReference"/>
        </w:rPr>
        <w:footnoteReference w:id="15"/>
      </w:r>
    </w:p>
    <w:p w14:paraId="57D67986" w14:textId="77777777" w:rsidR="00B17EA9" w:rsidRDefault="00B17EA9" w:rsidP="00B17EA9">
      <w:pPr>
        <w:pStyle w:val="Heading2"/>
      </w:pPr>
      <w:r>
        <w:t>Illegal Operation of a Signal Jammer</w:t>
      </w:r>
    </w:p>
    <w:p w14:paraId="5A00E6AA" w14:textId="4EA350C3" w:rsidR="00B17EA9" w:rsidRDefault="006C2E4B" w:rsidP="00B17EA9">
      <w:pPr>
        <w:pStyle w:val="ParaNum"/>
      </w:pPr>
      <w:r>
        <w:t>As discussed above, on April 10, 2017, an AT&amp;T representative detected a signal jammer in use near Ravi</w:t>
      </w:r>
      <w:r w:rsidR="00990CED">
        <w:t>’</w:t>
      </w:r>
      <w:r>
        <w:t>s commercial establishment and alerted an agent from the Dallas Office.  Although the jammer was no longer in operation when the agent arrived at Ravi</w:t>
      </w:r>
      <w:r w:rsidR="00990CED">
        <w:t>’</w:t>
      </w:r>
      <w:r>
        <w:t>s, the company</w:t>
      </w:r>
      <w:r w:rsidR="00990CED">
        <w:t>’</w:t>
      </w:r>
      <w:r>
        <w:t xml:space="preserve">s owner, Ms. Bhatia, admitted to the agent </w:t>
      </w:r>
      <w:r w:rsidR="00C41639">
        <w:t>(</w:t>
      </w:r>
      <w:r>
        <w:t xml:space="preserve">in the presence of the AT&amp;T </w:t>
      </w:r>
      <w:r w:rsidR="00D76710">
        <w:t>representative</w:t>
      </w:r>
      <w:r w:rsidR="00C41639">
        <w:t>)</w:t>
      </w:r>
      <w:r>
        <w:t xml:space="preserve"> that she had been operating a signal jammer to prevent her employees from using mobile phones while at work.  </w:t>
      </w:r>
      <w:r w:rsidR="003A60C9">
        <w:t xml:space="preserve">Thus, </w:t>
      </w:r>
      <w:r>
        <w:t>Ravi</w:t>
      </w:r>
      <w:r w:rsidR="00990CED">
        <w:t>’</w:t>
      </w:r>
      <w:r>
        <w:t>s operated a signal jammer on April 10, 2017</w:t>
      </w:r>
      <w:r w:rsidR="003346E3">
        <w:t>,</w:t>
      </w:r>
      <w:r>
        <w:t xml:space="preserve"> with the intended (and actual) effect of blocking and otherwise interfering with radio communications authorized by the Commission.  Operation of the signal jammer could have had dire consequences by precluding the use of mobile telephones to reach life-saving 9-1-1 services provided by police</w:t>
      </w:r>
      <w:r w:rsidR="007E3EB1">
        <w:t xml:space="preserve"> departments, fire departments, and emergency medical </w:t>
      </w:r>
      <w:r w:rsidR="00D76710">
        <w:t>technicians</w:t>
      </w:r>
      <w:r w:rsidR="007E3EB1">
        <w:t>.  It could also have disrupted critical communications of first responders who might have visited Ravi</w:t>
      </w:r>
      <w:r w:rsidR="00990CED">
        <w:t>’</w:t>
      </w:r>
      <w:r w:rsidR="007E3EB1">
        <w:t xml:space="preserve">s facility or nearby locations in a life-and-death situation.  Based on the preponderance of the evidence, we find that, by </w:t>
      </w:r>
      <w:r w:rsidR="00C41639">
        <w:t xml:space="preserve">admittedly </w:t>
      </w:r>
      <w:r w:rsidR="007E3EB1">
        <w:t>operating a signal jammer, Ravi</w:t>
      </w:r>
      <w:r w:rsidR="00990CED">
        <w:t>’</w:t>
      </w:r>
      <w:r w:rsidR="007E3EB1">
        <w:t>s apparently willfully violated Sections 301, 302(b)</w:t>
      </w:r>
      <w:r w:rsidR="00466B83">
        <w:t>,</w:t>
      </w:r>
      <w:r w:rsidR="007E3EB1">
        <w:t xml:space="preserve"> and 333 of the Act, and Sections 2.805(a) and 15.1(c) of the Commission</w:t>
      </w:r>
      <w:r w:rsidR="00990CED">
        <w:t>’</w:t>
      </w:r>
      <w:r w:rsidR="007E3EB1">
        <w:t>s rules.</w:t>
      </w:r>
      <w:r w:rsidR="007E3EB1">
        <w:rPr>
          <w:rStyle w:val="FootnoteReference"/>
        </w:rPr>
        <w:footnoteReference w:id="16"/>
      </w:r>
      <w:r w:rsidR="007E3EB1">
        <w:t xml:space="preserve"> </w:t>
      </w:r>
    </w:p>
    <w:p w14:paraId="6F9DF18E" w14:textId="77777777" w:rsidR="00551DCA" w:rsidRDefault="00551DCA" w:rsidP="00551DCA">
      <w:pPr>
        <w:pStyle w:val="Heading2"/>
      </w:pPr>
      <w:r>
        <w:t>Proposed Forfeiture</w:t>
      </w:r>
    </w:p>
    <w:p w14:paraId="1948C0B6" w14:textId="64CEE787" w:rsidR="00551DCA" w:rsidRPr="00A9346C" w:rsidRDefault="007E3EB1" w:rsidP="009F79F2">
      <w:pPr>
        <w:pStyle w:val="ParaNum"/>
        <w:widowControl/>
      </w:pPr>
      <w:r w:rsidRPr="00981F23">
        <w:t xml:space="preserve">Section 503(b) of the Act authorizes the Commission to impose a forfeiture against any entity that </w:t>
      </w:r>
      <w:r w:rsidR="00990CED">
        <w:t>“</w:t>
      </w:r>
      <w:r w:rsidRPr="00981F23">
        <w:t>willfully or repeatedly fail[s] to comply with any of the provisions of [the Act] or of any rule, regulation, or order issued by the Commission.</w:t>
      </w:r>
      <w:r w:rsidR="00990CED">
        <w:t>”</w:t>
      </w:r>
      <w:r w:rsidRPr="00981F23">
        <w:rPr>
          <w:vertAlign w:val="superscript"/>
        </w:rPr>
        <w:footnoteReference w:id="17"/>
      </w:r>
      <w:r w:rsidRPr="00981F23">
        <w:t xml:space="preserve">  Here, Section 503(b)(2)</w:t>
      </w:r>
      <w:r w:rsidR="009F79F2">
        <w:t>(D)</w:t>
      </w:r>
      <w:r w:rsidRPr="00981F23">
        <w:t xml:space="preserve"> of the Act authorizes us to assess a forfeiture against </w:t>
      </w:r>
      <w:r w:rsidR="009F79F2">
        <w:t>Ravi</w:t>
      </w:r>
      <w:r w:rsidR="00990CED">
        <w:t>’</w:t>
      </w:r>
      <w:r w:rsidR="009F79F2">
        <w:t xml:space="preserve">s </w:t>
      </w:r>
      <w:r w:rsidRPr="00981F23">
        <w:t>of up to $</w:t>
      </w:r>
      <w:r w:rsidR="009F79F2">
        <w:t xml:space="preserve">19,246 </w:t>
      </w:r>
      <w:r w:rsidRPr="00981F23">
        <w:t>for each day of a continuing violation, up to a statutory maximum of $</w:t>
      </w:r>
      <w:r w:rsidR="009F79F2">
        <w:t xml:space="preserve">144,344 </w:t>
      </w:r>
      <w:r w:rsidRPr="00981F23">
        <w:t>for a single act or failure to act.</w:t>
      </w:r>
      <w:r w:rsidRPr="007E3EB1">
        <w:rPr>
          <w:rStyle w:val="FootnoteReference"/>
          <w:color w:val="000000"/>
          <w:szCs w:val="22"/>
        </w:rPr>
        <w:footnoteReference w:id="18"/>
      </w:r>
      <w:r w:rsidRPr="00981F23">
        <w:t xml:space="preserve">  In exercising our forfeiture authority, we must consider the </w:t>
      </w:r>
      <w:r w:rsidR="00990CED">
        <w:t>“</w:t>
      </w:r>
      <w:r w:rsidRPr="00981F23">
        <w:t>nature, circumstances, extent, and gravity of the violation and, with respect to the violator, the degree of culpability, any history of prior offenses, ability to pay, and such other matters as justice may require.</w:t>
      </w:r>
      <w:r w:rsidR="00990CED">
        <w:t>”</w:t>
      </w:r>
      <w:r w:rsidRPr="007E3EB1">
        <w:rPr>
          <w:rStyle w:val="FootnoteReference"/>
          <w:color w:val="000000"/>
          <w:szCs w:val="22"/>
        </w:rPr>
        <w:footnoteReference w:id="19"/>
      </w:r>
      <w:r w:rsidRPr="007E3EB1">
        <w:rPr>
          <w:spacing w:val="-2"/>
        </w:rPr>
        <w:t xml:space="preserve">  </w:t>
      </w:r>
      <w:r w:rsidRPr="00981F23">
        <w:t>In addition, the Commission has established forfeiture guidelines; they establish base penalties for certain violations and identify criteria that we consider when determining the appropriate penalty in any given case.</w:t>
      </w:r>
      <w:r w:rsidRPr="007E3EB1">
        <w:rPr>
          <w:rStyle w:val="FootnoteReference"/>
          <w:color w:val="000000"/>
        </w:rPr>
        <w:footnoteReference w:id="20"/>
      </w:r>
      <w:r w:rsidRPr="00981F23">
        <w:t xml:space="preserve">  Under these guidelines, we may adjust a forfeiture upward for violations that are egregious, intentional, or repeated, or that cause substantial harm or generate substantial economic gain for the violator.</w:t>
      </w:r>
      <w:r w:rsidRPr="007E3EB1">
        <w:rPr>
          <w:rStyle w:val="FootnoteReference"/>
          <w:color w:val="000000"/>
        </w:rPr>
        <w:footnoteReference w:id="21"/>
      </w:r>
      <w:r w:rsidRPr="00981F23">
        <w:t xml:space="preserve">  </w:t>
      </w:r>
      <w:r w:rsidR="00551DCA" w:rsidRPr="00A9346C">
        <w:t>Pursuant to the Commission</w:t>
      </w:r>
      <w:r w:rsidR="00990CED">
        <w:t>’</w:t>
      </w:r>
      <w:r w:rsidR="00551DCA" w:rsidRPr="00A9346C">
        <w:t>s</w:t>
      </w:r>
      <w:r w:rsidR="00551DCA" w:rsidRPr="007E3EB1">
        <w:rPr>
          <w:i/>
        </w:rPr>
        <w:t xml:space="preserve"> Forfeiture Policy Statement</w:t>
      </w:r>
      <w:r w:rsidR="00551DCA" w:rsidRPr="00A9346C">
        <w:t xml:space="preserve"> and Section 1.80 of the </w:t>
      </w:r>
      <w:r w:rsidR="007F7BB9">
        <w:t>Commission</w:t>
      </w:r>
      <w:r w:rsidR="00990CED">
        <w:t>’</w:t>
      </w:r>
      <w:r w:rsidR="007F7BB9">
        <w:t>s r</w:t>
      </w:r>
      <w:r w:rsidR="00551DCA" w:rsidRPr="00A9346C">
        <w:t xml:space="preserve">ules, the applicable base forfeiture amount for </w:t>
      </w:r>
      <w:r w:rsidR="004209C2">
        <w:t xml:space="preserve">violation of Section 301 </w:t>
      </w:r>
      <w:r w:rsidR="00AB52B1">
        <w:t xml:space="preserve">of the Act </w:t>
      </w:r>
      <w:r w:rsidR="004209C2">
        <w:t>(</w:t>
      </w:r>
      <w:r w:rsidR="00551DCA" w:rsidRPr="00A9346C">
        <w:t>operati</w:t>
      </w:r>
      <w:r w:rsidR="0087308E">
        <w:t xml:space="preserve">ng </w:t>
      </w:r>
      <w:r w:rsidR="00551DCA" w:rsidRPr="00A9346C">
        <w:t>without an instrument of authorization</w:t>
      </w:r>
      <w:r w:rsidR="004209C2">
        <w:t>)</w:t>
      </w:r>
      <w:r w:rsidR="00551DCA" w:rsidRPr="00A9346C">
        <w:t xml:space="preserve"> is $10,000</w:t>
      </w:r>
      <w:r w:rsidR="0087308E">
        <w:t xml:space="preserve">, and the applicable base forfeiture for </w:t>
      </w:r>
      <w:r w:rsidR="004209C2">
        <w:t>violation of Section 333</w:t>
      </w:r>
      <w:r w:rsidR="00AB52B1">
        <w:t xml:space="preserve"> of the Act</w:t>
      </w:r>
      <w:r w:rsidR="004209C2">
        <w:t xml:space="preserve"> (</w:t>
      </w:r>
      <w:r w:rsidR="0087308E">
        <w:t>interference to authorized communications</w:t>
      </w:r>
      <w:r w:rsidR="004209C2">
        <w:t>)</w:t>
      </w:r>
      <w:r w:rsidR="0087308E">
        <w:t xml:space="preserve"> is $7,000, for an aggregate base forfeiture of $17,000</w:t>
      </w:r>
      <w:r w:rsidR="00551DCA" w:rsidRPr="00A9346C">
        <w:t>.</w:t>
      </w:r>
      <w:r w:rsidR="00551DCA" w:rsidRPr="00A9346C">
        <w:rPr>
          <w:rStyle w:val="FootnoteReference"/>
          <w:spacing w:val="-2"/>
          <w:szCs w:val="22"/>
        </w:rPr>
        <w:footnoteReference w:id="22"/>
      </w:r>
      <w:r w:rsidR="00551DCA" w:rsidRPr="00A9346C">
        <w:t xml:space="preserve">  </w:t>
      </w:r>
    </w:p>
    <w:p w14:paraId="1715BDCB" w14:textId="138F441F" w:rsidR="00551DCA" w:rsidRPr="00A9346C" w:rsidRDefault="007E3EB1" w:rsidP="0087308E">
      <w:pPr>
        <w:pStyle w:val="ParaNum"/>
        <w:widowControl/>
      </w:pPr>
      <w:r w:rsidRPr="00981F23">
        <w:t>We have discretion, however, to depart from these guidelines, taking into account the particular facts of each individual case.</w:t>
      </w:r>
      <w:r w:rsidRPr="007E3EB1">
        <w:rPr>
          <w:rStyle w:val="FootnoteReference"/>
          <w:color w:val="000000"/>
          <w:szCs w:val="22"/>
        </w:rPr>
        <w:footnoteReference w:id="23"/>
      </w:r>
      <w:r w:rsidRPr="00A9346C">
        <w:t xml:space="preserve">  </w:t>
      </w:r>
      <w:r w:rsidR="00551DCA" w:rsidRPr="00A9346C">
        <w:t>In assessing the appropriate monetary penalty for the misconduct at issue,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00551DCA" w:rsidRPr="00A9346C">
        <w:rPr>
          <w:rStyle w:val="FootnoteReference"/>
          <w:spacing w:val="-2"/>
          <w:szCs w:val="22"/>
        </w:rPr>
        <w:footnoteReference w:id="24"/>
      </w:r>
      <w:r w:rsidR="00551DCA" w:rsidRPr="00A9346C">
        <w:t xml:space="preserve"> </w:t>
      </w:r>
      <w:r w:rsidR="00CB22D3">
        <w:t xml:space="preserve"> </w:t>
      </w:r>
      <w:r w:rsidR="00551DCA" w:rsidRPr="00A9346C">
        <w:t xml:space="preserve">As explained above, </w:t>
      </w:r>
      <w:r>
        <w:t>Ravi</w:t>
      </w:r>
      <w:r w:rsidR="00990CED">
        <w:t>’</w:t>
      </w:r>
      <w:r>
        <w:t>s</w:t>
      </w:r>
      <w:r w:rsidR="00551DCA" w:rsidRPr="00A9346C">
        <w:t xml:space="preserve"> operated a radio frequency device that is inherently illegal and prohibited for consumer use in the United States.  These illegal jammer operations posed a tangible public safety hazard by potentially blocking authorized communications (including essential 9</w:t>
      </w:r>
      <w:r w:rsidR="007D6F92">
        <w:t>11</w:t>
      </w:r>
      <w:r w:rsidR="00551DCA" w:rsidRPr="00A9346C">
        <w:t xml:space="preserve"> calls and law enforcement communications). </w:t>
      </w:r>
      <w:r w:rsidR="00551DCA">
        <w:t xml:space="preserve"> </w:t>
      </w:r>
      <w:r w:rsidR="0098071F">
        <w:t>W</w:t>
      </w:r>
      <w:r w:rsidR="00FD36B8">
        <w:t>e note that</w:t>
      </w:r>
      <w:r w:rsidR="0087020A">
        <w:t xml:space="preserve"> </w:t>
      </w:r>
      <w:r w:rsidR="0098071F">
        <w:t>Ravi’s proprietor did not opt to voluntarily surrender the jamming equipment to the agent from the Dallas Field Office.</w:t>
      </w:r>
      <w:r w:rsidR="0098071F">
        <w:rPr>
          <w:rStyle w:val="FootnoteReference"/>
        </w:rPr>
        <w:footnoteReference w:id="25"/>
      </w:r>
      <w:r w:rsidR="0098071F">
        <w:t xml:space="preserve">  Instead, she </w:t>
      </w:r>
      <w:r w:rsidR="0087020A">
        <w:t xml:space="preserve">offered to </w:t>
      </w:r>
      <w:r w:rsidR="0087020A" w:rsidRPr="00FD36B8">
        <w:rPr>
          <w:i/>
        </w:rPr>
        <w:t>sell</w:t>
      </w:r>
      <w:r w:rsidR="0087020A">
        <w:t xml:space="preserve"> the device to the agent (presumably after retrieving it from </w:t>
      </w:r>
      <w:r w:rsidR="00FD36B8">
        <w:t>the trash</w:t>
      </w:r>
      <w:r w:rsidR="00DF5E98">
        <w:t>).</w:t>
      </w:r>
      <w:r w:rsidR="00DF5E98">
        <w:rPr>
          <w:rStyle w:val="FootnoteReference"/>
        </w:rPr>
        <w:footnoteReference w:id="26"/>
      </w:r>
      <w:r w:rsidR="0087020A">
        <w:t xml:space="preserve">  </w:t>
      </w:r>
      <w:r w:rsidR="00FD36B8">
        <w:t xml:space="preserve">We find that </w:t>
      </w:r>
      <w:r w:rsidR="0098071F">
        <w:t xml:space="preserve">this </w:t>
      </w:r>
      <w:r w:rsidR="00DF5E98">
        <w:t xml:space="preserve">attempt to generate revenue from the </w:t>
      </w:r>
      <w:r w:rsidR="00FD36B8">
        <w:t>Commission’</w:t>
      </w:r>
      <w:r w:rsidR="00DF5E98">
        <w:t>s efforts to resolve</w:t>
      </w:r>
      <w:r w:rsidR="00FD36B8">
        <w:t xml:space="preserve"> </w:t>
      </w:r>
      <w:r w:rsidR="00DF5E98">
        <w:t xml:space="preserve">an </w:t>
      </w:r>
      <w:r w:rsidR="00FD36B8">
        <w:t xml:space="preserve">interference </w:t>
      </w:r>
      <w:r w:rsidR="00DF5E98">
        <w:t>complaint (</w:t>
      </w:r>
      <w:r w:rsidR="00FD36B8">
        <w:t>with potential public safety ramifications</w:t>
      </w:r>
      <w:r w:rsidR="00DF5E98">
        <w:t>)</w:t>
      </w:r>
      <w:r w:rsidR="00FD36B8">
        <w:t xml:space="preserve"> </w:t>
      </w:r>
      <w:r w:rsidR="00DF5E98">
        <w:t xml:space="preserve">constitutes egregious conduct warranting an upward adjustment of $5,000 above the </w:t>
      </w:r>
      <w:r w:rsidR="0004428C">
        <w:t xml:space="preserve">proposed </w:t>
      </w:r>
      <w:r w:rsidR="00DF5E98">
        <w:t xml:space="preserve">base forfeiture associated with Ravi’s apparent violation of Section 301 of the Act.  </w:t>
      </w:r>
      <w:r w:rsidR="00887022" w:rsidRPr="00981F23">
        <w:t xml:space="preserve">Therefore, after applying the </w:t>
      </w:r>
      <w:r w:rsidR="00887022" w:rsidRPr="00981F23">
        <w:rPr>
          <w:i/>
        </w:rPr>
        <w:t>Forfeiture Policy Statement</w:t>
      </w:r>
      <w:r w:rsidR="00887022" w:rsidRPr="00981F23">
        <w:t xml:space="preserve">, Section 1.80 of the </w:t>
      </w:r>
      <w:r w:rsidR="00887022">
        <w:t>Commission</w:t>
      </w:r>
      <w:r w:rsidR="00990CED">
        <w:t>’</w:t>
      </w:r>
      <w:r w:rsidR="00887022">
        <w:t>s r</w:t>
      </w:r>
      <w:r w:rsidR="00887022" w:rsidRPr="00981F23">
        <w:t>ules, and the statutory factors, we propose a total forfeiture of $</w:t>
      </w:r>
      <w:r w:rsidR="00DF5E98">
        <w:t>22</w:t>
      </w:r>
      <w:r w:rsidR="00887022">
        <w:t>,000</w:t>
      </w:r>
      <w:r w:rsidR="00887022" w:rsidRPr="00981F23">
        <w:t xml:space="preserve">, for which </w:t>
      </w:r>
      <w:r w:rsidR="00887022">
        <w:t>Ravi</w:t>
      </w:r>
      <w:r w:rsidR="00990CED">
        <w:t>’</w:t>
      </w:r>
      <w:r w:rsidR="00887022">
        <w:t>s</w:t>
      </w:r>
      <w:r w:rsidR="00887022" w:rsidRPr="00981F23">
        <w:t xml:space="preserve"> is apparently liable. </w:t>
      </w:r>
    </w:p>
    <w:p w14:paraId="381EC6A6" w14:textId="77777777" w:rsidR="00B17EA9" w:rsidRDefault="00B17EA9" w:rsidP="00B17EA9">
      <w:pPr>
        <w:pStyle w:val="Heading1"/>
      </w:pPr>
      <w:r>
        <w:t>Conclusion</w:t>
      </w:r>
    </w:p>
    <w:p w14:paraId="0FB7A719" w14:textId="743B1777" w:rsidR="00B17EA9" w:rsidRDefault="00887022" w:rsidP="00B119CD">
      <w:pPr>
        <w:pStyle w:val="ParaNum"/>
        <w:widowControl/>
      </w:pPr>
      <w:r w:rsidRPr="00887022">
        <w:t xml:space="preserve">We have determined that </w:t>
      </w:r>
      <w:r>
        <w:t>Ravi</w:t>
      </w:r>
      <w:r w:rsidR="00990CED">
        <w:t>’</w:t>
      </w:r>
      <w:r>
        <w:t xml:space="preserve">s </w:t>
      </w:r>
      <w:r w:rsidRPr="00887022">
        <w:t xml:space="preserve">apparently willfully violated </w:t>
      </w:r>
      <w:r>
        <w:t>Sections 301, 302(b), and 333 of the Act and Sections 2.805 and 15.1(c) of the Commission</w:t>
      </w:r>
      <w:r w:rsidR="00990CED">
        <w:t>’</w:t>
      </w:r>
      <w:r>
        <w:t>s rules.</w:t>
      </w:r>
      <w:r w:rsidR="00BB5632">
        <w:rPr>
          <w:rStyle w:val="FootnoteReference"/>
        </w:rPr>
        <w:footnoteReference w:id="27"/>
      </w:r>
      <w:r>
        <w:t xml:space="preserve">  </w:t>
      </w:r>
      <w:r w:rsidRPr="00887022">
        <w:t xml:space="preserve">As such, </w:t>
      </w:r>
      <w:r>
        <w:t>Ravi</w:t>
      </w:r>
      <w:r w:rsidR="00990CED">
        <w:t>’</w:t>
      </w:r>
      <w:r>
        <w:t xml:space="preserve">s </w:t>
      </w:r>
      <w:r w:rsidRPr="00887022">
        <w:t>is apparently liable for a forfeiture of $</w:t>
      </w:r>
      <w:r w:rsidR="00DF5E98">
        <w:t>22</w:t>
      </w:r>
      <w:r>
        <w:t>,000</w:t>
      </w:r>
      <w:r w:rsidRPr="00887022">
        <w:t>.</w:t>
      </w:r>
    </w:p>
    <w:p w14:paraId="139226ED" w14:textId="77777777" w:rsidR="00B17EA9" w:rsidRDefault="00B17EA9" w:rsidP="00B17EA9">
      <w:pPr>
        <w:pStyle w:val="Heading1"/>
      </w:pPr>
      <w:r>
        <w:t>Ordering Clauses</w:t>
      </w:r>
    </w:p>
    <w:p w14:paraId="68EC1874" w14:textId="71905381" w:rsidR="00887022" w:rsidRPr="00981F23" w:rsidRDefault="00887022" w:rsidP="00EB011D">
      <w:pPr>
        <w:pStyle w:val="ParaNum"/>
        <w:widowControl/>
        <w:rPr>
          <w:spacing w:val="-2"/>
        </w:rPr>
      </w:pPr>
      <w:r w:rsidRPr="00981F23">
        <w:t xml:space="preserve">Accordingly, </w:t>
      </w:r>
      <w:r w:rsidRPr="00981F23">
        <w:rPr>
          <w:b/>
        </w:rPr>
        <w:t>IT IS ORDERED</w:t>
      </w:r>
      <w:r w:rsidRPr="00981F23">
        <w:t xml:space="preserve"> that, pursuant to Section 503(b) of the </w:t>
      </w:r>
      <w:r>
        <w:t>Act</w:t>
      </w:r>
      <w:r w:rsidRPr="00981F23">
        <w:rPr>
          <w:vertAlign w:val="superscript"/>
        </w:rPr>
        <w:footnoteReference w:id="28"/>
      </w:r>
      <w:r w:rsidRPr="00981F23">
        <w:t xml:space="preserve"> and Sections 1.80 of the</w:t>
      </w:r>
      <w:r>
        <w:t xml:space="preserve"> </w:t>
      </w:r>
      <w:r w:rsidR="007F7BB9">
        <w:t>Commission</w:t>
      </w:r>
      <w:r w:rsidR="00990CED">
        <w:t>’</w:t>
      </w:r>
      <w:r w:rsidR="007F7BB9">
        <w:t>s r</w:t>
      </w:r>
      <w:r w:rsidRPr="00981F23">
        <w:t>ules,</w:t>
      </w:r>
      <w:r w:rsidRPr="00981F23">
        <w:rPr>
          <w:vertAlign w:val="superscript"/>
        </w:rPr>
        <w:footnoteReference w:id="29"/>
      </w:r>
      <w:r w:rsidRPr="00981F23">
        <w:t xml:space="preserve"> </w:t>
      </w:r>
      <w:r>
        <w:t>Ravi</w:t>
      </w:r>
      <w:r w:rsidR="00990CED">
        <w:t>’</w:t>
      </w:r>
      <w:r>
        <w:t xml:space="preserve">s Import Warehouse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 </w:t>
      </w:r>
      <w:r w:rsidR="00DF5E98">
        <w:t xml:space="preserve">Twenty-Two </w:t>
      </w:r>
      <w:r>
        <w:t>Thousand Dollars ($</w:t>
      </w:r>
      <w:r w:rsidR="00DF5E98">
        <w:t>22</w:t>
      </w:r>
      <w:r>
        <w:t xml:space="preserve">,000) </w:t>
      </w:r>
      <w:r w:rsidRPr="00981F23">
        <w:t>for willful violations of Section</w:t>
      </w:r>
      <w:r>
        <w:t>s 301, 302(b), and 333 of the Act</w:t>
      </w:r>
      <w:r w:rsidRPr="00981F23">
        <w:rPr>
          <w:vertAlign w:val="superscript"/>
        </w:rPr>
        <w:footnoteReference w:id="30"/>
      </w:r>
      <w:r w:rsidRPr="00981F23">
        <w:t xml:space="preserve"> </w:t>
      </w:r>
      <w:r>
        <w:t xml:space="preserve">and </w:t>
      </w:r>
      <w:r w:rsidRPr="00981F23">
        <w:t>Section</w:t>
      </w:r>
      <w:r>
        <w:t>s 2.805 and 15.1(c) of the Commission</w:t>
      </w:r>
      <w:r w:rsidR="00990CED">
        <w:t>’</w:t>
      </w:r>
      <w:r>
        <w:t>s rules</w:t>
      </w:r>
      <w:r w:rsidR="009F79F2">
        <w:t>.</w:t>
      </w:r>
      <w:r w:rsidRPr="00981F23">
        <w:rPr>
          <w:vertAlign w:val="superscript"/>
        </w:rPr>
        <w:footnoteReference w:id="31"/>
      </w:r>
      <w:r w:rsidRPr="00981F23">
        <w:t xml:space="preserve"> </w:t>
      </w:r>
    </w:p>
    <w:p w14:paraId="4473097C" w14:textId="77777777" w:rsidR="00887022" w:rsidRPr="00981F23" w:rsidRDefault="00887022" w:rsidP="00507057">
      <w:pPr>
        <w:pStyle w:val="ParaNum"/>
        <w:widowControl/>
        <w:rPr>
          <w:spacing w:val="-2"/>
        </w:rPr>
      </w:pPr>
      <w:r w:rsidRPr="00981F23">
        <w:rPr>
          <w:b/>
        </w:rPr>
        <w:t xml:space="preserve">IT IS FURTHER ORDERED </w:t>
      </w:r>
      <w:r w:rsidRPr="00981F23">
        <w:t>that, pursuant to Section 1.80 of the</w:t>
      </w:r>
      <w:r>
        <w:t xml:space="preserve"> </w:t>
      </w:r>
      <w:r w:rsidR="009F79F2">
        <w:t>Commission</w:t>
      </w:r>
      <w:r w:rsidR="00990CED">
        <w:t>’</w:t>
      </w:r>
      <w:r w:rsidR="009F79F2">
        <w:t>s r</w:t>
      </w:r>
      <w:r w:rsidRPr="00981F23">
        <w:t>ules,</w:t>
      </w:r>
      <w:r w:rsidRPr="00981F23">
        <w:rPr>
          <w:vertAlign w:val="superscript"/>
        </w:rPr>
        <w:footnoteReference w:id="32"/>
      </w:r>
      <w:r w:rsidRPr="00981F23">
        <w:rPr>
          <w:vertAlign w:val="superscript"/>
        </w:rPr>
        <w:t xml:space="preserve"> </w:t>
      </w:r>
      <w:r w:rsidRPr="00981F23">
        <w:t xml:space="preserve">within thirty (30) calendar days of the release date of this Notice of Apparent Liability for Forfeiture, </w:t>
      </w:r>
      <w:r w:rsidR="009F79F2">
        <w:t>Ravi</w:t>
      </w:r>
      <w:r w:rsidR="00990CED">
        <w:t>’</w:t>
      </w:r>
      <w:r w:rsidR="009F79F2">
        <w:t xml:space="preserve">s Import Warehouse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862F35">
        <w:t>14</w:t>
      </w:r>
      <w:r w:rsidRPr="00981F23">
        <w:t xml:space="preserve"> below.</w:t>
      </w:r>
    </w:p>
    <w:p w14:paraId="0C3FB0BE" w14:textId="61CD8022" w:rsidR="00887022" w:rsidRPr="00981F23" w:rsidRDefault="00887022" w:rsidP="00DF2AA3">
      <w:pPr>
        <w:pStyle w:val="ParaNum"/>
        <w:widowControl/>
        <w:rPr>
          <w:spacing w:val="-2"/>
        </w:rPr>
      </w:pPr>
      <w:r w:rsidRPr="00981F23">
        <w:t xml:space="preserve">Payment of the forfeiture must be made by check or similar instrument, wire transfer, or credit card, and must include the NAL/Account Number and FRN referenced above.  </w:t>
      </w:r>
      <w:r w:rsidR="009F79F2">
        <w:t>Ravi</w:t>
      </w:r>
      <w:r w:rsidR="00990CED">
        <w:t>’</w:t>
      </w:r>
      <w:r w:rsidR="009F79F2">
        <w:t xml:space="preserve">s Import Warehouse </w:t>
      </w:r>
      <w:r w:rsidRPr="00981F23">
        <w:t xml:space="preserve">shall send electronic notification of payment to </w:t>
      </w:r>
      <w:r w:rsidR="009F79F2">
        <w:t xml:space="preserve">Matthew L. Gibson </w:t>
      </w:r>
      <w:r w:rsidRPr="00981F23">
        <w:t xml:space="preserve">at </w:t>
      </w:r>
      <w:hyperlink r:id="rId8" w:history="1">
        <w:r w:rsidR="009F79F2" w:rsidRPr="00627A1C">
          <w:rPr>
            <w:rStyle w:val="Hyperlink"/>
          </w:rPr>
          <w:t>matthew.gibson@fcc.gov</w:t>
        </w:r>
      </w:hyperlink>
      <w:r w:rsidR="009F79F2">
        <w:t xml:space="preserve">, with copy to </w:t>
      </w:r>
      <w:hyperlink r:id="rId9" w:history="1">
        <w:r w:rsidR="009F79F2" w:rsidRPr="00627A1C">
          <w:rPr>
            <w:rStyle w:val="Hyperlink"/>
          </w:rPr>
          <w:t>SCR-Response@fcc.gov</w:t>
        </w:r>
      </w:hyperlink>
      <w:r w:rsidR="009F79F2">
        <w:t xml:space="preserve">, </w:t>
      </w:r>
      <w:r w:rsidRPr="00981F23">
        <w:t>on the date said payment is made.  Regardless of the form of payment, a completed FCC Form 159 (Remittance Advice) must be submitted.</w:t>
      </w:r>
      <w:r w:rsidRPr="00981F23">
        <w:rPr>
          <w:vertAlign w:val="superscript"/>
        </w:rPr>
        <w:footnoteReference w:id="33"/>
      </w:r>
      <w:r w:rsidRPr="00981F23">
        <w:t xml:space="preserve">  When completing the FCC Form 159, enter the Account Number in block number 23A (call sign/other ID) and enter the letters </w:t>
      </w:r>
      <w:r w:rsidR="00990CED">
        <w:t>“</w:t>
      </w:r>
      <w:r w:rsidRPr="00981F23">
        <w:t>FORF</w:t>
      </w:r>
      <w:r w:rsidR="00990CED">
        <w:t>”</w:t>
      </w:r>
      <w:r w:rsidRPr="00981F23">
        <w:t xml:space="preserve">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14:paraId="026C2293" w14:textId="77777777" w:rsidR="00887022" w:rsidRPr="00887022" w:rsidRDefault="00887022" w:rsidP="00887022">
      <w:pPr>
        <w:numPr>
          <w:ilvl w:val="0"/>
          <w:numId w:val="9"/>
        </w:numPr>
        <w:spacing w:after="120"/>
        <w:rPr>
          <w:b/>
          <w:color w:val="000000"/>
          <w:szCs w:val="22"/>
        </w:rPr>
      </w:pPr>
      <w:r w:rsidRPr="00887022">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097701B3" w14:textId="77777777" w:rsidR="00887022" w:rsidRPr="00887022" w:rsidRDefault="00887022" w:rsidP="00887022">
      <w:pPr>
        <w:widowControl/>
        <w:numPr>
          <w:ilvl w:val="0"/>
          <w:numId w:val="9"/>
        </w:numPr>
        <w:spacing w:after="120"/>
        <w:rPr>
          <w:b/>
          <w:color w:val="000000"/>
          <w:szCs w:val="22"/>
        </w:rPr>
      </w:pPr>
      <w:r w:rsidRPr="00887022">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588EE85" w14:textId="77777777" w:rsidR="00887022" w:rsidRPr="00887022" w:rsidRDefault="00887022" w:rsidP="00887022">
      <w:pPr>
        <w:widowControl/>
        <w:numPr>
          <w:ilvl w:val="0"/>
          <w:numId w:val="9"/>
        </w:numPr>
        <w:spacing w:after="120"/>
        <w:rPr>
          <w:b/>
          <w:color w:val="000000"/>
          <w:szCs w:val="22"/>
        </w:rPr>
      </w:pPr>
      <w:r w:rsidRPr="00887022">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1334184" w14:textId="3AF2FE5B" w:rsidR="00887022" w:rsidRPr="00981F23" w:rsidRDefault="00887022" w:rsidP="00887022">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34"/>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10" w:history="1">
        <w:r w:rsidR="00894B20" w:rsidRPr="00A52F4A">
          <w:rPr>
            <w:rStyle w:val="Hyperlink"/>
          </w:rPr>
          <w:t>ARINQUIRIES@fcc.gov</w:t>
        </w:r>
      </w:hyperlink>
      <w:r w:rsidRPr="00981F23">
        <w:t>.</w:t>
      </w:r>
    </w:p>
    <w:p w14:paraId="06655460" w14:textId="1F24D946" w:rsidR="00887022" w:rsidRPr="00981F23" w:rsidRDefault="00887022" w:rsidP="00887022">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7F7BB9">
        <w:t>Commission</w:t>
      </w:r>
      <w:r w:rsidR="00990CED">
        <w:t>’</w:t>
      </w:r>
      <w:r w:rsidR="007F7BB9">
        <w:t>s r</w:t>
      </w:r>
      <w:r w:rsidRPr="00981F23">
        <w:t>ules.</w:t>
      </w:r>
      <w:r w:rsidRPr="00981F23">
        <w:rPr>
          <w:vertAlign w:val="superscript"/>
        </w:rPr>
        <w:footnoteReference w:id="35"/>
      </w:r>
      <w:r w:rsidRPr="00981F23">
        <w:t xml:space="preserve">  The written statement must be mailed to the Office of the Secretary, Federal Communications Commission, 445 12th Street, SW, Washington, DC 20554, ATTN:  Enforcement Bureau – </w:t>
      </w:r>
      <w:r w:rsidR="009F79F2">
        <w:t>Office of the Field Director</w:t>
      </w:r>
      <w:r w:rsidRPr="00981F23">
        <w:t xml:space="preserve">, and must include the NAL/Account Number referenced in the caption.  The statement must also be e-mailed to </w:t>
      </w:r>
      <w:r w:rsidR="009F79F2">
        <w:t xml:space="preserve">Matthew L. Gibson </w:t>
      </w:r>
      <w:r w:rsidRPr="00981F23">
        <w:t xml:space="preserve">at </w:t>
      </w:r>
      <w:hyperlink r:id="rId11" w:history="1">
        <w:r w:rsidR="009F79F2" w:rsidRPr="00627A1C">
          <w:rPr>
            <w:rStyle w:val="Hyperlink"/>
          </w:rPr>
          <w:t>matthew.gibson@fcc.gov</w:t>
        </w:r>
      </w:hyperlink>
      <w:r w:rsidR="009F79F2">
        <w:t xml:space="preserve">, with copy to </w:t>
      </w:r>
      <w:hyperlink r:id="rId12" w:history="1">
        <w:r w:rsidR="009F79F2" w:rsidRPr="00627A1C">
          <w:rPr>
            <w:rStyle w:val="Hyperlink"/>
          </w:rPr>
          <w:t>SCR-Response@fcc.gov</w:t>
        </w:r>
      </w:hyperlink>
      <w:r w:rsidRPr="00981F23">
        <w:t xml:space="preserve">.  </w:t>
      </w:r>
    </w:p>
    <w:p w14:paraId="78629E2B" w14:textId="77777777" w:rsidR="00887022" w:rsidRPr="00981F23" w:rsidRDefault="00887022" w:rsidP="009F79F2">
      <w:pPr>
        <w:pStyle w:val="ParaNum"/>
        <w:widowControl/>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w:t>
      </w:r>
      <w:r w:rsidR="00990CED">
        <w:t>’</w:t>
      </w:r>
      <w:r w:rsidRPr="00981F23">
        <w:t>s current financial status.  Any claim of inability to pay must specifically identify the basis for the claim by reference to the financial documentation.</w:t>
      </w:r>
    </w:p>
    <w:p w14:paraId="7A5AD9C5" w14:textId="77777777" w:rsidR="00887022" w:rsidRPr="00981F23" w:rsidRDefault="00887022" w:rsidP="00862F35">
      <w:pPr>
        <w:pStyle w:val="ParaNum"/>
        <w:keepNext/>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9F79F2">
        <w:t>Ravi</w:t>
      </w:r>
      <w:r w:rsidR="00990CED">
        <w:t>’</w:t>
      </w:r>
      <w:r w:rsidR="009F79F2">
        <w:t xml:space="preserve">s Import Warehouse, </w:t>
      </w:r>
      <w:r w:rsidR="00862F35">
        <w:t xml:space="preserve">Attn: </w:t>
      </w:r>
      <w:r w:rsidR="009F79F2">
        <w:t>Anita Bhatia, 11029 Harry Hines B</w:t>
      </w:r>
      <w:r w:rsidR="00862F35">
        <w:t>ou</w:t>
      </w:r>
      <w:r w:rsidR="009F79F2">
        <w:t>l</w:t>
      </w:r>
      <w:r w:rsidR="00862F35">
        <w:t>e</w:t>
      </w:r>
      <w:r w:rsidR="009F79F2">
        <w:t>v</w:t>
      </w:r>
      <w:r w:rsidR="00862F35">
        <w:t>ar</w:t>
      </w:r>
      <w:r w:rsidR="009F79F2">
        <w:t>d, Dallas, Texas 75229</w:t>
      </w:r>
      <w:r w:rsidRPr="00981F23">
        <w:t>.</w:t>
      </w:r>
    </w:p>
    <w:p w14:paraId="0A61480A" w14:textId="77777777" w:rsidR="00887022" w:rsidRPr="00887022" w:rsidRDefault="00887022" w:rsidP="00862F35">
      <w:pPr>
        <w:keepNext/>
        <w:rPr>
          <w:color w:val="000000"/>
        </w:rPr>
      </w:pPr>
    </w:p>
    <w:p w14:paraId="511569A5" w14:textId="77777777" w:rsidR="009F79F2" w:rsidRDefault="009F79F2" w:rsidP="00862F35">
      <w:pPr>
        <w:keepNext/>
      </w:pPr>
      <w:r>
        <w:tab/>
      </w:r>
      <w:r>
        <w:tab/>
      </w:r>
      <w:r>
        <w:tab/>
      </w:r>
      <w:r>
        <w:tab/>
      </w:r>
      <w:r>
        <w:tab/>
      </w:r>
      <w:r>
        <w:tab/>
        <w:t>FEDERAL COMMUNICATIONS COMMISSION</w:t>
      </w:r>
    </w:p>
    <w:p w14:paraId="3D82B9C1" w14:textId="77777777" w:rsidR="009F79F2" w:rsidRDefault="009F79F2" w:rsidP="00862F35">
      <w:pPr>
        <w:keepNext/>
      </w:pPr>
    </w:p>
    <w:p w14:paraId="5B1D00A5" w14:textId="77777777" w:rsidR="009F79F2" w:rsidRDefault="009F79F2" w:rsidP="0017296B"/>
    <w:p w14:paraId="02AEAA7D" w14:textId="77777777" w:rsidR="009F79F2" w:rsidRDefault="009F79F2" w:rsidP="0017296B"/>
    <w:p w14:paraId="01CF2A25" w14:textId="77777777" w:rsidR="009F79F2" w:rsidRDefault="009F79F2" w:rsidP="0017296B"/>
    <w:p w14:paraId="039091C8" w14:textId="77777777" w:rsidR="009F79F2" w:rsidRDefault="009F79F2" w:rsidP="0017296B">
      <w:r>
        <w:tab/>
      </w:r>
      <w:r>
        <w:tab/>
      </w:r>
      <w:r>
        <w:tab/>
      </w:r>
      <w:r>
        <w:tab/>
      </w:r>
      <w:r>
        <w:tab/>
      </w:r>
      <w:r>
        <w:tab/>
        <w:t>Ronald Ramage</w:t>
      </w:r>
    </w:p>
    <w:p w14:paraId="5C3562F1" w14:textId="77777777" w:rsidR="009F79F2" w:rsidRDefault="009F79F2" w:rsidP="0017296B">
      <w:r>
        <w:tab/>
      </w:r>
      <w:r>
        <w:tab/>
      </w:r>
      <w:r>
        <w:tab/>
      </w:r>
      <w:r>
        <w:tab/>
      </w:r>
      <w:r>
        <w:tab/>
      </w:r>
      <w:r>
        <w:tab/>
        <w:t>Regional Director</w:t>
      </w:r>
    </w:p>
    <w:p w14:paraId="0721A018" w14:textId="77777777" w:rsidR="009F79F2" w:rsidRDefault="009F79F2" w:rsidP="0017296B">
      <w:r>
        <w:tab/>
      </w:r>
      <w:r>
        <w:tab/>
      </w:r>
      <w:r>
        <w:tab/>
      </w:r>
      <w:r>
        <w:tab/>
      </w:r>
      <w:r>
        <w:tab/>
      </w:r>
      <w:r>
        <w:tab/>
        <w:t xml:space="preserve">Region </w:t>
      </w:r>
      <w:r w:rsidR="002751DE">
        <w:t>Two</w:t>
      </w:r>
    </w:p>
    <w:p w14:paraId="30076B99" w14:textId="77777777" w:rsidR="009F79F2" w:rsidRDefault="009F79F2" w:rsidP="0017296B">
      <w:r>
        <w:tab/>
      </w:r>
      <w:r>
        <w:tab/>
      </w:r>
      <w:r>
        <w:tab/>
      </w:r>
      <w:r>
        <w:tab/>
      </w:r>
      <w:r>
        <w:tab/>
      </w:r>
      <w:r>
        <w:tab/>
        <w:t>Enforcement Bureau</w:t>
      </w:r>
    </w:p>
    <w:p w14:paraId="27B78CDF" w14:textId="77777777" w:rsidR="00887022" w:rsidRPr="00887022" w:rsidRDefault="00887022" w:rsidP="009F79F2">
      <w:pPr>
        <w:pStyle w:val="ParaNum"/>
        <w:numPr>
          <w:ilvl w:val="0"/>
          <w:numId w:val="0"/>
        </w:numPr>
      </w:pPr>
    </w:p>
    <w:sectPr w:rsidR="00887022" w:rsidRPr="00887022"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4E21" w14:textId="77777777" w:rsidR="00F53C78" w:rsidRDefault="00F53C78">
      <w:pPr>
        <w:spacing w:line="20" w:lineRule="exact"/>
      </w:pPr>
    </w:p>
  </w:endnote>
  <w:endnote w:type="continuationSeparator" w:id="0">
    <w:p w14:paraId="3DBDEDC1" w14:textId="77777777" w:rsidR="00F53C78" w:rsidRDefault="00F53C78">
      <w:r>
        <w:t xml:space="preserve"> </w:t>
      </w:r>
    </w:p>
  </w:endnote>
  <w:endnote w:type="continuationNotice" w:id="1">
    <w:p w14:paraId="32FBB992" w14:textId="77777777" w:rsidR="00F53C78" w:rsidRDefault="00F53C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DD5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EAFDC0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81F2" w14:textId="7949C6B8"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7AA5">
      <w:rPr>
        <w:noProof/>
      </w:rPr>
      <w:t>6</w:t>
    </w:r>
    <w:r>
      <w:fldChar w:fldCharType="end"/>
    </w:r>
  </w:p>
  <w:p w14:paraId="504708B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27E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46CD6" w14:textId="77777777" w:rsidR="00F53C78" w:rsidRDefault="00F53C78">
      <w:r>
        <w:separator/>
      </w:r>
    </w:p>
  </w:footnote>
  <w:footnote w:type="continuationSeparator" w:id="0">
    <w:p w14:paraId="7A080B41" w14:textId="77777777" w:rsidR="00F53C78" w:rsidRDefault="00F53C78" w:rsidP="00C721AC">
      <w:pPr>
        <w:spacing w:before="120"/>
        <w:rPr>
          <w:sz w:val="20"/>
        </w:rPr>
      </w:pPr>
      <w:r>
        <w:rPr>
          <w:sz w:val="20"/>
        </w:rPr>
        <w:t xml:space="preserve">(Continued from previous page)  </w:t>
      </w:r>
      <w:r>
        <w:rPr>
          <w:sz w:val="20"/>
        </w:rPr>
        <w:separator/>
      </w:r>
    </w:p>
  </w:footnote>
  <w:footnote w:type="continuationNotice" w:id="1">
    <w:p w14:paraId="454BCDEF" w14:textId="77777777" w:rsidR="00F53C78" w:rsidRDefault="00F53C78" w:rsidP="00C721AC">
      <w:pPr>
        <w:jc w:val="right"/>
        <w:rPr>
          <w:sz w:val="20"/>
        </w:rPr>
      </w:pPr>
      <w:r>
        <w:rPr>
          <w:sz w:val="20"/>
        </w:rPr>
        <w:t>(continued….)</w:t>
      </w:r>
    </w:p>
  </w:footnote>
  <w:footnote w:id="2">
    <w:p w14:paraId="1D039871" w14:textId="77777777" w:rsidR="00B17EA9" w:rsidRDefault="00B17EA9" w:rsidP="00B17EA9">
      <w:pPr>
        <w:pStyle w:val="FootnoteText"/>
      </w:pPr>
      <w:r w:rsidRPr="00212463">
        <w:rPr>
          <w:rStyle w:val="FootnoteReference"/>
        </w:rPr>
        <w:footnoteRef/>
      </w:r>
      <w:r w:rsidRPr="00212463">
        <w:t xml:space="preserve"> 47 U.S.C. §§ 301, 302a(b), 333.</w:t>
      </w:r>
    </w:p>
  </w:footnote>
  <w:footnote w:id="3">
    <w:p w14:paraId="2DFBEC70" w14:textId="77777777" w:rsidR="00B17EA9" w:rsidRDefault="00B17EA9" w:rsidP="00B17EA9">
      <w:pPr>
        <w:pStyle w:val="FootnoteText"/>
      </w:pPr>
      <w:r w:rsidRPr="00212463">
        <w:rPr>
          <w:rStyle w:val="FootnoteReference"/>
        </w:rPr>
        <w:footnoteRef/>
      </w:r>
      <w:r w:rsidRPr="00212463">
        <w:t xml:space="preserve"> 47 CFR §§ </w:t>
      </w:r>
      <w:r w:rsidRPr="004358C6">
        <w:t>2.805(a),</w:t>
      </w:r>
      <w:r w:rsidRPr="00212463">
        <w:t xml:space="preserve"> 15.1(c).</w:t>
      </w:r>
    </w:p>
  </w:footnote>
  <w:footnote w:id="4">
    <w:p w14:paraId="34AA3FCF" w14:textId="4B7B8920" w:rsidR="00587CAE" w:rsidRDefault="00587CAE" w:rsidP="00587CAE">
      <w:pPr>
        <w:pStyle w:val="FootnoteText"/>
      </w:pPr>
      <w:r w:rsidRPr="00212463">
        <w:rPr>
          <w:rStyle w:val="FootnoteReference"/>
        </w:rPr>
        <w:footnoteRef/>
      </w:r>
      <w:r w:rsidRPr="00212463">
        <w:t xml:space="preserve"> </w:t>
      </w:r>
      <w:r>
        <w:t xml:space="preserve">In </w:t>
      </w:r>
      <w:r w:rsidRPr="00212463">
        <w:t xml:space="preserve">very limited circumstances and consistent with applicable procurement requirements, </w:t>
      </w:r>
      <w:r>
        <w:t>jamming devices</w:t>
      </w:r>
      <w:r w:rsidRPr="00212463">
        <w:t xml:space="preserve"> may </w:t>
      </w:r>
      <w:r>
        <w:t xml:space="preserve">be </w:t>
      </w:r>
      <w:r w:rsidRPr="00212463">
        <w:t>market</w:t>
      </w:r>
      <w:r>
        <w:t>ed</w:t>
      </w:r>
      <w:r w:rsidRPr="00212463">
        <w:t xml:space="preserve"> to </w:t>
      </w:r>
      <w:r w:rsidR="00C41639">
        <w:t xml:space="preserve">and used by </w:t>
      </w:r>
      <w:r w:rsidRPr="00212463">
        <w:t xml:space="preserve">the </w:t>
      </w:r>
      <w:r w:rsidR="00C41639">
        <w:t>U.S. F</w:t>
      </w:r>
      <w:r w:rsidRPr="00212463">
        <w:t>ederal gove</w:t>
      </w:r>
      <w:r>
        <w:t>rnm</w:t>
      </w:r>
      <w:r w:rsidRPr="00212463">
        <w:t xml:space="preserve">ent for authorized, official use.  </w:t>
      </w:r>
      <w:r w:rsidRPr="00212463">
        <w:rPr>
          <w:i/>
        </w:rPr>
        <w:t>See</w:t>
      </w:r>
      <w:r w:rsidRPr="00212463">
        <w:t xml:space="preserve"> 47 U.S.C. § 302a(c); 47 CFR § 2.807(d).</w:t>
      </w:r>
    </w:p>
  </w:footnote>
  <w:footnote w:id="5">
    <w:p w14:paraId="72593C50" w14:textId="68D93098" w:rsidR="008D76EB" w:rsidRDefault="008D76EB" w:rsidP="009D23A0">
      <w:pPr>
        <w:pStyle w:val="FootnoteText"/>
      </w:pPr>
      <w:r>
        <w:rPr>
          <w:rStyle w:val="FootnoteReference"/>
        </w:rPr>
        <w:footnoteRef/>
      </w:r>
      <w:r>
        <w:t xml:space="preserve"> </w:t>
      </w:r>
      <w:r w:rsidR="009D23A0" w:rsidRPr="009D23A0">
        <w:rPr>
          <w:i/>
        </w:rPr>
        <w:t>See</w:t>
      </w:r>
      <w:r w:rsidR="009D23A0">
        <w:t xml:space="preserve"> </w:t>
      </w:r>
      <w:r w:rsidR="009D23A0">
        <w:rPr>
          <w:i/>
        </w:rPr>
        <w:t>Warning: Jammer Use b</w:t>
      </w:r>
      <w:r w:rsidR="009D23A0" w:rsidRPr="009D23A0">
        <w:rPr>
          <w:i/>
        </w:rPr>
        <w:t>y the Public and Local Law Enforcement Is Illegal</w:t>
      </w:r>
      <w:r w:rsidR="009D23A0">
        <w:t xml:space="preserve">, FCC Enforcement Advisory, </w:t>
      </w:r>
      <w:r w:rsidR="009D23A0" w:rsidRPr="009D23A0">
        <w:t>29 FCC Rcd 14737</w:t>
      </w:r>
      <w:r w:rsidR="009D23A0">
        <w:t xml:space="preserve"> (EB 2014); </w:t>
      </w:r>
      <w:r w:rsidR="009D23A0" w:rsidRPr="009D23A0">
        <w:rPr>
          <w:i/>
        </w:rPr>
        <w:t>Cell Jammers, GPS Jammers and Other Jamming Devices</w:t>
      </w:r>
      <w:r w:rsidR="009D23A0">
        <w:t xml:space="preserve">, FCC Enforcement Advisory, 27 FCC Rcd 2309 (EB 2012); </w:t>
      </w:r>
      <w:r w:rsidR="009D23A0" w:rsidRPr="009D23A0">
        <w:rPr>
          <w:i/>
        </w:rPr>
        <w:t>Cell Jammers, GPS Jammers and Other Jamming Devices</w:t>
      </w:r>
      <w:r w:rsidR="009D23A0">
        <w:t xml:space="preserve">, FCC Enforcement Advisory, 26 FCC Rcd 1327 (2011). These advisories, along with frequently asked questions related to the jamming prohibition, are available at </w:t>
      </w:r>
      <w:hyperlink r:id="rId1" w:history="1">
        <w:r w:rsidR="00894B20" w:rsidRPr="00A52F4A">
          <w:rPr>
            <w:rStyle w:val="Hyperlink"/>
          </w:rPr>
          <w:t>http://www.fcc.gov/jammers</w:t>
        </w:r>
      </w:hyperlink>
      <w:r w:rsidR="009D23A0">
        <w:t>.  On October 15, 2012, the Enforcement Bureau also launched a dedicated jammer tip line – 1-855-55-NOJAM (or 1-855-556-6526) – to make it easier for the public to report the use or sale of illegal cell phone, GPS or other signal jammers.</w:t>
      </w:r>
    </w:p>
  </w:footnote>
  <w:footnote w:id="6">
    <w:p w14:paraId="0455D8B4" w14:textId="77777777" w:rsidR="006C2E4B" w:rsidRPr="006C2E4B" w:rsidRDefault="006C2E4B">
      <w:pPr>
        <w:pStyle w:val="FootnoteText"/>
      </w:pPr>
      <w:r>
        <w:rPr>
          <w:rStyle w:val="FootnoteReference"/>
        </w:rPr>
        <w:footnoteRef/>
      </w:r>
      <w:r>
        <w:t xml:space="preserve"> </w:t>
      </w:r>
      <w:r>
        <w:rPr>
          <w:i/>
        </w:rPr>
        <w:t>Ravi</w:t>
      </w:r>
      <w:r w:rsidR="00990CED">
        <w:rPr>
          <w:i/>
        </w:rPr>
        <w:t>’</w:t>
      </w:r>
      <w:r>
        <w:rPr>
          <w:i/>
        </w:rPr>
        <w:t>s Import Warehouse</w:t>
      </w:r>
      <w:r>
        <w:t>, Notice of Unlicensed Radio Operation (Dallas Field Office, EB, Apr. 10, 2017) (NOUO).</w:t>
      </w:r>
    </w:p>
  </w:footnote>
  <w:footnote w:id="7">
    <w:p w14:paraId="6C67191A" w14:textId="77777777" w:rsidR="00B17EA9" w:rsidRDefault="00B17EA9" w:rsidP="00B17EA9">
      <w:pPr>
        <w:pStyle w:val="FootnoteText"/>
      </w:pPr>
      <w:r w:rsidRPr="00212463">
        <w:rPr>
          <w:rStyle w:val="FootnoteReference"/>
        </w:rPr>
        <w:footnoteRef/>
      </w:r>
      <w:r w:rsidRPr="00212463">
        <w:t xml:space="preserve"> 47 U.S.C. § 301.</w:t>
      </w:r>
    </w:p>
  </w:footnote>
  <w:footnote w:id="8">
    <w:p w14:paraId="4A3AF59E" w14:textId="77777777" w:rsidR="00B17EA9" w:rsidRDefault="00B17EA9" w:rsidP="00B17EA9">
      <w:pPr>
        <w:pStyle w:val="FootnoteText"/>
      </w:pPr>
      <w:r w:rsidRPr="00212463">
        <w:rPr>
          <w:rStyle w:val="FootnoteReference"/>
        </w:rPr>
        <w:footnoteRef/>
      </w:r>
      <w:r w:rsidRPr="00212463">
        <w:t xml:space="preserve"> </w:t>
      </w:r>
      <w:r w:rsidRPr="00212463">
        <w:rPr>
          <w:i/>
        </w:rPr>
        <w:t>Id</w:t>
      </w:r>
      <w:r w:rsidRPr="00212463">
        <w:t>. § 333.</w:t>
      </w:r>
    </w:p>
  </w:footnote>
  <w:footnote w:id="9">
    <w:p w14:paraId="52ED90C7" w14:textId="77777777" w:rsidR="00B17EA9" w:rsidRDefault="00B17EA9" w:rsidP="00B17EA9">
      <w:pPr>
        <w:pStyle w:val="FootnoteText"/>
      </w:pPr>
      <w:r w:rsidRPr="00212463">
        <w:rPr>
          <w:rStyle w:val="FootnoteReference"/>
        </w:rPr>
        <w:footnoteRef/>
      </w:r>
      <w:r w:rsidRPr="00212463">
        <w:t xml:space="preserve"> </w:t>
      </w:r>
      <w:smartTag w:uri="urn:schemas-microsoft-com:office:smarttags" w:element="City">
        <w:smartTag w:uri="urn:schemas-microsoft-com:office:smarttags" w:element="State">
          <w:smartTag w:uri="urn:schemas-microsoft-com:office:smarttags" w:element="place">
            <w:r w:rsidRPr="00212463">
              <w:rPr>
                <w:i/>
              </w:rPr>
              <w:t>Id.</w:t>
            </w:r>
          </w:smartTag>
        </w:smartTag>
      </w:smartTag>
      <w:r w:rsidRPr="00212463">
        <w:rPr>
          <w:i/>
        </w:rPr>
        <w:t xml:space="preserve"> </w:t>
      </w:r>
      <w:r w:rsidRPr="00212463">
        <w:t>§ 302a(b) (emphasis added).</w:t>
      </w:r>
    </w:p>
  </w:footnote>
  <w:footnote w:id="10">
    <w:p w14:paraId="7ED80F16" w14:textId="77777777" w:rsidR="00B17EA9" w:rsidRDefault="00B17EA9" w:rsidP="00B17EA9">
      <w:pPr>
        <w:pStyle w:val="FootnoteText"/>
      </w:pPr>
      <w:r w:rsidRPr="00212463">
        <w:rPr>
          <w:rStyle w:val="FootnoteReference"/>
        </w:rPr>
        <w:footnoteRef/>
      </w:r>
      <w:r w:rsidRPr="00212463">
        <w:t xml:space="preserve"> 47 CFR §§ </w:t>
      </w:r>
      <w:r>
        <w:t>2.805,</w:t>
      </w:r>
      <w:r w:rsidR="00D76710">
        <w:t xml:space="preserve"> </w:t>
      </w:r>
      <w:r>
        <w:t xml:space="preserve">15.1(c), </w:t>
      </w:r>
      <w:r w:rsidRPr="00212463">
        <w:t>15.201</w:t>
      </w:r>
      <w:r w:rsidRPr="00E229D3">
        <w:t>.</w:t>
      </w:r>
      <w:r>
        <w:rPr>
          <w:color w:val="000000"/>
        </w:rPr>
        <w:t xml:space="preserve"> </w:t>
      </w:r>
    </w:p>
  </w:footnote>
  <w:footnote w:id="11">
    <w:p w14:paraId="41C7B54E" w14:textId="77777777" w:rsidR="00B17EA9" w:rsidRDefault="00B17EA9" w:rsidP="00B17EA9">
      <w:pPr>
        <w:pStyle w:val="FootnoteText"/>
      </w:pPr>
      <w:r w:rsidRPr="00212463">
        <w:rPr>
          <w:rStyle w:val="FootnoteReference"/>
        </w:rPr>
        <w:footnoteRef/>
      </w:r>
      <w:r w:rsidRPr="00212463">
        <w:t xml:space="preserve"> </w:t>
      </w:r>
      <w:smartTag w:uri="urn:schemas-microsoft-com:office:smarttags" w:element="City">
        <w:smartTag w:uri="urn:schemas-microsoft-com:office:smarttags" w:element="State">
          <w:smartTag w:uri="urn:schemas-microsoft-com:office:smarttags" w:element="place">
            <w:r w:rsidRPr="000B5CA0">
              <w:rPr>
                <w:i/>
              </w:rPr>
              <w:t>Id.</w:t>
            </w:r>
          </w:smartTag>
        </w:smartTag>
      </w:smartTag>
      <w:r w:rsidRPr="000B5CA0">
        <w:t xml:space="preserve"> </w:t>
      </w:r>
      <w:r w:rsidRPr="004358C6">
        <w:t>§ 2.805(a)</w:t>
      </w:r>
      <w:r w:rsidRPr="00E229D3">
        <w:rPr>
          <w:color w:val="000000"/>
        </w:rPr>
        <w:t xml:space="preserve">; </w:t>
      </w:r>
      <w:r w:rsidRPr="00E229D3">
        <w:rPr>
          <w:i/>
          <w:color w:val="000000"/>
        </w:rPr>
        <w:t>see also id</w:t>
      </w:r>
      <w:r w:rsidRPr="00E229D3">
        <w:rPr>
          <w:color w:val="000000"/>
        </w:rPr>
        <w:t>. § 2.803(a) (</w:t>
      </w:r>
      <w:r>
        <w:rPr>
          <w:color w:val="000000"/>
        </w:rPr>
        <w:t xml:space="preserve">also prohibiting the marketing of jammer devices through the </w:t>
      </w:r>
      <w:r w:rsidR="00990CED">
        <w:rPr>
          <w:color w:val="000000"/>
        </w:rPr>
        <w:t>“</w:t>
      </w:r>
      <w:r>
        <w:rPr>
          <w:color w:val="000000"/>
        </w:rPr>
        <w:t>sale or lease, or offering for sale or lease, including advertising for sale or lease, or importation, shipment, or distribution for the purpose of selling or leasing or offering for sale or lease</w:t>
      </w:r>
      <w:r w:rsidR="00990CED">
        <w:rPr>
          <w:color w:val="000000"/>
        </w:rPr>
        <w:t>”</w:t>
      </w:r>
      <w:r>
        <w:rPr>
          <w:color w:val="000000"/>
        </w:rPr>
        <w:t xml:space="preserve">).   </w:t>
      </w:r>
    </w:p>
  </w:footnote>
  <w:footnote w:id="12">
    <w:p w14:paraId="52261E2A" w14:textId="77777777" w:rsidR="00FF1936" w:rsidRPr="00FC20C4" w:rsidRDefault="00FF1936" w:rsidP="00FF1936">
      <w:pPr>
        <w:pStyle w:val="FootnoteText"/>
      </w:pPr>
      <w:r>
        <w:rPr>
          <w:rStyle w:val="FootnoteReference"/>
        </w:rPr>
        <w:footnoteRef/>
      </w:r>
      <w:r>
        <w:t xml:space="preserve"> </w:t>
      </w:r>
      <w:r>
        <w:rPr>
          <w:i/>
        </w:rPr>
        <w:t>Id</w:t>
      </w:r>
      <w:r>
        <w:t>. §§ 15.1(c), 15.201(b).</w:t>
      </w:r>
    </w:p>
  </w:footnote>
  <w:footnote w:id="13">
    <w:p w14:paraId="6DAC99BF" w14:textId="77777777" w:rsidR="00FF1936" w:rsidRDefault="00FF1936" w:rsidP="00FF1936">
      <w:pPr>
        <w:pStyle w:val="FootnoteText"/>
      </w:pPr>
      <w:r w:rsidRPr="00212463">
        <w:rPr>
          <w:rStyle w:val="FootnoteReference"/>
        </w:rPr>
        <w:footnoteRef/>
      </w:r>
      <w:r w:rsidRPr="00212463">
        <w:t xml:space="preserve"> An </w:t>
      </w:r>
      <w:r>
        <w:t>“</w:t>
      </w:r>
      <w:r w:rsidRPr="00212463">
        <w:t>intentional radiator</w:t>
      </w:r>
      <w:r>
        <w:t>”</w:t>
      </w:r>
      <w:r w:rsidRPr="00212463">
        <w:t xml:space="preserve"> is a </w:t>
      </w:r>
      <w:r>
        <w:t>“</w:t>
      </w:r>
      <w:r w:rsidRPr="00212463">
        <w:t>device that intentionally generates and emits radio frequency energy by radiation or induction.</w:t>
      </w:r>
      <w:r>
        <w:t>”</w:t>
      </w:r>
      <w:r w:rsidRPr="00212463">
        <w:t xml:space="preserve">  </w:t>
      </w:r>
      <w:r w:rsidRPr="00212463">
        <w:rPr>
          <w:i/>
        </w:rPr>
        <w:t>Id</w:t>
      </w:r>
      <w:r w:rsidRPr="00212463">
        <w:t>. § 15.3(o).  Under this definition, signal jamming devices are intentional radiators.</w:t>
      </w:r>
    </w:p>
  </w:footnote>
  <w:footnote w:id="14">
    <w:p w14:paraId="559616B4" w14:textId="77777777" w:rsidR="00B17EA9" w:rsidRDefault="00B17EA9" w:rsidP="00B17EA9">
      <w:pPr>
        <w:pStyle w:val="FootnoteText"/>
      </w:pPr>
      <w:r>
        <w:rPr>
          <w:rStyle w:val="FootnoteReference"/>
        </w:rPr>
        <w:footnoteRef/>
      </w:r>
      <w:r>
        <w:t xml:space="preserve"> </w:t>
      </w:r>
      <w:r w:rsidR="00FC20C4" w:rsidRPr="00FC20C4">
        <w:rPr>
          <w:i/>
        </w:rPr>
        <w:t>S</w:t>
      </w:r>
      <w:r w:rsidRPr="00A917D0">
        <w:rPr>
          <w:i/>
        </w:rPr>
        <w:t>ee</w:t>
      </w:r>
      <w:r w:rsidRPr="00862F35">
        <w:t>,</w:t>
      </w:r>
      <w:r w:rsidRPr="00A917D0">
        <w:rPr>
          <w:i/>
        </w:rPr>
        <w:t xml:space="preserve"> </w:t>
      </w:r>
      <w:r>
        <w:rPr>
          <w:i/>
        </w:rPr>
        <w:t>e.g.</w:t>
      </w:r>
      <w:r w:rsidRPr="00E229D3">
        <w:t>,</w:t>
      </w:r>
      <w:r w:rsidRPr="00E00DD0">
        <w:t xml:space="preserve"> 47 CFR §§ 22.377, </w:t>
      </w:r>
      <w:r>
        <w:t>24.51, 27.51, 90.203 (requiring certification of</w:t>
      </w:r>
      <w:r w:rsidRPr="00E00DD0">
        <w:t xml:space="preserve"> transmitters </w:t>
      </w:r>
      <w:r>
        <w:t>that</w:t>
      </w:r>
      <w:r w:rsidRPr="00E00DD0">
        <w:t xml:space="preserve"> operat</w:t>
      </w:r>
      <w:r>
        <w:t>e</w:t>
      </w:r>
      <w:r w:rsidRPr="00E00DD0">
        <w:t xml:space="preserve"> in the public mobile service, personal communications service, miscellaneous wireless </w:t>
      </w:r>
      <w:r>
        <w:t xml:space="preserve">communications </w:t>
      </w:r>
      <w:r w:rsidRPr="00E00DD0">
        <w:t>service</w:t>
      </w:r>
      <w:r>
        <w:t>, and private land mobile radio services</w:t>
      </w:r>
      <w:r w:rsidRPr="00E00DD0">
        <w:t>).</w:t>
      </w:r>
    </w:p>
  </w:footnote>
  <w:footnote w:id="15">
    <w:p w14:paraId="79F1C803" w14:textId="2D97BD0E" w:rsidR="00B17EA9" w:rsidRDefault="00B17EA9" w:rsidP="00B17EA9">
      <w:pPr>
        <w:pStyle w:val="FootnoteText"/>
      </w:pPr>
      <w:r>
        <w:rPr>
          <w:rStyle w:val="FootnoteReference"/>
        </w:rPr>
        <w:footnoteRef/>
      </w:r>
      <w:r>
        <w:t xml:space="preserve"> 47 U.S.C. § 302a(b)</w:t>
      </w:r>
      <w:r w:rsidR="004B0292">
        <w:t xml:space="preserve">; </w:t>
      </w:r>
      <w:r w:rsidR="004B0292">
        <w:rPr>
          <w:i/>
        </w:rPr>
        <w:t>see</w:t>
      </w:r>
      <w:r w:rsidR="004B0292">
        <w:t xml:space="preserve">, </w:t>
      </w:r>
      <w:r w:rsidR="004B0292">
        <w:rPr>
          <w:i/>
        </w:rPr>
        <w:t>e.g.</w:t>
      </w:r>
      <w:r w:rsidR="004B0292">
        <w:t xml:space="preserve">, </w:t>
      </w:r>
      <w:r w:rsidR="004B0292" w:rsidRPr="004B0292">
        <w:rPr>
          <w:i/>
        </w:rPr>
        <w:t>R&amp;N Manufacturing, Ltd.</w:t>
      </w:r>
      <w:r w:rsidR="004B0292">
        <w:t>, Notice of Apparent Liability for Forfeiture, 29 FCC Rcd 3332, 3335, para. 8 (2014)</w:t>
      </w:r>
      <w:r w:rsidR="007E5D61">
        <w:t xml:space="preserve"> (</w:t>
      </w:r>
      <w:r w:rsidR="007E5D61" w:rsidRPr="00C93235">
        <w:rPr>
          <w:i/>
        </w:rPr>
        <w:t>R&amp;N NAL</w:t>
      </w:r>
      <w:r w:rsidR="007E5D61">
        <w:t>)</w:t>
      </w:r>
      <w:r w:rsidR="00507057">
        <w:t xml:space="preserve">, </w:t>
      </w:r>
      <w:r w:rsidR="0062176A">
        <w:rPr>
          <w:i/>
        </w:rPr>
        <w:t xml:space="preserve">cancelled by </w:t>
      </w:r>
      <w:r w:rsidR="00507057">
        <w:t>Order, 31 FCC Rcd 1897 (EB 2016)</w:t>
      </w:r>
      <w:r w:rsidR="004F3758">
        <w:t xml:space="preserve"> (adopting a Consent Decree terminating and resolving the investigation</w:t>
      </w:r>
      <w:r w:rsidR="0087020A">
        <w:t>)</w:t>
      </w:r>
      <w:r>
        <w:t xml:space="preserve">. </w:t>
      </w:r>
    </w:p>
  </w:footnote>
  <w:footnote w:id="16">
    <w:p w14:paraId="4B930603" w14:textId="145F6E54" w:rsidR="007E3EB1" w:rsidRDefault="007E3EB1">
      <w:pPr>
        <w:pStyle w:val="FootnoteText"/>
      </w:pPr>
      <w:r>
        <w:rPr>
          <w:rStyle w:val="FootnoteReference"/>
        </w:rPr>
        <w:footnoteRef/>
      </w:r>
      <w:r>
        <w:t xml:space="preserve"> </w:t>
      </w:r>
      <w:r w:rsidR="00D76710">
        <w:t>47 U.S.C. §§ 301, 302a(b), 333; 47 CFR §§ 2.805(a), 15.1(c)</w:t>
      </w:r>
      <w:r w:rsidR="00C41639">
        <w:t xml:space="preserve">; </w:t>
      </w:r>
      <w:r w:rsidR="00C41639">
        <w:rPr>
          <w:i/>
        </w:rPr>
        <w:t xml:space="preserve">see </w:t>
      </w:r>
      <w:r w:rsidR="00C41639" w:rsidRPr="00C41639">
        <w:rPr>
          <w:i/>
        </w:rPr>
        <w:t>The Supply Room, Inc.</w:t>
      </w:r>
      <w:r w:rsidR="00C41639">
        <w:t>,</w:t>
      </w:r>
      <w:r w:rsidR="00507057">
        <w:t xml:space="preserve"> Notice of Apparent Liability for Forfeiture, 28 FCC Rcd 4981, 82, para. 4 (2013)</w:t>
      </w:r>
      <w:r w:rsidR="00C41639">
        <w:t xml:space="preserve"> </w:t>
      </w:r>
      <w:r w:rsidR="00507057">
        <w:t>(</w:t>
      </w:r>
      <w:r w:rsidR="00AB52B1">
        <w:t xml:space="preserve">proposing a forfeiture for operating a signal jammer in violation of Sections 301, 302(b), and 333 of the Act, as well as certain Commission rules, where the jammer operation was used “to prevent [the company’s] employees from using their </w:t>
      </w:r>
      <w:r w:rsidR="00507057">
        <w:t>cellular phones while working</w:t>
      </w:r>
      <w:r w:rsidR="00AB52B1">
        <w:t>”</w:t>
      </w:r>
      <w:r w:rsidR="00507057">
        <w:t xml:space="preserve">), </w:t>
      </w:r>
      <w:r w:rsidR="0087020A">
        <w:rPr>
          <w:i/>
        </w:rPr>
        <w:t xml:space="preserve">cancelled by </w:t>
      </w:r>
      <w:r w:rsidR="00507057">
        <w:t>Order, 31 FCC Rcd 2082 (EB 2016)</w:t>
      </w:r>
      <w:r w:rsidR="004F3758">
        <w:t xml:space="preserve"> (</w:t>
      </w:r>
      <w:r w:rsidR="004F3758" w:rsidRPr="004F3758">
        <w:t xml:space="preserve">adopting a Consent Decree terminating and resolving </w:t>
      </w:r>
      <w:r w:rsidR="004F3758">
        <w:t>the</w:t>
      </w:r>
      <w:r w:rsidR="004F3758" w:rsidRPr="004F3758">
        <w:t xml:space="preserve"> investigation</w:t>
      </w:r>
      <w:r w:rsidR="004F3758">
        <w:t>)</w:t>
      </w:r>
      <w:r w:rsidR="00D76710">
        <w:t xml:space="preserve">. </w:t>
      </w:r>
    </w:p>
  </w:footnote>
  <w:footnote w:id="17">
    <w:p w14:paraId="625A82B8" w14:textId="77777777" w:rsidR="007E3EB1" w:rsidRPr="007E3EB1" w:rsidRDefault="007E3EB1" w:rsidP="007E3EB1">
      <w:pPr>
        <w:pStyle w:val="FootnoteText"/>
        <w:rPr>
          <w:b/>
          <w:i/>
          <w:color w:val="000000"/>
        </w:rPr>
      </w:pPr>
      <w:r w:rsidRPr="007E3EB1">
        <w:rPr>
          <w:rStyle w:val="FootnoteReference"/>
          <w:color w:val="000000"/>
        </w:rPr>
        <w:footnoteRef/>
      </w:r>
      <w:r w:rsidRPr="007E3EB1">
        <w:rPr>
          <w:color w:val="000000"/>
        </w:rPr>
        <w:t xml:space="preserve"> 47 U.S.C. § 503(b).  </w:t>
      </w:r>
    </w:p>
  </w:footnote>
  <w:footnote w:id="18">
    <w:p w14:paraId="4555C0AF" w14:textId="77777777" w:rsidR="007E3EB1" w:rsidRPr="007E3EB1" w:rsidRDefault="007E3EB1" w:rsidP="009F79F2">
      <w:pPr>
        <w:pStyle w:val="FootnoteText"/>
        <w:rPr>
          <w:color w:val="000000"/>
        </w:rPr>
      </w:pPr>
      <w:r w:rsidRPr="007E3EB1">
        <w:rPr>
          <w:rStyle w:val="FootnoteReference"/>
          <w:color w:val="000000"/>
        </w:rPr>
        <w:footnoteRef/>
      </w:r>
      <w:r w:rsidRPr="007E3EB1">
        <w:rPr>
          <w:color w:val="000000"/>
        </w:rPr>
        <w:t xml:space="preserve"> </w:t>
      </w:r>
      <w:r w:rsidRPr="007E3EB1">
        <w:rPr>
          <w:i/>
          <w:color w:val="000000"/>
        </w:rPr>
        <w:t>See</w:t>
      </w:r>
      <w:r w:rsidRPr="007E3EB1">
        <w:rPr>
          <w:color w:val="000000"/>
        </w:rPr>
        <w:t xml:space="preserve"> </w:t>
      </w:r>
      <w:r w:rsidR="009F79F2" w:rsidRPr="009F79F2">
        <w:rPr>
          <w:color w:val="000000"/>
        </w:rPr>
        <w:t xml:space="preserve">47 U.S.C. § 503(b)(2)(D); 47 CFR §§ 1.80(b)(7), (9); </w:t>
      </w:r>
      <w:r w:rsidR="009F79F2" w:rsidRPr="009F79F2">
        <w:rPr>
          <w:i/>
          <w:color w:val="000000"/>
        </w:rPr>
        <w:t>see also Jay Peralta, Corona, New York</w:t>
      </w:r>
      <w:r w:rsidR="009F79F2" w:rsidRPr="009F79F2">
        <w:rPr>
          <w:color w:val="000000"/>
        </w:rPr>
        <w:t>, Notice of</w:t>
      </w:r>
      <w:r w:rsidR="009F79F2">
        <w:rPr>
          <w:color w:val="000000"/>
        </w:rPr>
        <w:t xml:space="preserve"> </w:t>
      </w:r>
      <w:r w:rsidR="009F79F2" w:rsidRPr="009F79F2">
        <w:rPr>
          <w:color w:val="000000"/>
        </w:rPr>
        <w:t>Apparent Liability for Forfeiture, FCC 17-35, n.30 (rel. Apr. 14, 2017) (discussing inflation adjustments to the</w:t>
      </w:r>
      <w:r w:rsidR="009F79F2">
        <w:rPr>
          <w:color w:val="000000"/>
        </w:rPr>
        <w:t xml:space="preserve"> </w:t>
      </w:r>
      <w:r w:rsidR="009F79F2" w:rsidRPr="009F79F2">
        <w:rPr>
          <w:color w:val="000000"/>
        </w:rPr>
        <w:t>forfeitures specified in Section 503(b)(2)(D)).</w:t>
      </w:r>
      <w:r w:rsidRPr="007E3EB1">
        <w:rPr>
          <w:snapToGrid w:val="0"/>
          <w:color w:val="000000"/>
        </w:rPr>
        <w:t xml:space="preserve"> </w:t>
      </w:r>
    </w:p>
  </w:footnote>
  <w:footnote w:id="19">
    <w:p w14:paraId="05CDCC60" w14:textId="77777777" w:rsidR="007E3EB1" w:rsidRPr="007E3EB1" w:rsidRDefault="007E3EB1" w:rsidP="007E3EB1">
      <w:pPr>
        <w:pStyle w:val="FootnoteText"/>
        <w:rPr>
          <w:color w:val="000000"/>
          <w:lang w:val="es-ES"/>
        </w:rPr>
      </w:pPr>
      <w:r w:rsidRPr="007E3EB1">
        <w:rPr>
          <w:rStyle w:val="FootnoteReference"/>
          <w:color w:val="000000"/>
        </w:rPr>
        <w:footnoteRef/>
      </w:r>
      <w:r w:rsidRPr="007E3EB1">
        <w:rPr>
          <w:color w:val="000000"/>
          <w:lang w:val="es-ES"/>
        </w:rPr>
        <w:t xml:space="preserve"> 47 U.S.C. § 503(b)(2)(E).</w:t>
      </w:r>
    </w:p>
  </w:footnote>
  <w:footnote w:id="20">
    <w:p w14:paraId="43262756" w14:textId="77777777" w:rsidR="007E3EB1" w:rsidRPr="007E3EB1" w:rsidRDefault="007E3EB1" w:rsidP="007E3EB1">
      <w:pPr>
        <w:pStyle w:val="FootnoteText"/>
        <w:rPr>
          <w:color w:val="000000"/>
        </w:rPr>
      </w:pPr>
      <w:r w:rsidRPr="007E3EB1">
        <w:rPr>
          <w:rStyle w:val="FootnoteReference"/>
          <w:color w:val="000000"/>
        </w:rPr>
        <w:footnoteRef/>
      </w:r>
      <w:r w:rsidRPr="007E3EB1">
        <w:rPr>
          <w:color w:val="000000"/>
        </w:rPr>
        <w:t xml:space="preserve"> 47 CFR § 1.80(b)(8), Note to paragraph (b)(8). </w:t>
      </w:r>
    </w:p>
  </w:footnote>
  <w:footnote w:id="21">
    <w:p w14:paraId="29BFEB61" w14:textId="77777777" w:rsidR="007E3EB1" w:rsidRPr="007E3EB1" w:rsidRDefault="007E3EB1" w:rsidP="007E3EB1">
      <w:pPr>
        <w:pStyle w:val="FootnoteText"/>
        <w:rPr>
          <w:color w:val="000000"/>
        </w:rPr>
      </w:pPr>
      <w:r w:rsidRPr="007E3EB1">
        <w:rPr>
          <w:rStyle w:val="FootnoteReference"/>
          <w:color w:val="000000"/>
        </w:rPr>
        <w:footnoteRef/>
      </w:r>
      <w:r w:rsidRPr="007E3EB1">
        <w:rPr>
          <w:color w:val="000000"/>
        </w:rPr>
        <w:t xml:space="preserve"> </w:t>
      </w:r>
      <w:r w:rsidRPr="007E3EB1">
        <w:rPr>
          <w:i/>
          <w:color w:val="000000"/>
        </w:rPr>
        <w:t>Id</w:t>
      </w:r>
      <w:r w:rsidRPr="007E3EB1">
        <w:rPr>
          <w:color w:val="000000"/>
        </w:rPr>
        <w:t>.</w:t>
      </w:r>
    </w:p>
  </w:footnote>
  <w:footnote w:id="22">
    <w:p w14:paraId="42B5B99C" w14:textId="77777777" w:rsidR="00551DCA" w:rsidRDefault="00551DCA" w:rsidP="00551DCA">
      <w:pPr>
        <w:pStyle w:val="FootnoteText"/>
      </w:pPr>
      <w:r w:rsidRPr="00212463">
        <w:rPr>
          <w:rStyle w:val="FootnoteReference"/>
        </w:rPr>
        <w:footnoteRef/>
      </w:r>
      <w:r w:rsidRPr="00212463">
        <w:t xml:space="preserve"> </w:t>
      </w:r>
      <w:r w:rsidRPr="00212463">
        <w:rPr>
          <w:i/>
        </w:rPr>
        <w:t>Commission</w:t>
      </w:r>
      <w:r w:rsidR="00990CED">
        <w:rPr>
          <w:i/>
        </w:rPr>
        <w:t>’</w:t>
      </w:r>
      <w:r w:rsidRPr="00212463">
        <w:rPr>
          <w:i/>
        </w:rPr>
        <w:t>s Forfeiture Policy Statement and Amendment of Section 1.80 of the Rules to Incorporate the Forfeiture Guidelines</w:t>
      </w:r>
      <w:r w:rsidRPr="00212463">
        <w:t>, Report and Order, 12 FCC Rcd 17087 (1997) (</w:t>
      </w:r>
      <w:r w:rsidRPr="00212463">
        <w:rPr>
          <w:i/>
        </w:rPr>
        <w:t>Forfeiture Policy Statement</w:t>
      </w:r>
      <w:r w:rsidRPr="00212463">
        <w:t xml:space="preserve">), </w:t>
      </w:r>
      <w:r w:rsidRPr="00212463">
        <w:rPr>
          <w:i/>
        </w:rPr>
        <w:t>recons. denied</w:t>
      </w:r>
      <w:r w:rsidRPr="00212463">
        <w:t>, 15 FCC Rcd 303 (1999); 47 CFR § 1.80</w:t>
      </w:r>
      <w:r>
        <w:t>.</w:t>
      </w:r>
      <w:r w:rsidR="00AB52B1">
        <w:t xml:space="preserve">  Because the same underlying facts here result in both operation without an instrument of authorization ($10,000 base forfeiture) and use of unauthorized or illegal equipment </w:t>
      </w:r>
      <w:r w:rsidR="007D6F92">
        <w:t>($5,000 base forfeiture), we use only one of these two base forfeiture amounts.</w:t>
      </w:r>
    </w:p>
  </w:footnote>
  <w:footnote w:id="23">
    <w:p w14:paraId="509E798D" w14:textId="77777777" w:rsidR="007E3EB1" w:rsidRPr="007E3EB1" w:rsidRDefault="007E3EB1" w:rsidP="007E3EB1">
      <w:pPr>
        <w:pStyle w:val="FootnoteText"/>
        <w:rPr>
          <w:color w:val="000000"/>
        </w:rPr>
      </w:pPr>
      <w:r w:rsidRPr="007E3EB1">
        <w:rPr>
          <w:rStyle w:val="FootnoteReference"/>
          <w:color w:val="000000"/>
        </w:rPr>
        <w:footnoteRef/>
      </w:r>
      <w:r w:rsidRPr="007E3EB1">
        <w:rPr>
          <w:color w:val="000000"/>
        </w:rPr>
        <w:t xml:space="preserve"> </w:t>
      </w:r>
      <w:r w:rsidRPr="007E3EB1">
        <w:rPr>
          <w:i/>
          <w:color w:val="000000"/>
        </w:rPr>
        <w:t>The Commission</w:t>
      </w:r>
      <w:r w:rsidR="00990CED">
        <w:rPr>
          <w:i/>
          <w:color w:val="000000"/>
        </w:rPr>
        <w:t>’</w:t>
      </w:r>
      <w:r w:rsidRPr="007E3EB1">
        <w:rPr>
          <w:i/>
          <w:color w:val="000000"/>
        </w:rPr>
        <w:t>s Forfeiture Policy Statement and Amendment of Section 1.80 of the Rules to Incorporate the Forfeiture Guidelines</w:t>
      </w:r>
      <w:r w:rsidRPr="007E3EB1">
        <w:rPr>
          <w:color w:val="000000"/>
        </w:rPr>
        <w:t>, Report and Order, 12 FCC Rcd 17087, 17098</w:t>
      </w:r>
      <w:r w:rsidR="007768B0">
        <w:rPr>
          <w:color w:val="000000"/>
        </w:rPr>
        <w:t>-</w:t>
      </w:r>
      <w:r w:rsidRPr="007E3EB1">
        <w:rPr>
          <w:color w:val="000000"/>
        </w:rPr>
        <w:t xml:space="preserve">99, para. 22 (1997) (noting that </w:t>
      </w:r>
      <w:r w:rsidR="00990CED">
        <w:rPr>
          <w:color w:val="000000"/>
        </w:rPr>
        <w:t>“</w:t>
      </w:r>
      <w:r w:rsidRPr="007E3EB1">
        <w:rPr>
          <w:color w:val="000000"/>
        </w:rPr>
        <w:t>[a]lthough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990CED">
        <w:rPr>
          <w:color w:val="000000"/>
        </w:rPr>
        <w:t>”</w:t>
      </w:r>
      <w:r w:rsidRPr="007E3EB1">
        <w:rPr>
          <w:color w:val="000000"/>
        </w:rPr>
        <w:t>) (</w:t>
      </w:r>
      <w:r w:rsidRPr="007E3EB1">
        <w:rPr>
          <w:i/>
          <w:color w:val="000000"/>
        </w:rPr>
        <w:t>Forfeiture Policy Statement</w:t>
      </w:r>
      <w:r w:rsidRPr="007E3EB1">
        <w:rPr>
          <w:color w:val="000000"/>
        </w:rPr>
        <w:t xml:space="preserve">), </w:t>
      </w:r>
      <w:r w:rsidRPr="007E3EB1">
        <w:rPr>
          <w:i/>
          <w:color w:val="000000"/>
        </w:rPr>
        <w:t>recons. denied</w:t>
      </w:r>
      <w:r w:rsidRPr="007E3EB1">
        <w:rPr>
          <w:color w:val="000000"/>
        </w:rPr>
        <w:t>, Memorandum Opinion and Order, 15 FCC Rcd 303 (1999).</w:t>
      </w:r>
    </w:p>
  </w:footnote>
  <w:footnote w:id="24">
    <w:p w14:paraId="6AA9F4EE" w14:textId="77777777" w:rsidR="00551DCA" w:rsidRDefault="00551DCA" w:rsidP="00551DCA">
      <w:pPr>
        <w:pStyle w:val="FootnoteText"/>
      </w:pPr>
      <w:r>
        <w:rPr>
          <w:rStyle w:val="FootnoteReference"/>
        </w:rPr>
        <w:footnoteRef/>
      </w:r>
      <w:r>
        <w:t xml:space="preserve"> 47 U.S.C. § 503(b)(2)(E).</w:t>
      </w:r>
    </w:p>
  </w:footnote>
  <w:footnote w:id="25">
    <w:p w14:paraId="38505ADE" w14:textId="1AF332F2" w:rsidR="0098071F" w:rsidRPr="0098071F" w:rsidRDefault="0098071F">
      <w:pPr>
        <w:pStyle w:val="FootnoteText"/>
      </w:pPr>
      <w:r>
        <w:rPr>
          <w:rStyle w:val="FootnoteReference"/>
        </w:rPr>
        <w:footnoteRef/>
      </w:r>
      <w:r>
        <w:t xml:space="preserve"> </w:t>
      </w:r>
      <w:r>
        <w:rPr>
          <w:i/>
        </w:rPr>
        <w:t>See</w:t>
      </w:r>
      <w:r>
        <w:t xml:space="preserve"> para. 3, </w:t>
      </w:r>
      <w:r>
        <w:rPr>
          <w:i/>
        </w:rPr>
        <w:t>supra</w:t>
      </w:r>
      <w:r>
        <w:t>.</w:t>
      </w:r>
    </w:p>
  </w:footnote>
  <w:footnote w:id="26">
    <w:p w14:paraId="7C481CA1" w14:textId="782E7220" w:rsidR="00DF5E98" w:rsidRPr="00593459" w:rsidRDefault="00DF5E98">
      <w:pPr>
        <w:pStyle w:val="FootnoteText"/>
      </w:pPr>
      <w:r>
        <w:rPr>
          <w:rStyle w:val="FootnoteReference"/>
        </w:rPr>
        <w:footnoteRef/>
      </w:r>
      <w:r>
        <w:t xml:space="preserve"> </w:t>
      </w:r>
      <w:r w:rsidR="0098071F">
        <w:rPr>
          <w:i/>
        </w:rPr>
        <w:t xml:space="preserve">Id.  </w:t>
      </w:r>
      <w:r w:rsidR="00593459">
        <w:t xml:space="preserve">We note that the Commission has afforded a downward adjustment of the proposed forfeiture in cases where the operator of a signal jammer voluntarily surrendered the device to the Commission.  </w:t>
      </w:r>
      <w:r w:rsidR="00593459">
        <w:rPr>
          <w:i/>
        </w:rPr>
        <w:t>See</w:t>
      </w:r>
      <w:r w:rsidR="00593459">
        <w:t xml:space="preserve">, </w:t>
      </w:r>
      <w:r w:rsidR="00593459" w:rsidRPr="00593459">
        <w:rPr>
          <w:i/>
        </w:rPr>
        <w:t>e.g.</w:t>
      </w:r>
      <w:r w:rsidR="00593459">
        <w:t xml:space="preserve">, </w:t>
      </w:r>
      <w:r w:rsidR="00593459" w:rsidRPr="00593459">
        <w:rPr>
          <w:i/>
        </w:rPr>
        <w:t xml:space="preserve">R&amp;N </w:t>
      </w:r>
      <w:r w:rsidR="00BB5632">
        <w:rPr>
          <w:i/>
        </w:rPr>
        <w:t>NAL</w:t>
      </w:r>
      <w:r w:rsidR="00593459" w:rsidRPr="00593459">
        <w:t xml:space="preserve">, 29 FCC Rcd </w:t>
      </w:r>
      <w:r w:rsidR="00593459">
        <w:t>at 3337, para. 13 (proposing a downward adjustment of 25</w:t>
      </w:r>
      <w:r w:rsidR="00BB5632">
        <w:t xml:space="preserve"> percent</w:t>
      </w:r>
      <w:r w:rsidR="00593459">
        <w:t xml:space="preserve"> based on a voluntary surrender of the signal jammers at issue).</w:t>
      </w:r>
    </w:p>
  </w:footnote>
  <w:footnote w:id="27">
    <w:p w14:paraId="1A002B91" w14:textId="04497B19" w:rsidR="00BB5632" w:rsidRPr="00BB5632" w:rsidRDefault="00BB5632">
      <w:pPr>
        <w:pStyle w:val="FootnoteText"/>
      </w:pPr>
      <w:r w:rsidRPr="00BB5632">
        <w:rPr>
          <w:rStyle w:val="FootnoteReference"/>
        </w:rPr>
        <w:footnoteRef/>
      </w:r>
      <w:r w:rsidRPr="00BB5632">
        <w:t xml:space="preserve"> </w:t>
      </w:r>
      <w:r w:rsidRPr="00C93235">
        <w:rPr>
          <w:lang w:val="es-ES"/>
        </w:rPr>
        <w:t>47 U.S.C. §§ 301, 302a(b), 333; 47 CFR §§ 2.805, 15.1(c).</w:t>
      </w:r>
      <w:r w:rsidRPr="00C93235">
        <w:t xml:space="preserve">  </w:t>
      </w:r>
      <w:r w:rsidRPr="00C93235">
        <w:rPr>
          <w:lang w:val="es-ES"/>
        </w:rPr>
        <w:t xml:space="preserve"> </w:t>
      </w:r>
    </w:p>
  </w:footnote>
  <w:footnote w:id="28">
    <w:p w14:paraId="15263F15" w14:textId="77777777" w:rsidR="00887022" w:rsidRPr="00887022" w:rsidRDefault="00887022" w:rsidP="00887022">
      <w:pPr>
        <w:pStyle w:val="FootnoteText"/>
        <w:widowControl w:val="0"/>
        <w:rPr>
          <w:color w:val="000000"/>
        </w:rPr>
      </w:pPr>
      <w:r w:rsidRPr="00887022">
        <w:rPr>
          <w:rStyle w:val="FootnoteReference"/>
          <w:color w:val="000000"/>
        </w:rPr>
        <w:footnoteRef/>
      </w:r>
      <w:r w:rsidRPr="00887022">
        <w:rPr>
          <w:color w:val="000000"/>
        </w:rPr>
        <w:t xml:space="preserve"> 47 U.S.C. § 503(b).</w:t>
      </w:r>
    </w:p>
  </w:footnote>
  <w:footnote w:id="29">
    <w:p w14:paraId="774EBC54" w14:textId="77777777" w:rsidR="00887022" w:rsidRPr="00887022" w:rsidRDefault="00887022" w:rsidP="00887022">
      <w:pPr>
        <w:pStyle w:val="FootnoteText"/>
        <w:rPr>
          <w:color w:val="000000"/>
        </w:rPr>
      </w:pPr>
      <w:r w:rsidRPr="00887022">
        <w:rPr>
          <w:rStyle w:val="FootnoteReference"/>
          <w:color w:val="000000"/>
        </w:rPr>
        <w:footnoteRef/>
      </w:r>
      <w:r w:rsidRPr="00887022">
        <w:rPr>
          <w:color w:val="000000"/>
          <w:lang w:val="es-ES"/>
        </w:rPr>
        <w:t xml:space="preserve"> 47 CFR § 1.80.</w:t>
      </w:r>
    </w:p>
  </w:footnote>
  <w:footnote w:id="30">
    <w:p w14:paraId="229BC918" w14:textId="77777777" w:rsidR="00887022" w:rsidRPr="00887022" w:rsidRDefault="00887022" w:rsidP="00887022">
      <w:pPr>
        <w:pStyle w:val="FootnoteText"/>
        <w:rPr>
          <w:color w:val="000000"/>
        </w:rPr>
      </w:pPr>
      <w:r w:rsidRPr="00887022">
        <w:rPr>
          <w:rStyle w:val="FootnoteReference"/>
          <w:color w:val="000000"/>
        </w:rPr>
        <w:footnoteRef/>
      </w:r>
      <w:r>
        <w:rPr>
          <w:color w:val="000000"/>
          <w:lang w:val="es-ES"/>
        </w:rPr>
        <w:t xml:space="preserve"> 47 U.S.C. §§ 301, 302a(b), 333</w:t>
      </w:r>
      <w:r w:rsidRPr="00887022">
        <w:rPr>
          <w:color w:val="000000"/>
          <w:lang w:val="es-ES"/>
        </w:rPr>
        <w:t>.</w:t>
      </w:r>
    </w:p>
  </w:footnote>
  <w:footnote w:id="31">
    <w:p w14:paraId="4D7E6AD2" w14:textId="77777777" w:rsidR="00887022" w:rsidRPr="00887022" w:rsidRDefault="00887022" w:rsidP="00887022">
      <w:pPr>
        <w:pStyle w:val="FootnoteText"/>
        <w:rPr>
          <w:color w:val="000000"/>
        </w:rPr>
      </w:pPr>
      <w:r w:rsidRPr="00887022">
        <w:rPr>
          <w:rStyle w:val="FootnoteReference"/>
          <w:color w:val="000000"/>
        </w:rPr>
        <w:footnoteRef/>
      </w:r>
      <w:r w:rsidRPr="00887022">
        <w:rPr>
          <w:color w:val="000000"/>
          <w:lang w:val="es-ES"/>
        </w:rPr>
        <w:t xml:space="preserve"> 47 CFR §§</w:t>
      </w:r>
      <w:r>
        <w:rPr>
          <w:color w:val="000000"/>
          <w:lang w:val="es-ES"/>
        </w:rPr>
        <w:t xml:space="preserve"> 2.805, 15.1(c).</w:t>
      </w:r>
    </w:p>
  </w:footnote>
  <w:footnote w:id="32">
    <w:p w14:paraId="05D4D09C" w14:textId="77777777" w:rsidR="00887022" w:rsidRPr="00887022" w:rsidRDefault="00887022" w:rsidP="00887022">
      <w:pPr>
        <w:pStyle w:val="FootnoteText"/>
        <w:rPr>
          <w:color w:val="000000"/>
        </w:rPr>
      </w:pPr>
      <w:r w:rsidRPr="00887022">
        <w:rPr>
          <w:rStyle w:val="FootnoteReference"/>
          <w:color w:val="000000"/>
        </w:rPr>
        <w:footnoteRef/>
      </w:r>
      <w:r w:rsidRPr="00887022">
        <w:rPr>
          <w:color w:val="000000"/>
        </w:rPr>
        <w:t xml:space="preserve"> 47 CFR § 1.80.</w:t>
      </w:r>
    </w:p>
  </w:footnote>
  <w:footnote w:id="33">
    <w:p w14:paraId="5053ADBD" w14:textId="38979475" w:rsidR="00887022" w:rsidRPr="00887022" w:rsidRDefault="00887022" w:rsidP="00887022">
      <w:pPr>
        <w:pStyle w:val="FootnoteText"/>
        <w:rPr>
          <w:color w:val="000000"/>
        </w:rPr>
      </w:pPr>
      <w:r w:rsidRPr="00887022">
        <w:rPr>
          <w:rStyle w:val="FootnoteReference"/>
          <w:color w:val="000000"/>
        </w:rPr>
        <w:footnoteRef/>
      </w:r>
      <w:r w:rsidRPr="00887022">
        <w:rPr>
          <w:color w:val="000000"/>
        </w:rPr>
        <w:t xml:space="preserve"> </w:t>
      </w:r>
      <w:r w:rsidRPr="00887022">
        <w:rPr>
          <w:rFonts w:eastAsia="MS Mincho"/>
          <w:color w:val="000000"/>
        </w:rPr>
        <w:t xml:space="preserve">An FCC Form 159 and detailed instructions for completing the form may be obtained at </w:t>
      </w:r>
      <w:hyperlink r:id="rId2" w:history="1">
        <w:r w:rsidR="00894B20" w:rsidRPr="00A52F4A">
          <w:rPr>
            <w:rStyle w:val="Hyperlink"/>
            <w:rFonts w:eastAsia="MS Mincho"/>
          </w:rPr>
          <w:t>http://www.fcc.gov/Forms/Form159/159.pdf</w:t>
        </w:r>
      </w:hyperlink>
      <w:r w:rsidRPr="00887022">
        <w:rPr>
          <w:rFonts w:eastAsia="MS Mincho"/>
          <w:color w:val="000000"/>
        </w:rPr>
        <w:t>.</w:t>
      </w:r>
    </w:p>
  </w:footnote>
  <w:footnote w:id="34">
    <w:p w14:paraId="353D06EC" w14:textId="77777777" w:rsidR="00887022" w:rsidRDefault="00887022" w:rsidP="00887022">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5">
    <w:p w14:paraId="013F6EB8" w14:textId="77777777" w:rsidR="00887022" w:rsidRPr="00887022" w:rsidRDefault="00887022" w:rsidP="00887022">
      <w:pPr>
        <w:pStyle w:val="FootnoteText"/>
        <w:rPr>
          <w:color w:val="000000"/>
        </w:rPr>
      </w:pPr>
      <w:r w:rsidRPr="00887022">
        <w:rPr>
          <w:rStyle w:val="FootnoteReference"/>
          <w:color w:val="000000"/>
        </w:rPr>
        <w:footnoteRef/>
      </w:r>
      <w:r w:rsidRPr="00887022">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4D05" w14:textId="77777777" w:rsidR="00664A06" w:rsidRDefault="0066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ED7C" w14:textId="2D3F21B4" w:rsidR="00D25FB5" w:rsidRDefault="00D25FB5" w:rsidP="00810B6F">
    <w:pPr>
      <w:pStyle w:val="Header"/>
      <w:rPr>
        <w:b w:val="0"/>
      </w:rPr>
    </w:pPr>
    <w:r>
      <w:tab/>
      <w:t>Federal Communications Commission</w:t>
    </w:r>
    <w:r>
      <w:tab/>
    </w:r>
    <w:r w:rsidR="005F0CDC">
      <w:t>DA 17-</w:t>
    </w:r>
    <w:r w:rsidR="00BC7170">
      <w:t>677</w:t>
    </w:r>
  </w:p>
  <w:p w14:paraId="6114681D" w14:textId="52E34606" w:rsidR="00D25FB5" w:rsidRDefault="00501ACF">
    <w:pPr>
      <w:tabs>
        <w:tab w:val="left" w:pos="-720"/>
      </w:tabs>
      <w:suppressAutoHyphens/>
      <w:spacing w:line="19" w:lineRule="exact"/>
      <w:rPr>
        <w:spacing w:val="-2"/>
      </w:rPr>
    </w:pPr>
    <w:r>
      <w:rPr>
        <w:noProof/>
      </w:rPr>
      <w:pict w14:anchorId="416ECE0B">
        <v:rect id="Rectangle 1" o:spid="_x0000_s8195"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w:r>
  </w:p>
  <w:p w14:paraId="66EB17F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DB13" w14:textId="7A697010" w:rsidR="00D25FB5" w:rsidRDefault="00501ACF" w:rsidP="00810B6F">
    <w:pPr>
      <w:pStyle w:val="Header"/>
      <w:rPr>
        <w:b w:val="0"/>
      </w:rPr>
    </w:pPr>
    <w:r>
      <w:rPr>
        <w:noProof/>
      </w:rPr>
      <w:pict w14:anchorId="1DF82F2B">
        <v:rect id="Rectangle 3" o:spid="_x0000_s8193"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E7DFD">
      <w:rPr>
        <w:spacing w:val="-2"/>
      </w:rPr>
      <w:t>DA 17-</w:t>
    </w:r>
    <w:r w:rsidR="00BC7170">
      <w:rPr>
        <w:spacing w:val="-2"/>
      </w:rPr>
      <w:t>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6"/>
    <o:shapelayout v:ext="edit">
      <o:idmap v:ext="edit" data="8"/>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DFD"/>
    <w:rsid w:val="00035FCE"/>
    <w:rsid w:val="00036039"/>
    <w:rsid w:val="000361AC"/>
    <w:rsid w:val="00037F90"/>
    <w:rsid w:val="000417CD"/>
    <w:rsid w:val="0004428C"/>
    <w:rsid w:val="000875BF"/>
    <w:rsid w:val="00096D8C"/>
    <w:rsid w:val="000B4AC3"/>
    <w:rsid w:val="000C0B65"/>
    <w:rsid w:val="000E05FE"/>
    <w:rsid w:val="000E3D42"/>
    <w:rsid w:val="0012225B"/>
    <w:rsid w:val="00122BD5"/>
    <w:rsid w:val="00133F79"/>
    <w:rsid w:val="00194A66"/>
    <w:rsid w:val="001D6BCF"/>
    <w:rsid w:val="001D6CF3"/>
    <w:rsid w:val="001E01CA"/>
    <w:rsid w:val="001E2D2B"/>
    <w:rsid w:val="00255DBD"/>
    <w:rsid w:val="00273D32"/>
    <w:rsid w:val="002751DE"/>
    <w:rsid w:val="00275CF5"/>
    <w:rsid w:val="0028301F"/>
    <w:rsid w:val="00285017"/>
    <w:rsid w:val="002A2D2E"/>
    <w:rsid w:val="002C00E8"/>
    <w:rsid w:val="00302886"/>
    <w:rsid w:val="003346E3"/>
    <w:rsid w:val="00343749"/>
    <w:rsid w:val="003660ED"/>
    <w:rsid w:val="003A60C9"/>
    <w:rsid w:val="003B0550"/>
    <w:rsid w:val="003B08CC"/>
    <w:rsid w:val="003B694F"/>
    <w:rsid w:val="003F171C"/>
    <w:rsid w:val="00412FC5"/>
    <w:rsid w:val="00413E7B"/>
    <w:rsid w:val="004209C2"/>
    <w:rsid w:val="00422276"/>
    <w:rsid w:val="004242F1"/>
    <w:rsid w:val="004305C4"/>
    <w:rsid w:val="0044552A"/>
    <w:rsid w:val="00445A00"/>
    <w:rsid w:val="00451742"/>
    <w:rsid w:val="00451B0F"/>
    <w:rsid w:val="00466B83"/>
    <w:rsid w:val="004955EC"/>
    <w:rsid w:val="004A0AE2"/>
    <w:rsid w:val="004A1822"/>
    <w:rsid w:val="004B0292"/>
    <w:rsid w:val="004C2EE3"/>
    <w:rsid w:val="004D3072"/>
    <w:rsid w:val="004E4A22"/>
    <w:rsid w:val="004F3758"/>
    <w:rsid w:val="00501ACF"/>
    <w:rsid w:val="00507057"/>
    <w:rsid w:val="00511968"/>
    <w:rsid w:val="00551DCA"/>
    <w:rsid w:val="0055614C"/>
    <w:rsid w:val="0058019E"/>
    <w:rsid w:val="00587CAE"/>
    <w:rsid w:val="00593459"/>
    <w:rsid w:val="005E14C2"/>
    <w:rsid w:val="005F0CDC"/>
    <w:rsid w:val="00606A91"/>
    <w:rsid w:val="00607BA5"/>
    <w:rsid w:val="006116B7"/>
    <w:rsid w:val="0061180A"/>
    <w:rsid w:val="0062176A"/>
    <w:rsid w:val="00626B13"/>
    <w:rsid w:val="00626EB6"/>
    <w:rsid w:val="00655D03"/>
    <w:rsid w:val="00664A06"/>
    <w:rsid w:val="00673419"/>
    <w:rsid w:val="00683388"/>
    <w:rsid w:val="00683F84"/>
    <w:rsid w:val="00692471"/>
    <w:rsid w:val="006A6A81"/>
    <w:rsid w:val="006C2E4B"/>
    <w:rsid w:val="006D72BC"/>
    <w:rsid w:val="006E1F95"/>
    <w:rsid w:val="006F7393"/>
    <w:rsid w:val="0070224F"/>
    <w:rsid w:val="007041BB"/>
    <w:rsid w:val="007115F7"/>
    <w:rsid w:val="007768B0"/>
    <w:rsid w:val="00784342"/>
    <w:rsid w:val="00784C80"/>
    <w:rsid w:val="00785689"/>
    <w:rsid w:val="0079754B"/>
    <w:rsid w:val="007A1E6D"/>
    <w:rsid w:val="007B0EB2"/>
    <w:rsid w:val="007B2BE0"/>
    <w:rsid w:val="007C023D"/>
    <w:rsid w:val="007D6F92"/>
    <w:rsid w:val="007E3EB1"/>
    <w:rsid w:val="007E4E0C"/>
    <w:rsid w:val="007E5D61"/>
    <w:rsid w:val="007E7DFD"/>
    <w:rsid w:val="007F7BB9"/>
    <w:rsid w:val="00810B6F"/>
    <w:rsid w:val="008160F4"/>
    <w:rsid w:val="00822CE0"/>
    <w:rsid w:val="00841AB1"/>
    <w:rsid w:val="00862F35"/>
    <w:rsid w:val="0087020A"/>
    <w:rsid w:val="0087308E"/>
    <w:rsid w:val="00877079"/>
    <w:rsid w:val="00887022"/>
    <w:rsid w:val="00894B20"/>
    <w:rsid w:val="008B3126"/>
    <w:rsid w:val="008B7217"/>
    <w:rsid w:val="008C68F1"/>
    <w:rsid w:val="008D04F5"/>
    <w:rsid w:val="008D76EB"/>
    <w:rsid w:val="00921803"/>
    <w:rsid w:val="00926503"/>
    <w:rsid w:val="009726D8"/>
    <w:rsid w:val="0098071F"/>
    <w:rsid w:val="00990CED"/>
    <w:rsid w:val="009C7AA5"/>
    <w:rsid w:val="009D23A0"/>
    <w:rsid w:val="009F76DB"/>
    <w:rsid w:val="009F79F2"/>
    <w:rsid w:val="00A32C3B"/>
    <w:rsid w:val="00A45F4F"/>
    <w:rsid w:val="00A600A9"/>
    <w:rsid w:val="00A831D2"/>
    <w:rsid w:val="00AA4AAC"/>
    <w:rsid w:val="00AA55B7"/>
    <w:rsid w:val="00AA5B9E"/>
    <w:rsid w:val="00AB2407"/>
    <w:rsid w:val="00AB52B1"/>
    <w:rsid w:val="00AB53DF"/>
    <w:rsid w:val="00B07E5C"/>
    <w:rsid w:val="00B119CD"/>
    <w:rsid w:val="00B17EA9"/>
    <w:rsid w:val="00B811F7"/>
    <w:rsid w:val="00BA5DC6"/>
    <w:rsid w:val="00BA6196"/>
    <w:rsid w:val="00BB5632"/>
    <w:rsid w:val="00BC6D8C"/>
    <w:rsid w:val="00BC7170"/>
    <w:rsid w:val="00C34006"/>
    <w:rsid w:val="00C41639"/>
    <w:rsid w:val="00C426B1"/>
    <w:rsid w:val="00C52A7C"/>
    <w:rsid w:val="00C66160"/>
    <w:rsid w:val="00C721AC"/>
    <w:rsid w:val="00C90D6A"/>
    <w:rsid w:val="00C93235"/>
    <w:rsid w:val="00CA247E"/>
    <w:rsid w:val="00CB22D3"/>
    <w:rsid w:val="00CB2C81"/>
    <w:rsid w:val="00CC72B6"/>
    <w:rsid w:val="00D0218D"/>
    <w:rsid w:val="00D25FB5"/>
    <w:rsid w:val="00D27080"/>
    <w:rsid w:val="00D35580"/>
    <w:rsid w:val="00D44223"/>
    <w:rsid w:val="00D76710"/>
    <w:rsid w:val="00DA2529"/>
    <w:rsid w:val="00DA67E3"/>
    <w:rsid w:val="00DB130A"/>
    <w:rsid w:val="00DB2EBB"/>
    <w:rsid w:val="00DC10A1"/>
    <w:rsid w:val="00DC5F2B"/>
    <w:rsid w:val="00DC655F"/>
    <w:rsid w:val="00DD0B59"/>
    <w:rsid w:val="00DD7EBD"/>
    <w:rsid w:val="00DE350E"/>
    <w:rsid w:val="00DF2AA3"/>
    <w:rsid w:val="00DF5E98"/>
    <w:rsid w:val="00DF62B6"/>
    <w:rsid w:val="00E07225"/>
    <w:rsid w:val="00E5409F"/>
    <w:rsid w:val="00EB011D"/>
    <w:rsid w:val="00EE6488"/>
    <w:rsid w:val="00EF55F7"/>
    <w:rsid w:val="00F021FA"/>
    <w:rsid w:val="00F52CC4"/>
    <w:rsid w:val="00F53C78"/>
    <w:rsid w:val="00F54FE8"/>
    <w:rsid w:val="00F62E97"/>
    <w:rsid w:val="00F64209"/>
    <w:rsid w:val="00F93BF5"/>
    <w:rsid w:val="00FC20C4"/>
    <w:rsid w:val="00FD36B8"/>
    <w:rsid w:val="00FE2377"/>
    <w:rsid w:val="00FE3F11"/>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8196"/>
    <o:shapelayout v:ext="edit">
      <o:idmap v:ext="edit" data="1"/>
    </o:shapelayout>
  </w:shapeDefaults>
  <w:decimalSymbol w:val="."/>
  <w:listSeparator w:val=","/>
  <w14:docId w14:val="43E8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ACF"/>
    <w:pPr>
      <w:widowControl w:val="0"/>
    </w:pPr>
    <w:rPr>
      <w:snapToGrid w:val="0"/>
      <w:kern w:val="28"/>
      <w:sz w:val="22"/>
    </w:rPr>
  </w:style>
  <w:style w:type="paragraph" w:styleId="Heading1">
    <w:name w:val="heading 1"/>
    <w:basedOn w:val="Normal"/>
    <w:next w:val="ParaNum"/>
    <w:link w:val="Heading1Char"/>
    <w:qFormat/>
    <w:rsid w:val="00501A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1ACF"/>
    <w:pPr>
      <w:keepNext/>
      <w:numPr>
        <w:ilvl w:val="1"/>
        <w:numId w:val="3"/>
      </w:numPr>
      <w:spacing w:after="120"/>
      <w:outlineLvl w:val="1"/>
    </w:pPr>
    <w:rPr>
      <w:b/>
    </w:rPr>
  </w:style>
  <w:style w:type="paragraph" w:styleId="Heading3">
    <w:name w:val="heading 3"/>
    <w:basedOn w:val="Normal"/>
    <w:next w:val="ParaNum"/>
    <w:qFormat/>
    <w:rsid w:val="00501ACF"/>
    <w:pPr>
      <w:keepNext/>
      <w:numPr>
        <w:ilvl w:val="2"/>
        <w:numId w:val="3"/>
      </w:numPr>
      <w:tabs>
        <w:tab w:val="left" w:pos="2160"/>
      </w:tabs>
      <w:spacing w:after="120"/>
      <w:outlineLvl w:val="2"/>
    </w:pPr>
    <w:rPr>
      <w:b/>
    </w:rPr>
  </w:style>
  <w:style w:type="paragraph" w:styleId="Heading4">
    <w:name w:val="heading 4"/>
    <w:basedOn w:val="Normal"/>
    <w:next w:val="ParaNum"/>
    <w:qFormat/>
    <w:rsid w:val="00501ACF"/>
    <w:pPr>
      <w:keepNext/>
      <w:numPr>
        <w:ilvl w:val="3"/>
        <w:numId w:val="3"/>
      </w:numPr>
      <w:tabs>
        <w:tab w:val="left" w:pos="2880"/>
      </w:tabs>
      <w:spacing w:after="120"/>
      <w:outlineLvl w:val="3"/>
    </w:pPr>
    <w:rPr>
      <w:b/>
    </w:rPr>
  </w:style>
  <w:style w:type="paragraph" w:styleId="Heading5">
    <w:name w:val="heading 5"/>
    <w:basedOn w:val="Normal"/>
    <w:next w:val="ParaNum"/>
    <w:qFormat/>
    <w:rsid w:val="00501A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1ACF"/>
    <w:pPr>
      <w:numPr>
        <w:ilvl w:val="5"/>
        <w:numId w:val="3"/>
      </w:numPr>
      <w:tabs>
        <w:tab w:val="left" w:pos="4320"/>
      </w:tabs>
      <w:spacing w:after="120"/>
      <w:outlineLvl w:val="5"/>
    </w:pPr>
    <w:rPr>
      <w:b/>
    </w:rPr>
  </w:style>
  <w:style w:type="paragraph" w:styleId="Heading7">
    <w:name w:val="heading 7"/>
    <w:basedOn w:val="Normal"/>
    <w:next w:val="ParaNum"/>
    <w:qFormat/>
    <w:rsid w:val="00501A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1A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1A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1A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ACF"/>
  </w:style>
  <w:style w:type="paragraph" w:customStyle="1" w:styleId="ParaNum">
    <w:name w:val="ParaNum"/>
    <w:basedOn w:val="Normal"/>
    <w:link w:val="ParaNumChar"/>
    <w:rsid w:val="00501ACF"/>
    <w:pPr>
      <w:numPr>
        <w:numId w:val="2"/>
      </w:numPr>
      <w:tabs>
        <w:tab w:val="clear" w:pos="1080"/>
        <w:tab w:val="num" w:pos="1440"/>
      </w:tabs>
      <w:spacing w:after="120"/>
    </w:pPr>
  </w:style>
  <w:style w:type="paragraph" w:styleId="EndnoteText">
    <w:name w:val="endnote text"/>
    <w:basedOn w:val="Normal"/>
    <w:semiHidden/>
    <w:rsid w:val="00501ACF"/>
    <w:rPr>
      <w:sz w:val="20"/>
    </w:rPr>
  </w:style>
  <w:style w:type="character" w:styleId="EndnoteReference">
    <w:name w:val="endnote reference"/>
    <w:semiHidden/>
    <w:rsid w:val="00501ACF"/>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rsid w:val="00501ACF"/>
    <w:pPr>
      <w:spacing w:after="120"/>
    </w:pPr>
  </w:style>
  <w:style w:type="character" w:styleId="FootnoteReference">
    <w:name w:val="footnote reference"/>
    <w:aliases w:val="Style 4,Style 12,(NECG) Footnote Reference,Appel note de bas de p,Style 124,Style 13,o,fr,Style 3,Footnote Reference1,FR,Style 17,Style 6,Footnote Reference/"/>
    <w:rsid w:val="00501ACF"/>
    <w:rPr>
      <w:rFonts w:ascii="Times New Roman" w:hAnsi="Times New Roman"/>
      <w:dstrike w:val="0"/>
      <w:color w:val="auto"/>
      <w:sz w:val="20"/>
      <w:vertAlign w:val="superscript"/>
    </w:rPr>
  </w:style>
  <w:style w:type="paragraph" w:styleId="TOC1">
    <w:name w:val="toc 1"/>
    <w:basedOn w:val="Normal"/>
    <w:next w:val="Normal"/>
    <w:semiHidden/>
    <w:rsid w:val="00501A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1ACF"/>
    <w:pPr>
      <w:tabs>
        <w:tab w:val="left" w:pos="720"/>
        <w:tab w:val="right" w:leader="dot" w:pos="9360"/>
      </w:tabs>
      <w:suppressAutoHyphens/>
      <w:ind w:left="720" w:right="720" w:hanging="360"/>
    </w:pPr>
    <w:rPr>
      <w:noProof/>
    </w:rPr>
  </w:style>
  <w:style w:type="paragraph" w:styleId="TOC3">
    <w:name w:val="toc 3"/>
    <w:basedOn w:val="Normal"/>
    <w:next w:val="Normal"/>
    <w:semiHidden/>
    <w:rsid w:val="00501A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1A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1A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1A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1A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1A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1A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1ACF"/>
    <w:pPr>
      <w:tabs>
        <w:tab w:val="right" w:pos="9360"/>
      </w:tabs>
      <w:suppressAutoHyphens/>
    </w:pPr>
  </w:style>
  <w:style w:type="character" w:customStyle="1" w:styleId="EquationCaption">
    <w:name w:val="_Equation Caption"/>
    <w:rsid w:val="00501ACF"/>
  </w:style>
  <w:style w:type="paragraph" w:styleId="Header">
    <w:name w:val="header"/>
    <w:basedOn w:val="Normal"/>
    <w:link w:val="HeaderChar"/>
    <w:autoRedefine/>
    <w:rsid w:val="00501ACF"/>
    <w:pPr>
      <w:tabs>
        <w:tab w:val="center" w:pos="4680"/>
        <w:tab w:val="right" w:pos="9360"/>
      </w:tabs>
    </w:pPr>
    <w:rPr>
      <w:b/>
    </w:rPr>
  </w:style>
  <w:style w:type="paragraph" w:styleId="Footer">
    <w:name w:val="footer"/>
    <w:basedOn w:val="Normal"/>
    <w:rsid w:val="00501ACF"/>
    <w:pPr>
      <w:tabs>
        <w:tab w:val="center" w:pos="4320"/>
        <w:tab w:val="right" w:pos="8640"/>
      </w:tabs>
    </w:pPr>
  </w:style>
  <w:style w:type="character" w:styleId="PageNumber">
    <w:name w:val="page number"/>
    <w:basedOn w:val="DefaultParagraphFont"/>
    <w:rsid w:val="00501ACF"/>
  </w:style>
  <w:style w:type="paragraph" w:styleId="BlockText">
    <w:name w:val="Block Text"/>
    <w:basedOn w:val="Normal"/>
    <w:rsid w:val="00501ACF"/>
    <w:pPr>
      <w:spacing w:after="240"/>
      <w:ind w:left="1440" w:right="1440"/>
    </w:pPr>
  </w:style>
  <w:style w:type="paragraph" w:customStyle="1" w:styleId="Paratitle">
    <w:name w:val="Para title"/>
    <w:basedOn w:val="Normal"/>
    <w:rsid w:val="00501ACF"/>
    <w:pPr>
      <w:tabs>
        <w:tab w:val="center" w:pos="9270"/>
      </w:tabs>
      <w:spacing w:after="240"/>
    </w:pPr>
    <w:rPr>
      <w:spacing w:val="-2"/>
    </w:rPr>
  </w:style>
  <w:style w:type="paragraph" w:customStyle="1" w:styleId="Bullet">
    <w:name w:val="Bullet"/>
    <w:basedOn w:val="Normal"/>
    <w:rsid w:val="00501ACF"/>
    <w:pPr>
      <w:tabs>
        <w:tab w:val="left" w:pos="2160"/>
      </w:tabs>
      <w:spacing w:after="220"/>
      <w:ind w:left="2160" w:hanging="720"/>
    </w:pPr>
  </w:style>
  <w:style w:type="paragraph" w:customStyle="1" w:styleId="TableFormat">
    <w:name w:val="TableFormat"/>
    <w:basedOn w:val="Bullet"/>
    <w:rsid w:val="00501ACF"/>
    <w:pPr>
      <w:tabs>
        <w:tab w:val="clear" w:pos="2160"/>
        <w:tab w:val="left" w:pos="5040"/>
      </w:tabs>
      <w:ind w:left="5040" w:hanging="3600"/>
    </w:pPr>
  </w:style>
  <w:style w:type="paragraph" w:customStyle="1" w:styleId="TOCTitle">
    <w:name w:val="TOC Title"/>
    <w:basedOn w:val="Normal"/>
    <w:rsid w:val="00501A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1ACF"/>
    <w:pPr>
      <w:jc w:val="center"/>
    </w:pPr>
    <w:rPr>
      <w:rFonts w:ascii="Times New Roman Bold" w:hAnsi="Times New Roman Bold"/>
      <w:b/>
      <w:bCs/>
      <w:caps/>
      <w:szCs w:val="22"/>
    </w:rPr>
  </w:style>
  <w:style w:type="character" w:styleId="Hyperlink">
    <w:name w:val="Hyperlink"/>
    <w:rsid w:val="00501ACF"/>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17EA9"/>
  </w:style>
  <w:style w:type="character" w:customStyle="1" w:styleId="ParaNumChar">
    <w:name w:val="ParaNum Char"/>
    <w:link w:val="ParaNum"/>
    <w:locked/>
    <w:rsid w:val="00B17EA9"/>
    <w:rPr>
      <w:snapToGrid w:val="0"/>
      <w:kern w:val="28"/>
      <w:sz w:val="22"/>
    </w:rPr>
  </w:style>
  <w:style w:type="character" w:customStyle="1" w:styleId="Heading1Char">
    <w:name w:val="Heading 1 Char"/>
    <w:link w:val="Heading1"/>
    <w:locked/>
    <w:rsid w:val="00551DCA"/>
    <w:rPr>
      <w:rFonts w:ascii="Times New Roman Bold" w:hAnsi="Times New Roman Bold"/>
      <w:b/>
      <w:caps/>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7E3EB1"/>
    <w:rPr>
      <w:sz w:val="20"/>
      <w:szCs w:val="20"/>
    </w:rPr>
  </w:style>
  <w:style w:type="character" w:customStyle="1" w:styleId="HeaderChar">
    <w:name w:val="Header Char"/>
    <w:link w:val="Header"/>
    <w:rsid w:val="00F54FE8"/>
    <w:rPr>
      <w:b/>
      <w:snapToGrid w:val="0"/>
      <w:kern w:val="28"/>
      <w:sz w:val="22"/>
    </w:rPr>
  </w:style>
  <w:style w:type="character" w:styleId="CommentReference">
    <w:name w:val="annotation reference"/>
    <w:rsid w:val="00D76710"/>
    <w:rPr>
      <w:sz w:val="16"/>
      <w:szCs w:val="16"/>
    </w:rPr>
  </w:style>
  <w:style w:type="paragraph" w:styleId="CommentText">
    <w:name w:val="annotation text"/>
    <w:basedOn w:val="Normal"/>
    <w:link w:val="CommentTextChar"/>
    <w:rsid w:val="00D76710"/>
    <w:rPr>
      <w:sz w:val="20"/>
    </w:rPr>
  </w:style>
  <w:style w:type="character" w:customStyle="1" w:styleId="CommentTextChar">
    <w:name w:val="Comment Text Char"/>
    <w:link w:val="CommentText"/>
    <w:rsid w:val="00D76710"/>
    <w:rPr>
      <w:snapToGrid w:val="0"/>
      <w:kern w:val="28"/>
    </w:rPr>
  </w:style>
  <w:style w:type="paragraph" w:styleId="CommentSubject">
    <w:name w:val="annotation subject"/>
    <w:basedOn w:val="CommentText"/>
    <w:next w:val="CommentText"/>
    <w:link w:val="CommentSubjectChar"/>
    <w:rsid w:val="00D76710"/>
    <w:rPr>
      <w:b/>
      <w:bCs/>
    </w:rPr>
  </w:style>
  <w:style w:type="character" w:customStyle="1" w:styleId="CommentSubjectChar">
    <w:name w:val="Comment Subject Char"/>
    <w:link w:val="CommentSubject"/>
    <w:rsid w:val="00D76710"/>
    <w:rPr>
      <w:b/>
      <w:bCs/>
      <w:snapToGrid w:val="0"/>
      <w:kern w:val="28"/>
    </w:rPr>
  </w:style>
  <w:style w:type="paragraph" w:styleId="BalloonText">
    <w:name w:val="Balloon Text"/>
    <w:basedOn w:val="Normal"/>
    <w:link w:val="BalloonTextChar"/>
    <w:rsid w:val="00D76710"/>
    <w:rPr>
      <w:rFonts w:ascii="Segoe UI" w:hAnsi="Segoe UI" w:cs="Segoe UI"/>
      <w:sz w:val="18"/>
      <w:szCs w:val="18"/>
    </w:rPr>
  </w:style>
  <w:style w:type="character" w:customStyle="1" w:styleId="BalloonTextChar">
    <w:name w:val="Balloon Text Char"/>
    <w:link w:val="BalloonText"/>
    <w:rsid w:val="00D76710"/>
    <w:rPr>
      <w:rFonts w:ascii="Segoe UI" w:hAnsi="Segoe UI" w:cs="Segoe UI"/>
      <w:snapToGrid w:val="0"/>
      <w:kern w:val="28"/>
      <w:sz w:val="18"/>
      <w:szCs w:val="18"/>
    </w:rPr>
  </w:style>
  <w:style w:type="character" w:customStyle="1" w:styleId="Mention">
    <w:name w:val="Mention"/>
    <w:uiPriority w:val="99"/>
    <w:semiHidden/>
    <w:unhideWhenUsed/>
    <w:rsid w:val="00894B20"/>
    <w:rPr>
      <w:color w:val="2B579A"/>
      <w:shd w:val="clear" w:color="auto" w:fill="E6E6E6"/>
    </w:rPr>
  </w:style>
  <w:style w:type="paragraph" w:styleId="Revision">
    <w:name w:val="Revision"/>
    <w:hidden/>
    <w:uiPriority w:val="99"/>
    <w:semiHidden/>
    <w:rsid w:val="003B08C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R-Response@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hew.gib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INQUIRIE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R-Response@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www.fcc.gov/jamm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2367</Words>
  <Characters>13202</Characters>
  <Application>Microsoft Office Word</Application>
  <DocSecurity>0</DocSecurity>
  <Lines>204</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15628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2017-07-25T14:33:00Z</dcterms:created>
  <dcterms:modified xsi:type="dcterms:W3CDTF">2017-07-25T14:33:00Z</dcterms:modified>
  <cp:category> </cp:category>
  <cp:contentStatus> </cp:contentStatus>
</cp:coreProperties>
</file>