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rsidP="0031463D">
      <w:pPr>
        <w:widowControl/>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31463D">
      <w:pPr>
        <w:pStyle w:val="StyleBoldCentered"/>
        <w:widowControl/>
      </w:pPr>
      <w:r>
        <w:t>F</w:t>
      </w:r>
      <w:r>
        <w:rPr>
          <w:caps w:val="0"/>
        </w:rPr>
        <w:t>ederal Communications Commission</w:t>
      </w:r>
    </w:p>
    <w:p w:rsidR="004C2EE3" w:rsidRDefault="00810B6F" w:rsidP="0031463D">
      <w:pPr>
        <w:pStyle w:val="StyleBoldCentered"/>
        <w:widowControl/>
      </w:pPr>
      <w:r>
        <w:rPr>
          <w:caps w:val="0"/>
        </w:rPr>
        <w:t>Washington, D.C. 20554</w:t>
      </w:r>
    </w:p>
    <w:p w:rsidR="004C2EE3" w:rsidRDefault="004C2EE3" w:rsidP="0031463D">
      <w:pPr>
        <w:widowControl/>
      </w:pPr>
    </w:p>
    <w:tbl>
      <w:tblPr>
        <w:tblW w:w="9576" w:type="dxa"/>
        <w:tblLayout w:type="fixed"/>
        <w:tblLook w:val="0000" w:firstRow="0" w:lastRow="0" w:firstColumn="0" w:lastColumn="0" w:noHBand="0" w:noVBand="0"/>
      </w:tblPr>
      <w:tblGrid>
        <w:gridCol w:w="4698"/>
        <w:gridCol w:w="630"/>
        <w:gridCol w:w="4248"/>
      </w:tblGrid>
      <w:tr w:rsidR="004E50A6" w:rsidRPr="001D1D02" w:rsidTr="00A56835">
        <w:tc>
          <w:tcPr>
            <w:tcW w:w="4698" w:type="dxa"/>
          </w:tcPr>
          <w:p w:rsidR="004E50A6" w:rsidRPr="001D1D02" w:rsidRDefault="004E50A6" w:rsidP="0031463D">
            <w:pPr>
              <w:widowControl/>
              <w:tabs>
                <w:tab w:val="center" w:pos="4680"/>
              </w:tabs>
              <w:suppressAutoHyphens/>
              <w:rPr>
                <w:spacing w:val="-2"/>
                <w:szCs w:val="22"/>
              </w:rPr>
            </w:pPr>
            <w:r w:rsidRPr="001D1D02">
              <w:rPr>
                <w:spacing w:val="-2"/>
                <w:szCs w:val="22"/>
              </w:rPr>
              <w:t>In the Matter of</w:t>
            </w:r>
          </w:p>
          <w:p w:rsidR="004E50A6" w:rsidRPr="001D1D02" w:rsidRDefault="004E50A6" w:rsidP="0031463D">
            <w:pPr>
              <w:widowControl/>
              <w:tabs>
                <w:tab w:val="center" w:pos="4680"/>
              </w:tabs>
              <w:suppressAutoHyphens/>
              <w:rPr>
                <w:spacing w:val="-2"/>
                <w:szCs w:val="22"/>
              </w:rPr>
            </w:pPr>
          </w:p>
          <w:p w:rsidR="003942FB" w:rsidRDefault="00431251" w:rsidP="003942FB">
            <w:pPr>
              <w:widowControl/>
              <w:tabs>
                <w:tab w:val="center" w:pos="4680"/>
              </w:tabs>
              <w:suppressAutoHyphens/>
              <w:rPr>
                <w:spacing w:val="-2"/>
                <w:szCs w:val="22"/>
              </w:rPr>
            </w:pPr>
            <w:r>
              <w:rPr>
                <w:spacing w:val="-2"/>
                <w:szCs w:val="22"/>
              </w:rPr>
              <w:t>Restoring Internet Freedom</w:t>
            </w:r>
          </w:p>
          <w:p w:rsidR="004E50A6" w:rsidRPr="001D1D02" w:rsidRDefault="004E50A6" w:rsidP="0031463D">
            <w:pPr>
              <w:widowControl/>
              <w:tabs>
                <w:tab w:val="center" w:pos="4680"/>
              </w:tabs>
              <w:suppressAutoHyphens/>
              <w:rPr>
                <w:spacing w:val="-2"/>
                <w:szCs w:val="22"/>
              </w:rPr>
            </w:pPr>
          </w:p>
          <w:p w:rsidR="004E50A6" w:rsidRPr="001D1D02" w:rsidRDefault="004E50A6" w:rsidP="0031463D">
            <w:pPr>
              <w:widowControl/>
              <w:tabs>
                <w:tab w:val="center" w:pos="4680"/>
              </w:tabs>
              <w:suppressAutoHyphens/>
              <w:rPr>
                <w:spacing w:val="-2"/>
                <w:szCs w:val="22"/>
              </w:rPr>
            </w:pPr>
          </w:p>
        </w:tc>
        <w:tc>
          <w:tcPr>
            <w:tcW w:w="630" w:type="dxa"/>
          </w:tcPr>
          <w:p w:rsidR="004E50A6" w:rsidRPr="001D1D02" w:rsidRDefault="004E50A6" w:rsidP="0031463D">
            <w:pPr>
              <w:widowControl/>
              <w:tabs>
                <w:tab w:val="center" w:pos="4680"/>
              </w:tabs>
              <w:suppressAutoHyphens/>
              <w:rPr>
                <w:spacing w:val="-2"/>
                <w:szCs w:val="22"/>
              </w:rPr>
            </w:pPr>
            <w:r w:rsidRPr="001D1D02">
              <w:rPr>
                <w:spacing w:val="-2"/>
                <w:szCs w:val="22"/>
              </w:rPr>
              <w:t>)</w:t>
            </w:r>
          </w:p>
          <w:p w:rsidR="004E50A6" w:rsidRPr="001D1D02" w:rsidRDefault="004E50A6" w:rsidP="0031463D">
            <w:pPr>
              <w:widowControl/>
              <w:tabs>
                <w:tab w:val="center" w:pos="4680"/>
              </w:tabs>
              <w:suppressAutoHyphens/>
              <w:rPr>
                <w:spacing w:val="-2"/>
                <w:szCs w:val="22"/>
              </w:rPr>
            </w:pPr>
            <w:r w:rsidRPr="001D1D02">
              <w:rPr>
                <w:spacing w:val="-2"/>
                <w:szCs w:val="22"/>
              </w:rPr>
              <w:t>)</w:t>
            </w:r>
          </w:p>
          <w:p w:rsidR="004E50A6" w:rsidRPr="001D1D02" w:rsidRDefault="004E50A6" w:rsidP="0031463D">
            <w:pPr>
              <w:widowControl/>
              <w:tabs>
                <w:tab w:val="center" w:pos="4680"/>
              </w:tabs>
              <w:suppressAutoHyphens/>
              <w:rPr>
                <w:spacing w:val="-2"/>
                <w:szCs w:val="22"/>
              </w:rPr>
            </w:pPr>
            <w:r w:rsidRPr="001D1D02">
              <w:rPr>
                <w:spacing w:val="-2"/>
                <w:szCs w:val="22"/>
              </w:rPr>
              <w:t>)</w:t>
            </w:r>
          </w:p>
        </w:tc>
        <w:tc>
          <w:tcPr>
            <w:tcW w:w="4248" w:type="dxa"/>
          </w:tcPr>
          <w:p w:rsidR="004E50A6" w:rsidRPr="001D1D02" w:rsidRDefault="004E50A6" w:rsidP="0031463D">
            <w:pPr>
              <w:widowControl/>
              <w:tabs>
                <w:tab w:val="center" w:pos="4680"/>
              </w:tabs>
              <w:suppressAutoHyphens/>
              <w:rPr>
                <w:spacing w:val="-2"/>
                <w:szCs w:val="22"/>
              </w:rPr>
            </w:pPr>
          </w:p>
          <w:p w:rsidR="004E50A6" w:rsidRPr="001D1D02" w:rsidRDefault="004E50A6" w:rsidP="0031463D">
            <w:pPr>
              <w:widowControl/>
              <w:rPr>
                <w:spacing w:val="-2"/>
                <w:szCs w:val="22"/>
              </w:rPr>
            </w:pPr>
          </w:p>
          <w:p w:rsidR="00A672F7" w:rsidRPr="001D1D02" w:rsidRDefault="00FD7556" w:rsidP="0031463D">
            <w:pPr>
              <w:widowControl/>
              <w:tabs>
                <w:tab w:val="center" w:pos="4680"/>
              </w:tabs>
              <w:suppressAutoHyphens/>
              <w:rPr>
                <w:spacing w:val="-2"/>
                <w:szCs w:val="22"/>
              </w:rPr>
            </w:pPr>
            <w:r>
              <w:rPr>
                <w:spacing w:val="-2"/>
                <w:szCs w:val="22"/>
              </w:rPr>
              <w:t>WC Docket No. 17-108</w:t>
            </w:r>
          </w:p>
          <w:p w:rsidR="004E50A6" w:rsidRPr="001D1D02" w:rsidRDefault="004E50A6" w:rsidP="0031463D">
            <w:pPr>
              <w:widowControl/>
              <w:tabs>
                <w:tab w:val="center" w:pos="4680"/>
              </w:tabs>
              <w:suppressAutoHyphens/>
              <w:rPr>
                <w:spacing w:val="-2"/>
                <w:szCs w:val="22"/>
              </w:rPr>
            </w:pPr>
          </w:p>
          <w:p w:rsidR="004E50A6" w:rsidRPr="001D1D02" w:rsidRDefault="004E50A6" w:rsidP="0031463D">
            <w:pPr>
              <w:widowControl/>
              <w:tabs>
                <w:tab w:val="center" w:pos="4680"/>
              </w:tabs>
              <w:suppressAutoHyphens/>
              <w:rPr>
                <w:spacing w:val="-2"/>
                <w:szCs w:val="22"/>
              </w:rPr>
            </w:pPr>
          </w:p>
          <w:p w:rsidR="004E50A6" w:rsidRPr="001D1D02" w:rsidRDefault="004E50A6" w:rsidP="0031463D">
            <w:pPr>
              <w:widowControl/>
              <w:tabs>
                <w:tab w:val="center" w:pos="4680"/>
              </w:tabs>
              <w:suppressAutoHyphens/>
              <w:rPr>
                <w:spacing w:val="-2"/>
                <w:szCs w:val="22"/>
              </w:rPr>
            </w:pPr>
          </w:p>
        </w:tc>
      </w:tr>
    </w:tbl>
    <w:p w:rsidR="004E50A6" w:rsidRDefault="004E50A6" w:rsidP="0031463D">
      <w:pPr>
        <w:widowControl/>
        <w:rPr>
          <w:b/>
          <w:szCs w:val="22"/>
        </w:rPr>
      </w:pPr>
    </w:p>
    <w:p w:rsidR="004E50A6" w:rsidRDefault="004E50A6" w:rsidP="0031463D">
      <w:pPr>
        <w:pStyle w:val="StyleBoldCentered"/>
        <w:widowControl/>
      </w:pPr>
      <w:r w:rsidRPr="00FE2E8C">
        <w:t>Order</w:t>
      </w:r>
    </w:p>
    <w:p w:rsidR="004E50A6" w:rsidRPr="00FE2E8C" w:rsidRDefault="004E50A6" w:rsidP="0031463D">
      <w:pPr>
        <w:pStyle w:val="StyleBoldCentered"/>
        <w:widowControl/>
        <w:rPr>
          <w:spacing w:val="-2"/>
        </w:rPr>
      </w:pPr>
    </w:p>
    <w:p w:rsidR="004E50A6" w:rsidRPr="00FE2E8C" w:rsidRDefault="004E50A6" w:rsidP="0031463D">
      <w:pPr>
        <w:widowControl/>
        <w:tabs>
          <w:tab w:val="left" w:pos="720"/>
          <w:tab w:val="left" w:pos="5760"/>
        </w:tabs>
        <w:suppressAutoHyphens/>
        <w:spacing w:line="227" w:lineRule="auto"/>
        <w:jc w:val="both"/>
        <w:rPr>
          <w:spacing w:val="-2"/>
          <w:szCs w:val="22"/>
        </w:rPr>
      </w:pPr>
      <w:r w:rsidRPr="00FE2E8C">
        <w:rPr>
          <w:b/>
          <w:spacing w:val="-2"/>
          <w:szCs w:val="22"/>
        </w:rPr>
        <w:t xml:space="preserve">Adopted:  </w:t>
      </w:r>
      <w:r w:rsidR="008371E4">
        <w:rPr>
          <w:b/>
          <w:spacing w:val="-2"/>
          <w:szCs w:val="22"/>
        </w:rPr>
        <w:t>July 17</w:t>
      </w:r>
      <w:r w:rsidR="00B72CFD">
        <w:rPr>
          <w:b/>
          <w:spacing w:val="-2"/>
          <w:szCs w:val="22"/>
        </w:rPr>
        <w:t>,</w:t>
      </w:r>
      <w:r w:rsidR="00A672F7">
        <w:rPr>
          <w:b/>
          <w:spacing w:val="-2"/>
          <w:szCs w:val="22"/>
        </w:rPr>
        <w:t xml:space="preserve"> 2017</w:t>
      </w:r>
      <w:r w:rsidRPr="00FE2E8C">
        <w:rPr>
          <w:b/>
          <w:spacing w:val="-2"/>
          <w:szCs w:val="22"/>
        </w:rPr>
        <w:tab/>
      </w:r>
      <w:r>
        <w:rPr>
          <w:b/>
          <w:spacing w:val="-2"/>
          <w:szCs w:val="22"/>
        </w:rPr>
        <w:tab/>
      </w:r>
      <w:r w:rsidRPr="00FE2E8C">
        <w:rPr>
          <w:b/>
          <w:spacing w:val="-2"/>
          <w:szCs w:val="22"/>
        </w:rPr>
        <w:t xml:space="preserve">Released:  </w:t>
      </w:r>
      <w:r w:rsidR="008371E4">
        <w:rPr>
          <w:b/>
          <w:spacing w:val="-2"/>
          <w:szCs w:val="22"/>
        </w:rPr>
        <w:t>July 17</w:t>
      </w:r>
      <w:r>
        <w:rPr>
          <w:b/>
          <w:spacing w:val="-2"/>
          <w:szCs w:val="22"/>
        </w:rPr>
        <w:t>, 201</w:t>
      </w:r>
      <w:r w:rsidR="00A672F7">
        <w:rPr>
          <w:b/>
          <w:spacing w:val="-2"/>
          <w:szCs w:val="22"/>
        </w:rPr>
        <w:t>7</w:t>
      </w:r>
    </w:p>
    <w:p w:rsidR="004E50A6" w:rsidRDefault="004E50A6" w:rsidP="0031463D">
      <w:pPr>
        <w:widowControl/>
        <w:rPr>
          <w:szCs w:val="22"/>
        </w:rPr>
      </w:pPr>
    </w:p>
    <w:p w:rsidR="004E50A6" w:rsidRPr="00FE2E8C" w:rsidRDefault="004E50A6" w:rsidP="00302BAD">
      <w:pPr>
        <w:widowControl/>
        <w:ind w:left="720" w:hanging="720"/>
        <w:rPr>
          <w:spacing w:val="-2"/>
          <w:szCs w:val="22"/>
        </w:rPr>
      </w:pPr>
      <w:r w:rsidRPr="00FE2E8C">
        <w:rPr>
          <w:szCs w:val="22"/>
        </w:rPr>
        <w:t>By the</w:t>
      </w:r>
      <w:r w:rsidRPr="00FE2E8C">
        <w:rPr>
          <w:spacing w:val="-2"/>
          <w:szCs w:val="22"/>
        </w:rPr>
        <w:t xml:space="preserve"> </w:t>
      </w:r>
      <w:r w:rsidR="00A672F7">
        <w:rPr>
          <w:spacing w:val="-2"/>
          <w:szCs w:val="22"/>
        </w:rPr>
        <w:t xml:space="preserve">Chief, </w:t>
      </w:r>
      <w:r w:rsidR="00C325FC">
        <w:rPr>
          <w:spacing w:val="-2"/>
          <w:szCs w:val="22"/>
        </w:rPr>
        <w:t xml:space="preserve">Competition Policy Division, </w:t>
      </w:r>
      <w:r w:rsidR="00FD7556">
        <w:rPr>
          <w:spacing w:val="-2"/>
          <w:szCs w:val="22"/>
        </w:rPr>
        <w:t>Wireline</w:t>
      </w:r>
      <w:r w:rsidR="00A672F7">
        <w:rPr>
          <w:spacing w:val="-2"/>
          <w:szCs w:val="22"/>
        </w:rPr>
        <w:t xml:space="preserve"> </w:t>
      </w:r>
      <w:r w:rsidR="003942FB">
        <w:rPr>
          <w:spacing w:val="-2"/>
          <w:szCs w:val="22"/>
        </w:rPr>
        <w:t>Competition Bureau</w:t>
      </w:r>
      <w:r>
        <w:rPr>
          <w:spacing w:val="-2"/>
          <w:szCs w:val="22"/>
        </w:rPr>
        <w:t>:</w:t>
      </w:r>
    </w:p>
    <w:p w:rsidR="004E50A6" w:rsidRDefault="004E50A6" w:rsidP="0031463D">
      <w:pPr>
        <w:widowControl/>
        <w:rPr>
          <w:b/>
          <w:spacing w:val="-2"/>
          <w:szCs w:val="22"/>
        </w:rPr>
      </w:pPr>
    </w:p>
    <w:p w:rsidR="004E50A6" w:rsidRPr="000A088E" w:rsidRDefault="00F76439" w:rsidP="0031463D">
      <w:pPr>
        <w:pStyle w:val="ParaNum"/>
        <w:widowControl/>
      </w:pPr>
      <w:bookmarkStart w:id="1" w:name="_Toc361330014"/>
      <w:r>
        <w:rPr>
          <w:snapToGrid/>
        </w:rPr>
        <w:t xml:space="preserve">On </w:t>
      </w:r>
      <w:r w:rsidR="003942FB">
        <w:rPr>
          <w:snapToGrid/>
        </w:rPr>
        <w:t>July 7</w:t>
      </w:r>
      <w:r>
        <w:rPr>
          <w:snapToGrid/>
        </w:rPr>
        <w:t xml:space="preserve">, 2017, the </w:t>
      </w:r>
      <w:r w:rsidR="00A672F7">
        <w:rPr>
          <w:snapToGrid/>
        </w:rPr>
        <w:t xml:space="preserve">National </w:t>
      </w:r>
      <w:r w:rsidR="00FD7556">
        <w:rPr>
          <w:snapToGrid/>
        </w:rPr>
        <w:t>Hispanic Media Coalition (NHMC or Petitioner</w:t>
      </w:r>
      <w:r w:rsidR="004E50A6">
        <w:rPr>
          <w:snapToGrid/>
        </w:rPr>
        <w:t>)</w:t>
      </w:r>
      <w:r w:rsidR="000C6DBB" w:rsidRPr="000C6DBB">
        <w:rPr>
          <w:snapToGrid/>
        </w:rPr>
        <w:t xml:space="preserve"> </w:t>
      </w:r>
      <w:r>
        <w:rPr>
          <w:snapToGrid/>
        </w:rPr>
        <w:t xml:space="preserve">filed a </w:t>
      </w:r>
      <w:r w:rsidR="00FD7556">
        <w:rPr>
          <w:snapToGrid/>
        </w:rPr>
        <w:t>Motion</w:t>
      </w:r>
      <w:r w:rsidR="003942FB">
        <w:rPr>
          <w:snapToGrid/>
        </w:rPr>
        <w:t xml:space="preserve"> </w:t>
      </w:r>
      <w:r>
        <w:rPr>
          <w:snapToGrid/>
        </w:rPr>
        <w:t>for Extension of Time (Motion)</w:t>
      </w:r>
      <w:r w:rsidR="00E360C7">
        <w:rPr>
          <w:snapToGrid/>
        </w:rPr>
        <w:t xml:space="preserve"> in the </w:t>
      </w:r>
      <w:r w:rsidR="00FD7556">
        <w:rPr>
          <w:snapToGrid/>
        </w:rPr>
        <w:t xml:space="preserve">above </w:t>
      </w:r>
      <w:r w:rsidR="00E360C7">
        <w:rPr>
          <w:snapToGrid/>
        </w:rPr>
        <w:t xml:space="preserve">captioned </w:t>
      </w:r>
      <w:r w:rsidR="00FD7556">
        <w:rPr>
          <w:snapToGrid/>
        </w:rPr>
        <w:t>proceeding</w:t>
      </w:r>
      <w:r>
        <w:rPr>
          <w:snapToGrid/>
        </w:rPr>
        <w:t>.</w:t>
      </w:r>
      <w:r w:rsidR="00E360C7">
        <w:rPr>
          <w:rStyle w:val="FootnoteReference"/>
          <w:snapToGrid/>
        </w:rPr>
        <w:footnoteReference w:id="2"/>
      </w:r>
      <w:r w:rsidR="00FD7556">
        <w:rPr>
          <w:snapToGrid/>
        </w:rPr>
        <w:t xml:space="preserve">  Petitioner</w:t>
      </w:r>
      <w:r>
        <w:rPr>
          <w:snapToGrid/>
        </w:rPr>
        <w:t xml:space="preserve"> </w:t>
      </w:r>
      <w:r w:rsidR="00E360C7">
        <w:rPr>
          <w:snapToGrid/>
        </w:rPr>
        <w:t>ask</w:t>
      </w:r>
      <w:r w:rsidR="00FD7556">
        <w:rPr>
          <w:snapToGrid/>
        </w:rPr>
        <w:t>s</w:t>
      </w:r>
      <w:r w:rsidR="00E360C7">
        <w:rPr>
          <w:snapToGrid/>
        </w:rPr>
        <w:t xml:space="preserve"> us </w:t>
      </w:r>
      <w:r>
        <w:rPr>
          <w:snapToGrid/>
        </w:rPr>
        <w:t xml:space="preserve">to extend the </w:t>
      </w:r>
      <w:r w:rsidR="00FD7556">
        <w:rPr>
          <w:snapToGrid/>
        </w:rPr>
        <w:t xml:space="preserve">initial comment deadline until </w:t>
      </w:r>
      <w:r w:rsidR="00065E11">
        <w:rPr>
          <w:snapToGrid/>
        </w:rPr>
        <w:t>“</w:t>
      </w:r>
      <w:r w:rsidR="00FD7556">
        <w:rPr>
          <w:snapToGrid/>
        </w:rPr>
        <w:t xml:space="preserve">60 days after the Commission complies with </w:t>
      </w:r>
      <w:r w:rsidR="00065E11">
        <w:rPr>
          <w:snapToGrid/>
        </w:rPr>
        <w:t>[</w:t>
      </w:r>
      <w:r w:rsidR="00FD7556">
        <w:rPr>
          <w:snapToGrid/>
        </w:rPr>
        <w:t>NHMC’s</w:t>
      </w:r>
      <w:r w:rsidR="00065E11">
        <w:rPr>
          <w:snapToGrid/>
        </w:rPr>
        <w:t>]</w:t>
      </w:r>
      <w:r w:rsidR="00FD7556">
        <w:rPr>
          <w:snapToGrid/>
        </w:rPr>
        <w:t xml:space="preserve"> outstanding</w:t>
      </w:r>
      <w:r w:rsidR="00065E11">
        <w:rPr>
          <w:snapToGrid/>
        </w:rPr>
        <w:t>”</w:t>
      </w:r>
      <w:r w:rsidR="00065E11">
        <w:rPr>
          <w:rStyle w:val="FootnoteReference"/>
          <w:snapToGrid/>
        </w:rPr>
        <w:footnoteReference w:id="3"/>
      </w:r>
      <w:r w:rsidR="00FD7556">
        <w:rPr>
          <w:snapToGrid/>
        </w:rPr>
        <w:t xml:space="preserve"> Freedom of Information Act (FOIA) request.</w:t>
      </w:r>
      <w:r>
        <w:rPr>
          <w:snapToGrid/>
        </w:rPr>
        <w:t xml:space="preserve">  For the reasons set forth below, we deny the Motion. </w:t>
      </w:r>
    </w:p>
    <w:p w:rsidR="00AE345D" w:rsidRPr="008B3525" w:rsidRDefault="00FD7556" w:rsidP="008B3525">
      <w:pPr>
        <w:pStyle w:val="ParaNum"/>
        <w:rPr>
          <w:sz w:val="24"/>
          <w:szCs w:val="24"/>
        </w:rPr>
      </w:pPr>
      <w:r>
        <w:t>NHMC</w:t>
      </w:r>
      <w:r w:rsidR="007F43BB">
        <w:t xml:space="preserve"> </w:t>
      </w:r>
      <w:r w:rsidR="005B3332">
        <w:t>contend</w:t>
      </w:r>
      <w:r>
        <w:t>s</w:t>
      </w:r>
      <w:r w:rsidR="005024E9">
        <w:t xml:space="preserve"> that an extension is warranted </w:t>
      </w:r>
      <w:r w:rsidR="002973BC">
        <w:t>to</w:t>
      </w:r>
      <w:r>
        <w:t xml:space="preserve"> “ensure that all evidence relevant to this proceeding is available to the public, and that the public has adequate time to analyze the evidence and comment accordingly.  Specifically, the Commission must produce the approximately 47,000 open Internet complaints that it has received, and documents related to the open internet ombudsperson’s interactions with internet users, all of which are the subject of an unfulfilled [FOIA] request filed by NHMC.”</w:t>
      </w:r>
      <w:r>
        <w:rPr>
          <w:rStyle w:val="FootnoteReference"/>
        </w:rPr>
        <w:footnoteReference w:id="4"/>
      </w:r>
      <w:r w:rsidR="00CD000D">
        <w:t xml:space="preserve">  </w:t>
      </w:r>
    </w:p>
    <w:p w:rsidR="00177F65" w:rsidRPr="008371E4" w:rsidRDefault="0087535F" w:rsidP="005062D8">
      <w:pPr>
        <w:pStyle w:val="ParaNum"/>
        <w:rPr>
          <w:rFonts w:ascii="Arial" w:hAnsi="Arial" w:cs="Arial"/>
          <w:color w:val="000000"/>
          <w:sz w:val="19"/>
          <w:szCs w:val="19"/>
          <w:shd w:val="clear" w:color="auto" w:fill="FFFFFF"/>
        </w:rPr>
      </w:pPr>
      <w:r w:rsidRPr="008B3525">
        <w:t>We</w:t>
      </w:r>
      <w:r w:rsidRPr="008B3525">
        <w:rPr>
          <w:szCs w:val="22"/>
        </w:rPr>
        <w:t xml:space="preserve"> find that that NHMC’s stated request does not justify the requested </w:t>
      </w:r>
      <w:r w:rsidR="000E33D3">
        <w:rPr>
          <w:szCs w:val="22"/>
        </w:rPr>
        <w:t xml:space="preserve">lengthy </w:t>
      </w:r>
      <w:r w:rsidRPr="008B3525">
        <w:rPr>
          <w:szCs w:val="22"/>
        </w:rPr>
        <w:t>delay in the comment cycle in this proceeding.</w:t>
      </w:r>
      <w:r w:rsidR="00A74C60" w:rsidRPr="008B3525">
        <w:rPr>
          <w:rStyle w:val="FootnoteReference"/>
          <w:sz w:val="22"/>
          <w:szCs w:val="22"/>
        </w:rPr>
        <w:footnoteReference w:id="5"/>
      </w:r>
      <w:r w:rsidRPr="008B3525" w:rsidDel="00CD5BEB">
        <w:rPr>
          <w:szCs w:val="22"/>
        </w:rPr>
        <w:t xml:space="preserve"> </w:t>
      </w:r>
      <w:r w:rsidRPr="008B3525">
        <w:rPr>
          <w:szCs w:val="22"/>
        </w:rPr>
        <w:t xml:space="preserve"> </w:t>
      </w:r>
      <w:r w:rsidR="005E41BF" w:rsidRPr="008B3525">
        <w:rPr>
          <w:szCs w:val="22"/>
        </w:rPr>
        <w:t>Under Section 1.46 of the Commission’s rules, it is the policy of the Commission that extensions of time shall not be routinely granted.</w:t>
      </w:r>
      <w:r w:rsidR="005E41BF" w:rsidRPr="008B3525">
        <w:rPr>
          <w:rStyle w:val="FootnoteReference"/>
          <w:sz w:val="22"/>
          <w:szCs w:val="22"/>
        </w:rPr>
        <w:footnoteReference w:id="6"/>
      </w:r>
      <w:r w:rsidR="005E41BF" w:rsidRPr="008B3525">
        <w:rPr>
          <w:szCs w:val="22"/>
        </w:rPr>
        <w:t xml:space="preserve">  </w:t>
      </w:r>
      <w:r w:rsidR="008630F4">
        <w:rPr>
          <w:szCs w:val="22"/>
        </w:rPr>
        <w:t xml:space="preserve">For the reasons discussed below, we conclude that </w:t>
      </w:r>
      <w:r w:rsidR="00AE345D" w:rsidRPr="008B3525">
        <w:rPr>
          <w:color w:val="000000"/>
          <w:szCs w:val="22"/>
          <w:shd w:val="clear" w:color="auto" w:fill="FFFFFF"/>
        </w:rPr>
        <w:t>NHMC has not shown that an extension is warranted here</w:t>
      </w:r>
      <w:r w:rsidR="008630F4">
        <w:rPr>
          <w:color w:val="000000"/>
          <w:szCs w:val="22"/>
          <w:shd w:val="clear" w:color="auto" w:fill="FFFFFF"/>
        </w:rPr>
        <w:t>.</w:t>
      </w:r>
      <w:r w:rsidR="00AE345D" w:rsidRPr="008B3525">
        <w:rPr>
          <w:color w:val="000000"/>
          <w:szCs w:val="22"/>
          <w:shd w:val="clear" w:color="auto" w:fill="FFFFFF"/>
        </w:rPr>
        <w:t xml:space="preserve">  </w:t>
      </w:r>
    </w:p>
    <w:p w:rsidR="00177F65" w:rsidRPr="008371E4" w:rsidRDefault="002A66DE" w:rsidP="00AF6A2A">
      <w:pPr>
        <w:pStyle w:val="ParaNum"/>
        <w:tabs>
          <w:tab w:val="num" w:pos="1440"/>
        </w:tabs>
        <w:rPr>
          <w:rFonts w:ascii="Arial" w:hAnsi="Arial" w:cs="Arial"/>
          <w:color w:val="000000"/>
          <w:sz w:val="19"/>
          <w:szCs w:val="19"/>
          <w:shd w:val="clear" w:color="auto" w:fill="FFFFFF"/>
        </w:rPr>
      </w:pPr>
      <w:r>
        <w:rPr>
          <w:color w:val="000000"/>
          <w:szCs w:val="22"/>
          <w:shd w:val="clear" w:color="auto" w:fill="FFFFFF"/>
        </w:rPr>
        <w:t xml:space="preserve">We note that </w:t>
      </w:r>
      <w:r w:rsidR="00731E39">
        <w:rPr>
          <w:color w:val="000000"/>
          <w:szCs w:val="22"/>
          <w:shd w:val="clear" w:color="auto" w:fill="FFFFFF"/>
        </w:rPr>
        <w:t xml:space="preserve">Commission staff could </w:t>
      </w:r>
      <w:r w:rsidR="00334D99">
        <w:rPr>
          <w:color w:val="000000"/>
          <w:szCs w:val="22"/>
          <w:shd w:val="clear" w:color="auto" w:fill="FFFFFF"/>
        </w:rPr>
        <w:t>have denied</w:t>
      </w:r>
      <w:r w:rsidR="00731E39">
        <w:rPr>
          <w:color w:val="000000"/>
          <w:szCs w:val="22"/>
          <w:shd w:val="clear" w:color="auto" w:fill="FFFFFF"/>
        </w:rPr>
        <w:t xml:space="preserve"> </w:t>
      </w:r>
      <w:r w:rsidR="00AF3300">
        <w:rPr>
          <w:color w:val="000000"/>
          <w:szCs w:val="22"/>
          <w:shd w:val="clear" w:color="auto" w:fill="FFFFFF"/>
        </w:rPr>
        <w:t>NHMC’</w:t>
      </w:r>
      <w:r w:rsidR="00111FCB">
        <w:rPr>
          <w:color w:val="000000"/>
          <w:szCs w:val="22"/>
          <w:shd w:val="clear" w:color="auto" w:fill="FFFFFF"/>
        </w:rPr>
        <w:t xml:space="preserve">s FOIA request on its face as </w:t>
      </w:r>
      <w:r w:rsidR="00731E39">
        <w:rPr>
          <w:color w:val="000000"/>
          <w:szCs w:val="22"/>
          <w:shd w:val="clear" w:color="auto" w:fill="FFFFFF"/>
        </w:rPr>
        <w:t>unreasonably burdensome under the FOIA</w:t>
      </w:r>
      <w:r w:rsidR="00AF4F04">
        <w:rPr>
          <w:color w:val="000000"/>
          <w:szCs w:val="22"/>
          <w:shd w:val="clear" w:color="auto" w:fill="FFFFFF"/>
        </w:rPr>
        <w:t xml:space="preserve">.  In order to release all 47,000 complaints to NHMC, Commission staff would have had to review and redact personally identifiable information from each </w:t>
      </w:r>
      <w:r w:rsidR="00AF4F04">
        <w:rPr>
          <w:color w:val="000000"/>
          <w:szCs w:val="22"/>
          <w:shd w:val="clear" w:color="auto" w:fill="FFFFFF"/>
        </w:rPr>
        <w:lastRenderedPageBreak/>
        <w:t>one of those complaints</w:t>
      </w:r>
      <w:r>
        <w:rPr>
          <w:color w:val="000000"/>
          <w:szCs w:val="22"/>
          <w:shd w:val="clear" w:color="auto" w:fill="FFFFFF"/>
        </w:rPr>
        <w:t xml:space="preserve">, which would have been </w:t>
      </w:r>
      <w:r w:rsidR="00AB22C4">
        <w:rPr>
          <w:color w:val="000000"/>
          <w:szCs w:val="22"/>
          <w:shd w:val="clear" w:color="auto" w:fill="FFFFFF"/>
        </w:rPr>
        <w:t>unreasonably</w:t>
      </w:r>
      <w:r>
        <w:rPr>
          <w:color w:val="000000"/>
          <w:szCs w:val="22"/>
          <w:shd w:val="clear" w:color="auto" w:fill="FFFFFF"/>
        </w:rPr>
        <w:t xml:space="preserve"> burdensome</w:t>
      </w:r>
      <w:r w:rsidR="00AF4F04">
        <w:rPr>
          <w:color w:val="000000"/>
          <w:szCs w:val="22"/>
          <w:shd w:val="clear" w:color="auto" w:fill="FFFFFF"/>
        </w:rPr>
        <w:t>.</w:t>
      </w:r>
      <w:r w:rsidR="00AF3300">
        <w:rPr>
          <w:rStyle w:val="FootnoteReference"/>
          <w:szCs w:val="22"/>
          <w:shd w:val="clear" w:color="auto" w:fill="FFFFFF"/>
        </w:rPr>
        <w:footnoteReference w:id="7"/>
      </w:r>
      <w:r w:rsidR="00FD6CEC">
        <w:rPr>
          <w:color w:val="000000"/>
          <w:szCs w:val="22"/>
          <w:shd w:val="clear" w:color="auto" w:fill="FFFFFF"/>
        </w:rPr>
        <w:t xml:space="preserve">  </w:t>
      </w:r>
      <w:r w:rsidR="00AF4F04">
        <w:rPr>
          <w:color w:val="000000"/>
          <w:szCs w:val="22"/>
          <w:shd w:val="clear" w:color="auto" w:fill="FFFFFF"/>
        </w:rPr>
        <w:t xml:space="preserve">Rather than simply denying the FOIA request, however, the staff </w:t>
      </w:r>
      <w:r w:rsidR="00731E39">
        <w:rPr>
          <w:color w:val="000000"/>
          <w:szCs w:val="22"/>
          <w:shd w:val="clear" w:color="auto" w:fill="FFFFFF"/>
        </w:rPr>
        <w:t>has worked diligently with NHMC to provide it with responsive information in a reasonable time frame</w:t>
      </w:r>
      <w:r w:rsidR="00177F65">
        <w:rPr>
          <w:color w:val="000000"/>
          <w:szCs w:val="22"/>
          <w:shd w:val="clear" w:color="auto" w:fill="FFFFFF"/>
        </w:rPr>
        <w:t>, while still protecting the personal</w:t>
      </w:r>
      <w:r w:rsidR="008371E4">
        <w:rPr>
          <w:color w:val="000000"/>
          <w:szCs w:val="22"/>
          <w:shd w:val="clear" w:color="auto" w:fill="FFFFFF"/>
        </w:rPr>
        <w:t>ly</w:t>
      </w:r>
      <w:r w:rsidR="00177F65">
        <w:rPr>
          <w:color w:val="000000"/>
          <w:szCs w:val="22"/>
          <w:shd w:val="clear" w:color="auto" w:fill="FFFFFF"/>
        </w:rPr>
        <w:t xml:space="preserve"> identifiable information of thousands of consumers</w:t>
      </w:r>
      <w:r w:rsidR="00731E39">
        <w:rPr>
          <w:color w:val="000000"/>
          <w:szCs w:val="22"/>
          <w:shd w:val="clear" w:color="auto" w:fill="FFFFFF"/>
        </w:rPr>
        <w:t xml:space="preserve">.  </w:t>
      </w:r>
      <w:r w:rsidR="00731E39" w:rsidRPr="00EA4F88">
        <w:t>On June 20, 2017, Commission FOIA staff provided NHMC with approximately 1,000 responsive complaints.</w:t>
      </w:r>
      <w:r w:rsidR="00731E39" w:rsidRPr="008B3525">
        <w:rPr>
          <w:rStyle w:val="FootnoteReference"/>
          <w:color w:val="000000"/>
          <w:sz w:val="22"/>
          <w:szCs w:val="22"/>
          <w:shd w:val="clear" w:color="auto" w:fill="FFFFFF"/>
        </w:rPr>
        <w:footnoteReference w:id="8"/>
      </w:r>
      <w:r w:rsidR="00150748">
        <w:rPr>
          <w:color w:val="000000"/>
          <w:szCs w:val="22"/>
          <w:shd w:val="clear" w:color="auto" w:fill="FFFFFF"/>
        </w:rPr>
        <w:t xml:space="preserve">  Consistent with an oral offer on July 5, 2017, staff made a</w:t>
      </w:r>
      <w:r w:rsidR="008371E4">
        <w:rPr>
          <w:color w:val="000000"/>
          <w:szCs w:val="22"/>
          <w:shd w:val="clear" w:color="auto" w:fill="FFFFFF"/>
        </w:rPr>
        <w:t xml:space="preserve"> written offer on July 14, 2017</w:t>
      </w:r>
      <w:r w:rsidR="00150748">
        <w:rPr>
          <w:color w:val="000000"/>
          <w:szCs w:val="22"/>
          <w:shd w:val="clear" w:color="auto" w:fill="FFFFFF"/>
        </w:rPr>
        <w:t xml:space="preserve"> to provide NHMC by September 1, 2017 an additional 2,000 complaints, the accompanying carrier responses, 1500 related emails, and an Excel spreadsheet of all 47,0</w:t>
      </w:r>
      <w:r w:rsidR="008371E4">
        <w:rPr>
          <w:color w:val="000000"/>
          <w:szCs w:val="22"/>
          <w:shd w:val="clear" w:color="auto" w:fill="FFFFFF"/>
        </w:rPr>
        <w:t xml:space="preserve">00 </w:t>
      </w:r>
      <w:r w:rsidR="00150748">
        <w:rPr>
          <w:color w:val="000000"/>
          <w:szCs w:val="22"/>
          <w:shd w:val="clear" w:color="auto" w:fill="FFFFFF"/>
        </w:rPr>
        <w:t>complaint numbers and additional requested data fields.</w:t>
      </w:r>
      <w:r w:rsidR="00C17D61">
        <w:rPr>
          <w:color w:val="000000"/>
          <w:szCs w:val="22"/>
          <w:shd w:val="clear" w:color="auto" w:fill="FFFFFF"/>
        </w:rPr>
        <w:t xml:space="preserve">  </w:t>
      </w:r>
    </w:p>
    <w:p w:rsidR="008630F4" w:rsidRPr="008371E4" w:rsidRDefault="00C17D61" w:rsidP="00AF6A2A">
      <w:pPr>
        <w:pStyle w:val="ParaNum"/>
        <w:tabs>
          <w:tab w:val="num" w:pos="1440"/>
        </w:tabs>
        <w:rPr>
          <w:rFonts w:ascii="Arial" w:hAnsi="Arial" w:cs="Arial"/>
          <w:color w:val="000000"/>
          <w:sz w:val="19"/>
          <w:szCs w:val="19"/>
          <w:shd w:val="clear" w:color="auto" w:fill="FFFFFF"/>
        </w:rPr>
      </w:pPr>
      <w:r>
        <w:rPr>
          <w:color w:val="000000"/>
          <w:szCs w:val="22"/>
          <w:shd w:val="clear" w:color="auto" w:fill="FFFFFF"/>
        </w:rPr>
        <w:t xml:space="preserve">NHMC is free to address the relevance </w:t>
      </w:r>
      <w:r w:rsidR="00AD5499">
        <w:rPr>
          <w:color w:val="000000"/>
          <w:szCs w:val="22"/>
          <w:shd w:val="clear" w:color="auto" w:fill="FFFFFF"/>
        </w:rPr>
        <w:t xml:space="preserve">of any additional documents </w:t>
      </w:r>
      <w:r>
        <w:rPr>
          <w:color w:val="000000"/>
          <w:szCs w:val="22"/>
          <w:shd w:val="clear" w:color="auto" w:fill="FFFFFF"/>
        </w:rPr>
        <w:t xml:space="preserve">to this proceeding </w:t>
      </w:r>
      <w:r w:rsidR="00534115">
        <w:rPr>
          <w:color w:val="000000"/>
          <w:szCs w:val="22"/>
          <w:shd w:val="clear" w:color="auto" w:fill="FFFFFF"/>
        </w:rPr>
        <w:t xml:space="preserve">in its reply comments or in </w:t>
      </w:r>
      <w:r>
        <w:rPr>
          <w:color w:val="000000"/>
          <w:szCs w:val="22"/>
          <w:shd w:val="clear" w:color="auto" w:fill="FFFFFF"/>
        </w:rPr>
        <w:t xml:space="preserve">ex parte filings, as the </w:t>
      </w:r>
      <w:r w:rsidRPr="008B3525">
        <w:rPr>
          <w:color w:val="000000"/>
          <w:szCs w:val="22"/>
          <w:shd w:val="clear" w:color="auto" w:fill="FFFFFF"/>
        </w:rPr>
        <w:t>docket in this proceeding does not close when the comment cycle has ended.</w:t>
      </w:r>
      <w:r w:rsidR="00EE2145">
        <w:rPr>
          <w:rStyle w:val="FootnoteReference"/>
          <w:szCs w:val="22"/>
          <w:shd w:val="clear" w:color="auto" w:fill="FFFFFF"/>
        </w:rPr>
        <w:footnoteReference w:id="9"/>
      </w:r>
      <w:r w:rsidR="00111FCB">
        <w:rPr>
          <w:color w:val="000000"/>
          <w:szCs w:val="22"/>
          <w:shd w:val="clear" w:color="auto" w:fill="FFFFFF"/>
        </w:rPr>
        <w:t xml:space="preserve">  </w:t>
      </w:r>
      <w:r w:rsidRPr="008B3525">
        <w:rPr>
          <w:color w:val="000000"/>
          <w:szCs w:val="22"/>
          <w:shd w:val="clear" w:color="auto" w:fill="FFFFFF"/>
        </w:rPr>
        <w:t>Rather, it remains open beyond that date for all interested parties to express their views</w:t>
      </w:r>
      <w:r>
        <w:rPr>
          <w:color w:val="000000"/>
          <w:szCs w:val="22"/>
          <w:shd w:val="clear" w:color="auto" w:fill="FFFFFF"/>
        </w:rPr>
        <w:t>.</w:t>
      </w:r>
      <w:r w:rsidR="00AE345D" w:rsidRPr="008B3525">
        <w:rPr>
          <w:color w:val="000000"/>
          <w:szCs w:val="22"/>
          <w:shd w:val="clear" w:color="auto" w:fill="FFFFFF"/>
        </w:rPr>
        <w:t xml:space="preserve"> </w:t>
      </w:r>
      <w:r w:rsidR="00A95C8A">
        <w:rPr>
          <w:color w:val="000000"/>
          <w:szCs w:val="22"/>
          <w:shd w:val="clear" w:color="auto" w:fill="FFFFFF"/>
        </w:rPr>
        <w:t xml:space="preserve"> </w:t>
      </w:r>
      <w:r w:rsidR="00AE345D" w:rsidRPr="008B3525">
        <w:rPr>
          <w:color w:val="000000"/>
          <w:szCs w:val="22"/>
          <w:shd w:val="clear" w:color="auto" w:fill="FFFFFF"/>
        </w:rPr>
        <w:t xml:space="preserve">Commission FOIA staff will continue to work with NHMC to reasonably fulfill its FOIA request. </w:t>
      </w:r>
      <w:r w:rsidR="00A95C8A">
        <w:rPr>
          <w:color w:val="000000"/>
          <w:szCs w:val="22"/>
          <w:shd w:val="clear" w:color="auto" w:fill="FFFFFF"/>
        </w:rPr>
        <w:t xml:space="preserve"> If the Commission made a practice of delaying comment cycles in response to FOIA requests that require extensive redactions, it would provide parties that oppose particular proceedings an avenue to grind those proceedings to a halt.  The Commission will continue to strive to enable NHMC to review and comment upon the information that it has requested.</w:t>
      </w:r>
      <w:r w:rsidR="00AD5499">
        <w:rPr>
          <w:color w:val="000000"/>
          <w:szCs w:val="22"/>
          <w:shd w:val="clear" w:color="auto" w:fill="FFFFFF"/>
        </w:rPr>
        <w:t xml:space="preserve">  </w:t>
      </w:r>
    </w:p>
    <w:p w:rsidR="009156EE" w:rsidRPr="008B3525" w:rsidRDefault="00AD5499" w:rsidP="00AF6A2A">
      <w:pPr>
        <w:pStyle w:val="ParaNum"/>
        <w:tabs>
          <w:tab w:val="num" w:pos="1440"/>
        </w:tabs>
        <w:rPr>
          <w:rFonts w:ascii="Arial" w:hAnsi="Arial" w:cs="Arial"/>
          <w:color w:val="000000"/>
          <w:sz w:val="19"/>
          <w:szCs w:val="19"/>
          <w:shd w:val="clear" w:color="auto" w:fill="FFFFFF"/>
        </w:rPr>
      </w:pPr>
      <w:r>
        <w:rPr>
          <w:color w:val="000000"/>
          <w:szCs w:val="22"/>
          <w:shd w:val="clear" w:color="auto" w:fill="FFFFFF"/>
        </w:rPr>
        <w:t>In light of all these considerations and NHMC’s continued ability to comment in the record, we conclude that NHMC has failed to show sufficient cause to warrant an extension.</w:t>
      </w:r>
    </w:p>
    <w:bookmarkEnd w:id="1"/>
    <w:p w:rsidR="004E6EDD" w:rsidRDefault="004E6EDD" w:rsidP="004E6EDD">
      <w:pPr>
        <w:pStyle w:val="ParaNum"/>
        <w:widowControl/>
        <w:tabs>
          <w:tab w:val="num" w:pos="1440"/>
        </w:tabs>
      </w:pPr>
      <w:r>
        <w:t xml:space="preserve">Accordingly, IT IS ORDERED, pursuant to </w:t>
      </w:r>
      <w:r w:rsidRPr="004769E4">
        <w:t>sections 4(i)</w:t>
      </w:r>
      <w:r>
        <w:t>, 4(j),</w:t>
      </w:r>
      <w:r w:rsidRPr="004769E4">
        <w:t xml:space="preserve"> </w:t>
      </w:r>
      <w:r>
        <w:t xml:space="preserve">5, </w:t>
      </w:r>
      <w:r w:rsidRPr="004769E4">
        <w:t>and 303(r) of the Communications Act, as amended, 47 U.S.C. §§ 154(i)</w:t>
      </w:r>
      <w:r>
        <w:t xml:space="preserve">, </w:t>
      </w:r>
      <w:r w:rsidRPr="004769E4">
        <w:t>154</w:t>
      </w:r>
      <w:r>
        <w:t xml:space="preserve">(j), 155, </w:t>
      </w:r>
      <w:r w:rsidRPr="004769E4">
        <w:t>and 303(r)</w:t>
      </w:r>
      <w:r>
        <w:t>,</w:t>
      </w:r>
      <w:r w:rsidRPr="004769E4">
        <w:t xml:space="preserve"> and sections </w:t>
      </w:r>
      <w:r>
        <w:t>0.91, 0.291, 1.46, and 1.415</w:t>
      </w:r>
      <w:r w:rsidRPr="004769E4">
        <w:t xml:space="preserve"> of the Commission’s rules, 47 CFR §§ </w:t>
      </w:r>
      <w:r>
        <w:t>0.91, 0.291, 1.46</w:t>
      </w:r>
      <w:r w:rsidRPr="004769E4">
        <w:t>,</w:t>
      </w:r>
      <w:r>
        <w:t xml:space="preserve"> and 1.415, that</w:t>
      </w:r>
      <w:r>
        <w:rPr>
          <w:snapToGrid/>
        </w:rPr>
        <w:t xml:space="preserve"> the Motion for Extension of Time filed by the National Hispanic Media Coalition </w:t>
      </w:r>
      <w:r>
        <w:t>on July 7, 2017, IS DENIED.</w:t>
      </w:r>
    </w:p>
    <w:p w:rsidR="004E50A6" w:rsidRDefault="004E50A6" w:rsidP="0031463D">
      <w:pPr>
        <w:pStyle w:val="ParaNum"/>
        <w:widowControl/>
        <w:numPr>
          <w:ilvl w:val="0"/>
          <w:numId w:val="0"/>
        </w:numPr>
      </w:pPr>
    </w:p>
    <w:p w:rsidR="004E50A6" w:rsidRDefault="004E50A6" w:rsidP="0031463D">
      <w:pPr>
        <w:pStyle w:val="ParaNum"/>
        <w:widowControl/>
        <w:numPr>
          <w:ilvl w:val="0"/>
          <w:numId w:val="0"/>
        </w:numPr>
        <w:spacing w:after="0"/>
        <w:ind w:left="3600"/>
      </w:pPr>
      <w:r>
        <w:t>FEDERAL COMMUNICATIONS COMMISSION</w:t>
      </w:r>
    </w:p>
    <w:p w:rsidR="004E50A6" w:rsidRDefault="004E50A6" w:rsidP="0031463D">
      <w:pPr>
        <w:pStyle w:val="ParaNum"/>
        <w:widowControl/>
        <w:numPr>
          <w:ilvl w:val="0"/>
          <w:numId w:val="0"/>
        </w:numPr>
        <w:spacing w:after="0"/>
        <w:ind w:left="3600"/>
      </w:pPr>
    </w:p>
    <w:p w:rsidR="004E50A6" w:rsidRDefault="004E50A6" w:rsidP="0031463D">
      <w:pPr>
        <w:pStyle w:val="ParaNum"/>
        <w:widowControl/>
        <w:numPr>
          <w:ilvl w:val="0"/>
          <w:numId w:val="0"/>
        </w:numPr>
        <w:spacing w:after="0"/>
        <w:ind w:left="3600"/>
      </w:pPr>
    </w:p>
    <w:p w:rsidR="004E50A6" w:rsidRDefault="004E50A6" w:rsidP="0031463D">
      <w:pPr>
        <w:pStyle w:val="ParaNum"/>
        <w:widowControl/>
        <w:numPr>
          <w:ilvl w:val="0"/>
          <w:numId w:val="0"/>
        </w:numPr>
        <w:spacing w:after="0"/>
        <w:ind w:left="3600"/>
      </w:pPr>
    </w:p>
    <w:p w:rsidR="004E50A6" w:rsidRDefault="004E50A6" w:rsidP="0031463D">
      <w:pPr>
        <w:pStyle w:val="ParaNum"/>
        <w:widowControl/>
        <w:numPr>
          <w:ilvl w:val="0"/>
          <w:numId w:val="0"/>
        </w:numPr>
        <w:spacing w:after="0"/>
        <w:ind w:left="3600"/>
      </w:pPr>
    </w:p>
    <w:p w:rsidR="00616F33" w:rsidRDefault="00616F33" w:rsidP="0031463D">
      <w:pPr>
        <w:widowControl/>
        <w:ind w:left="2880" w:firstLine="720"/>
      </w:pPr>
      <w:r>
        <w:t xml:space="preserve">Daniel Kahn </w:t>
      </w:r>
    </w:p>
    <w:p w:rsidR="00616F33" w:rsidRDefault="00616F33" w:rsidP="0031463D">
      <w:pPr>
        <w:widowControl/>
        <w:ind w:left="2880" w:firstLine="720"/>
      </w:pPr>
      <w:r>
        <w:t>Chief</w:t>
      </w:r>
    </w:p>
    <w:p w:rsidR="00616F33" w:rsidRDefault="00616F33" w:rsidP="0031463D">
      <w:pPr>
        <w:widowControl/>
        <w:ind w:left="2880" w:firstLine="720"/>
      </w:pPr>
      <w:r>
        <w:t>Competition Policy Division</w:t>
      </w:r>
    </w:p>
    <w:p w:rsidR="00616F33" w:rsidRDefault="00616F33" w:rsidP="0031463D">
      <w:pPr>
        <w:widowControl/>
        <w:ind w:left="2880" w:firstLine="720"/>
      </w:pPr>
      <w:r>
        <w:t>Wireline Competition Bureau</w:t>
      </w:r>
    </w:p>
    <w:sectPr w:rsidR="00616F33" w:rsidSect="003B46D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008"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6FA" w:rsidRDefault="009256FA">
      <w:pPr>
        <w:spacing w:line="20" w:lineRule="exact"/>
      </w:pPr>
    </w:p>
  </w:endnote>
  <w:endnote w:type="continuationSeparator" w:id="0">
    <w:p w:rsidR="009256FA" w:rsidRDefault="009256FA">
      <w:r>
        <w:t xml:space="preserve"> </w:t>
      </w:r>
    </w:p>
  </w:endnote>
  <w:endnote w:type="continuationNotice" w:id="1">
    <w:p w:rsidR="009256FA" w:rsidRDefault="009256F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475E63">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6FA" w:rsidRDefault="009256FA">
      <w:r>
        <w:separator/>
      </w:r>
    </w:p>
  </w:footnote>
  <w:footnote w:type="continuationSeparator" w:id="0">
    <w:p w:rsidR="009256FA" w:rsidRDefault="009256FA" w:rsidP="00C721AC">
      <w:pPr>
        <w:spacing w:before="120"/>
        <w:rPr>
          <w:sz w:val="20"/>
        </w:rPr>
      </w:pPr>
      <w:r>
        <w:continuationSeparator/>
      </w:r>
    </w:p>
  </w:footnote>
  <w:footnote w:type="continuationNotice" w:id="1">
    <w:p w:rsidR="009256FA" w:rsidRPr="009868E4" w:rsidRDefault="009256FA" w:rsidP="009868E4">
      <w:pPr>
        <w:pStyle w:val="Footer"/>
      </w:pPr>
    </w:p>
  </w:footnote>
  <w:footnote w:id="2">
    <w:p w:rsidR="00E360C7" w:rsidRDefault="00E360C7">
      <w:pPr>
        <w:pStyle w:val="FootnoteText"/>
      </w:pPr>
      <w:r>
        <w:rPr>
          <w:rStyle w:val="FootnoteReference"/>
        </w:rPr>
        <w:footnoteRef/>
      </w:r>
      <w:r>
        <w:t xml:space="preserve"> </w:t>
      </w:r>
      <w:r w:rsidR="00FD7556">
        <w:t>National Hispanic Media Coalition Motion</w:t>
      </w:r>
      <w:r w:rsidR="00465625">
        <w:t xml:space="preserve"> for Extension of Time, W</w:t>
      </w:r>
      <w:r w:rsidR="003942FB">
        <w:t>C</w:t>
      </w:r>
      <w:r w:rsidR="00465625">
        <w:t xml:space="preserve"> Docket No. </w:t>
      </w:r>
      <w:r w:rsidR="00FD7556">
        <w:t>17-108</w:t>
      </w:r>
      <w:r w:rsidR="003942FB">
        <w:t xml:space="preserve"> (</w:t>
      </w:r>
      <w:r w:rsidR="00465625">
        <w:t xml:space="preserve">filed </w:t>
      </w:r>
      <w:r w:rsidR="00FD7556">
        <w:t>July 7,</w:t>
      </w:r>
      <w:r w:rsidR="00465625">
        <w:t xml:space="preserve"> 2017</w:t>
      </w:r>
      <w:r w:rsidR="00FD7556">
        <w:t>)</w:t>
      </w:r>
      <w:r w:rsidR="00465625">
        <w:t xml:space="preserve"> (Motion).</w:t>
      </w:r>
    </w:p>
  </w:footnote>
  <w:footnote w:id="3">
    <w:p w:rsidR="00065E11" w:rsidRPr="00065E11" w:rsidRDefault="00065E11">
      <w:pPr>
        <w:pStyle w:val="FootnoteText"/>
      </w:pPr>
      <w:r>
        <w:rPr>
          <w:rStyle w:val="FootnoteReference"/>
        </w:rPr>
        <w:footnoteRef/>
      </w:r>
      <w:r>
        <w:t xml:space="preserve"> </w:t>
      </w:r>
      <w:r>
        <w:rPr>
          <w:i/>
        </w:rPr>
        <w:t>Id</w:t>
      </w:r>
      <w:r>
        <w:t>. at 1-2.</w:t>
      </w:r>
    </w:p>
  </w:footnote>
  <w:footnote w:id="4">
    <w:p w:rsidR="00FD7556" w:rsidRDefault="00FD7556">
      <w:pPr>
        <w:pStyle w:val="FootnoteText"/>
      </w:pPr>
      <w:r>
        <w:rPr>
          <w:rStyle w:val="FootnoteReference"/>
        </w:rPr>
        <w:footnoteRef/>
      </w:r>
      <w:r>
        <w:t xml:space="preserve"> </w:t>
      </w:r>
      <w:r w:rsidR="00650086">
        <w:rPr>
          <w:i/>
        </w:rPr>
        <w:t>Id.</w:t>
      </w:r>
      <w:r>
        <w:t xml:space="preserve"> at 1.</w:t>
      </w:r>
    </w:p>
  </w:footnote>
  <w:footnote w:id="5">
    <w:p w:rsidR="00A74C60" w:rsidRDefault="00A74C60">
      <w:pPr>
        <w:pStyle w:val="FootnoteText"/>
      </w:pPr>
      <w:r>
        <w:rPr>
          <w:rStyle w:val="FootnoteReference"/>
        </w:rPr>
        <w:footnoteRef/>
      </w:r>
      <w:r>
        <w:t xml:space="preserve"> We note that the FCC first released a public version of the Notice of Proposed Rulemaking i</w:t>
      </w:r>
      <w:r w:rsidR="00782838">
        <w:t>n this docket on April 27, 2017.</w:t>
      </w:r>
      <w:r>
        <w:t xml:space="preserve"> </w:t>
      </w:r>
      <w:r w:rsidR="00782838">
        <w:t xml:space="preserve"> </w:t>
      </w:r>
      <w:r>
        <w:t>The FCC voted to approve the NPRM on May 18 and the agency released it on May 23.  The agency specified at that time that comments would be due on July 17 and reply comments would be due on August 16.  No other party has sought additional time to file comments in this proceeding.</w:t>
      </w:r>
    </w:p>
  </w:footnote>
  <w:footnote w:id="6">
    <w:p w:rsidR="005E41BF" w:rsidRPr="00150748" w:rsidRDefault="005E41BF" w:rsidP="005E41BF">
      <w:pPr>
        <w:pStyle w:val="FootnoteText"/>
      </w:pPr>
      <w:r>
        <w:rPr>
          <w:rStyle w:val="FootnoteReference"/>
        </w:rPr>
        <w:footnoteRef/>
      </w:r>
      <w:r>
        <w:t xml:space="preserve"> </w:t>
      </w:r>
      <w:r w:rsidRPr="00E77629">
        <w:t>47 CFR § 1.46</w:t>
      </w:r>
      <w:r>
        <w:t>.</w:t>
      </w:r>
      <w:r w:rsidR="00A74C60">
        <w:t xml:space="preserve">  </w:t>
      </w:r>
      <w:r w:rsidR="00DF0352" w:rsidRPr="008B3525">
        <w:rPr>
          <w:i/>
        </w:rPr>
        <w:t>See, e.g</w:t>
      </w:r>
      <w:r w:rsidR="00DF0352">
        <w:t xml:space="preserve">., </w:t>
      </w:r>
      <w:r w:rsidR="00BB4E39">
        <w:rPr>
          <w:i/>
        </w:rPr>
        <w:t>Protecting the Privacy of Customer[s] of Broadband and Other Telecommunications Services</w:t>
      </w:r>
      <w:r w:rsidR="00BB4E39">
        <w:t>,</w:t>
      </w:r>
      <w:r w:rsidR="00BB4E39">
        <w:rPr>
          <w:i/>
        </w:rPr>
        <w:t xml:space="preserve"> </w:t>
      </w:r>
      <w:r w:rsidR="00BB4E39">
        <w:t xml:space="preserve">Order, 31 FCC Rcd 3943 (WCB 2016); </w:t>
      </w:r>
      <w:r w:rsidR="00BB4E39">
        <w:rPr>
          <w:i/>
        </w:rPr>
        <w:t>Business Data Services in an Internet Protocol Environment</w:t>
      </w:r>
      <w:r w:rsidR="00BB4E39" w:rsidRPr="000C40AB">
        <w:t xml:space="preserve">, </w:t>
      </w:r>
      <w:r w:rsidR="00BB4E39">
        <w:t xml:space="preserve">Order, 31 FCC Rcd 6778 (WCB 2016); </w:t>
      </w:r>
      <w:r w:rsidR="00BB4E39">
        <w:rPr>
          <w:i/>
        </w:rPr>
        <w:t>Final Report of the Downloadable Security Technology Advisory Committee</w:t>
      </w:r>
      <w:r w:rsidR="00BB4E39" w:rsidRPr="000C40AB">
        <w:t>,</w:t>
      </w:r>
      <w:r w:rsidR="00BB4E39">
        <w:rPr>
          <w:i/>
        </w:rPr>
        <w:t xml:space="preserve"> </w:t>
      </w:r>
      <w:r w:rsidR="00BB4E39">
        <w:t xml:space="preserve">Order, 30 FCC Rcd 12351 (MB 2015); </w:t>
      </w:r>
      <w:r w:rsidR="00BB4E39">
        <w:rPr>
          <w:i/>
        </w:rPr>
        <w:t>Amendments to Part 4 of the Commission’s Rules Concerning Disruptions to Communications</w:t>
      </w:r>
      <w:r w:rsidR="00BB4E39" w:rsidRPr="000C40AB">
        <w:t>,</w:t>
      </w:r>
      <w:r w:rsidR="00BB4E39">
        <w:rPr>
          <w:i/>
        </w:rPr>
        <w:t xml:space="preserve"> </w:t>
      </w:r>
      <w:r w:rsidR="00BB4E39">
        <w:t>Order, 31 FCC Rcd 9725 (PSHSB 2016).</w:t>
      </w:r>
    </w:p>
  </w:footnote>
  <w:footnote w:id="7">
    <w:p w:rsidR="00AF4F04" w:rsidRPr="008371E4" w:rsidRDefault="00AF3300" w:rsidP="008371E4">
      <w:pPr>
        <w:spacing w:after="120"/>
      </w:pPr>
      <w:r w:rsidRPr="00150748">
        <w:rPr>
          <w:rStyle w:val="FootnoteReference"/>
        </w:rPr>
        <w:footnoteRef/>
      </w:r>
      <w:r w:rsidRPr="008371E4">
        <w:rPr>
          <w:sz w:val="20"/>
        </w:rPr>
        <w:t xml:space="preserve"> </w:t>
      </w:r>
      <w:r w:rsidRPr="008371E4">
        <w:rPr>
          <w:i/>
          <w:iCs/>
          <w:sz w:val="20"/>
        </w:rPr>
        <w:t>People for American Way Foundation v. Dep’t of Justice</w:t>
      </w:r>
      <w:r w:rsidRPr="008371E4">
        <w:rPr>
          <w:sz w:val="20"/>
        </w:rPr>
        <w:t>, 451 F. Supp. 2d 6 (D.D.C. 2006) (agreeing with agency that responding to a FOIA request requiring page-by-page review of 44,000 case files was unreasonably burdensome)</w:t>
      </w:r>
      <w:r w:rsidR="00FD6CEC" w:rsidRPr="008371E4">
        <w:rPr>
          <w:sz w:val="20"/>
        </w:rPr>
        <w:t xml:space="preserve">; </w:t>
      </w:r>
      <w:r w:rsidRPr="008371E4">
        <w:rPr>
          <w:i/>
          <w:iCs/>
          <w:sz w:val="20"/>
        </w:rPr>
        <w:t>Wolf v. CIA</w:t>
      </w:r>
      <w:r w:rsidRPr="008371E4">
        <w:rPr>
          <w:sz w:val="20"/>
        </w:rPr>
        <w:t>, 569 F. Supp. 2d 1, 9 (D.D.C. 2008) (finding that requiring agency to spend thousands of hours reviewing records was unreasonably burdensome)</w:t>
      </w:r>
      <w:r w:rsidR="00FD6CEC" w:rsidRPr="008371E4">
        <w:rPr>
          <w:sz w:val="20"/>
        </w:rPr>
        <w:t xml:space="preserve">.  Commission staff made clear in its initial communications with NHMC that it could not process the request “as currently framed,” </w:t>
      </w:r>
      <w:r w:rsidR="00FD6CEC" w:rsidRPr="008371E4">
        <w:rPr>
          <w:i/>
          <w:sz w:val="20"/>
        </w:rPr>
        <w:t>see</w:t>
      </w:r>
      <w:r w:rsidR="00FD6CEC" w:rsidRPr="008371E4">
        <w:rPr>
          <w:sz w:val="20"/>
        </w:rPr>
        <w:t xml:space="preserve"> E-mail from Mike Hennigan, Consumer Information Analyst, Consumer and Governmental Affairs Bureau, FCC, to Carmen Scurato, Director, Policy and Legal Affairs, National Hispanic Media Coalition (May 22, 2017, 11:19 EDT), and explained in a follow up phone call with NHMC that Commission staff would have to review each consumer complaint and redact any personally identifiable information before the complaints could be released in response to a FOIA request.</w:t>
      </w:r>
    </w:p>
  </w:footnote>
  <w:footnote w:id="8">
    <w:p w:rsidR="00731E39" w:rsidRPr="00EA4F88" w:rsidRDefault="00731E39" w:rsidP="00731E39">
      <w:pPr>
        <w:pStyle w:val="FootnoteText"/>
      </w:pPr>
      <w:r w:rsidRPr="00FE7927">
        <w:rPr>
          <w:rStyle w:val="FootnoteReference"/>
        </w:rPr>
        <w:footnoteRef/>
      </w:r>
      <w:r w:rsidRPr="00FE7927">
        <w:t xml:space="preserve"> </w:t>
      </w:r>
      <w:r w:rsidRPr="00FE7927">
        <w:rPr>
          <w:i/>
        </w:rPr>
        <w:t>See</w:t>
      </w:r>
      <w:r w:rsidRPr="00FE7927">
        <w:t xml:space="preserve"> Letter to Carmen Scurato, Director, Policy and Legal Affairs, National Hispanic Media Coalition from Nancy Stevenson, Deputy Chief, Consumer Policy Division, Consumer and Governmental Affairs Bureau, FCC (Ju</w:t>
      </w:r>
      <w:r w:rsidR="00566F2F" w:rsidRPr="008371E4">
        <w:t>ne 20</w:t>
      </w:r>
      <w:r w:rsidRPr="00FE7927">
        <w:t>, 2017).</w:t>
      </w:r>
      <w:r>
        <w:t xml:space="preserve">  </w:t>
      </w:r>
    </w:p>
  </w:footnote>
  <w:footnote w:id="9">
    <w:p w:rsidR="00EE2145" w:rsidRPr="00EE2145" w:rsidRDefault="00EE2145">
      <w:pPr>
        <w:pStyle w:val="FootnoteText"/>
      </w:pPr>
      <w:r w:rsidRPr="008371E4">
        <w:rPr>
          <w:rStyle w:val="FootnoteReference"/>
          <w:sz w:val="22"/>
          <w:szCs w:val="22"/>
        </w:rPr>
        <w:footnoteRef/>
      </w:r>
      <w:r>
        <w:t xml:space="preserve"> </w:t>
      </w:r>
      <w:r>
        <w:rPr>
          <w:i/>
        </w:rPr>
        <w:t xml:space="preserve">See </w:t>
      </w:r>
      <w:r>
        <w:t xml:space="preserve">47 CFR </w:t>
      </w:r>
      <w:r w:rsidRPr="00E77629">
        <w:t xml:space="preserve">§ </w:t>
      </w:r>
      <w:r>
        <w:t>1.1206.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B5F" w:rsidRDefault="00764B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FCB" w:rsidRPr="00111FCB" w:rsidRDefault="00D25FB5" w:rsidP="00810B6F">
    <w:pPr>
      <w:pStyle w:val="Header"/>
    </w:pPr>
    <w:r>
      <w:tab/>
      <w:t>Federal Communications Commission</w:t>
    </w:r>
    <w:r>
      <w:tab/>
    </w:r>
    <w:r w:rsidR="004E50A6">
      <w:t>DA 1</w:t>
    </w:r>
    <w:r w:rsidR="00B30CB6">
      <w:t>7</w:t>
    </w:r>
    <w:r w:rsidR="0063112C">
      <w:t>-</w:t>
    </w:r>
    <w:r w:rsidR="00111FCB">
      <w:t>686</w:t>
    </w:r>
  </w:p>
  <w:p w:rsidR="00D25FB5" w:rsidRDefault="003E6684">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311F7090" wp14:editId="1E2E019B">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47D2D672"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3E6684" w:rsidP="00810B6F">
    <w:pPr>
      <w:pStyle w:val="Header"/>
      <w:rPr>
        <w:b w:val="0"/>
      </w:rPr>
    </w:pPr>
    <w:r>
      <w:rPr>
        <w:noProof/>
      </w:rPr>
      <mc:AlternateContent>
        <mc:Choice Requires="wps">
          <w:drawing>
            <wp:anchor distT="0" distB="0" distL="114300" distR="114300" simplePos="0" relativeHeight="251658240" behindDoc="1" locked="0" layoutInCell="0" allowOverlap="1" wp14:anchorId="6600611C" wp14:editId="379A6C27">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6EA093B5"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A672F7">
      <w:rPr>
        <w:spacing w:val="-2"/>
      </w:rPr>
      <w:t>DA 17</w:t>
    </w:r>
    <w:r w:rsidR="004E50A6">
      <w:rPr>
        <w:spacing w:val="-2"/>
      </w:rPr>
      <w:t>-</w:t>
    </w:r>
    <w:r w:rsidR="00111FCB">
      <w:rPr>
        <w:spacing w:val="-2"/>
      </w:rPr>
      <w:t>686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9EAADA"/>
    <w:lvl w:ilvl="0">
      <w:start w:val="1"/>
      <w:numFmt w:val="decimal"/>
      <w:pStyle w:val="ParaNum"/>
      <w:lvlText w:val="%1."/>
      <w:lvlJc w:val="left"/>
      <w:pPr>
        <w:tabs>
          <w:tab w:val="num" w:pos="1170"/>
        </w:tabs>
        <w:ind w:left="90" w:firstLine="720"/>
      </w:pPr>
      <w:rPr>
        <w:rFonts w:ascii="Times New Roman" w:hAnsi="Times New Roman" w:cs="Times New Roman" w:hint="default"/>
        <w:sz w:val="22"/>
        <w:szCs w:val="22"/>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num>
  <w:num w:numId="9">
    <w:abstractNumId w:val="5"/>
  </w:num>
  <w:num w:numId="10">
    <w:abstractNumId w:val="5"/>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0A6"/>
    <w:rsid w:val="00011833"/>
    <w:rsid w:val="00025E3B"/>
    <w:rsid w:val="000315B2"/>
    <w:rsid w:val="00036039"/>
    <w:rsid w:val="00037F90"/>
    <w:rsid w:val="00065E11"/>
    <w:rsid w:val="00077D48"/>
    <w:rsid w:val="000875BF"/>
    <w:rsid w:val="00096D8C"/>
    <w:rsid w:val="00097CE1"/>
    <w:rsid w:val="000A7D86"/>
    <w:rsid w:val="000B5D82"/>
    <w:rsid w:val="000C0B65"/>
    <w:rsid w:val="000C40AB"/>
    <w:rsid w:val="000C6DBB"/>
    <w:rsid w:val="000D14CC"/>
    <w:rsid w:val="000E05FE"/>
    <w:rsid w:val="000E33D3"/>
    <w:rsid w:val="000E3D42"/>
    <w:rsid w:val="000E453B"/>
    <w:rsid w:val="000E6333"/>
    <w:rsid w:val="000F6640"/>
    <w:rsid w:val="00101982"/>
    <w:rsid w:val="0010559E"/>
    <w:rsid w:val="00111DF9"/>
    <w:rsid w:val="00111FCB"/>
    <w:rsid w:val="00121F36"/>
    <w:rsid w:val="00122BD5"/>
    <w:rsid w:val="00126C57"/>
    <w:rsid w:val="00133F79"/>
    <w:rsid w:val="0013796C"/>
    <w:rsid w:val="00142538"/>
    <w:rsid w:val="001465F7"/>
    <w:rsid w:val="00150748"/>
    <w:rsid w:val="00156085"/>
    <w:rsid w:val="00177EA5"/>
    <w:rsid w:val="00177F65"/>
    <w:rsid w:val="0018524B"/>
    <w:rsid w:val="00186B99"/>
    <w:rsid w:val="00194A66"/>
    <w:rsid w:val="001A6A87"/>
    <w:rsid w:val="001B4B3F"/>
    <w:rsid w:val="001B620F"/>
    <w:rsid w:val="001D403D"/>
    <w:rsid w:val="001D532D"/>
    <w:rsid w:val="001D5918"/>
    <w:rsid w:val="001D6BCF"/>
    <w:rsid w:val="001E01CA"/>
    <w:rsid w:val="001F21A8"/>
    <w:rsid w:val="001F2206"/>
    <w:rsid w:val="001F515F"/>
    <w:rsid w:val="00212387"/>
    <w:rsid w:val="002437B6"/>
    <w:rsid w:val="00256764"/>
    <w:rsid w:val="00272E9B"/>
    <w:rsid w:val="00275CF5"/>
    <w:rsid w:val="002777F5"/>
    <w:rsid w:val="0028301F"/>
    <w:rsid w:val="00285017"/>
    <w:rsid w:val="002973BC"/>
    <w:rsid w:val="002A2D2E"/>
    <w:rsid w:val="002A66DE"/>
    <w:rsid w:val="002C00E8"/>
    <w:rsid w:val="002C7412"/>
    <w:rsid w:val="002C7C8D"/>
    <w:rsid w:val="002D4F40"/>
    <w:rsid w:val="002E41A2"/>
    <w:rsid w:val="002F16F5"/>
    <w:rsid w:val="002F3997"/>
    <w:rsid w:val="00302BAD"/>
    <w:rsid w:val="00304D6F"/>
    <w:rsid w:val="0031463D"/>
    <w:rsid w:val="00323CA4"/>
    <w:rsid w:val="003249E2"/>
    <w:rsid w:val="00330136"/>
    <w:rsid w:val="00334D99"/>
    <w:rsid w:val="00343749"/>
    <w:rsid w:val="003549D8"/>
    <w:rsid w:val="00361D51"/>
    <w:rsid w:val="003660ED"/>
    <w:rsid w:val="003914A7"/>
    <w:rsid w:val="00392385"/>
    <w:rsid w:val="00393A60"/>
    <w:rsid w:val="003942FB"/>
    <w:rsid w:val="003A2A94"/>
    <w:rsid w:val="003A6C19"/>
    <w:rsid w:val="003A73CE"/>
    <w:rsid w:val="003B0550"/>
    <w:rsid w:val="003B46D0"/>
    <w:rsid w:val="003B4F72"/>
    <w:rsid w:val="003B521D"/>
    <w:rsid w:val="003B694F"/>
    <w:rsid w:val="003E6684"/>
    <w:rsid w:val="003F171C"/>
    <w:rsid w:val="003F75F1"/>
    <w:rsid w:val="003F77DB"/>
    <w:rsid w:val="0040216F"/>
    <w:rsid w:val="00407209"/>
    <w:rsid w:val="0040738E"/>
    <w:rsid w:val="00412FC5"/>
    <w:rsid w:val="004156AE"/>
    <w:rsid w:val="00422276"/>
    <w:rsid w:val="004242F1"/>
    <w:rsid w:val="00431251"/>
    <w:rsid w:val="00436D49"/>
    <w:rsid w:val="00445A00"/>
    <w:rsid w:val="0044611E"/>
    <w:rsid w:val="00451028"/>
    <w:rsid w:val="00451B0F"/>
    <w:rsid w:val="004571F5"/>
    <w:rsid w:val="00461275"/>
    <w:rsid w:val="00461E82"/>
    <w:rsid w:val="00465625"/>
    <w:rsid w:val="00466FB2"/>
    <w:rsid w:val="0046791E"/>
    <w:rsid w:val="0047010F"/>
    <w:rsid w:val="00475E63"/>
    <w:rsid w:val="004B07CA"/>
    <w:rsid w:val="004C2EE3"/>
    <w:rsid w:val="004C5BB1"/>
    <w:rsid w:val="004C642D"/>
    <w:rsid w:val="004C7225"/>
    <w:rsid w:val="004E00D7"/>
    <w:rsid w:val="004E4A22"/>
    <w:rsid w:val="004E50A6"/>
    <w:rsid w:val="004E6EDD"/>
    <w:rsid w:val="004F1A52"/>
    <w:rsid w:val="00500AEA"/>
    <w:rsid w:val="00501A66"/>
    <w:rsid w:val="005024E9"/>
    <w:rsid w:val="005062D8"/>
    <w:rsid w:val="005072F1"/>
    <w:rsid w:val="00507ED3"/>
    <w:rsid w:val="0051089C"/>
    <w:rsid w:val="00511968"/>
    <w:rsid w:val="00534115"/>
    <w:rsid w:val="005375C9"/>
    <w:rsid w:val="00552CDA"/>
    <w:rsid w:val="00554C6B"/>
    <w:rsid w:val="0055614C"/>
    <w:rsid w:val="00566F2F"/>
    <w:rsid w:val="00590817"/>
    <w:rsid w:val="00595A65"/>
    <w:rsid w:val="005A3688"/>
    <w:rsid w:val="005A5C1F"/>
    <w:rsid w:val="005B3332"/>
    <w:rsid w:val="005B3E2F"/>
    <w:rsid w:val="005B5291"/>
    <w:rsid w:val="005D2843"/>
    <w:rsid w:val="005D3031"/>
    <w:rsid w:val="005E14C2"/>
    <w:rsid w:val="005E41BF"/>
    <w:rsid w:val="00606AD7"/>
    <w:rsid w:val="00607BA5"/>
    <w:rsid w:val="0061180A"/>
    <w:rsid w:val="00614C8D"/>
    <w:rsid w:val="006161B5"/>
    <w:rsid w:val="00616F33"/>
    <w:rsid w:val="00626EB6"/>
    <w:rsid w:val="0063112C"/>
    <w:rsid w:val="006313AE"/>
    <w:rsid w:val="0063163F"/>
    <w:rsid w:val="00635B3B"/>
    <w:rsid w:val="0064593B"/>
    <w:rsid w:val="00650086"/>
    <w:rsid w:val="00655D03"/>
    <w:rsid w:val="006602A2"/>
    <w:rsid w:val="00670BEF"/>
    <w:rsid w:val="00683388"/>
    <w:rsid w:val="00683F84"/>
    <w:rsid w:val="00687318"/>
    <w:rsid w:val="0069576E"/>
    <w:rsid w:val="006A6A81"/>
    <w:rsid w:val="006B3F1A"/>
    <w:rsid w:val="006C3BBE"/>
    <w:rsid w:val="006D0363"/>
    <w:rsid w:val="006D2107"/>
    <w:rsid w:val="006E1237"/>
    <w:rsid w:val="006F21A0"/>
    <w:rsid w:val="006F2952"/>
    <w:rsid w:val="006F7393"/>
    <w:rsid w:val="0070224F"/>
    <w:rsid w:val="007115F7"/>
    <w:rsid w:val="00711C37"/>
    <w:rsid w:val="007171F0"/>
    <w:rsid w:val="00731E39"/>
    <w:rsid w:val="00740156"/>
    <w:rsid w:val="00751216"/>
    <w:rsid w:val="00763CFE"/>
    <w:rsid w:val="0076493F"/>
    <w:rsid w:val="00764B5F"/>
    <w:rsid w:val="00767CFF"/>
    <w:rsid w:val="00782838"/>
    <w:rsid w:val="00782F20"/>
    <w:rsid w:val="00784DEF"/>
    <w:rsid w:val="00785689"/>
    <w:rsid w:val="0079754B"/>
    <w:rsid w:val="007A1E6D"/>
    <w:rsid w:val="007B0EB2"/>
    <w:rsid w:val="007B7AC1"/>
    <w:rsid w:val="007E1199"/>
    <w:rsid w:val="007F43BB"/>
    <w:rsid w:val="007F5840"/>
    <w:rsid w:val="00810B6F"/>
    <w:rsid w:val="00817315"/>
    <w:rsid w:val="00822CE0"/>
    <w:rsid w:val="008307F7"/>
    <w:rsid w:val="008371E4"/>
    <w:rsid w:val="0083753E"/>
    <w:rsid w:val="00841AB1"/>
    <w:rsid w:val="008630F4"/>
    <w:rsid w:val="008657D9"/>
    <w:rsid w:val="0087011C"/>
    <w:rsid w:val="0087535F"/>
    <w:rsid w:val="00895FED"/>
    <w:rsid w:val="008A1B2B"/>
    <w:rsid w:val="008B3525"/>
    <w:rsid w:val="008C1C63"/>
    <w:rsid w:val="008C68F1"/>
    <w:rsid w:val="008C6DBB"/>
    <w:rsid w:val="008D79DA"/>
    <w:rsid w:val="008F654C"/>
    <w:rsid w:val="00904649"/>
    <w:rsid w:val="00912A9E"/>
    <w:rsid w:val="00913007"/>
    <w:rsid w:val="009156EE"/>
    <w:rsid w:val="00921803"/>
    <w:rsid w:val="009256FA"/>
    <w:rsid w:val="00926503"/>
    <w:rsid w:val="00933C07"/>
    <w:rsid w:val="00935E16"/>
    <w:rsid w:val="00952077"/>
    <w:rsid w:val="00960E62"/>
    <w:rsid w:val="00967A24"/>
    <w:rsid w:val="009726D8"/>
    <w:rsid w:val="009868E4"/>
    <w:rsid w:val="00993A32"/>
    <w:rsid w:val="00996924"/>
    <w:rsid w:val="009C685E"/>
    <w:rsid w:val="009E36D6"/>
    <w:rsid w:val="009F76DB"/>
    <w:rsid w:val="00A2519B"/>
    <w:rsid w:val="00A27DF3"/>
    <w:rsid w:val="00A32B99"/>
    <w:rsid w:val="00A32C3B"/>
    <w:rsid w:val="00A368D3"/>
    <w:rsid w:val="00A45F4F"/>
    <w:rsid w:val="00A600A9"/>
    <w:rsid w:val="00A65CA0"/>
    <w:rsid w:val="00A672F7"/>
    <w:rsid w:val="00A74C60"/>
    <w:rsid w:val="00A95C8A"/>
    <w:rsid w:val="00AA55B7"/>
    <w:rsid w:val="00AA572A"/>
    <w:rsid w:val="00AA5B9E"/>
    <w:rsid w:val="00AA624F"/>
    <w:rsid w:val="00AB22C4"/>
    <w:rsid w:val="00AB2407"/>
    <w:rsid w:val="00AB53DF"/>
    <w:rsid w:val="00AB7371"/>
    <w:rsid w:val="00AC53D1"/>
    <w:rsid w:val="00AD5499"/>
    <w:rsid w:val="00AE141A"/>
    <w:rsid w:val="00AE345D"/>
    <w:rsid w:val="00AF3300"/>
    <w:rsid w:val="00AF4F04"/>
    <w:rsid w:val="00B01D41"/>
    <w:rsid w:val="00B07E5C"/>
    <w:rsid w:val="00B1787E"/>
    <w:rsid w:val="00B251D7"/>
    <w:rsid w:val="00B30CB6"/>
    <w:rsid w:val="00B41B95"/>
    <w:rsid w:val="00B45F96"/>
    <w:rsid w:val="00B709B4"/>
    <w:rsid w:val="00B72CFD"/>
    <w:rsid w:val="00B811F7"/>
    <w:rsid w:val="00B82EE8"/>
    <w:rsid w:val="00B9036E"/>
    <w:rsid w:val="00B9602B"/>
    <w:rsid w:val="00BA3A86"/>
    <w:rsid w:val="00BA5DC6"/>
    <w:rsid w:val="00BA6196"/>
    <w:rsid w:val="00BB4E39"/>
    <w:rsid w:val="00BB789B"/>
    <w:rsid w:val="00BC18B3"/>
    <w:rsid w:val="00BC6D8C"/>
    <w:rsid w:val="00BD4CC2"/>
    <w:rsid w:val="00BE3FCA"/>
    <w:rsid w:val="00BE54B1"/>
    <w:rsid w:val="00C07D4A"/>
    <w:rsid w:val="00C16616"/>
    <w:rsid w:val="00C17A8B"/>
    <w:rsid w:val="00C17D61"/>
    <w:rsid w:val="00C22681"/>
    <w:rsid w:val="00C325FC"/>
    <w:rsid w:val="00C34006"/>
    <w:rsid w:val="00C426B1"/>
    <w:rsid w:val="00C504A0"/>
    <w:rsid w:val="00C66160"/>
    <w:rsid w:val="00C667C5"/>
    <w:rsid w:val="00C721AC"/>
    <w:rsid w:val="00C86F3A"/>
    <w:rsid w:val="00C90D6A"/>
    <w:rsid w:val="00CA247E"/>
    <w:rsid w:val="00CB7E86"/>
    <w:rsid w:val="00CC72B6"/>
    <w:rsid w:val="00CD000D"/>
    <w:rsid w:val="00CD5BEB"/>
    <w:rsid w:val="00D0218D"/>
    <w:rsid w:val="00D0602E"/>
    <w:rsid w:val="00D25FB5"/>
    <w:rsid w:val="00D308C8"/>
    <w:rsid w:val="00D44223"/>
    <w:rsid w:val="00D557F7"/>
    <w:rsid w:val="00D5688C"/>
    <w:rsid w:val="00D62DCA"/>
    <w:rsid w:val="00D81A3F"/>
    <w:rsid w:val="00DA2529"/>
    <w:rsid w:val="00DB130A"/>
    <w:rsid w:val="00DB2EBB"/>
    <w:rsid w:val="00DC10A1"/>
    <w:rsid w:val="00DC3C41"/>
    <w:rsid w:val="00DC655F"/>
    <w:rsid w:val="00DD0B59"/>
    <w:rsid w:val="00DD5E0F"/>
    <w:rsid w:val="00DD7EBD"/>
    <w:rsid w:val="00DE03FD"/>
    <w:rsid w:val="00DE2CFF"/>
    <w:rsid w:val="00DF0352"/>
    <w:rsid w:val="00DF325A"/>
    <w:rsid w:val="00DF62B6"/>
    <w:rsid w:val="00DF7708"/>
    <w:rsid w:val="00E06E32"/>
    <w:rsid w:val="00E07225"/>
    <w:rsid w:val="00E259A7"/>
    <w:rsid w:val="00E322F1"/>
    <w:rsid w:val="00E360C7"/>
    <w:rsid w:val="00E37116"/>
    <w:rsid w:val="00E3795F"/>
    <w:rsid w:val="00E52A46"/>
    <w:rsid w:val="00E5409F"/>
    <w:rsid w:val="00E63289"/>
    <w:rsid w:val="00E73506"/>
    <w:rsid w:val="00E753B6"/>
    <w:rsid w:val="00E76594"/>
    <w:rsid w:val="00E77629"/>
    <w:rsid w:val="00E865DE"/>
    <w:rsid w:val="00E916B0"/>
    <w:rsid w:val="00EC3C23"/>
    <w:rsid w:val="00ED1BC3"/>
    <w:rsid w:val="00ED34A9"/>
    <w:rsid w:val="00EE0A4C"/>
    <w:rsid w:val="00EE2145"/>
    <w:rsid w:val="00EE6488"/>
    <w:rsid w:val="00EF7365"/>
    <w:rsid w:val="00EF79C7"/>
    <w:rsid w:val="00F021FA"/>
    <w:rsid w:val="00F02FA3"/>
    <w:rsid w:val="00F05907"/>
    <w:rsid w:val="00F221CB"/>
    <w:rsid w:val="00F23FE8"/>
    <w:rsid w:val="00F30A77"/>
    <w:rsid w:val="00F31BC3"/>
    <w:rsid w:val="00F40DC2"/>
    <w:rsid w:val="00F60738"/>
    <w:rsid w:val="00F62E97"/>
    <w:rsid w:val="00F64209"/>
    <w:rsid w:val="00F76439"/>
    <w:rsid w:val="00F93BF5"/>
    <w:rsid w:val="00F960DC"/>
    <w:rsid w:val="00FA3A90"/>
    <w:rsid w:val="00FD15E1"/>
    <w:rsid w:val="00FD6CEC"/>
    <w:rsid w:val="00FD7556"/>
    <w:rsid w:val="00FE7927"/>
    <w:rsid w:val="00FF0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2 Char,Footnote Text Char3 Char1 Char,Footnote Text Char2 Char1 Char1 Char,Footnote Text Char3 Char1 Char Char Char,Footnote Text Char2 Char1 Char1 Char Char Char,fn Char1,f,Footnote Text Cha,fn ,fn Ch"/>
    <w:link w:val="FootnoteTextChar"/>
    <w:uiPriority w:val="99"/>
    <w:rsid w:val="000E3D42"/>
    <w:pPr>
      <w:spacing w:after="120"/>
    </w:pPr>
  </w:style>
  <w:style w:type="character" w:styleId="FootnoteReference">
    <w:name w:val="footnote reference"/>
    <w:aliases w:val="Style 12,(NECG) Footnote Reference,Style 13,Appel note de bas de p,Style 124,fr,o,Style 3,FR,Style 17,Footnote Reference/,Style 6,Style 7"/>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fn Char,Footnote Text Char2 Char Char,Footnote Text Char3 Char1 Char Char,Footnote Text Char2 Char1 Char1 Char Char,Footnote Text Char3 Char1 Char Char Char Char,Footnote Text Char2 Char1 Char1 Char Char Char Char"/>
    <w:link w:val="FootnoteText"/>
    <w:uiPriority w:val="99"/>
    <w:rsid w:val="004E50A6"/>
  </w:style>
  <w:style w:type="character" w:customStyle="1" w:styleId="ParaNumCharChar1">
    <w:name w:val="ParaNum Char Char1"/>
    <w:link w:val="ParaNum"/>
    <w:rsid w:val="004E50A6"/>
    <w:rPr>
      <w:snapToGrid w:val="0"/>
      <w:kern w:val="28"/>
      <w:sz w:val="22"/>
    </w:rPr>
  </w:style>
  <w:style w:type="paragraph" w:styleId="BalloonText">
    <w:name w:val="Balloon Text"/>
    <w:basedOn w:val="Normal"/>
    <w:link w:val="BalloonTextChar"/>
    <w:semiHidden/>
    <w:unhideWhenUsed/>
    <w:rsid w:val="005D3031"/>
    <w:rPr>
      <w:rFonts w:ascii="Segoe UI" w:hAnsi="Segoe UI" w:cs="Segoe UI"/>
      <w:sz w:val="18"/>
      <w:szCs w:val="18"/>
    </w:rPr>
  </w:style>
  <w:style w:type="character" w:customStyle="1" w:styleId="BalloonTextChar">
    <w:name w:val="Balloon Text Char"/>
    <w:basedOn w:val="DefaultParagraphFont"/>
    <w:link w:val="BalloonText"/>
    <w:semiHidden/>
    <w:rsid w:val="005D3031"/>
    <w:rPr>
      <w:rFonts w:ascii="Segoe UI" w:hAnsi="Segoe UI" w:cs="Segoe UI"/>
      <w:snapToGrid w:val="0"/>
      <w:kern w:val="28"/>
      <w:sz w:val="18"/>
      <w:szCs w:val="18"/>
    </w:rPr>
  </w:style>
  <w:style w:type="character" w:styleId="CommentReference">
    <w:name w:val="annotation reference"/>
    <w:basedOn w:val="DefaultParagraphFont"/>
    <w:semiHidden/>
    <w:unhideWhenUsed/>
    <w:rsid w:val="000E6333"/>
    <w:rPr>
      <w:sz w:val="16"/>
      <w:szCs w:val="16"/>
    </w:rPr>
  </w:style>
  <w:style w:type="paragraph" w:styleId="CommentText">
    <w:name w:val="annotation text"/>
    <w:basedOn w:val="Normal"/>
    <w:link w:val="CommentTextChar"/>
    <w:semiHidden/>
    <w:unhideWhenUsed/>
    <w:rsid w:val="000E6333"/>
    <w:rPr>
      <w:sz w:val="20"/>
    </w:rPr>
  </w:style>
  <w:style w:type="character" w:customStyle="1" w:styleId="CommentTextChar">
    <w:name w:val="Comment Text Char"/>
    <w:basedOn w:val="DefaultParagraphFont"/>
    <w:link w:val="CommentText"/>
    <w:semiHidden/>
    <w:rsid w:val="000E6333"/>
    <w:rPr>
      <w:snapToGrid w:val="0"/>
      <w:kern w:val="28"/>
    </w:rPr>
  </w:style>
  <w:style w:type="paragraph" w:styleId="CommentSubject">
    <w:name w:val="annotation subject"/>
    <w:basedOn w:val="CommentText"/>
    <w:next w:val="CommentText"/>
    <w:link w:val="CommentSubjectChar"/>
    <w:semiHidden/>
    <w:unhideWhenUsed/>
    <w:rsid w:val="000E6333"/>
    <w:rPr>
      <w:b/>
      <w:bCs/>
    </w:rPr>
  </w:style>
  <w:style w:type="character" w:customStyle="1" w:styleId="CommentSubjectChar">
    <w:name w:val="Comment Subject Char"/>
    <w:basedOn w:val="CommentTextChar"/>
    <w:link w:val="CommentSubject"/>
    <w:semiHidden/>
    <w:rsid w:val="000E6333"/>
    <w:rPr>
      <w:b/>
      <w:bCs/>
      <w:snapToGrid w:val="0"/>
      <w:kern w:val="28"/>
    </w:rPr>
  </w:style>
  <w:style w:type="paragraph" w:styleId="Revision">
    <w:name w:val="Revision"/>
    <w:hidden/>
    <w:uiPriority w:val="99"/>
    <w:semiHidden/>
    <w:rsid w:val="00AE141A"/>
    <w:rPr>
      <w:snapToGrid w:val="0"/>
      <w:kern w:val="28"/>
      <w:sz w:val="22"/>
    </w:rPr>
  </w:style>
  <w:style w:type="character" w:customStyle="1" w:styleId="Mention1">
    <w:name w:val="Mention1"/>
    <w:basedOn w:val="DefaultParagraphFont"/>
    <w:uiPriority w:val="99"/>
    <w:semiHidden/>
    <w:unhideWhenUsed/>
    <w:rsid w:val="00782F20"/>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2 Char,Footnote Text Char3 Char1 Char,Footnote Text Char2 Char1 Char1 Char,Footnote Text Char3 Char1 Char Char Char,Footnote Text Char2 Char1 Char1 Char Char Char,fn Char1,f,Footnote Text Cha,fn ,fn Ch"/>
    <w:link w:val="FootnoteTextChar"/>
    <w:uiPriority w:val="99"/>
    <w:rsid w:val="000E3D42"/>
    <w:pPr>
      <w:spacing w:after="120"/>
    </w:pPr>
  </w:style>
  <w:style w:type="character" w:styleId="FootnoteReference">
    <w:name w:val="footnote reference"/>
    <w:aliases w:val="Style 12,(NECG) Footnote Reference,Style 13,Appel note de bas de p,Style 124,fr,o,Style 3,FR,Style 17,Footnote Reference/,Style 6,Style 7"/>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fn Char,Footnote Text Char2 Char Char,Footnote Text Char3 Char1 Char Char,Footnote Text Char2 Char1 Char1 Char Char,Footnote Text Char3 Char1 Char Char Char Char,Footnote Text Char2 Char1 Char1 Char Char Char Char"/>
    <w:link w:val="FootnoteText"/>
    <w:uiPriority w:val="99"/>
    <w:rsid w:val="004E50A6"/>
  </w:style>
  <w:style w:type="character" w:customStyle="1" w:styleId="ParaNumCharChar1">
    <w:name w:val="ParaNum Char Char1"/>
    <w:link w:val="ParaNum"/>
    <w:rsid w:val="004E50A6"/>
    <w:rPr>
      <w:snapToGrid w:val="0"/>
      <w:kern w:val="28"/>
      <w:sz w:val="22"/>
    </w:rPr>
  </w:style>
  <w:style w:type="paragraph" w:styleId="BalloonText">
    <w:name w:val="Balloon Text"/>
    <w:basedOn w:val="Normal"/>
    <w:link w:val="BalloonTextChar"/>
    <w:semiHidden/>
    <w:unhideWhenUsed/>
    <w:rsid w:val="005D3031"/>
    <w:rPr>
      <w:rFonts w:ascii="Segoe UI" w:hAnsi="Segoe UI" w:cs="Segoe UI"/>
      <w:sz w:val="18"/>
      <w:szCs w:val="18"/>
    </w:rPr>
  </w:style>
  <w:style w:type="character" w:customStyle="1" w:styleId="BalloonTextChar">
    <w:name w:val="Balloon Text Char"/>
    <w:basedOn w:val="DefaultParagraphFont"/>
    <w:link w:val="BalloonText"/>
    <w:semiHidden/>
    <w:rsid w:val="005D3031"/>
    <w:rPr>
      <w:rFonts w:ascii="Segoe UI" w:hAnsi="Segoe UI" w:cs="Segoe UI"/>
      <w:snapToGrid w:val="0"/>
      <w:kern w:val="28"/>
      <w:sz w:val="18"/>
      <w:szCs w:val="18"/>
    </w:rPr>
  </w:style>
  <w:style w:type="character" w:styleId="CommentReference">
    <w:name w:val="annotation reference"/>
    <w:basedOn w:val="DefaultParagraphFont"/>
    <w:semiHidden/>
    <w:unhideWhenUsed/>
    <w:rsid w:val="000E6333"/>
    <w:rPr>
      <w:sz w:val="16"/>
      <w:szCs w:val="16"/>
    </w:rPr>
  </w:style>
  <w:style w:type="paragraph" w:styleId="CommentText">
    <w:name w:val="annotation text"/>
    <w:basedOn w:val="Normal"/>
    <w:link w:val="CommentTextChar"/>
    <w:semiHidden/>
    <w:unhideWhenUsed/>
    <w:rsid w:val="000E6333"/>
    <w:rPr>
      <w:sz w:val="20"/>
    </w:rPr>
  </w:style>
  <w:style w:type="character" w:customStyle="1" w:styleId="CommentTextChar">
    <w:name w:val="Comment Text Char"/>
    <w:basedOn w:val="DefaultParagraphFont"/>
    <w:link w:val="CommentText"/>
    <w:semiHidden/>
    <w:rsid w:val="000E6333"/>
    <w:rPr>
      <w:snapToGrid w:val="0"/>
      <w:kern w:val="28"/>
    </w:rPr>
  </w:style>
  <w:style w:type="paragraph" w:styleId="CommentSubject">
    <w:name w:val="annotation subject"/>
    <w:basedOn w:val="CommentText"/>
    <w:next w:val="CommentText"/>
    <w:link w:val="CommentSubjectChar"/>
    <w:semiHidden/>
    <w:unhideWhenUsed/>
    <w:rsid w:val="000E6333"/>
    <w:rPr>
      <w:b/>
      <w:bCs/>
    </w:rPr>
  </w:style>
  <w:style w:type="character" w:customStyle="1" w:styleId="CommentSubjectChar">
    <w:name w:val="Comment Subject Char"/>
    <w:basedOn w:val="CommentTextChar"/>
    <w:link w:val="CommentSubject"/>
    <w:semiHidden/>
    <w:rsid w:val="000E6333"/>
    <w:rPr>
      <w:b/>
      <w:bCs/>
      <w:snapToGrid w:val="0"/>
      <w:kern w:val="28"/>
    </w:rPr>
  </w:style>
  <w:style w:type="paragraph" w:styleId="Revision">
    <w:name w:val="Revision"/>
    <w:hidden/>
    <w:uiPriority w:val="99"/>
    <w:semiHidden/>
    <w:rsid w:val="00AE141A"/>
    <w:rPr>
      <w:snapToGrid w:val="0"/>
      <w:kern w:val="28"/>
      <w:sz w:val="22"/>
    </w:rPr>
  </w:style>
  <w:style w:type="character" w:customStyle="1" w:styleId="Mention1">
    <w:name w:val="Mention1"/>
    <w:basedOn w:val="DefaultParagraphFont"/>
    <w:uiPriority w:val="99"/>
    <w:semiHidden/>
    <w:unhideWhenUsed/>
    <w:rsid w:val="00782F2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058780">
      <w:bodyDiv w:val="1"/>
      <w:marLeft w:val="0"/>
      <w:marRight w:val="0"/>
      <w:marTop w:val="0"/>
      <w:marBottom w:val="0"/>
      <w:divBdr>
        <w:top w:val="none" w:sz="0" w:space="0" w:color="auto"/>
        <w:left w:val="none" w:sz="0" w:space="0" w:color="auto"/>
        <w:bottom w:val="none" w:sz="0" w:space="0" w:color="auto"/>
        <w:right w:val="none" w:sz="0" w:space="0" w:color="auto"/>
      </w:divBdr>
    </w:div>
    <w:div w:id="85315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3349</Characters>
  <Application>Microsoft Office Word</Application>
  <DocSecurity>0</DocSecurity>
  <Lines>76</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2017-07-17T19:03:00Z</dcterms:created>
  <dcterms:modified xsi:type="dcterms:W3CDTF">2017-07-17T19:03:00Z</dcterms:modified>
  <cp:category> </cp:category>
  <cp:contentStatus> </cp:contentStatus>
</cp:coreProperties>
</file>