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F8D" w:rsidRDefault="0089361F" w:rsidP="00BA4115">
      <w:pPr>
        <w:tabs>
          <w:tab w:val="left" w:pos="780"/>
        </w:tabs>
        <w:ind w:right="-1440"/>
        <w:outlineLvl w:val="0"/>
        <w:rPr>
          <w:spacing w:val="-9"/>
          <w:sz w:val="72"/>
        </w:rPr>
      </w:pPr>
      <w:r>
        <w:rPr>
          <w:noProof/>
        </w:rPr>
        <mc:AlternateContent>
          <mc:Choice Requires="wps">
            <w:drawing>
              <wp:anchor distT="0" distB="0" distL="114300" distR="114300" simplePos="0" relativeHeight="251658240" behindDoc="1" locked="0" layoutInCell="0" allowOverlap="1" wp14:anchorId="1DF1999F" wp14:editId="756FC278">
                <wp:simplePos x="0" y="0"/>
                <wp:positionH relativeFrom="margin">
                  <wp:posOffset>-666750</wp:posOffset>
                </wp:positionH>
                <wp:positionV relativeFrom="page">
                  <wp:posOffset>838200</wp:posOffset>
                </wp:positionV>
                <wp:extent cx="601980" cy="6400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2D7B" w:rsidRDefault="00A72D7B">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DF1999F"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A72D7B" w:rsidRDefault="00A72D7B">
                      <w:pPr>
                        <w:tabs>
                          <w:tab w:val="left" w:pos="1440"/>
                          <w:tab w:val="left" w:pos="5040"/>
                        </w:tabs>
                        <w:suppressAutoHyphens/>
                        <w:jc w:val="both"/>
                        <w:rPr>
                          <w:sz w:val="2"/>
                        </w:rPr>
                      </w:pPr>
                    </w:p>
                  </w:txbxContent>
                </v:textbox>
                <w10:wrap anchorx="margin" anchory="page"/>
              </v:rect>
            </w:pict>
          </mc:Fallback>
        </mc:AlternateContent>
      </w:r>
      <w:r w:rsidR="00677F8D">
        <w:rPr>
          <w:spacing w:val="-10"/>
          <w:sz w:val="86"/>
        </w:rPr>
        <w:t>PUBLIC NOTICE</w:t>
      </w:r>
    </w:p>
    <w:p w:rsidR="00677F8D" w:rsidRDefault="00677F8D">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677F8D" w:rsidRDefault="00677F8D">
      <w:pPr>
        <w:tabs>
          <w:tab w:val="left" w:pos="1440"/>
          <w:tab w:val="left" w:pos="5040"/>
        </w:tabs>
        <w:suppressAutoHyphens/>
        <w:spacing w:line="227" w:lineRule="auto"/>
        <w:jc w:val="both"/>
        <w:rPr>
          <w:spacing w:val="-2"/>
          <w:sz w:val="22"/>
        </w:rPr>
      </w:pPr>
      <w:r>
        <w:rPr>
          <w:spacing w:val="-2"/>
          <w:sz w:val="22"/>
        </w:rPr>
        <w:t>445 TWELFTH STREET, S.W.</w:t>
      </w:r>
    </w:p>
    <w:p w:rsidR="00677F8D" w:rsidRDefault="00677F8D">
      <w:pPr>
        <w:tabs>
          <w:tab w:val="right" w:pos="9360"/>
        </w:tabs>
        <w:suppressAutoHyphens/>
        <w:spacing w:line="227" w:lineRule="auto"/>
        <w:jc w:val="both"/>
        <w:rPr>
          <w:spacing w:val="-2"/>
          <w:sz w:val="22"/>
        </w:rPr>
      </w:pPr>
      <w:r>
        <w:rPr>
          <w:spacing w:val="-2"/>
          <w:sz w:val="22"/>
        </w:rPr>
        <w:t>WASHINGTON, D.C. 20554</w:t>
      </w:r>
      <w:r>
        <w:rPr>
          <w:b/>
          <w:spacing w:val="-2"/>
          <w:sz w:val="22"/>
        </w:rPr>
        <w:tab/>
      </w:r>
    </w:p>
    <w:p w:rsidR="00677F8D" w:rsidRDefault="0089361F">
      <w:pPr>
        <w:tabs>
          <w:tab w:val="left" w:pos="1440"/>
          <w:tab w:val="left" w:pos="5040"/>
        </w:tabs>
        <w:suppressAutoHyphens/>
        <w:spacing w:line="19" w:lineRule="exact"/>
        <w:jc w:val="both"/>
        <w:rPr>
          <w:spacing w:val="-2"/>
          <w:sz w:val="22"/>
        </w:rPr>
      </w:pPr>
      <w:r>
        <w:rPr>
          <w:noProof/>
        </w:rPr>
        <mc:AlternateContent>
          <mc:Choice Requires="wps">
            <w:drawing>
              <wp:anchor distT="0" distB="0" distL="114300" distR="114300" simplePos="0" relativeHeight="251657216" behindDoc="1" locked="0" layoutInCell="0" allowOverlap="1" wp14:anchorId="589F1F16" wp14:editId="7FF94D54">
                <wp:simplePos x="0" y="0"/>
                <wp:positionH relativeFrom="margin">
                  <wp:posOffset>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E4008F3"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XEuAy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677F8D" w:rsidRDefault="00677F8D">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677F8D" w:rsidRDefault="00677F8D">
      <w:pPr>
        <w:tabs>
          <w:tab w:val="left" w:pos="-1440"/>
          <w:tab w:val="left" w:pos="-720"/>
        </w:tabs>
        <w:suppressAutoHyphens/>
        <w:spacing w:line="227" w:lineRule="auto"/>
        <w:jc w:val="both"/>
        <w:rPr>
          <w:spacing w:val="-2"/>
          <w:sz w:val="22"/>
          <w:szCs w:val="22"/>
        </w:rPr>
      </w:pPr>
    </w:p>
    <w:p w:rsidR="005679E0" w:rsidRPr="00E510F9" w:rsidRDefault="005679E0" w:rsidP="005679E0">
      <w:pPr>
        <w:tabs>
          <w:tab w:val="right" w:pos="9360"/>
        </w:tabs>
        <w:suppressAutoHyphens/>
        <w:spacing w:line="227" w:lineRule="auto"/>
        <w:jc w:val="right"/>
        <w:outlineLvl w:val="0"/>
        <w:rPr>
          <w:spacing w:val="-2"/>
          <w:sz w:val="24"/>
          <w:szCs w:val="24"/>
        </w:rPr>
      </w:pPr>
      <w:r>
        <w:rPr>
          <w:b/>
          <w:spacing w:val="-2"/>
          <w:sz w:val="22"/>
        </w:rPr>
        <w:t xml:space="preserve">DA </w:t>
      </w:r>
      <w:r w:rsidR="00242497">
        <w:rPr>
          <w:b/>
          <w:spacing w:val="-2"/>
          <w:sz w:val="22"/>
        </w:rPr>
        <w:t>1</w:t>
      </w:r>
      <w:r w:rsidR="008C7A6E">
        <w:rPr>
          <w:b/>
          <w:spacing w:val="-2"/>
          <w:sz w:val="22"/>
        </w:rPr>
        <w:t>7</w:t>
      </w:r>
      <w:r w:rsidR="00A60C92" w:rsidRPr="00A60C92">
        <w:rPr>
          <w:b/>
          <w:spacing w:val="-2"/>
          <w:sz w:val="22"/>
        </w:rPr>
        <w:t>-</w:t>
      </w:r>
      <w:r w:rsidR="00C97CB0">
        <w:rPr>
          <w:b/>
          <w:spacing w:val="-2"/>
          <w:sz w:val="22"/>
        </w:rPr>
        <w:t>705</w:t>
      </w:r>
    </w:p>
    <w:p w:rsidR="005679E0" w:rsidRDefault="004E207A" w:rsidP="005679E0">
      <w:pPr>
        <w:tabs>
          <w:tab w:val="right" w:pos="9360"/>
        </w:tabs>
        <w:suppressAutoHyphens/>
        <w:spacing w:line="227" w:lineRule="auto"/>
        <w:jc w:val="right"/>
        <w:outlineLvl w:val="0"/>
        <w:rPr>
          <w:b/>
          <w:spacing w:val="-2"/>
          <w:sz w:val="22"/>
          <w:szCs w:val="22"/>
        </w:rPr>
      </w:pPr>
      <w:r>
        <w:rPr>
          <w:b/>
          <w:spacing w:val="-2"/>
          <w:sz w:val="22"/>
          <w:szCs w:val="22"/>
        </w:rPr>
        <w:t xml:space="preserve">Released:  </w:t>
      </w:r>
      <w:r w:rsidR="008C7A6E">
        <w:rPr>
          <w:b/>
          <w:spacing w:val="-2"/>
          <w:sz w:val="22"/>
          <w:szCs w:val="22"/>
        </w:rPr>
        <w:t>Ju</w:t>
      </w:r>
      <w:r w:rsidR="004E275A">
        <w:rPr>
          <w:b/>
          <w:spacing w:val="-2"/>
          <w:sz w:val="22"/>
          <w:szCs w:val="22"/>
        </w:rPr>
        <w:t>ly</w:t>
      </w:r>
      <w:r w:rsidR="00D011F3">
        <w:rPr>
          <w:b/>
          <w:spacing w:val="-2"/>
          <w:sz w:val="22"/>
          <w:szCs w:val="22"/>
        </w:rPr>
        <w:t xml:space="preserve"> 21</w:t>
      </w:r>
      <w:r w:rsidR="00873985">
        <w:rPr>
          <w:b/>
          <w:spacing w:val="-2"/>
          <w:sz w:val="22"/>
          <w:szCs w:val="22"/>
        </w:rPr>
        <w:t>, 201</w:t>
      </w:r>
      <w:r w:rsidR="008C7A6E">
        <w:rPr>
          <w:b/>
          <w:spacing w:val="-2"/>
          <w:sz w:val="22"/>
          <w:szCs w:val="22"/>
        </w:rPr>
        <w:t>7</w:t>
      </w:r>
    </w:p>
    <w:p w:rsidR="00677F8D" w:rsidRDefault="00677F8D">
      <w:pPr>
        <w:tabs>
          <w:tab w:val="right" w:pos="9360"/>
        </w:tabs>
        <w:suppressAutoHyphens/>
        <w:spacing w:line="227" w:lineRule="auto"/>
        <w:jc w:val="both"/>
        <w:outlineLvl w:val="0"/>
        <w:rPr>
          <w:b/>
          <w:spacing w:val="-2"/>
          <w:sz w:val="22"/>
          <w:szCs w:val="22"/>
        </w:rPr>
      </w:pPr>
    </w:p>
    <w:p w:rsidR="00091771" w:rsidRDefault="003F2CAD" w:rsidP="00091771">
      <w:pPr>
        <w:jc w:val="center"/>
        <w:outlineLvl w:val="0"/>
        <w:rPr>
          <w:b/>
          <w:sz w:val="22"/>
          <w:szCs w:val="22"/>
        </w:rPr>
      </w:pPr>
      <w:r>
        <w:rPr>
          <w:b/>
          <w:sz w:val="22"/>
          <w:szCs w:val="22"/>
        </w:rPr>
        <w:t xml:space="preserve">VERIZON </w:t>
      </w:r>
      <w:r w:rsidR="004E275A">
        <w:rPr>
          <w:b/>
          <w:sz w:val="22"/>
          <w:szCs w:val="22"/>
        </w:rPr>
        <w:t xml:space="preserve">COMMUNICATIONS </w:t>
      </w:r>
      <w:r>
        <w:rPr>
          <w:b/>
          <w:sz w:val="22"/>
          <w:szCs w:val="22"/>
        </w:rPr>
        <w:t xml:space="preserve">AND </w:t>
      </w:r>
      <w:r w:rsidR="004E275A">
        <w:rPr>
          <w:b/>
          <w:sz w:val="22"/>
          <w:szCs w:val="22"/>
        </w:rPr>
        <w:t xml:space="preserve">STRAIGHT PATH COMMUNICATIONS </w:t>
      </w:r>
      <w:r w:rsidR="006906B2">
        <w:rPr>
          <w:b/>
          <w:sz w:val="22"/>
          <w:szCs w:val="22"/>
        </w:rPr>
        <w:t>SEEK</w:t>
      </w:r>
      <w:r w:rsidR="005D278E">
        <w:rPr>
          <w:b/>
          <w:sz w:val="22"/>
          <w:szCs w:val="22"/>
        </w:rPr>
        <w:t xml:space="preserve"> </w:t>
      </w:r>
      <w:r w:rsidR="00D519C7" w:rsidRPr="001D0197">
        <w:rPr>
          <w:b/>
          <w:sz w:val="22"/>
          <w:szCs w:val="22"/>
        </w:rPr>
        <w:t>FCC CONSENT</w:t>
      </w:r>
      <w:r w:rsidR="00B1028A" w:rsidRPr="001D0197">
        <w:rPr>
          <w:b/>
          <w:sz w:val="22"/>
          <w:szCs w:val="22"/>
        </w:rPr>
        <w:t xml:space="preserve"> </w:t>
      </w:r>
      <w:r w:rsidR="0052101B" w:rsidRPr="001D0197">
        <w:rPr>
          <w:b/>
          <w:sz w:val="22"/>
          <w:szCs w:val="22"/>
        </w:rPr>
        <w:t xml:space="preserve">TO </w:t>
      </w:r>
      <w:r w:rsidR="00D13C64">
        <w:rPr>
          <w:b/>
          <w:sz w:val="22"/>
          <w:szCs w:val="22"/>
        </w:rPr>
        <w:t>THE TRANSFER OF CONTROL</w:t>
      </w:r>
      <w:r w:rsidR="001631B4">
        <w:rPr>
          <w:b/>
          <w:sz w:val="22"/>
          <w:szCs w:val="22"/>
        </w:rPr>
        <w:t xml:space="preserve"> </w:t>
      </w:r>
      <w:r w:rsidR="00D13C64">
        <w:rPr>
          <w:b/>
          <w:sz w:val="22"/>
          <w:szCs w:val="22"/>
        </w:rPr>
        <w:t>OF</w:t>
      </w:r>
      <w:r w:rsidR="001631B4">
        <w:rPr>
          <w:b/>
          <w:sz w:val="22"/>
          <w:szCs w:val="22"/>
        </w:rPr>
        <w:t xml:space="preserve"> LOCAL </w:t>
      </w:r>
      <w:r w:rsidR="004E275A">
        <w:rPr>
          <w:b/>
          <w:sz w:val="22"/>
          <w:szCs w:val="22"/>
        </w:rPr>
        <w:t xml:space="preserve">MULTIPOINT </w:t>
      </w:r>
      <w:r w:rsidR="00C9203E">
        <w:rPr>
          <w:b/>
          <w:sz w:val="22"/>
          <w:szCs w:val="22"/>
        </w:rPr>
        <w:br/>
      </w:r>
      <w:r w:rsidR="004E275A">
        <w:rPr>
          <w:b/>
          <w:sz w:val="22"/>
          <w:szCs w:val="22"/>
        </w:rPr>
        <w:t xml:space="preserve">DISTRIBUTION SERVICE, 39 GHZ, </w:t>
      </w:r>
      <w:r w:rsidR="00091771">
        <w:rPr>
          <w:b/>
          <w:sz w:val="22"/>
          <w:szCs w:val="22"/>
        </w:rPr>
        <w:t xml:space="preserve">3650-3700 MHZ, </w:t>
      </w:r>
    </w:p>
    <w:p w:rsidR="00F80958" w:rsidRDefault="004E275A" w:rsidP="00DD10A4">
      <w:pPr>
        <w:jc w:val="center"/>
        <w:outlineLvl w:val="0"/>
        <w:rPr>
          <w:b/>
          <w:sz w:val="22"/>
          <w:szCs w:val="22"/>
        </w:rPr>
      </w:pPr>
      <w:r>
        <w:rPr>
          <w:b/>
          <w:sz w:val="22"/>
          <w:szCs w:val="22"/>
        </w:rPr>
        <w:t xml:space="preserve">AND FIXED POINT TO POINT MICROWAVE </w:t>
      </w:r>
      <w:r w:rsidR="00D13C64">
        <w:rPr>
          <w:b/>
          <w:sz w:val="22"/>
          <w:szCs w:val="22"/>
        </w:rPr>
        <w:t>LICENSES</w:t>
      </w:r>
    </w:p>
    <w:p w:rsidR="00677F8D" w:rsidRDefault="00677F8D">
      <w:pPr>
        <w:jc w:val="center"/>
        <w:rPr>
          <w:b/>
          <w:sz w:val="22"/>
          <w:szCs w:val="22"/>
        </w:rPr>
      </w:pPr>
    </w:p>
    <w:p w:rsidR="003E1E59" w:rsidRDefault="001631B4" w:rsidP="003E1E59">
      <w:pPr>
        <w:jc w:val="center"/>
        <w:outlineLvl w:val="0"/>
        <w:rPr>
          <w:b/>
          <w:color w:val="000000"/>
          <w:sz w:val="22"/>
          <w:szCs w:val="22"/>
        </w:rPr>
      </w:pPr>
      <w:r>
        <w:rPr>
          <w:b/>
          <w:color w:val="000000"/>
          <w:sz w:val="22"/>
          <w:szCs w:val="22"/>
        </w:rPr>
        <w:t>ULS File No. 0007</w:t>
      </w:r>
      <w:r w:rsidR="002458E4">
        <w:rPr>
          <w:b/>
          <w:color w:val="000000"/>
          <w:sz w:val="22"/>
          <w:szCs w:val="22"/>
        </w:rPr>
        <w:t>7</w:t>
      </w:r>
      <w:r w:rsidR="004E275A">
        <w:rPr>
          <w:b/>
          <w:color w:val="000000"/>
          <w:sz w:val="22"/>
          <w:szCs w:val="22"/>
        </w:rPr>
        <w:t>83428</w:t>
      </w:r>
    </w:p>
    <w:p w:rsidR="00677F8D" w:rsidRDefault="00677F8D">
      <w:pPr>
        <w:rPr>
          <w:b/>
          <w:sz w:val="22"/>
          <w:szCs w:val="22"/>
        </w:rPr>
      </w:pPr>
    </w:p>
    <w:p w:rsidR="00677F8D" w:rsidRDefault="00677F8D" w:rsidP="00714A5F">
      <w:pPr>
        <w:spacing w:after="220"/>
        <w:jc w:val="center"/>
        <w:outlineLvl w:val="0"/>
        <w:rPr>
          <w:b/>
          <w:sz w:val="22"/>
          <w:szCs w:val="22"/>
        </w:rPr>
      </w:pPr>
      <w:r>
        <w:rPr>
          <w:b/>
          <w:sz w:val="22"/>
          <w:szCs w:val="22"/>
        </w:rPr>
        <w:t>PLEADING CYCLE ESTABLISHED</w:t>
      </w:r>
    </w:p>
    <w:p w:rsidR="003A5522" w:rsidRDefault="003A5522" w:rsidP="003A5522">
      <w:pPr>
        <w:widowControl/>
        <w:outlineLvl w:val="0"/>
        <w:rPr>
          <w:b/>
          <w:sz w:val="22"/>
          <w:szCs w:val="22"/>
        </w:rPr>
      </w:pPr>
      <w:r>
        <w:rPr>
          <w:b/>
          <w:sz w:val="22"/>
          <w:szCs w:val="22"/>
        </w:rPr>
        <w:t>Petitions to Deny Due:</w:t>
      </w:r>
      <w:r>
        <w:rPr>
          <w:b/>
          <w:sz w:val="22"/>
          <w:szCs w:val="22"/>
        </w:rPr>
        <w:tab/>
      </w:r>
      <w:r>
        <w:rPr>
          <w:b/>
          <w:sz w:val="22"/>
          <w:szCs w:val="22"/>
        </w:rPr>
        <w:tab/>
      </w:r>
      <w:r w:rsidR="006E50E3">
        <w:rPr>
          <w:b/>
          <w:sz w:val="22"/>
          <w:szCs w:val="22"/>
        </w:rPr>
        <w:t xml:space="preserve">August </w:t>
      </w:r>
      <w:r w:rsidR="00D011F3">
        <w:rPr>
          <w:b/>
          <w:sz w:val="22"/>
          <w:szCs w:val="22"/>
        </w:rPr>
        <w:t>11</w:t>
      </w:r>
      <w:r w:rsidR="007F2586">
        <w:rPr>
          <w:b/>
          <w:sz w:val="22"/>
          <w:szCs w:val="22"/>
        </w:rPr>
        <w:t>, 201</w:t>
      </w:r>
      <w:r w:rsidR="00C95D0E">
        <w:rPr>
          <w:b/>
          <w:sz w:val="22"/>
          <w:szCs w:val="22"/>
        </w:rPr>
        <w:t>7</w:t>
      </w:r>
    </w:p>
    <w:p w:rsidR="003A5522" w:rsidRDefault="003A5522" w:rsidP="003A5522">
      <w:pPr>
        <w:widowControl/>
        <w:rPr>
          <w:b/>
          <w:sz w:val="22"/>
          <w:szCs w:val="22"/>
        </w:rPr>
      </w:pPr>
      <w:r>
        <w:rPr>
          <w:b/>
          <w:sz w:val="22"/>
          <w:szCs w:val="22"/>
        </w:rPr>
        <w:t>Oppositions Due:</w:t>
      </w:r>
      <w:r>
        <w:rPr>
          <w:b/>
          <w:sz w:val="22"/>
          <w:szCs w:val="22"/>
        </w:rPr>
        <w:tab/>
      </w:r>
      <w:r>
        <w:rPr>
          <w:b/>
          <w:sz w:val="22"/>
          <w:szCs w:val="22"/>
        </w:rPr>
        <w:tab/>
      </w:r>
      <w:r w:rsidR="006E50E3">
        <w:rPr>
          <w:b/>
          <w:sz w:val="22"/>
          <w:szCs w:val="22"/>
        </w:rPr>
        <w:t xml:space="preserve">August </w:t>
      </w:r>
      <w:r w:rsidR="00D011F3">
        <w:rPr>
          <w:b/>
          <w:sz w:val="22"/>
          <w:szCs w:val="22"/>
        </w:rPr>
        <w:t>18</w:t>
      </w:r>
      <w:r w:rsidR="007F2586">
        <w:rPr>
          <w:b/>
          <w:sz w:val="22"/>
          <w:szCs w:val="22"/>
        </w:rPr>
        <w:t>, 201</w:t>
      </w:r>
      <w:r w:rsidR="00C95D0E">
        <w:rPr>
          <w:b/>
          <w:sz w:val="22"/>
          <w:szCs w:val="22"/>
        </w:rPr>
        <w:t>7</w:t>
      </w:r>
    </w:p>
    <w:p w:rsidR="003A5522" w:rsidRDefault="003A5522" w:rsidP="003A5522">
      <w:pPr>
        <w:widowControl/>
        <w:spacing w:after="220"/>
        <w:rPr>
          <w:b/>
          <w:sz w:val="22"/>
          <w:szCs w:val="22"/>
        </w:rPr>
      </w:pPr>
      <w:r>
        <w:rPr>
          <w:b/>
          <w:sz w:val="22"/>
          <w:szCs w:val="22"/>
        </w:rPr>
        <w:t>Replies Due:</w:t>
      </w:r>
      <w:r>
        <w:rPr>
          <w:b/>
          <w:sz w:val="22"/>
          <w:szCs w:val="22"/>
        </w:rPr>
        <w:tab/>
      </w:r>
      <w:r>
        <w:rPr>
          <w:b/>
          <w:sz w:val="22"/>
          <w:szCs w:val="22"/>
        </w:rPr>
        <w:tab/>
      </w:r>
      <w:r>
        <w:rPr>
          <w:b/>
          <w:sz w:val="22"/>
          <w:szCs w:val="22"/>
        </w:rPr>
        <w:tab/>
      </w:r>
      <w:r w:rsidR="006E50E3">
        <w:rPr>
          <w:b/>
          <w:sz w:val="22"/>
          <w:szCs w:val="22"/>
        </w:rPr>
        <w:t xml:space="preserve">August </w:t>
      </w:r>
      <w:r w:rsidR="00D011F3">
        <w:rPr>
          <w:b/>
          <w:sz w:val="22"/>
          <w:szCs w:val="22"/>
        </w:rPr>
        <w:t>25</w:t>
      </w:r>
      <w:r w:rsidR="007F2586">
        <w:rPr>
          <w:b/>
          <w:sz w:val="22"/>
          <w:szCs w:val="22"/>
        </w:rPr>
        <w:t>, 201</w:t>
      </w:r>
      <w:r w:rsidR="008C7A6E">
        <w:rPr>
          <w:b/>
          <w:sz w:val="22"/>
          <w:szCs w:val="22"/>
        </w:rPr>
        <w:t>7</w:t>
      </w:r>
    </w:p>
    <w:p w:rsidR="00677F8D" w:rsidRDefault="00C46564" w:rsidP="00714A5F">
      <w:pPr>
        <w:spacing w:after="220"/>
        <w:outlineLvl w:val="0"/>
        <w:rPr>
          <w:b/>
          <w:sz w:val="22"/>
          <w:szCs w:val="22"/>
        </w:rPr>
      </w:pPr>
      <w:r>
        <w:rPr>
          <w:b/>
          <w:sz w:val="22"/>
          <w:szCs w:val="22"/>
        </w:rPr>
        <w:t>I.</w:t>
      </w:r>
      <w:r>
        <w:rPr>
          <w:b/>
          <w:sz w:val="22"/>
          <w:szCs w:val="22"/>
        </w:rPr>
        <w:tab/>
        <w:t>INTRODUCTION</w:t>
      </w:r>
    </w:p>
    <w:p w:rsidR="00CF7E02" w:rsidRDefault="00A96D24" w:rsidP="00DB3D3E">
      <w:pPr>
        <w:spacing w:after="220"/>
        <w:rPr>
          <w:sz w:val="22"/>
          <w:szCs w:val="22"/>
        </w:rPr>
      </w:pPr>
      <w:r>
        <w:rPr>
          <w:b/>
          <w:sz w:val="22"/>
          <w:szCs w:val="22"/>
        </w:rPr>
        <w:tab/>
      </w:r>
      <w:r w:rsidR="001631B4">
        <w:rPr>
          <w:sz w:val="22"/>
          <w:szCs w:val="22"/>
        </w:rPr>
        <w:t xml:space="preserve">Verizon </w:t>
      </w:r>
      <w:r w:rsidR="005C65C2">
        <w:rPr>
          <w:sz w:val="22"/>
          <w:szCs w:val="22"/>
        </w:rPr>
        <w:t xml:space="preserve">Communications Inc. </w:t>
      </w:r>
      <w:r w:rsidR="001631B4">
        <w:rPr>
          <w:sz w:val="22"/>
          <w:szCs w:val="22"/>
        </w:rPr>
        <w:t xml:space="preserve">(Verizon) and </w:t>
      </w:r>
      <w:r w:rsidR="005C65C2">
        <w:rPr>
          <w:sz w:val="22"/>
          <w:szCs w:val="22"/>
        </w:rPr>
        <w:t xml:space="preserve">Straight Path Communications Inc. </w:t>
      </w:r>
      <w:r w:rsidR="001631B4">
        <w:rPr>
          <w:sz w:val="22"/>
          <w:szCs w:val="22"/>
        </w:rPr>
        <w:t>(</w:t>
      </w:r>
      <w:r w:rsidR="005C65C2">
        <w:rPr>
          <w:sz w:val="22"/>
          <w:szCs w:val="22"/>
        </w:rPr>
        <w:t>Straight Path</w:t>
      </w:r>
      <w:r w:rsidR="00171B31">
        <w:rPr>
          <w:sz w:val="22"/>
          <w:szCs w:val="22"/>
        </w:rPr>
        <w:t>) (collectively,</w:t>
      </w:r>
      <w:r w:rsidR="00B63996">
        <w:rPr>
          <w:sz w:val="22"/>
          <w:szCs w:val="22"/>
        </w:rPr>
        <w:t xml:space="preserve"> the Applicants)</w:t>
      </w:r>
      <w:r w:rsidR="002E2943">
        <w:rPr>
          <w:sz w:val="22"/>
          <w:szCs w:val="22"/>
        </w:rPr>
        <w:t xml:space="preserve"> </w:t>
      </w:r>
      <w:r w:rsidR="00677F8D" w:rsidRPr="00586237">
        <w:rPr>
          <w:sz w:val="22"/>
          <w:szCs w:val="22"/>
        </w:rPr>
        <w:t xml:space="preserve">have filed </w:t>
      </w:r>
      <w:r w:rsidR="00A76C6A">
        <w:rPr>
          <w:sz w:val="22"/>
          <w:szCs w:val="22"/>
        </w:rPr>
        <w:t xml:space="preserve">an </w:t>
      </w:r>
      <w:r w:rsidR="00677F8D" w:rsidRPr="00586237">
        <w:rPr>
          <w:sz w:val="22"/>
          <w:szCs w:val="22"/>
        </w:rPr>
        <w:t>application</w:t>
      </w:r>
      <w:r w:rsidR="00F80958">
        <w:rPr>
          <w:sz w:val="22"/>
          <w:szCs w:val="22"/>
        </w:rPr>
        <w:t xml:space="preserve"> pursuant to </w:t>
      </w:r>
      <w:r w:rsidR="005876BC">
        <w:rPr>
          <w:sz w:val="22"/>
          <w:szCs w:val="22"/>
        </w:rPr>
        <w:t>S</w:t>
      </w:r>
      <w:r w:rsidR="00677F8D" w:rsidRPr="00586237">
        <w:rPr>
          <w:sz w:val="22"/>
          <w:szCs w:val="22"/>
        </w:rPr>
        <w:t>ection</w:t>
      </w:r>
      <w:r w:rsidR="00F80958">
        <w:rPr>
          <w:sz w:val="22"/>
          <w:szCs w:val="22"/>
        </w:rPr>
        <w:t xml:space="preserve"> </w:t>
      </w:r>
      <w:r w:rsidR="00677F8D" w:rsidRPr="00586237">
        <w:rPr>
          <w:sz w:val="22"/>
          <w:szCs w:val="22"/>
        </w:rPr>
        <w:t>310(d) of the Communications Act of 1934, as amended</w:t>
      </w:r>
      <w:r w:rsidR="00F700D7">
        <w:rPr>
          <w:sz w:val="22"/>
          <w:szCs w:val="22"/>
        </w:rPr>
        <w:t>,</w:t>
      </w:r>
      <w:r w:rsidR="00677F8D" w:rsidRPr="00586237">
        <w:rPr>
          <w:rStyle w:val="FootnoteReference"/>
          <w:sz w:val="22"/>
          <w:szCs w:val="22"/>
        </w:rPr>
        <w:footnoteReference w:id="1"/>
      </w:r>
      <w:r w:rsidR="00677F8D" w:rsidRPr="00586237">
        <w:rPr>
          <w:sz w:val="22"/>
          <w:szCs w:val="22"/>
        </w:rPr>
        <w:t xml:space="preserve"> seeking </w:t>
      </w:r>
      <w:r w:rsidR="00B63996">
        <w:rPr>
          <w:sz w:val="22"/>
          <w:szCs w:val="22"/>
        </w:rPr>
        <w:t xml:space="preserve">Commission consent </w:t>
      </w:r>
      <w:r w:rsidR="00E329E5">
        <w:rPr>
          <w:sz w:val="22"/>
          <w:szCs w:val="22"/>
        </w:rPr>
        <w:t>to the transfer of control of Local Multipo</w:t>
      </w:r>
      <w:r w:rsidR="003115A4">
        <w:rPr>
          <w:sz w:val="22"/>
          <w:szCs w:val="22"/>
        </w:rPr>
        <w:t xml:space="preserve">int Distribution Service (LMDS), 39 GHz, 3650-3700 MHz, and common carrier fixed point to point microwave </w:t>
      </w:r>
      <w:r w:rsidR="00E329E5">
        <w:rPr>
          <w:sz w:val="22"/>
          <w:szCs w:val="22"/>
        </w:rPr>
        <w:t xml:space="preserve">licenses held by </w:t>
      </w:r>
      <w:r w:rsidR="00091771">
        <w:rPr>
          <w:sz w:val="22"/>
          <w:szCs w:val="22"/>
        </w:rPr>
        <w:t xml:space="preserve">Straight Path </w:t>
      </w:r>
      <w:r w:rsidR="00E329E5">
        <w:rPr>
          <w:sz w:val="22"/>
          <w:szCs w:val="22"/>
        </w:rPr>
        <w:t xml:space="preserve">subsidiary </w:t>
      </w:r>
      <w:r w:rsidR="00091771">
        <w:rPr>
          <w:sz w:val="22"/>
          <w:szCs w:val="22"/>
        </w:rPr>
        <w:t>Straight Path Spectrum, LLC (Straight Path Spectrum)</w:t>
      </w:r>
      <w:r w:rsidR="00B63996">
        <w:rPr>
          <w:sz w:val="22"/>
          <w:szCs w:val="22"/>
        </w:rPr>
        <w:t xml:space="preserve">.  </w:t>
      </w:r>
      <w:r w:rsidR="00955E87">
        <w:rPr>
          <w:sz w:val="22"/>
          <w:szCs w:val="22"/>
        </w:rPr>
        <w:t xml:space="preserve">The licenses include </w:t>
      </w:r>
      <w:r w:rsidR="00566954">
        <w:rPr>
          <w:sz w:val="22"/>
          <w:szCs w:val="22"/>
        </w:rPr>
        <w:t xml:space="preserve">735 </w:t>
      </w:r>
      <w:r w:rsidR="00955E87">
        <w:rPr>
          <w:sz w:val="22"/>
          <w:szCs w:val="22"/>
        </w:rPr>
        <w:t xml:space="preserve">millimeter wave </w:t>
      </w:r>
      <w:r w:rsidR="00C9203E">
        <w:rPr>
          <w:sz w:val="22"/>
          <w:szCs w:val="22"/>
        </w:rPr>
        <w:t xml:space="preserve">(mmW) </w:t>
      </w:r>
      <w:r w:rsidR="00D36E10">
        <w:rPr>
          <w:sz w:val="22"/>
          <w:szCs w:val="22"/>
        </w:rPr>
        <w:t xml:space="preserve">spectrum </w:t>
      </w:r>
      <w:r w:rsidR="00955E87">
        <w:rPr>
          <w:sz w:val="22"/>
          <w:szCs w:val="22"/>
        </w:rPr>
        <w:t xml:space="preserve">licenses in the 39 GHz </w:t>
      </w:r>
      <w:r w:rsidR="00C9203E">
        <w:rPr>
          <w:sz w:val="22"/>
          <w:szCs w:val="22"/>
        </w:rPr>
        <w:t xml:space="preserve">band, </w:t>
      </w:r>
      <w:r w:rsidR="00566954">
        <w:rPr>
          <w:sz w:val="22"/>
          <w:szCs w:val="22"/>
        </w:rPr>
        <w:t>133 licenses</w:t>
      </w:r>
      <w:r w:rsidR="00955E87">
        <w:rPr>
          <w:sz w:val="22"/>
          <w:szCs w:val="22"/>
        </w:rPr>
        <w:t xml:space="preserve"> </w:t>
      </w:r>
      <w:r w:rsidR="00C9203E">
        <w:rPr>
          <w:sz w:val="22"/>
          <w:szCs w:val="22"/>
        </w:rPr>
        <w:t xml:space="preserve">in </w:t>
      </w:r>
      <w:r w:rsidR="00955E87">
        <w:rPr>
          <w:sz w:val="22"/>
          <w:szCs w:val="22"/>
        </w:rPr>
        <w:t xml:space="preserve">the </w:t>
      </w:r>
      <w:r w:rsidR="00566954">
        <w:rPr>
          <w:sz w:val="22"/>
          <w:szCs w:val="22"/>
        </w:rPr>
        <w:t>LMDS bands (</w:t>
      </w:r>
      <w:r w:rsidR="00955E87">
        <w:rPr>
          <w:sz w:val="22"/>
          <w:szCs w:val="22"/>
        </w:rPr>
        <w:t>28 GHz, 29 GHz, and 31 GHz bands</w:t>
      </w:r>
      <w:r w:rsidR="00566954">
        <w:rPr>
          <w:sz w:val="22"/>
          <w:szCs w:val="22"/>
        </w:rPr>
        <w:t>)</w:t>
      </w:r>
      <w:r w:rsidR="00DB3D3E">
        <w:rPr>
          <w:sz w:val="22"/>
          <w:szCs w:val="22"/>
        </w:rPr>
        <w:t xml:space="preserve">, </w:t>
      </w:r>
      <w:r w:rsidR="00DB3D3E" w:rsidRPr="00DB3D3E">
        <w:rPr>
          <w:sz w:val="22"/>
          <w:szCs w:val="22"/>
        </w:rPr>
        <w:t>nine common carrier point-to-point microwave licenses, and one non-exclusive nationwide license in the 3650-3700 MHz band</w:t>
      </w:r>
      <w:r w:rsidR="00955E87">
        <w:rPr>
          <w:sz w:val="22"/>
          <w:szCs w:val="22"/>
        </w:rPr>
        <w:t>.</w:t>
      </w:r>
      <w:r w:rsidR="00955E87">
        <w:rPr>
          <w:rStyle w:val="FootnoteReference"/>
          <w:szCs w:val="22"/>
        </w:rPr>
        <w:footnoteReference w:id="2"/>
      </w:r>
      <w:r w:rsidR="00955E87">
        <w:rPr>
          <w:sz w:val="22"/>
          <w:szCs w:val="22"/>
        </w:rPr>
        <w:t xml:space="preserve"> </w:t>
      </w:r>
    </w:p>
    <w:p w:rsidR="008F099D" w:rsidRDefault="00D36E10">
      <w:pPr>
        <w:widowControl/>
        <w:spacing w:after="220"/>
        <w:ind w:firstLine="720"/>
        <w:rPr>
          <w:sz w:val="22"/>
          <w:szCs w:val="22"/>
        </w:rPr>
      </w:pPr>
      <w:r>
        <w:rPr>
          <w:sz w:val="22"/>
          <w:szCs w:val="22"/>
        </w:rPr>
        <w:t xml:space="preserve">The Applicants state that Verizon plans to use </w:t>
      </w:r>
      <w:r w:rsidR="00C9203E">
        <w:rPr>
          <w:sz w:val="22"/>
          <w:szCs w:val="22"/>
        </w:rPr>
        <w:t>mmW</w:t>
      </w:r>
      <w:r>
        <w:rPr>
          <w:sz w:val="22"/>
          <w:szCs w:val="22"/>
        </w:rPr>
        <w:t xml:space="preserve"> spectrum to launch 5G services.  </w:t>
      </w:r>
      <w:r w:rsidR="006D1710">
        <w:rPr>
          <w:sz w:val="22"/>
          <w:szCs w:val="22"/>
        </w:rPr>
        <w:t xml:space="preserve">The Applicants </w:t>
      </w:r>
      <w:r w:rsidR="001B2DF2">
        <w:rPr>
          <w:sz w:val="22"/>
          <w:szCs w:val="22"/>
        </w:rPr>
        <w:t>claim</w:t>
      </w:r>
      <w:r w:rsidR="002148AC">
        <w:rPr>
          <w:sz w:val="22"/>
          <w:szCs w:val="22"/>
        </w:rPr>
        <w:t xml:space="preserve"> that Verizon </w:t>
      </w:r>
      <w:r>
        <w:rPr>
          <w:sz w:val="22"/>
          <w:szCs w:val="22"/>
        </w:rPr>
        <w:t xml:space="preserve">is </w:t>
      </w:r>
      <w:r w:rsidR="002148AC">
        <w:rPr>
          <w:sz w:val="22"/>
          <w:szCs w:val="22"/>
        </w:rPr>
        <w:t>driving the 5G ecosystem towards rapid commercialization with testing, standards development, fiber deployment and acquisitions for backhaul, and the planned launch of 11 pre-commercial 5G fixed wireless trials in 2017.</w:t>
      </w:r>
      <w:r w:rsidR="001A0DB3">
        <w:rPr>
          <w:rStyle w:val="FootnoteReference"/>
          <w:szCs w:val="22"/>
        </w:rPr>
        <w:footnoteReference w:id="3"/>
      </w:r>
      <w:r w:rsidR="002148AC">
        <w:rPr>
          <w:sz w:val="22"/>
          <w:szCs w:val="22"/>
        </w:rPr>
        <w:t xml:space="preserve">  </w:t>
      </w:r>
      <w:r w:rsidR="006D1710">
        <w:rPr>
          <w:sz w:val="22"/>
          <w:szCs w:val="22"/>
        </w:rPr>
        <w:t xml:space="preserve">The </w:t>
      </w:r>
      <w:r w:rsidR="00A930F7">
        <w:rPr>
          <w:sz w:val="22"/>
          <w:szCs w:val="22"/>
        </w:rPr>
        <w:t>Applicants argue</w:t>
      </w:r>
      <w:r w:rsidR="006D1710">
        <w:rPr>
          <w:sz w:val="22"/>
          <w:szCs w:val="22"/>
        </w:rPr>
        <w:t xml:space="preserve"> that </w:t>
      </w:r>
      <w:r w:rsidR="002148AC">
        <w:rPr>
          <w:sz w:val="22"/>
          <w:szCs w:val="22"/>
        </w:rPr>
        <w:t xml:space="preserve">acquiring control of the </w:t>
      </w:r>
      <w:r>
        <w:rPr>
          <w:sz w:val="22"/>
          <w:szCs w:val="22"/>
        </w:rPr>
        <w:t xml:space="preserve">Straight Path Spectrum </w:t>
      </w:r>
      <w:r w:rsidR="002148AC">
        <w:rPr>
          <w:sz w:val="22"/>
          <w:szCs w:val="22"/>
        </w:rPr>
        <w:t xml:space="preserve">licenses will </w:t>
      </w:r>
      <w:r>
        <w:rPr>
          <w:sz w:val="22"/>
          <w:szCs w:val="22"/>
        </w:rPr>
        <w:t xml:space="preserve">help enable </w:t>
      </w:r>
      <w:r w:rsidR="002148AC">
        <w:rPr>
          <w:sz w:val="22"/>
          <w:szCs w:val="22"/>
        </w:rPr>
        <w:t xml:space="preserve">Verizon </w:t>
      </w:r>
      <w:r>
        <w:rPr>
          <w:sz w:val="22"/>
          <w:szCs w:val="22"/>
        </w:rPr>
        <w:t xml:space="preserve">to </w:t>
      </w:r>
      <w:r w:rsidR="002148AC">
        <w:rPr>
          <w:sz w:val="22"/>
          <w:szCs w:val="22"/>
        </w:rPr>
        <w:t>develop and deliver 5G products and services to the public.</w:t>
      </w:r>
      <w:r w:rsidR="0089361F">
        <w:rPr>
          <w:sz w:val="22"/>
          <w:szCs w:val="22"/>
        </w:rPr>
        <w:t xml:space="preserve">  </w:t>
      </w:r>
      <w:r w:rsidR="001B2DF2">
        <w:rPr>
          <w:sz w:val="22"/>
          <w:szCs w:val="22"/>
        </w:rPr>
        <w:t>T</w:t>
      </w:r>
      <w:r w:rsidR="00A52477">
        <w:rPr>
          <w:sz w:val="22"/>
          <w:szCs w:val="22"/>
        </w:rPr>
        <w:t xml:space="preserve">he Applicants </w:t>
      </w:r>
      <w:r w:rsidR="0045622E">
        <w:rPr>
          <w:sz w:val="22"/>
          <w:szCs w:val="22"/>
        </w:rPr>
        <w:t xml:space="preserve">also </w:t>
      </w:r>
      <w:r w:rsidR="00A03874">
        <w:rPr>
          <w:sz w:val="22"/>
          <w:szCs w:val="22"/>
        </w:rPr>
        <w:t xml:space="preserve">state </w:t>
      </w:r>
      <w:r w:rsidR="00A52477">
        <w:rPr>
          <w:sz w:val="22"/>
          <w:szCs w:val="22"/>
        </w:rPr>
        <w:t xml:space="preserve">that with the proposed transfer of control, </w:t>
      </w:r>
      <w:r w:rsidR="0045622E">
        <w:rPr>
          <w:sz w:val="22"/>
          <w:szCs w:val="22"/>
        </w:rPr>
        <w:t>i</w:t>
      </w:r>
      <w:r w:rsidR="0045622E" w:rsidRPr="0045622E">
        <w:rPr>
          <w:sz w:val="22"/>
          <w:szCs w:val="22"/>
        </w:rPr>
        <w:t>n some counties</w:t>
      </w:r>
      <w:r w:rsidR="0045622E">
        <w:rPr>
          <w:sz w:val="22"/>
          <w:szCs w:val="22"/>
        </w:rPr>
        <w:t>,</w:t>
      </w:r>
      <w:r w:rsidR="0045622E" w:rsidRPr="0045622E">
        <w:rPr>
          <w:sz w:val="22"/>
          <w:szCs w:val="22"/>
        </w:rPr>
        <w:t xml:space="preserve"> Verizon </w:t>
      </w:r>
      <w:r w:rsidR="0045622E" w:rsidRPr="0045622E">
        <w:rPr>
          <w:sz w:val="22"/>
          <w:szCs w:val="22"/>
        </w:rPr>
        <w:lastRenderedPageBreak/>
        <w:t>will be above the</w:t>
      </w:r>
      <w:r w:rsidR="0045622E">
        <w:rPr>
          <w:sz w:val="22"/>
          <w:szCs w:val="22"/>
        </w:rPr>
        <w:t xml:space="preserve"> </w:t>
      </w:r>
      <w:r w:rsidR="0045622E" w:rsidRPr="0045622E">
        <w:rPr>
          <w:sz w:val="22"/>
          <w:szCs w:val="22"/>
        </w:rPr>
        <w:t xml:space="preserve">millimeter wave spectrum threshold set out in last year’s </w:t>
      </w:r>
      <w:r w:rsidR="0045622E" w:rsidRPr="0045622E">
        <w:rPr>
          <w:i/>
          <w:iCs/>
          <w:sz w:val="22"/>
          <w:szCs w:val="22"/>
        </w:rPr>
        <w:t>Spectrum Frontiers Order,</w:t>
      </w:r>
      <w:r w:rsidR="0045622E">
        <w:rPr>
          <w:rStyle w:val="FootnoteReference"/>
          <w:szCs w:val="22"/>
        </w:rPr>
        <w:footnoteReference w:id="4"/>
      </w:r>
      <w:r w:rsidR="0045622E" w:rsidRPr="0045622E">
        <w:rPr>
          <w:i/>
          <w:iCs/>
          <w:sz w:val="22"/>
          <w:szCs w:val="22"/>
        </w:rPr>
        <w:t xml:space="preserve"> </w:t>
      </w:r>
      <w:r w:rsidR="0045622E" w:rsidRPr="0045622E">
        <w:rPr>
          <w:sz w:val="22"/>
          <w:szCs w:val="22"/>
        </w:rPr>
        <w:t xml:space="preserve">but </w:t>
      </w:r>
      <w:r w:rsidR="0091446E">
        <w:rPr>
          <w:sz w:val="22"/>
          <w:szCs w:val="22"/>
        </w:rPr>
        <w:t xml:space="preserve">they claim that </w:t>
      </w:r>
      <w:r w:rsidR="0045622E">
        <w:rPr>
          <w:sz w:val="22"/>
          <w:szCs w:val="22"/>
        </w:rPr>
        <w:t>“</w:t>
      </w:r>
      <w:r w:rsidR="0045622E" w:rsidRPr="0045622E">
        <w:rPr>
          <w:sz w:val="22"/>
          <w:szCs w:val="22"/>
        </w:rPr>
        <w:t>a close</w:t>
      </w:r>
      <w:r w:rsidR="0045622E">
        <w:rPr>
          <w:sz w:val="22"/>
          <w:szCs w:val="22"/>
        </w:rPr>
        <w:t xml:space="preserve"> </w:t>
      </w:r>
      <w:r w:rsidR="0045622E" w:rsidRPr="0045622E">
        <w:rPr>
          <w:sz w:val="22"/>
          <w:szCs w:val="22"/>
        </w:rPr>
        <w:t>look at marketplace developments and competitive circumstances reveals no risk to competition</w:t>
      </w:r>
      <w:r w:rsidR="00E4591E">
        <w:rPr>
          <w:sz w:val="22"/>
          <w:szCs w:val="22"/>
        </w:rPr>
        <w:t>.</w:t>
      </w:r>
      <w:r w:rsidR="0045622E">
        <w:rPr>
          <w:sz w:val="22"/>
          <w:szCs w:val="22"/>
        </w:rPr>
        <w:t>”</w:t>
      </w:r>
      <w:r w:rsidR="00ED4781">
        <w:rPr>
          <w:rStyle w:val="FootnoteReference"/>
          <w:szCs w:val="22"/>
        </w:rPr>
        <w:footnoteReference w:id="5"/>
      </w:r>
    </w:p>
    <w:p w:rsidR="002A405E" w:rsidRPr="00E4591E" w:rsidRDefault="002A405E" w:rsidP="006C53BA">
      <w:pPr>
        <w:widowControl/>
        <w:spacing w:after="220"/>
        <w:ind w:firstLine="720"/>
        <w:rPr>
          <w:sz w:val="22"/>
          <w:szCs w:val="22"/>
        </w:rPr>
      </w:pPr>
      <w:r>
        <w:rPr>
          <w:sz w:val="22"/>
          <w:szCs w:val="22"/>
        </w:rPr>
        <w:t xml:space="preserve">Our preliminary review </w:t>
      </w:r>
      <w:r w:rsidR="00680A25">
        <w:rPr>
          <w:sz w:val="22"/>
          <w:szCs w:val="22"/>
        </w:rPr>
        <w:t xml:space="preserve">of the Applicants’ mmW </w:t>
      </w:r>
      <w:r w:rsidR="00FC29D4">
        <w:rPr>
          <w:sz w:val="22"/>
          <w:szCs w:val="22"/>
        </w:rPr>
        <w:t>S</w:t>
      </w:r>
      <w:r w:rsidR="00680A25">
        <w:rPr>
          <w:sz w:val="22"/>
          <w:szCs w:val="22"/>
        </w:rPr>
        <w:t xml:space="preserve">pectrum </w:t>
      </w:r>
      <w:r w:rsidR="00FC29D4">
        <w:rPr>
          <w:sz w:val="22"/>
          <w:szCs w:val="22"/>
        </w:rPr>
        <w:t>A</w:t>
      </w:r>
      <w:r w:rsidR="00680A25">
        <w:rPr>
          <w:sz w:val="22"/>
          <w:szCs w:val="22"/>
        </w:rPr>
        <w:t xml:space="preserve">ggregation </w:t>
      </w:r>
      <w:r w:rsidR="00FC29D4">
        <w:rPr>
          <w:sz w:val="22"/>
          <w:szCs w:val="22"/>
        </w:rPr>
        <w:t>Exhibit</w:t>
      </w:r>
      <w:r w:rsidR="004D1880">
        <w:rPr>
          <w:rStyle w:val="FootnoteReference"/>
          <w:szCs w:val="22"/>
        </w:rPr>
        <w:footnoteReference w:id="6"/>
      </w:r>
      <w:r w:rsidR="00680A25">
        <w:rPr>
          <w:sz w:val="22"/>
          <w:szCs w:val="22"/>
        </w:rPr>
        <w:t xml:space="preserve"> </w:t>
      </w:r>
      <w:r>
        <w:rPr>
          <w:sz w:val="22"/>
          <w:szCs w:val="22"/>
        </w:rPr>
        <w:t xml:space="preserve">indicates that </w:t>
      </w:r>
      <w:r w:rsidR="00566954">
        <w:rPr>
          <w:sz w:val="22"/>
          <w:szCs w:val="22"/>
        </w:rPr>
        <w:t>p</w:t>
      </w:r>
      <w:r w:rsidRPr="00B44A77">
        <w:rPr>
          <w:sz w:val="22"/>
          <w:szCs w:val="22"/>
        </w:rPr>
        <w:t>ost-tr</w:t>
      </w:r>
      <w:r>
        <w:rPr>
          <w:sz w:val="22"/>
          <w:szCs w:val="22"/>
        </w:rPr>
        <w:t xml:space="preserve">ansaction, </w:t>
      </w:r>
      <w:r w:rsidR="003C2763">
        <w:rPr>
          <w:sz w:val="22"/>
          <w:szCs w:val="22"/>
        </w:rPr>
        <w:t>Verizon</w:t>
      </w:r>
      <w:r>
        <w:rPr>
          <w:sz w:val="22"/>
          <w:szCs w:val="22"/>
        </w:rPr>
        <w:t xml:space="preserve"> would be attributed </w:t>
      </w:r>
      <w:r w:rsidR="00566954">
        <w:rPr>
          <w:sz w:val="22"/>
          <w:szCs w:val="22"/>
        </w:rPr>
        <w:t xml:space="preserve">across the United States </w:t>
      </w:r>
      <w:r>
        <w:rPr>
          <w:sz w:val="22"/>
          <w:szCs w:val="22"/>
        </w:rPr>
        <w:t xml:space="preserve">with </w:t>
      </w:r>
      <w:r w:rsidR="00566954">
        <w:rPr>
          <w:sz w:val="22"/>
          <w:szCs w:val="22"/>
        </w:rPr>
        <w:t xml:space="preserve">100 </w:t>
      </w:r>
      <w:r>
        <w:rPr>
          <w:sz w:val="22"/>
          <w:szCs w:val="22"/>
        </w:rPr>
        <w:t xml:space="preserve">megahertz to </w:t>
      </w:r>
      <w:r w:rsidR="00566954">
        <w:rPr>
          <w:sz w:val="22"/>
          <w:szCs w:val="22"/>
        </w:rPr>
        <w:t>1650</w:t>
      </w:r>
      <w:r w:rsidRPr="00B44A77">
        <w:rPr>
          <w:sz w:val="22"/>
          <w:szCs w:val="22"/>
        </w:rPr>
        <w:t xml:space="preserve"> </w:t>
      </w:r>
      <w:r>
        <w:rPr>
          <w:sz w:val="22"/>
          <w:szCs w:val="22"/>
        </w:rPr>
        <w:t>megahertz of spectrum in total</w:t>
      </w:r>
      <w:r w:rsidR="00436EDA">
        <w:rPr>
          <w:sz w:val="22"/>
          <w:szCs w:val="22"/>
        </w:rPr>
        <w:t xml:space="preserve"> in the </w:t>
      </w:r>
      <w:r w:rsidR="00566954">
        <w:rPr>
          <w:sz w:val="22"/>
          <w:szCs w:val="22"/>
        </w:rPr>
        <w:t xml:space="preserve">28 GHz and 39 GHz </w:t>
      </w:r>
      <w:r w:rsidR="00436EDA">
        <w:rPr>
          <w:sz w:val="22"/>
          <w:szCs w:val="22"/>
        </w:rPr>
        <w:t>millimeter wave bands</w:t>
      </w:r>
      <w:r w:rsidR="003C2763">
        <w:rPr>
          <w:sz w:val="22"/>
          <w:szCs w:val="22"/>
        </w:rPr>
        <w:t>.</w:t>
      </w:r>
    </w:p>
    <w:p w:rsidR="00677F8D" w:rsidRPr="0089192F" w:rsidRDefault="00677F8D" w:rsidP="00E870B9">
      <w:pPr>
        <w:keepNext/>
        <w:spacing w:after="220"/>
        <w:outlineLvl w:val="0"/>
        <w:rPr>
          <w:rStyle w:val="Normal1"/>
          <w:b/>
          <w:sz w:val="22"/>
          <w:szCs w:val="22"/>
        </w:rPr>
      </w:pPr>
      <w:r>
        <w:rPr>
          <w:rStyle w:val="StyleTimesNewRomanBold11ptBold"/>
          <w:rFonts w:hAnsi="Times New Roman"/>
        </w:rPr>
        <w:t>ii.</w:t>
      </w:r>
      <w:r>
        <w:rPr>
          <w:rStyle w:val="StyleTimesNewRomanBold11ptBold"/>
          <w:rFonts w:hAnsi="Times New Roman"/>
        </w:rPr>
        <w:tab/>
        <w:t>Section 310(</w:t>
      </w:r>
      <w:r>
        <w:rPr>
          <w:b/>
          <w:sz w:val="22"/>
          <w:szCs w:val="22"/>
        </w:rPr>
        <w:t>d) APPLICATION</w:t>
      </w:r>
    </w:p>
    <w:p w:rsidR="00677F8D" w:rsidRPr="00FB3631" w:rsidRDefault="00677F8D" w:rsidP="00E870B9">
      <w:pPr>
        <w:keepNext/>
        <w:spacing w:after="220"/>
        <w:ind w:firstLine="720"/>
        <w:rPr>
          <w:rStyle w:val="Normal1"/>
          <w:sz w:val="22"/>
          <w:szCs w:val="22"/>
        </w:rPr>
      </w:pPr>
      <w:r w:rsidRPr="00D440C4">
        <w:rPr>
          <w:sz w:val="22"/>
          <w:szCs w:val="22"/>
        </w:rPr>
        <w:t>T</w:t>
      </w:r>
      <w:r w:rsidRPr="00D440C4">
        <w:rPr>
          <w:rStyle w:val="Normal1"/>
          <w:sz w:val="22"/>
          <w:szCs w:val="22"/>
        </w:rPr>
        <w:t xml:space="preserve">he application for </w:t>
      </w:r>
      <w:r w:rsidR="00D440C4" w:rsidRPr="00D440C4">
        <w:rPr>
          <w:rStyle w:val="Normal1"/>
          <w:sz w:val="22"/>
          <w:szCs w:val="22"/>
        </w:rPr>
        <w:t xml:space="preserve">the </w:t>
      </w:r>
      <w:r w:rsidR="00D11C31" w:rsidRPr="00D11C31">
        <w:rPr>
          <w:rStyle w:val="Normal1"/>
          <w:sz w:val="22"/>
          <w:szCs w:val="22"/>
        </w:rPr>
        <w:t>transfer</w:t>
      </w:r>
      <w:r w:rsidRPr="00D440C4">
        <w:rPr>
          <w:rStyle w:val="Normal1"/>
          <w:sz w:val="22"/>
          <w:szCs w:val="22"/>
        </w:rPr>
        <w:t xml:space="preserve"> </w:t>
      </w:r>
      <w:r w:rsidR="002458E4">
        <w:rPr>
          <w:rStyle w:val="Normal1"/>
          <w:sz w:val="22"/>
          <w:szCs w:val="22"/>
        </w:rPr>
        <w:t xml:space="preserve">of control of licenses </w:t>
      </w:r>
      <w:r w:rsidR="00A72D7B">
        <w:rPr>
          <w:rStyle w:val="Normal1"/>
          <w:sz w:val="22"/>
          <w:szCs w:val="22"/>
        </w:rPr>
        <w:t>ha</w:t>
      </w:r>
      <w:r w:rsidR="00CF7E02">
        <w:rPr>
          <w:rStyle w:val="Normal1"/>
          <w:sz w:val="22"/>
          <w:szCs w:val="22"/>
        </w:rPr>
        <w:t>s</w:t>
      </w:r>
      <w:r w:rsidR="002458E4">
        <w:rPr>
          <w:rStyle w:val="Normal1"/>
          <w:sz w:val="22"/>
          <w:szCs w:val="22"/>
        </w:rPr>
        <w:t xml:space="preserve"> </w:t>
      </w:r>
      <w:r w:rsidRPr="00D440C4">
        <w:rPr>
          <w:rStyle w:val="Normal1"/>
          <w:sz w:val="22"/>
          <w:szCs w:val="22"/>
        </w:rPr>
        <w:t>the following file number:</w:t>
      </w:r>
    </w:p>
    <w:tbl>
      <w:tblPr>
        <w:tblW w:w="5095" w:type="pct"/>
        <w:tblCellMar>
          <w:left w:w="40" w:type="dxa"/>
          <w:right w:w="40" w:type="dxa"/>
        </w:tblCellMar>
        <w:tblLook w:val="0000" w:firstRow="0" w:lastRow="0" w:firstColumn="0" w:lastColumn="0" w:noHBand="0" w:noVBand="0"/>
      </w:tblPr>
      <w:tblGrid>
        <w:gridCol w:w="1390"/>
        <w:gridCol w:w="3421"/>
        <w:gridCol w:w="3334"/>
        <w:gridCol w:w="1474"/>
      </w:tblGrid>
      <w:tr w:rsidR="003050A6" w:rsidTr="00BC1455">
        <w:trPr>
          <w:cantSplit/>
          <w:trHeight w:val="173"/>
          <w:tblHeader/>
        </w:trPr>
        <w:tc>
          <w:tcPr>
            <w:tcW w:w="723" w:type="pct"/>
            <w:shd w:val="clear" w:color="C0C0C0" w:fill="auto"/>
          </w:tcPr>
          <w:p w:rsidR="00677F8D" w:rsidRDefault="00677F8D">
            <w:pPr>
              <w:keepNext/>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677F8D" w:rsidRDefault="00677F8D">
            <w:pPr>
              <w:autoSpaceDE w:val="0"/>
              <w:autoSpaceDN w:val="0"/>
              <w:adjustRightInd w:val="0"/>
              <w:rPr>
                <w:b/>
                <w:color w:val="000000"/>
                <w:sz w:val="22"/>
                <w:szCs w:val="22"/>
                <w:u w:val="single"/>
              </w:rPr>
            </w:pPr>
          </w:p>
        </w:tc>
        <w:tc>
          <w:tcPr>
            <w:tcW w:w="1778" w:type="pct"/>
            <w:shd w:val="clear" w:color="C0C0C0" w:fill="auto"/>
          </w:tcPr>
          <w:p w:rsidR="00677F8D" w:rsidRDefault="002458E4" w:rsidP="00D11C31">
            <w:pPr>
              <w:autoSpaceDE w:val="0"/>
              <w:autoSpaceDN w:val="0"/>
              <w:adjustRightInd w:val="0"/>
              <w:ind w:left="-41"/>
              <w:rPr>
                <w:b/>
                <w:color w:val="000000"/>
                <w:sz w:val="22"/>
                <w:szCs w:val="22"/>
                <w:u w:val="single"/>
              </w:rPr>
            </w:pPr>
            <w:r>
              <w:rPr>
                <w:b/>
                <w:color w:val="000000"/>
                <w:sz w:val="22"/>
                <w:szCs w:val="22"/>
                <w:u w:val="single"/>
              </w:rPr>
              <w:t>Transferor</w:t>
            </w:r>
          </w:p>
        </w:tc>
        <w:tc>
          <w:tcPr>
            <w:tcW w:w="1733" w:type="pct"/>
            <w:shd w:val="clear" w:color="C0C0C0" w:fill="auto"/>
          </w:tcPr>
          <w:p w:rsidR="00677F8D" w:rsidRDefault="002458E4" w:rsidP="002E2DA8">
            <w:pPr>
              <w:autoSpaceDE w:val="0"/>
              <w:autoSpaceDN w:val="0"/>
              <w:adjustRightInd w:val="0"/>
              <w:rPr>
                <w:b/>
                <w:color w:val="000000"/>
                <w:sz w:val="22"/>
                <w:szCs w:val="22"/>
                <w:u w:val="single"/>
              </w:rPr>
            </w:pPr>
            <w:r>
              <w:rPr>
                <w:b/>
                <w:color w:val="000000"/>
                <w:sz w:val="22"/>
                <w:szCs w:val="22"/>
                <w:u w:val="single"/>
              </w:rPr>
              <w:t>Transferee</w:t>
            </w:r>
          </w:p>
        </w:tc>
        <w:tc>
          <w:tcPr>
            <w:tcW w:w="767" w:type="pct"/>
            <w:shd w:val="clear" w:color="C0C0C0" w:fill="auto"/>
          </w:tcPr>
          <w:p w:rsidR="00677F8D" w:rsidRDefault="00677F8D" w:rsidP="00CF7E02">
            <w:pPr>
              <w:autoSpaceDE w:val="0"/>
              <w:autoSpaceDN w:val="0"/>
              <w:adjustRightInd w:val="0"/>
              <w:ind w:hanging="40"/>
              <w:rPr>
                <w:b/>
                <w:color w:val="000000"/>
                <w:sz w:val="22"/>
                <w:szCs w:val="22"/>
                <w:u w:val="single"/>
              </w:rPr>
            </w:pPr>
            <w:r>
              <w:rPr>
                <w:b/>
                <w:color w:val="000000"/>
                <w:sz w:val="22"/>
                <w:szCs w:val="22"/>
                <w:u w:val="single"/>
              </w:rPr>
              <w:t>Lead Call Sign</w:t>
            </w:r>
          </w:p>
        </w:tc>
      </w:tr>
      <w:tr w:rsidR="003050A6" w:rsidTr="00BC1455">
        <w:trPr>
          <w:cantSplit/>
          <w:trHeight w:val="152"/>
        </w:trPr>
        <w:tc>
          <w:tcPr>
            <w:tcW w:w="723" w:type="pct"/>
            <w:shd w:val="clear" w:color="auto" w:fill="auto"/>
          </w:tcPr>
          <w:p w:rsidR="006C53BA" w:rsidRPr="006C53BA" w:rsidRDefault="002F5A47" w:rsidP="002B3FAC">
            <w:pPr>
              <w:keepNext/>
              <w:tabs>
                <w:tab w:val="left" w:pos="720"/>
              </w:tabs>
              <w:rPr>
                <w:color w:val="000000"/>
                <w:sz w:val="22"/>
                <w:szCs w:val="22"/>
                <w:shd w:val="clear" w:color="auto" w:fill="F7F5FF"/>
              </w:rPr>
            </w:pPr>
            <w:r>
              <w:rPr>
                <w:sz w:val="22"/>
                <w:szCs w:val="22"/>
              </w:rPr>
              <w:t>0007</w:t>
            </w:r>
            <w:r w:rsidR="002458E4">
              <w:rPr>
                <w:sz w:val="22"/>
                <w:szCs w:val="22"/>
              </w:rPr>
              <w:t>78</w:t>
            </w:r>
            <w:r w:rsidR="002B3FAC">
              <w:rPr>
                <w:sz w:val="22"/>
                <w:szCs w:val="22"/>
              </w:rPr>
              <w:t>3428</w:t>
            </w:r>
          </w:p>
        </w:tc>
        <w:tc>
          <w:tcPr>
            <w:tcW w:w="1778" w:type="pct"/>
            <w:shd w:val="clear" w:color="C0C0C0" w:fill="auto"/>
          </w:tcPr>
          <w:p w:rsidR="00677F8D" w:rsidRPr="00000509" w:rsidRDefault="002B3FAC" w:rsidP="002F5A47">
            <w:pPr>
              <w:ind w:left="-41"/>
              <w:rPr>
                <w:sz w:val="22"/>
                <w:szCs w:val="22"/>
              </w:rPr>
            </w:pPr>
            <w:r>
              <w:rPr>
                <w:sz w:val="22"/>
                <w:szCs w:val="22"/>
              </w:rPr>
              <w:t>Straight Path Communications Inc.</w:t>
            </w:r>
          </w:p>
        </w:tc>
        <w:tc>
          <w:tcPr>
            <w:tcW w:w="1733" w:type="pct"/>
            <w:shd w:val="clear" w:color="C0C0C0" w:fill="auto"/>
          </w:tcPr>
          <w:p w:rsidR="00677F8D" w:rsidRPr="00530B3B" w:rsidRDefault="002B3FAC" w:rsidP="002E2DA8">
            <w:pPr>
              <w:rPr>
                <w:sz w:val="22"/>
                <w:szCs w:val="22"/>
              </w:rPr>
            </w:pPr>
            <w:r>
              <w:rPr>
                <w:sz w:val="22"/>
                <w:szCs w:val="22"/>
              </w:rPr>
              <w:t>Verizon Communications Inc.</w:t>
            </w:r>
          </w:p>
        </w:tc>
        <w:tc>
          <w:tcPr>
            <w:tcW w:w="767" w:type="pct"/>
            <w:shd w:val="clear" w:color="C0C0C0" w:fill="auto"/>
          </w:tcPr>
          <w:p w:rsidR="00677F8D" w:rsidRDefault="002F5A47" w:rsidP="00EC5541">
            <w:pPr>
              <w:ind w:hanging="40"/>
              <w:rPr>
                <w:sz w:val="22"/>
                <w:szCs w:val="22"/>
              </w:rPr>
            </w:pPr>
            <w:r>
              <w:rPr>
                <w:sz w:val="22"/>
                <w:szCs w:val="22"/>
              </w:rPr>
              <w:t>W</w:t>
            </w:r>
            <w:r w:rsidR="002B3FAC">
              <w:rPr>
                <w:sz w:val="22"/>
                <w:szCs w:val="22"/>
              </w:rPr>
              <w:t>PO</w:t>
            </w:r>
            <w:r w:rsidR="00EC5541">
              <w:rPr>
                <w:sz w:val="22"/>
                <w:szCs w:val="22"/>
              </w:rPr>
              <w:t>T926</w:t>
            </w:r>
          </w:p>
        </w:tc>
      </w:tr>
    </w:tbl>
    <w:p w:rsidR="00677F8D" w:rsidRDefault="00F80958" w:rsidP="000701F1">
      <w:pPr>
        <w:keepNext/>
        <w:spacing w:before="220" w:after="220"/>
        <w:outlineLvl w:val="0"/>
        <w:rPr>
          <w:rStyle w:val="Normal1"/>
          <w:b/>
          <w:sz w:val="22"/>
          <w:szCs w:val="22"/>
        </w:rPr>
      </w:pPr>
      <w:r>
        <w:rPr>
          <w:rStyle w:val="StyleTimesNewRomanBold11ptBold"/>
          <w:rFonts w:hAnsi="Times New Roman"/>
        </w:rPr>
        <w:t>iiI.</w:t>
      </w:r>
      <w:r>
        <w:rPr>
          <w:rStyle w:val="StyleTimesNewRomanBold11ptBold"/>
          <w:rFonts w:hAnsi="Times New Roman"/>
        </w:rPr>
        <w:tab/>
      </w:r>
      <w:r w:rsidR="00677F8D">
        <w:rPr>
          <w:rStyle w:val="Normal1"/>
          <w:b/>
          <w:i/>
          <w:sz w:val="22"/>
          <w:szCs w:val="22"/>
        </w:rPr>
        <w:t>EX PARTE</w:t>
      </w:r>
      <w:r w:rsidR="00677F8D">
        <w:rPr>
          <w:rStyle w:val="Normal1"/>
          <w:b/>
          <w:sz w:val="22"/>
          <w:szCs w:val="22"/>
        </w:rPr>
        <w:t xml:space="preserve"> STATUS OF THIS PROCEEDING</w:t>
      </w:r>
    </w:p>
    <w:p w:rsidR="00677F8D" w:rsidRDefault="00677F8D" w:rsidP="006C53BA">
      <w:pPr>
        <w:widowControl/>
        <w:spacing w:after="220"/>
        <w:rPr>
          <w:rStyle w:val="Normal1"/>
          <w:b/>
          <w:sz w:val="22"/>
          <w:szCs w:val="22"/>
        </w:rPr>
      </w:pPr>
      <w:r>
        <w:rPr>
          <w:rStyle w:val="Normal1"/>
          <w:b/>
          <w:sz w:val="22"/>
          <w:szCs w:val="22"/>
        </w:rPr>
        <w:tab/>
      </w:r>
      <w:r w:rsidR="00D408DD">
        <w:rPr>
          <w:rStyle w:val="Normal1"/>
          <w:sz w:val="22"/>
          <w:szCs w:val="22"/>
        </w:rPr>
        <w:t xml:space="preserve">Pursuant to </w:t>
      </w:r>
      <w:r w:rsidR="005876BC">
        <w:rPr>
          <w:rStyle w:val="Normal1"/>
          <w:sz w:val="22"/>
          <w:szCs w:val="22"/>
        </w:rPr>
        <w:t>S</w:t>
      </w:r>
      <w:r>
        <w:rPr>
          <w:rStyle w:val="Normal1"/>
          <w:sz w:val="22"/>
          <w:szCs w:val="22"/>
        </w:rPr>
        <w:t>ection 1.1200(a) of the Commission’s rules,</w:t>
      </w:r>
      <w:r>
        <w:rPr>
          <w:rStyle w:val="FootnoteReference"/>
          <w:sz w:val="22"/>
          <w:szCs w:val="22"/>
        </w:rPr>
        <w:footnoteReference w:id="7"/>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w:t>
      </w:r>
      <w:r w:rsidR="00047287">
        <w:rPr>
          <w:rStyle w:val="Normal1"/>
          <w:sz w:val="22"/>
          <w:szCs w:val="22"/>
        </w:rPr>
        <w:t xml:space="preserve">restricted proceedings under </w:t>
      </w:r>
      <w:r w:rsidR="005876BC">
        <w:rPr>
          <w:rStyle w:val="Normal1"/>
          <w:sz w:val="22"/>
          <w:szCs w:val="22"/>
        </w:rPr>
        <w:t>S</w:t>
      </w:r>
      <w:r>
        <w:rPr>
          <w:rStyle w:val="Normal1"/>
          <w:sz w:val="22"/>
          <w:szCs w:val="22"/>
        </w:rPr>
        <w:t>ection 1.1206 of the Commission’s rules.</w:t>
      </w:r>
      <w:r>
        <w:rPr>
          <w:rStyle w:val="FootnoteReference"/>
          <w:sz w:val="22"/>
          <w:szCs w:val="22"/>
        </w:rPr>
        <w:footnoteReference w:id="8"/>
      </w:r>
    </w:p>
    <w:p w:rsidR="00677F8D" w:rsidRDefault="00677F8D" w:rsidP="006C53BA">
      <w:pPr>
        <w:widowControl/>
        <w:spacing w:after="22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9"/>
      </w:r>
      <w:r>
        <w:rPr>
          <w:rStyle w:val="Normal1"/>
          <w:sz w:val="22"/>
          <w:szCs w:val="22"/>
        </w:rPr>
        <w:t xml:space="preserve">  More than a one- or two-sentence description of the views and arguments presented is generally required.</w:t>
      </w:r>
      <w:r>
        <w:rPr>
          <w:rStyle w:val="FootnoteReference"/>
          <w:sz w:val="22"/>
          <w:szCs w:val="22"/>
        </w:rPr>
        <w:footnoteReference w:id="10"/>
      </w:r>
      <w:r>
        <w:rPr>
          <w:rStyle w:val="Normal1"/>
          <w:sz w:val="22"/>
          <w:szCs w:val="22"/>
        </w:rPr>
        <w:t xml:space="preserve">  Other rules pertaining to oral and written </w:t>
      </w:r>
      <w:r w:rsidR="00D408DD">
        <w:rPr>
          <w:rStyle w:val="Normal1"/>
          <w:sz w:val="22"/>
          <w:szCs w:val="22"/>
        </w:rPr>
        <w:t xml:space="preserve">presentations are set forth in </w:t>
      </w:r>
      <w:r w:rsidR="005876BC">
        <w:rPr>
          <w:rStyle w:val="Normal1"/>
          <w:sz w:val="22"/>
          <w:szCs w:val="22"/>
        </w:rPr>
        <w:t>S</w:t>
      </w:r>
      <w:r>
        <w:rPr>
          <w:rStyle w:val="Normal1"/>
          <w:sz w:val="22"/>
          <w:szCs w:val="22"/>
        </w:rPr>
        <w:t>ection 1.1206(b) as well.</w:t>
      </w:r>
      <w:r>
        <w:rPr>
          <w:rStyle w:val="FootnoteReference"/>
          <w:sz w:val="22"/>
          <w:szCs w:val="22"/>
        </w:rPr>
        <w:footnoteReference w:id="11"/>
      </w:r>
    </w:p>
    <w:p w:rsidR="00677F8D" w:rsidRDefault="00677F8D" w:rsidP="0046688D">
      <w:pPr>
        <w:keepNext/>
        <w:spacing w:after="240"/>
        <w:outlineLvl w:val="0"/>
        <w:rPr>
          <w:b/>
          <w:sz w:val="22"/>
          <w:szCs w:val="22"/>
        </w:rPr>
      </w:pPr>
      <w:r>
        <w:rPr>
          <w:b/>
          <w:sz w:val="22"/>
          <w:szCs w:val="22"/>
        </w:rPr>
        <w:t>IV.</w:t>
      </w:r>
      <w:r>
        <w:rPr>
          <w:b/>
          <w:sz w:val="22"/>
          <w:szCs w:val="22"/>
        </w:rPr>
        <w:tab/>
        <w:t>GENERAL INFORMATION</w:t>
      </w:r>
    </w:p>
    <w:p w:rsidR="00677F8D" w:rsidRDefault="00677F8D" w:rsidP="006C53BA">
      <w:pPr>
        <w:widowControl/>
        <w:spacing w:after="220"/>
        <w:ind w:firstLine="720"/>
        <w:rPr>
          <w:sz w:val="22"/>
          <w:szCs w:val="22"/>
        </w:rPr>
      </w:pPr>
      <w:r>
        <w:rPr>
          <w:sz w:val="22"/>
          <w:szCs w:val="22"/>
        </w:rPr>
        <w:t xml:space="preserve">The </w:t>
      </w:r>
      <w:r w:rsidR="00D11C31">
        <w:rPr>
          <w:sz w:val="22"/>
          <w:szCs w:val="22"/>
        </w:rPr>
        <w:t xml:space="preserve">transfer </w:t>
      </w:r>
      <w:r w:rsidR="00A52477">
        <w:rPr>
          <w:sz w:val="22"/>
          <w:szCs w:val="22"/>
        </w:rPr>
        <w:t>of control</w:t>
      </w:r>
      <w:r w:rsidR="00D11C31">
        <w:rPr>
          <w:sz w:val="22"/>
          <w:szCs w:val="22"/>
        </w:rPr>
        <w:t xml:space="preserve"> application </w:t>
      </w:r>
      <w:r w:rsidR="00A72D7B">
        <w:rPr>
          <w:sz w:val="22"/>
          <w:szCs w:val="22"/>
        </w:rPr>
        <w:t>has</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677F8D" w:rsidRDefault="00677F8D" w:rsidP="006C53BA">
      <w:pPr>
        <w:widowControl/>
        <w:spacing w:after="220"/>
        <w:rPr>
          <w:sz w:val="22"/>
          <w:szCs w:val="22"/>
        </w:rPr>
      </w:pPr>
      <w:r>
        <w:rPr>
          <w:sz w:val="22"/>
          <w:szCs w:val="22"/>
        </w:rPr>
        <w:tab/>
        <w:t>Interested parties must file petitions to deny no later than</w:t>
      </w:r>
      <w:r w:rsidR="002B3FAC">
        <w:rPr>
          <w:sz w:val="22"/>
          <w:szCs w:val="22"/>
        </w:rPr>
        <w:t xml:space="preserve"> </w:t>
      </w:r>
      <w:r w:rsidR="002B3FAC" w:rsidRPr="002B3FAC">
        <w:rPr>
          <w:b/>
          <w:sz w:val="22"/>
          <w:szCs w:val="22"/>
        </w:rPr>
        <w:t xml:space="preserve">August </w:t>
      </w:r>
      <w:r w:rsidR="00D011F3">
        <w:rPr>
          <w:b/>
          <w:sz w:val="22"/>
          <w:szCs w:val="22"/>
        </w:rPr>
        <w:t>11</w:t>
      </w:r>
      <w:r w:rsidR="007F2586" w:rsidRPr="007F2586">
        <w:rPr>
          <w:b/>
          <w:sz w:val="22"/>
          <w:szCs w:val="22"/>
        </w:rPr>
        <w:t>, 201</w:t>
      </w:r>
      <w:r w:rsidR="00D13C64">
        <w:rPr>
          <w:b/>
          <w:sz w:val="22"/>
          <w:szCs w:val="22"/>
        </w:rPr>
        <w:t>7</w:t>
      </w:r>
      <w:r>
        <w:rPr>
          <w:sz w:val="22"/>
          <w:szCs w:val="22"/>
        </w:rPr>
        <w:t xml:space="preserve">.  Persons and entities that file petitions to deny become parties to the proceeding.  They may participate fully in the proceeding, </w:t>
      </w:r>
      <w:r>
        <w:rPr>
          <w:sz w:val="22"/>
          <w:szCs w:val="22"/>
        </w:rPr>
        <w:lastRenderedPageBreak/>
        <w:t>including seeking access to any confidential information that may be filed under a protective order, seeking reconsideration of decisions, and filing appeals of a final decision to the courts.  Oppositions to such pleadings must be filed no later than</w:t>
      </w:r>
      <w:r w:rsidR="00D13C64">
        <w:rPr>
          <w:sz w:val="22"/>
          <w:szCs w:val="22"/>
        </w:rPr>
        <w:t xml:space="preserve"> </w:t>
      </w:r>
      <w:r w:rsidR="002B3FAC">
        <w:rPr>
          <w:b/>
          <w:sz w:val="22"/>
          <w:szCs w:val="22"/>
        </w:rPr>
        <w:t xml:space="preserve">August </w:t>
      </w:r>
      <w:r w:rsidR="00D011F3">
        <w:rPr>
          <w:b/>
          <w:sz w:val="22"/>
          <w:szCs w:val="22"/>
        </w:rPr>
        <w:t>18</w:t>
      </w:r>
      <w:r w:rsidR="00D408DD">
        <w:rPr>
          <w:b/>
          <w:spacing w:val="-2"/>
          <w:sz w:val="22"/>
          <w:szCs w:val="22"/>
        </w:rPr>
        <w:t>,</w:t>
      </w:r>
      <w:r w:rsidR="003649CF">
        <w:rPr>
          <w:b/>
          <w:spacing w:val="-2"/>
          <w:sz w:val="22"/>
          <w:szCs w:val="22"/>
        </w:rPr>
        <w:t xml:space="preserve"> 201</w:t>
      </w:r>
      <w:r w:rsidR="00D13C64">
        <w:rPr>
          <w:b/>
          <w:spacing w:val="-2"/>
          <w:sz w:val="22"/>
          <w:szCs w:val="22"/>
        </w:rPr>
        <w:t>7</w:t>
      </w:r>
      <w:r>
        <w:rPr>
          <w:sz w:val="22"/>
          <w:szCs w:val="22"/>
        </w:rPr>
        <w:t>.  Replies to such pleadings must be filed no later than</w:t>
      </w:r>
      <w:r w:rsidR="002B3FAC">
        <w:rPr>
          <w:sz w:val="22"/>
          <w:szCs w:val="22"/>
        </w:rPr>
        <w:t xml:space="preserve"> </w:t>
      </w:r>
      <w:r w:rsidR="002B3FAC">
        <w:rPr>
          <w:b/>
          <w:sz w:val="22"/>
          <w:szCs w:val="22"/>
        </w:rPr>
        <w:t xml:space="preserve">August </w:t>
      </w:r>
      <w:r w:rsidR="00D011F3">
        <w:rPr>
          <w:b/>
          <w:sz w:val="22"/>
          <w:szCs w:val="22"/>
        </w:rPr>
        <w:t>25</w:t>
      </w:r>
      <w:r w:rsidR="003649CF">
        <w:rPr>
          <w:b/>
          <w:sz w:val="22"/>
          <w:szCs w:val="22"/>
        </w:rPr>
        <w:t>, 201</w:t>
      </w:r>
      <w:r w:rsidR="00D13C64">
        <w:rPr>
          <w:b/>
          <w:sz w:val="22"/>
          <w:szCs w:val="22"/>
        </w:rPr>
        <w:t>7</w:t>
      </w:r>
      <w:r>
        <w:rPr>
          <w:sz w:val="22"/>
          <w:szCs w:val="22"/>
        </w:rPr>
        <w:t>.  All filings concerning matters referenced in this Public Notice should refer to</w:t>
      </w:r>
      <w:r w:rsidR="00F71FE0">
        <w:rPr>
          <w:sz w:val="22"/>
          <w:szCs w:val="22"/>
        </w:rPr>
        <w:t xml:space="preserve"> ULS File No. 0007</w:t>
      </w:r>
      <w:r w:rsidR="00D13C64">
        <w:rPr>
          <w:sz w:val="22"/>
          <w:szCs w:val="22"/>
        </w:rPr>
        <w:t>7</w:t>
      </w:r>
      <w:r w:rsidR="002B3FAC">
        <w:rPr>
          <w:sz w:val="22"/>
          <w:szCs w:val="22"/>
        </w:rPr>
        <w:t>83428.</w:t>
      </w:r>
    </w:p>
    <w:p w:rsidR="00677F8D" w:rsidRDefault="00677F8D">
      <w:pPr>
        <w:widowControl/>
        <w:ind w:firstLine="720"/>
        <w:rPr>
          <w:sz w:val="22"/>
          <w:szCs w:val="22"/>
        </w:rPr>
      </w:pPr>
      <w:r>
        <w:rPr>
          <w:b/>
          <w:spacing w:val="-2"/>
          <w:sz w:val="22"/>
          <w:szCs w:val="22"/>
        </w:rPr>
        <w:t xml:space="preserve">To allow the Commission to consider fully all substantive issues regarding the </w:t>
      </w:r>
      <w:r w:rsidR="00DC0594">
        <w:rPr>
          <w:b/>
          <w:spacing w:val="-2"/>
          <w:sz w:val="22"/>
          <w:szCs w:val="22"/>
        </w:rPr>
        <w:t>a</w:t>
      </w:r>
      <w:r>
        <w:rPr>
          <w:b/>
          <w:spacing w:val="-2"/>
          <w:sz w:val="22"/>
          <w:szCs w:val="22"/>
        </w:rPr>
        <w:t xml:space="preserve">pplication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12"/>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77F8D" w:rsidRDefault="00677F8D">
      <w:pPr>
        <w:rPr>
          <w:sz w:val="22"/>
          <w:szCs w:val="22"/>
        </w:rPr>
      </w:pPr>
    </w:p>
    <w:p w:rsidR="00677F8D" w:rsidRDefault="00677F8D" w:rsidP="00E870B9">
      <w:pPr>
        <w:spacing w:after="220"/>
        <w:ind w:firstLine="720"/>
        <w:rPr>
          <w:sz w:val="22"/>
          <w:szCs w:val="22"/>
        </w:rPr>
      </w:pPr>
      <w:r>
        <w:rPr>
          <w:sz w:val="22"/>
          <w:szCs w:val="22"/>
        </w:rPr>
        <w:t>Under the Commission’s current procedures for the submission of filings and other documents,</w:t>
      </w:r>
      <w:r>
        <w:rPr>
          <w:rStyle w:val="FootnoteReference"/>
          <w:sz w:val="22"/>
          <w:szCs w:val="22"/>
        </w:rPr>
        <w:footnoteReference w:id="13"/>
      </w:r>
      <w:r>
        <w:rPr>
          <w:sz w:val="22"/>
          <w:szCs w:val="22"/>
        </w:rPr>
        <w:t xml:space="preserve"> submissions in this matter may be filed electronically </w:t>
      </w:r>
      <w:r w:rsidR="00F71FE0">
        <w:rPr>
          <w:sz w:val="22"/>
          <w:szCs w:val="22"/>
        </w:rPr>
        <w:t>(</w:t>
      </w:r>
      <w:r w:rsidR="00F71FE0">
        <w:rPr>
          <w:i/>
          <w:sz w:val="22"/>
          <w:szCs w:val="22"/>
        </w:rPr>
        <w:t>i.e.</w:t>
      </w:r>
      <w:r w:rsidR="00F71FE0">
        <w:rPr>
          <w:sz w:val="22"/>
          <w:szCs w:val="22"/>
        </w:rPr>
        <w:t xml:space="preserve">, though the Commission’s Universal Licensing System (ULS)) </w:t>
      </w:r>
      <w:r>
        <w:rPr>
          <w:sz w:val="22"/>
          <w:szCs w:val="22"/>
        </w:rPr>
        <w:t>or by ha</w:t>
      </w:r>
      <w:r w:rsidR="00DA5FC0">
        <w:rPr>
          <w:sz w:val="22"/>
          <w:szCs w:val="22"/>
        </w:rPr>
        <w:t>nd delivery to the Commission.</w:t>
      </w:r>
    </w:p>
    <w:p w:rsidR="00677F8D" w:rsidRDefault="006D1B3B">
      <w:pPr>
        <w:widowControl/>
        <w:numPr>
          <w:ilvl w:val="0"/>
          <w:numId w:val="2"/>
        </w:numPr>
        <w:autoSpaceDE w:val="0"/>
        <w:autoSpaceDN w:val="0"/>
        <w:adjustRightInd w:val="0"/>
        <w:rPr>
          <w:sz w:val="22"/>
          <w:szCs w:val="22"/>
        </w:rPr>
      </w:pPr>
      <w:r w:rsidRPr="007D6670">
        <w:rPr>
          <w:b/>
          <w:sz w:val="22"/>
          <w:szCs w:val="22"/>
        </w:rPr>
        <w:t>To file electronically</w:t>
      </w:r>
      <w:r w:rsidRPr="007D6670">
        <w:rPr>
          <w:sz w:val="22"/>
          <w:szCs w:val="22"/>
        </w:rPr>
        <w:t>,</w:t>
      </w:r>
      <w:r w:rsidR="00F71FE0" w:rsidRPr="007D6670">
        <w:rPr>
          <w:sz w:val="22"/>
          <w:szCs w:val="22"/>
        </w:rPr>
        <w:t xml:space="preserve"> visit the ULS web site at </w:t>
      </w:r>
      <w:hyperlink r:id="rId8" w:history="1">
        <w:r w:rsidR="00F71FE0" w:rsidRPr="00FF44E5">
          <w:rPr>
            <w:rStyle w:val="Hyperlink"/>
            <w:sz w:val="22"/>
            <w:szCs w:val="22"/>
          </w:rPr>
          <w:t>http://wireless.fcc.gov/uls/</w:t>
        </w:r>
      </w:hyperlink>
      <w:r w:rsidR="00F71FE0" w:rsidRPr="007D6670">
        <w:rPr>
          <w:sz w:val="22"/>
          <w:szCs w:val="22"/>
        </w:rPr>
        <w:t xml:space="preserve"> and click on the “Submit a Pleading” link, complete the administrative information, and upload your pleading</w:t>
      </w:r>
      <w:r w:rsidR="00417CC1" w:rsidRPr="007D6670">
        <w:rPr>
          <w:sz w:val="22"/>
          <w:szCs w:val="22"/>
        </w:rPr>
        <w:t>.</w:t>
      </w:r>
    </w:p>
    <w:p w:rsidR="00677F8D" w:rsidRDefault="00677F8D">
      <w:pPr>
        <w:autoSpaceDE w:val="0"/>
        <w:autoSpaceDN w:val="0"/>
        <w:adjustRightInd w:val="0"/>
        <w:rPr>
          <w:sz w:val="22"/>
          <w:szCs w:val="22"/>
        </w:rPr>
      </w:pPr>
    </w:p>
    <w:p w:rsidR="00677F8D" w:rsidRDefault="00EA12CF">
      <w:pPr>
        <w:widowControl/>
        <w:numPr>
          <w:ilvl w:val="0"/>
          <w:numId w:val="2"/>
        </w:numPr>
        <w:autoSpaceDE w:val="0"/>
        <w:autoSpaceDN w:val="0"/>
        <w:adjustRightInd w:val="0"/>
        <w:rPr>
          <w:sz w:val="22"/>
          <w:szCs w:val="22"/>
        </w:rPr>
      </w:pPr>
      <w:r>
        <w:rPr>
          <w:rFonts w:cs="TmsRmn"/>
          <w:b/>
          <w:bCs/>
          <w:color w:val="000000"/>
          <w:sz w:val="22"/>
          <w:szCs w:val="22"/>
        </w:rPr>
        <w:t>To file</w:t>
      </w:r>
      <w:r w:rsidR="00677F8D">
        <w:rPr>
          <w:rFonts w:cs="TmsRmn"/>
          <w:b/>
          <w:bCs/>
          <w:color w:val="000000"/>
          <w:sz w:val="22"/>
          <w:szCs w:val="22"/>
        </w:rPr>
        <w:t xml:space="preserve"> by paper</w:t>
      </w:r>
      <w:r w:rsidR="00677F8D">
        <w:rPr>
          <w:rFonts w:cs="TmsRmn"/>
          <w:color w:val="000000"/>
          <w:sz w:val="22"/>
          <w:szCs w:val="22"/>
        </w:rPr>
        <w:t xml:space="preserve">, the original and </w:t>
      </w:r>
      <w:r w:rsidR="00026476">
        <w:rPr>
          <w:rFonts w:cs="TmsRmn"/>
          <w:color w:val="000000"/>
          <w:sz w:val="22"/>
          <w:szCs w:val="22"/>
        </w:rPr>
        <w:t>one copy</w:t>
      </w:r>
      <w:r w:rsidR="00677F8D">
        <w:rPr>
          <w:rFonts w:cs="TmsRmn"/>
          <w:color w:val="000000"/>
          <w:sz w:val="22"/>
          <w:szCs w:val="22"/>
        </w:rPr>
        <w:t xml:space="preserve"> of each filing must be filed by hand or messenger delivery, by commercial overnight courier, or by first-class or overnight U.S. Postal Service mail.  </w:t>
      </w:r>
      <w:r w:rsidR="00677F8D">
        <w:rPr>
          <w:sz w:val="22"/>
          <w:szCs w:val="22"/>
        </w:rPr>
        <w:t>All hand-delivered or messenger-delivered paper filings for the Commission’s Secretary must be delivered to FCC Headquarters at 445 12th St., S</w:t>
      </w:r>
      <w:r w:rsidR="00417CC1">
        <w:rPr>
          <w:sz w:val="22"/>
          <w:szCs w:val="22"/>
        </w:rPr>
        <w:t>.</w:t>
      </w:r>
      <w:r w:rsidR="00677F8D">
        <w:rPr>
          <w:sz w:val="22"/>
          <w:szCs w:val="22"/>
        </w:rPr>
        <w:t>W</w:t>
      </w:r>
      <w:r w:rsidR="00417CC1">
        <w:rPr>
          <w:sz w:val="22"/>
          <w:szCs w:val="22"/>
        </w:rPr>
        <w:t>.</w:t>
      </w:r>
      <w:r w:rsidR="00677F8D">
        <w:rPr>
          <w:sz w:val="22"/>
          <w:szCs w:val="22"/>
        </w:rPr>
        <w:t xml:space="preserve">, Room TW-A325, Washington, D.C. 20554.  The filing hours at this location are 8:00 a.m. to 7:00 p.m.  All hand deliveries must be held together with rubber bands or fasteners.  Any envelopes must be disposed of </w:t>
      </w:r>
      <w:r w:rsidR="00677F8D">
        <w:rPr>
          <w:sz w:val="22"/>
          <w:szCs w:val="22"/>
          <w:u w:val="single"/>
        </w:rPr>
        <w:t>before</w:t>
      </w:r>
      <w:r w:rsidR="00677F8D">
        <w:rPr>
          <w:sz w:val="22"/>
          <w:szCs w:val="22"/>
        </w:rPr>
        <w:t xml:space="preserve"> entering the building.  </w:t>
      </w:r>
      <w:r w:rsidR="00677F8D">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677F8D" w:rsidRDefault="00677F8D">
      <w:pPr>
        <w:ind w:firstLine="720"/>
        <w:rPr>
          <w:sz w:val="22"/>
          <w:szCs w:val="22"/>
        </w:rPr>
      </w:pPr>
    </w:p>
    <w:p w:rsidR="00677F8D" w:rsidRDefault="00677F8D" w:rsidP="00E870B9">
      <w:pPr>
        <w:pStyle w:val="BodyText"/>
        <w:widowControl/>
        <w:spacing w:after="220"/>
        <w:rPr>
          <w:szCs w:val="22"/>
        </w:rPr>
      </w:pPr>
      <w:r>
        <w:rPr>
          <w:color w:val="000000"/>
          <w:szCs w:val="22"/>
        </w:rPr>
        <w:t>One copy of each pleading must be</w:t>
      </w:r>
      <w:r w:rsidR="00026476">
        <w:rPr>
          <w:color w:val="000000"/>
          <w:szCs w:val="22"/>
        </w:rPr>
        <w:t xml:space="preserve"> delivered electronically, by e</w:t>
      </w:r>
      <w:r>
        <w:rPr>
          <w:color w:val="000000"/>
          <w:szCs w:val="22"/>
        </w:rPr>
        <w:t>mail or facsimile, or if delivered as paper copy, by hand or messenger delivery, by commercial overnight courier, or by first-class or overnight U.S. Postal Service mail (according to the procedures set forth above for paper filings), to:  (1)</w:t>
      </w:r>
      <w:r w:rsidR="000F32D1">
        <w:rPr>
          <w:color w:val="000000"/>
          <w:szCs w:val="22"/>
        </w:rPr>
        <w:t> </w:t>
      </w:r>
      <w:r w:rsidR="00D11C31">
        <w:rPr>
          <w:color w:val="000000"/>
          <w:szCs w:val="22"/>
        </w:rPr>
        <w:t>Linda Ray</w:t>
      </w:r>
      <w:r>
        <w:rPr>
          <w:rFonts w:cs="TmsRmn"/>
          <w:szCs w:val="22"/>
        </w:rPr>
        <w:t xml:space="preserve">, </w:t>
      </w:r>
      <w:r w:rsidR="00D11C31">
        <w:rPr>
          <w:rFonts w:cs="TmsRmn"/>
          <w:szCs w:val="22"/>
        </w:rPr>
        <w:t xml:space="preserve">Broadband </w:t>
      </w:r>
      <w:r>
        <w:rPr>
          <w:szCs w:val="22"/>
        </w:rPr>
        <w:t xml:space="preserve">Division, </w:t>
      </w:r>
      <w:r>
        <w:rPr>
          <w:rFonts w:cs="TmsRmn"/>
          <w:szCs w:val="22"/>
        </w:rPr>
        <w:t>Wireless Telecommunications Bureau, at</w:t>
      </w:r>
      <w:r w:rsidR="00D11C31">
        <w:rPr>
          <w:rFonts w:cs="TmsRmn"/>
          <w:szCs w:val="22"/>
        </w:rPr>
        <w:t xml:space="preserve"> linda</w:t>
      </w:r>
      <w:r>
        <w:rPr>
          <w:rFonts w:cs="TmsRmn"/>
          <w:szCs w:val="22"/>
        </w:rPr>
        <w:t>.</w:t>
      </w:r>
      <w:r w:rsidR="00D11C31">
        <w:rPr>
          <w:rFonts w:cs="TmsRmn"/>
          <w:szCs w:val="22"/>
        </w:rPr>
        <w:t>ray</w:t>
      </w:r>
      <w:r>
        <w:rPr>
          <w:rFonts w:cs="TmsRmn"/>
          <w:szCs w:val="22"/>
        </w:rPr>
        <w:t>@fcc.gov or (202) 418-</w:t>
      </w:r>
      <w:r w:rsidR="001B2DF2">
        <w:rPr>
          <w:rFonts w:cs="TmsRmn"/>
          <w:szCs w:val="22"/>
        </w:rPr>
        <w:t>2463</w:t>
      </w:r>
      <w:r>
        <w:rPr>
          <w:rFonts w:cs="TmsRmn"/>
          <w:szCs w:val="22"/>
        </w:rPr>
        <w:t xml:space="preserve"> (facsimile);</w:t>
      </w:r>
      <w:r>
        <w:rPr>
          <w:szCs w:val="22"/>
        </w:rPr>
        <w:t xml:space="preserve"> </w:t>
      </w:r>
      <w:r w:rsidR="00773C82">
        <w:rPr>
          <w:szCs w:val="22"/>
        </w:rPr>
        <w:t>(</w:t>
      </w:r>
      <w:r w:rsidR="00026476">
        <w:rPr>
          <w:szCs w:val="22"/>
        </w:rPr>
        <w:t>2</w:t>
      </w:r>
      <w:r>
        <w:rPr>
          <w:szCs w:val="22"/>
        </w:rPr>
        <w:t xml:space="preserve">) Kate Matraves, Competition </w:t>
      </w:r>
      <w:r w:rsidR="00026476">
        <w:rPr>
          <w:szCs w:val="22"/>
        </w:rPr>
        <w:t xml:space="preserve">and Infrastructure </w:t>
      </w:r>
      <w:r>
        <w:rPr>
          <w:szCs w:val="22"/>
        </w:rPr>
        <w:t>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026476">
        <w:rPr>
          <w:szCs w:val="22"/>
        </w:rPr>
        <w:t>2643</w:t>
      </w:r>
      <w:r>
        <w:rPr>
          <w:szCs w:val="22"/>
        </w:rPr>
        <w:t xml:space="preserve"> (facsimile); and </w:t>
      </w:r>
      <w:r w:rsidR="00773C82">
        <w:rPr>
          <w:color w:val="000000"/>
          <w:szCs w:val="22"/>
        </w:rPr>
        <w:t>(</w:t>
      </w:r>
      <w:r w:rsidR="00026476">
        <w:rPr>
          <w:color w:val="000000"/>
          <w:szCs w:val="22"/>
        </w:rPr>
        <w:t>3</w:t>
      </w:r>
      <w:r>
        <w:rPr>
          <w:color w:val="000000"/>
          <w:szCs w:val="22"/>
        </w:rPr>
        <w:t xml:space="preserve">) Jim Bird, Office of General Counsel, at </w:t>
      </w:r>
      <w:r w:rsidR="00984C82">
        <w:rPr>
          <w:color w:val="000000"/>
          <w:szCs w:val="22"/>
        </w:rPr>
        <w:t>TransactionTeam</w:t>
      </w:r>
      <w:r>
        <w:rPr>
          <w:color w:val="000000"/>
          <w:szCs w:val="22"/>
        </w:rPr>
        <w:t>@fcc.gov or (202) 418-1234 (facsimile)</w:t>
      </w:r>
      <w:r>
        <w:rPr>
          <w:szCs w:val="22"/>
        </w:rPr>
        <w:t>.</w:t>
      </w:r>
    </w:p>
    <w:p w:rsidR="00677F8D" w:rsidRDefault="00A72D7B" w:rsidP="00E870B9">
      <w:pPr>
        <w:pStyle w:val="BodyText"/>
        <w:widowControl/>
        <w:spacing w:after="220"/>
        <w:rPr>
          <w:color w:val="000000"/>
          <w:szCs w:val="22"/>
        </w:rPr>
      </w:pPr>
      <w:r>
        <w:rPr>
          <w:color w:val="000000"/>
          <w:szCs w:val="22"/>
        </w:rPr>
        <w:t>The application</w:t>
      </w:r>
      <w:r w:rsidR="00677F8D">
        <w:rPr>
          <w:color w:val="000000"/>
          <w:szCs w:val="22"/>
        </w:rPr>
        <w:t xml:space="preserve"> and any associated documents are available for public inspection and copying during normal reference room hours at the following Commission office:  FCC Reference Information Center, 445 12th Street, S.W., Room CY-A257, Washingto</w:t>
      </w:r>
      <w:r>
        <w:rPr>
          <w:color w:val="000000"/>
          <w:szCs w:val="22"/>
        </w:rPr>
        <w:t xml:space="preserve">n, D.C. 20554.  The application </w:t>
      </w:r>
      <w:r w:rsidR="00677F8D">
        <w:rPr>
          <w:color w:val="000000"/>
          <w:szCs w:val="22"/>
        </w:rPr>
        <w:t xml:space="preserve">also </w:t>
      </w:r>
      <w:r>
        <w:rPr>
          <w:color w:val="000000"/>
          <w:szCs w:val="22"/>
        </w:rPr>
        <w:t xml:space="preserve">is </w:t>
      </w:r>
      <w:r w:rsidR="00677F8D">
        <w:rPr>
          <w:color w:val="000000"/>
          <w:szCs w:val="22"/>
        </w:rPr>
        <w:t xml:space="preserve">available electronically through ULS, which may be accessed on the Commission’s Internet website.  </w:t>
      </w:r>
      <w:r w:rsidR="00677F8D">
        <w:t xml:space="preserve">To request materials in accessible formats for people with disabilities (Braille, large print, electronic </w:t>
      </w:r>
      <w:r w:rsidR="006C046B">
        <w:t>files, audio format), send an e</w:t>
      </w:r>
      <w:r w:rsidR="00677F8D">
        <w:t>mail to fcc504@fcc.gov or call the Consumer and Governmental Affairs Bureau at (202) 418-0530 (voice) or (202) 418-0432 (TTY).  Contact the FCC to request reasonable accommodations for filing comments (accessible format documents, sign language</w:t>
      </w:r>
      <w:r w:rsidR="006C046B">
        <w:t xml:space="preserve"> interpreters, CART, etc.) by e</w:t>
      </w:r>
      <w:r w:rsidR="00677F8D">
        <w:t>mail: FCC504@fcc.gov; phone: (202) 418-0530</w:t>
      </w:r>
      <w:r w:rsidR="00026476">
        <w:t>;</w:t>
      </w:r>
      <w:r w:rsidR="00677F8D">
        <w:t xml:space="preserve"> or TTY: (202) 418-0432.</w:t>
      </w:r>
    </w:p>
    <w:p w:rsidR="00677F8D" w:rsidRDefault="00677F8D" w:rsidP="00026476">
      <w:pPr>
        <w:widowControl/>
        <w:spacing w:after="220"/>
        <w:ind w:firstLine="720"/>
        <w:rPr>
          <w:rStyle w:val="Normal1"/>
          <w:sz w:val="22"/>
          <w:szCs w:val="22"/>
        </w:rPr>
      </w:pPr>
      <w:r>
        <w:rPr>
          <w:sz w:val="22"/>
          <w:szCs w:val="22"/>
        </w:rPr>
        <w:t>For further information, contact</w:t>
      </w:r>
      <w:r w:rsidR="00EE47FF">
        <w:rPr>
          <w:sz w:val="22"/>
          <w:szCs w:val="22"/>
        </w:rPr>
        <w:t xml:space="preserve"> Linda Ray</w:t>
      </w:r>
      <w:r>
        <w:rPr>
          <w:rFonts w:cs="TmsRmn"/>
          <w:sz w:val="22"/>
          <w:szCs w:val="22"/>
        </w:rPr>
        <w:t xml:space="preserve">, </w:t>
      </w:r>
      <w:r w:rsidR="00EE47FF">
        <w:rPr>
          <w:rFonts w:cs="TmsRmn"/>
          <w:sz w:val="22"/>
          <w:szCs w:val="22"/>
        </w:rPr>
        <w:t xml:space="preserve">Broadband </w:t>
      </w:r>
      <w:r>
        <w:rPr>
          <w:sz w:val="22"/>
          <w:szCs w:val="22"/>
        </w:rPr>
        <w:t>Division, Wireless Telecommunications Bureau, at (202) 418-</w:t>
      </w:r>
      <w:r w:rsidR="00EE47FF">
        <w:rPr>
          <w:sz w:val="22"/>
          <w:szCs w:val="22"/>
        </w:rPr>
        <w:t>0257</w:t>
      </w:r>
      <w:r>
        <w:rPr>
          <w:sz w:val="22"/>
          <w:szCs w:val="22"/>
        </w:rPr>
        <w:t xml:space="preserve">, or Kate Matraves, Competition </w:t>
      </w:r>
      <w:r w:rsidR="00026476">
        <w:rPr>
          <w:sz w:val="22"/>
          <w:szCs w:val="22"/>
        </w:rPr>
        <w:t xml:space="preserve">and Infrastructure </w:t>
      </w:r>
      <w:r>
        <w:rPr>
          <w:sz w:val="22"/>
          <w:szCs w:val="22"/>
        </w:rPr>
        <w:t xml:space="preserve">Policy Division, Wireless Telecommunications Bureau, at (202) </w:t>
      </w:r>
      <w:r w:rsidR="00984C82">
        <w:rPr>
          <w:sz w:val="22"/>
          <w:szCs w:val="22"/>
        </w:rPr>
        <w:t>391-6272</w:t>
      </w:r>
      <w:r>
        <w:rPr>
          <w:sz w:val="22"/>
          <w:szCs w:val="22"/>
        </w:rPr>
        <w:t>.</w:t>
      </w:r>
    </w:p>
    <w:p w:rsidR="00677F8D" w:rsidRDefault="00677F8D">
      <w:pPr>
        <w:widowControl/>
        <w:jc w:val="center"/>
        <w:rPr>
          <w:rStyle w:val="Normal1"/>
          <w:b/>
          <w:sz w:val="22"/>
          <w:szCs w:val="22"/>
        </w:rPr>
      </w:pPr>
      <w:r>
        <w:rPr>
          <w:rStyle w:val="Normal1"/>
          <w:b/>
          <w:sz w:val="22"/>
          <w:szCs w:val="22"/>
        </w:rPr>
        <w:t>-FCC-</w:t>
      </w:r>
    </w:p>
    <w:sectPr w:rsidR="00677F8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FF" w:rsidRDefault="00F20CFF">
      <w:r>
        <w:separator/>
      </w:r>
    </w:p>
  </w:endnote>
  <w:endnote w:type="continuationSeparator" w:id="0">
    <w:p w:rsidR="00F20CFF" w:rsidRDefault="00F2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AA" w:rsidRDefault="008B1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A72D7B" w:rsidRDefault="00A72D7B">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40AD1">
      <w:rPr>
        <w:noProof/>
        <w:sz w:val="22"/>
        <w:szCs w:val="22"/>
      </w:rPr>
      <w:t>2</w:t>
    </w:r>
    <w:r>
      <w:rPr>
        <w:sz w:val="22"/>
        <w:szCs w:val="22"/>
      </w:rPr>
      <w:fldChar w:fldCharType="end"/>
    </w:r>
  </w:p>
  <w:bookmarkEnd w:id="9"/>
  <w:p w:rsidR="00A72D7B" w:rsidRDefault="00A72D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AA" w:rsidRDefault="008B1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FF" w:rsidRDefault="00F20CFF">
      <w:r>
        <w:separator/>
      </w:r>
    </w:p>
  </w:footnote>
  <w:footnote w:type="continuationSeparator" w:id="0">
    <w:p w:rsidR="00F20CFF" w:rsidRDefault="00F20CFF">
      <w:r>
        <w:continuationSeparator/>
      </w:r>
    </w:p>
  </w:footnote>
  <w:footnote w:id="1">
    <w:p w:rsidR="00A72D7B" w:rsidRDefault="00A72D7B">
      <w:pPr>
        <w:pStyle w:val="FootnoteText"/>
      </w:pPr>
      <w:r>
        <w:rPr>
          <w:rStyle w:val="FootnoteReference"/>
          <w:sz w:val="20"/>
        </w:rPr>
        <w:footnoteRef/>
      </w:r>
      <w:r>
        <w:t xml:space="preserve"> 47 U.S.C. § 310(d).  </w:t>
      </w:r>
    </w:p>
  </w:footnote>
  <w:footnote w:id="2">
    <w:p w:rsidR="00955E87" w:rsidRPr="001A0DB3" w:rsidRDefault="00955E87">
      <w:pPr>
        <w:pStyle w:val="FootnoteText"/>
      </w:pPr>
      <w:r>
        <w:rPr>
          <w:rStyle w:val="FootnoteReference"/>
        </w:rPr>
        <w:footnoteRef/>
      </w:r>
      <w:r>
        <w:t xml:space="preserve"> Certain allegations of rule violations involving the 28 GHz LMDS and 39 GHz licenses have been investigated and resolved by the Commission’s Enforcement Bureau.  </w:t>
      </w:r>
      <w:r w:rsidR="001A0DB3">
        <w:rPr>
          <w:i/>
        </w:rPr>
        <w:t>Straight Path Communications, Inc. Ultimate Parent Company of Straight Path Spectrum, LLC</w:t>
      </w:r>
      <w:r w:rsidR="001A0DB3">
        <w:t>, Order and Consent Decree, 3</w:t>
      </w:r>
      <w:r w:rsidR="004E690F">
        <w:t>2</w:t>
      </w:r>
      <w:r w:rsidR="001A0DB3">
        <w:t xml:space="preserve"> FCC Rcd 284 (EB 2017).</w:t>
      </w:r>
    </w:p>
  </w:footnote>
  <w:footnote w:id="3">
    <w:p w:rsidR="001A0DB3" w:rsidRDefault="001A0DB3">
      <w:pPr>
        <w:pStyle w:val="FootnoteText"/>
      </w:pPr>
      <w:r>
        <w:rPr>
          <w:rStyle w:val="FootnoteReference"/>
        </w:rPr>
        <w:footnoteRef/>
      </w:r>
      <w:r>
        <w:t xml:space="preserve"> </w:t>
      </w:r>
      <w:r w:rsidRPr="002D0DCC">
        <w:rPr>
          <w:i/>
        </w:rPr>
        <w:t xml:space="preserve">Application of </w:t>
      </w:r>
      <w:r>
        <w:rPr>
          <w:i/>
        </w:rPr>
        <w:t xml:space="preserve">Verizon Communications Inc. </w:t>
      </w:r>
      <w:r w:rsidRPr="002D0DCC">
        <w:rPr>
          <w:i/>
        </w:rPr>
        <w:t xml:space="preserve">and </w:t>
      </w:r>
      <w:r>
        <w:rPr>
          <w:i/>
        </w:rPr>
        <w:t xml:space="preserve">Straight Path Communications Inc. </w:t>
      </w:r>
      <w:r w:rsidRPr="002D0DCC">
        <w:rPr>
          <w:i/>
        </w:rPr>
        <w:t xml:space="preserve">for Transfer </w:t>
      </w:r>
      <w:r>
        <w:rPr>
          <w:i/>
        </w:rPr>
        <w:t>of Control of Licenses</w:t>
      </w:r>
      <w:r>
        <w:t>, ULS File No. 0007783428</w:t>
      </w:r>
      <w:r w:rsidR="004D1880">
        <w:t xml:space="preserve"> (Application)</w:t>
      </w:r>
      <w:r>
        <w:t>, Ex. 1 – Description of Transaction and Public Interest Statement at 1 (filed June 1, 2017) (Public Interest Statement).</w:t>
      </w:r>
    </w:p>
  </w:footnote>
  <w:footnote w:id="4">
    <w:p w:rsidR="0045622E" w:rsidRPr="005C7F2F" w:rsidRDefault="0045622E" w:rsidP="0045622E">
      <w:pPr>
        <w:pStyle w:val="FootnoteText"/>
      </w:pPr>
      <w:r>
        <w:rPr>
          <w:rStyle w:val="FootnoteReference"/>
        </w:rPr>
        <w:footnoteRef/>
      </w:r>
      <w:r>
        <w:t xml:space="preserve"> </w:t>
      </w:r>
      <w:r>
        <w:rPr>
          <w:i/>
        </w:rPr>
        <w:t>See Use of Spectrum Bands Above 24 GHz for Mobile Radio Services</w:t>
      </w:r>
      <w:r>
        <w:t>, Report and Order and Further Notice of Proposed Rulemaking, 31 FCC Rcd 8014, 8081 n.486 (</w:t>
      </w:r>
      <w:r>
        <w:rPr>
          <w:i/>
        </w:rPr>
        <w:t>Spectrum Frontiers Report and Order</w:t>
      </w:r>
      <w:r w:rsidRPr="00EC5541">
        <w:t>).</w:t>
      </w:r>
      <w:r>
        <w:t xml:space="preserve">  P</w:t>
      </w:r>
      <w:r w:rsidRPr="005C7F2F">
        <w:t xml:space="preserve">ursuant to that order, </w:t>
      </w:r>
      <w:r>
        <w:t xml:space="preserve">Straight Path’s </w:t>
      </w:r>
      <w:r w:rsidRPr="005C7F2F">
        <w:t>28 GHz LMDS and 39 GHz licenses will be converted to the Upper Microwave Flexible Use Service.</w:t>
      </w:r>
      <w:r>
        <w:t xml:space="preserve">  </w:t>
      </w:r>
      <w:r>
        <w:rPr>
          <w:i/>
        </w:rPr>
        <w:t xml:space="preserve">See </w:t>
      </w:r>
      <w:r>
        <w:t xml:space="preserve">47 C.F.R. § 30.1. </w:t>
      </w:r>
    </w:p>
  </w:footnote>
  <w:footnote w:id="5">
    <w:p w:rsidR="00ED4781" w:rsidRDefault="00ED4781">
      <w:pPr>
        <w:pStyle w:val="FootnoteText"/>
      </w:pPr>
      <w:r>
        <w:rPr>
          <w:rStyle w:val="FootnoteReference"/>
        </w:rPr>
        <w:footnoteRef/>
      </w:r>
      <w:r>
        <w:t xml:space="preserve"> Public Interest Statement at </w:t>
      </w:r>
      <w:r w:rsidR="0045622E">
        <w:t>7</w:t>
      </w:r>
      <w:r>
        <w:t>-10.</w:t>
      </w:r>
    </w:p>
  </w:footnote>
  <w:footnote w:id="6">
    <w:p w:rsidR="004D1880" w:rsidRDefault="004D1880">
      <w:pPr>
        <w:pStyle w:val="FootnoteText"/>
      </w:pPr>
      <w:r>
        <w:rPr>
          <w:rStyle w:val="FootnoteReference"/>
        </w:rPr>
        <w:footnoteRef/>
      </w:r>
      <w:r>
        <w:t xml:space="preserve"> Application, Exhibit 2.</w:t>
      </w:r>
    </w:p>
  </w:footnote>
  <w:footnote w:id="7">
    <w:p w:rsidR="00A72D7B" w:rsidRDefault="00A72D7B">
      <w:pPr>
        <w:spacing w:after="120"/>
        <w:rPr>
          <w:lang w:val="pt-BR"/>
        </w:rPr>
      </w:pPr>
      <w:r>
        <w:rPr>
          <w:rStyle w:val="FootnoteReference"/>
          <w:sz w:val="20"/>
        </w:rPr>
        <w:footnoteRef/>
      </w:r>
      <w:r>
        <w:rPr>
          <w:lang w:val="pt-BR"/>
        </w:rPr>
        <w:t xml:space="preserve"> 47 C.F.R. § 1.1200(a).  </w:t>
      </w:r>
    </w:p>
  </w:footnote>
  <w:footnote w:id="8">
    <w:p w:rsidR="00A72D7B" w:rsidRDefault="00A72D7B">
      <w:pPr>
        <w:pStyle w:val="FootnoteText"/>
      </w:pPr>
      <w:r>
        <w:rPr>
          <w:rStyle w:val="FootnoteReference"/>
          <w:sz w:val="20"/>
        </w:rPr>
        <w:footnoteRef/>
      </w:r>
      <w:r>
        <w:t xml:space="preserve"> 47 C.F.R. § 1.1206.</w:t>
      </w:r>
    </w:p>
  </w:footnote>
  <w:footnote w:id="9">
    <w:p w:rsidR="00A72D7B" w:rsidRDefault="00A72D7B">
      <w:pPr>
        <w:pStyle w:val="FootnoteText"/>
      </w:pPr>
      <w:r>
        <w:rPr>
          <w:rStyle w:val="FootnoteReference"/>
          <w:sz w:val="20"/>
        </w:rPr>
        <w:footnoteRef/>
      </w:r>
      <w:r>
        <w:t xml:space="preserve"> 47 C.F.R. § 1.1206(b)(1).</w:t>
      </w:r>
    </w:p>
  </w:footnote>
  <w:footnote w:id="10">
    <w:p w:rsidR="00A72D7B" w:rsidRDefault="00A72D7B">
      <w:pPr>
        <w:pStyle w:val="FootnoteText"/>
      </w:pPr>
      <w:r>
        <w:rPr>
          <w:rStyle w:val="FootnoteReference"/>
          <w:sz w:val="20"/>
        </w:rPr>
        <w:footnoteRef/>
      </w:r>
      <w:r>
        <w:t xml:space="preserve"> </w:t>
      </w:r>
      <w:r w:rsidR="001B2DF2">
        <w:rPr>
          <w:i/>
        </w:rPr>
        <w:t>I</w:t>
      </w:r>
      <w:r>
        <w:rPr>
          <w:i/>
        </w:rPr>
        <w:t>d</w:t>
      </w:r>
      <w:r>
        <w:t>.</w:t>
      </w:r>
    </w:p>
  </w:footnote>
  <w:footnote w:id="11">
    <w:p w:rsidR="00A72D7B" w:rsidRDefault="00A72D7B">
      <w:pPr>
        <w:pStyle w:val="FootnoteText"/>
      </w:pPr>
      <w:r>
        <w:rPr>
          <w:rStyle w:val="FootnoteReference"/>
          <w:sz w:val="20"/>
        </w:rPr>
        <w:footnoteRef/>
      </w:r>
      <w:r>
        <w:t xml:space="preserve"> </w:t>
      </w:r>
      <w:r w:rsidRPr="00984C82">
        <w:t>47</w:t>
      </w:r>
      <w:r>
        <w:t xml:space="preserve"> C.F.R. § 1.1206(b).</w:t>
      </w:r>
    </w:p>
  </w:footnote>
  <w:footnote w:id="12">
    <w:p w:rsidR="00A72D7B" w:rsidRDefault="00A72D7B">
      <w:pPr>
        <w:pStyle w:val="FootnoteText"/>
      </w:pPr>
      <w:r>
        <w:rPr>
          <w:rStyle w:val="FootnoteReference"/>
          <w:sz w:val="20"/>
        </w:rPr>
        <w:footnoteRef/>
      </w:r>
      <w:r>
        <w:t xml:space="preserve"> </w:t>
      </w:r>
      <w:r>
        <w:rPr>
          <w:i/>
        </w:rPr>
        <w:t>See</w:t>
      </w:r>
      <w:r>
        <w:t xml:space="preserve"> 47 C.F.R. § 1.45(c).</w:t>
      </w:r>
    </w:p>
  </w:footnote>
  <w:footnote w:id="13">
    <w:p w:rsidR="00A72D7B" w:rsidRDefault="00A72D7B">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sidRPr="00625D0C">
        <w:rPr>
          <w:bCs/>
          <w:i/>
        </w:rPr>
        <w:t>FCC</w:t>
      </w:r>
      <w:r w:rsidRPr="00625D0C">
        <w:rPr>
          <w:i/>
        </w:rPr>
        <w:t xml:space="preserve"> </w:t>
      </w:r>
      <w:bookmarkStart w:id="3" w:name="SR;2767"/>
      <w:bookmarkEnd w:id="3"/>
      <w:r w:rsidRPr="00625D0C">
        <w:rPr>
          <w:bCs/>
          <w:i/>
        </w:rPr>
        <w:t>Announces</w:t>
      </w:r>
      <w:r w:rsidRPr="00625D0C">
        <w:rPr>
          <w:i/>
        </w:rPr>
        <w:t xml:space="preserve"> </w:t>
      </w:r>
      <w:bookmarkStart w:id="4" w:name="SR;2768"/>
      <w:bookmarkEnd w:id="4"/>
      <w:r w:rsidRPr="00625D0C">
        <w:rPr>
          <w:bCs/>
          <w:i/>
        </w:rPr>
        <w:t>Change</w:t>
      </w:r>
      <w:r w:rsidRPr="00625D0C">
        <w:rPr>
          <w:i/>
        </w:rPr>
        <w:t xml:space="preserve"> in </w:t>
      </w:r>
      <w:bookmarkStart w:id="5" w:name="SR;2770"/>
      <w:bookmarkEnd w:id="5"/>
      <w:r w:rsidRPr="00625D0C">
        <w:rPr>
          <w:bCs/>
          <w:i/>
        </w:rPr>
        <w:t>Filing</w:t>
      </w:r>
      <w:r w:rsidRPr="00625D0C">
        <w:rPr>
          <w:i/>
        </w:rPr>
        <w:t xml:space="preserve"> </w:t>
      </w:r>
      <w:bookmarkStart w:id="6" w:name="SR;2771"/>
      <w:bookmarkEnd w:id="6"/>
      <w:r w:rsidRPr="00625D0C">
        <w:rPr>
          <w:bCs/>
          <w:i/>
        </w:rPr>
        <w:t>Location</w:t>
      </w:r>
      <w:r w:rsidRPr="00625D0C">
        <w:rPr>
          <w:i/>
        </w:rPr>
        <w:t xml:space="preserve"> for </w:t>
      </w:r>
      <w:bookmarkStart w:id="7" w:name="SR;2773"/>
      <w:bookmarkEnd w:id="7"/>
      <w:r w:rsidRPr="00625D0C">
        <w:rPr>
          <w:bCs/>
          <w:i/>
        </w:rPr>
        <w:t>Paper</w:t>
      </w:r>
      <w:r w:rsidRPr="00625D0C">
        <w:rPr>
          <w:i/>
        </w:rPr>
        <w:t xml:space="preserve"> </w:t>
      </w:r>
      <w:bookmarkStart w:id="8" w:name="SR;2774"/>
      <w:bookmarkEnd w:id="2"/>
      <w:bookmarkEnd w:id="8"/>
      <w:r w:rsidRPr="00625D0C">
        <w:rPr>
          <w:bCs/>
          <w:i/>
        </w:rPr>
        <w:t>Documents</w:t>
      </w:r>
      <w:r>
        <w:t xml:space="preserve">, </w:t>
      </w:r>
      <w:r w:rsidRPr="00625D0C">
        <w:rPr>
          <w:iCs/>
        </w:rPr>
        <w:t>Public Notice</w:t>
      </w:r>
      <w:r>
        <w:t xml:space="preserve">, 24 FCC Rcd 14312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AA" w:rsidRDefault="008B1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AA" w:rsidRDefault="008B1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AA" w:rsidRDefault="008B1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00509"/>
    <w:rsid w:val="00000565"/>
    <w:rsid w:val="0000198A"/>
    <w:rsid w:val="0000222F"/>
    <w:rsid w:val="0001102C"/>
    <w:rsid w:val="00017C90"/>
    <w:rsid w:val="000248F6"/>
    <w:rsid w:val="00026476"/>
    <w:rsid w:val="0002745F"/>
    <w:rsid w:val="00030B9B"/>
    <w:rsid w:val="00034397"/>
    <w:rsid w:val="00043459"/>
    <w:rsid w:val="00047287"/>
    <w:rsid w:val="00057031"/>
    <w:rsid w:val="00063431"/>
    <w:rsid w:val="000701F1"/>
    <w:rsid w:val="000705CB"/>
    <w:rsid w:val="00071FA2"/>
    <w:rsid w:val="00072B1F"/>
    <w:rsid w:val="00080496"/>
    <w:rsid w:val="00082953"/>
    <w:rsid w:val="00085D12"/>
    <w:rsid w:val="00091771"/>
    <w:rsid w:val="00093BFF"/>
    <w:rsid w:val="000941E6"/>
    <w:rsid w:val="000A63DF"/>
    <w:rsid w:val="000A726E"/>
    <w:rsid w:val="000B122C"/>
    <w:rsid w:val="000B2956"/>
    <w:rsid w:val="000B3C8B"/>
    <w:rsid w:val="000C0CC6"/>
    <w:rsid w:val="000D0F6F"/>
    <w:rsid w:val="000D70AF"/>
    <w:rsid w:val="000F0E83"/>
    <w:rsid w:val="000F1734"/>
    <w:rsid w:val="000F29A3"/>
    <w:rsid w:val="000F32D1"/>
    <w:rsid w:val="000F4082"/>
    <w:rsid w:val="000F7E3C"/>
    <w:rsid w:val="00102DB2"/>
    <w:rsid w:val="00113B1F"/>
    <w:rsid w:val="00115BCD"/>
    <w:rsid w:val="00117E2B"/>
    <w:rsid w:val="00121683"/>
    <w:rsid w:val="00124C8C"/>
    <w:rsid w:val="0012564E"/>
    <w:rsid w:val="00125D48"/>
    <w:rsid w:val="00134241"/>
    <w:rsid w:val="00136C69"/>
    <w:rsid w:val="001631B4"/>
    <w:rsid w:val="001633A5"/>
    <w:rsid w:val="00171B31"/>
    <w:rsid w:val="00175BD7"/>
    <w:rsid w:val="0018560F"/>
    <w:rsid w:val="00186EF8"/>
    <w:rsid w:val="00192E54"/>
    <w:rsid w:val="001964DE"/>
    <w:rsid w:val="001A01F5"/>
    <w:rsid w:val="001A0DB3"/>
    <w:rsid w:val="001A15F0"/>
    <w:rsid w:val="001A1E3B"/>
    <w:rsid w:val="001A4281"/>
    <w:rsid w:val="001A6DB1"/>
    <w:rsid w:val="001B2DF2"/>
    <w:rsid w:val="001C0506"/>
    <w:rsid w:val="001C2A97"/>
    <w:rsid w:val="001C30B1"/>
    <w:rsid w:val="001C7231"/>
    <w:rsid w:val="001D0197"/>
    <w:rsid w:val="001D31DF"/>
    <w:rsid w:val="001D6577"/>
    <w:rsid w:val="001E6756"/>
    <w:rsid w:val="001E7206"/>
    <w:rsid w:val="001F42EC"/>
    <w:rsid w:val="0020071B"/>
    <w:rsid w:val="00206039"/>
    <w:rsid w:val="00206E06"/>
    <w:rsid w:val="00210FAD"/>
    <w:rsid w:val="002148AC"/>
    <w:rsid w:val="00235D9B"/>
    <w:rsid w:val="00242497"/>
    <w:rsid w:val="002448C6"/>
    <w:rsid w:val="002458E4"/>
    <w:rsid w:val="00245F1E"/>
    <w:rsid w:val="0024799C"/>
    <w:rsid w:val="00253412"/>
    <w:rsid w:val="002579A3"/>
    <w:rsid w:val="002719D1"/>
    <w:rsid w:val="00277DCE"/>
    <w:rsid w:val="00282695"/>
    <w:rsid w:val="00291812"/>
    <w:rsid w:val="00292AC0"/>
    <w:rsid w:val="002A405E"/>
    <w:rsid w:val="002A62BF"/>
    <w:rsid w:val="002B07D7"/>
    <w:rsid w:val="002B14E3"/>
    <w:rsid w:val="002B3FAC"/>
    <w:rsid w:val="002B7C53"/>
    <w:rsid w:val="002C33BF"/>
    <w:rsid w:val="002C5840"/>
    <w:rsid w:val="002D0DCC"/>
    <w:rsid w:val="002E2943"/>
    <w:rsid w:val="002E2DA8"/>
    <w:rsid w:val="002F5A47"/>
    <w:rsid w:val="002F726C"/>
    <w:rsid w:val="00302135"/>
    <w:rsid w:val="003050A6"/>
    <w:rsid w:val="00306ACC"/>
    <w:rsid w:val="00307EBA"/>
    <w:rsid w:val="003115A4"/>
    <w:rsid w:val="00326C7B"/>
    <w:rsid w:val="00333720"/>
    <w:rsid w:val="003366D8"/>
    <w:rsid w:val="003372ED"/>
    <w:rsid w:val="00337DCB"/>
    <w:rsid w:val="0034768F"/>
    <w:rsid w:val="00351E77"/>
    <w:rsid w:val="00352D53"/>
    <w:rsid w:val="00354660"/>
    <w:rsid w:val="00355221"/>
    <w:rsid w:val="00355228"/>
    <w:rsid w:val="00360F0D"/>
    <w:rsid w:val="00363B67"/>
    <w:rsid w:val="003649CF"/>
    <w:rsid w:val="00364E45"/>
    <w:rsid w:val="00383EAA"/>
    <w:rsid w:val="00387845"/>
    <w:rsid w:val="00391535"/>
    <w:rsid w:val="003A5522"/>
    <w:rsid w:val="003A599F"/>
    <w:rsid w:val="003C2763"/>
    <w:rsid w:val="003C3439"/>
    <w:rsid w:val="003D2F20"/>
    <w:rsid w:val="003D4777"/>
    <w:rsid w:val="003E1E59"/>
    <w:rsid w:val="003E57CB"/>
    <w:rsid w:val="003E61A5"/>
    <w:rsid w:val="003E6E77"/>
    <w:rsid w:val="003F2CAD"/>
    <w:rsid w:val="003F6A18"/>
    <w:rsid w:val="003F6CB2"/>
    <w:rsid w:val="00401995"/>
    <w:rsid w:val="00407564"/>
    <w:rsid w:val="0041018A"/>
    <w:rsid w:val="004146B6"/>
    <w:rsid w:val="00417CC1"/>
    <w:rsid w:val="004214AC"/>
    <w:rsid w:val="00423520"/>
    <w:rsid w:val="00425BC1"/>
    <w:rsid w:val="00436EDA"/>
    <w:rsid w:val="0043770D"/>
    <w:rsid w:val="004406E7"/>
    <w:rsid w:val="0044146E"/>
    <w:rsid w:val="00442119"/>
    <w:rsid w:val="00446739"/>
    <w:rsid w:val="00447701"/>
    <w:rsid w:val="00447EE2"/>
    <w:rsid w:val="004545FF"/>
    <w:rsid w:val="0045622E"/>
    <w:rsid w:val="00457A0F"/>
    <w:rsid w:val="00464358"/>
    <w:rsid w:val="00464392"/>
    <w:rsid w:val="0046657D"/>
    <w:rsid w:val="0046688D"/>
    <w:rsid w:val="00473F6D"/>
    <w:rsid w:val="0047660B"/>
    <w:rsid w:val="00477A8C"/>
    <w:rsid w:val="004854BC"/>
    <w:rsid w:val="00485BD6"/>
    <w:rsid w:val="00486A7E"/>
    <w:rsid w:val="00487D7D"/>
    <w:rsid w:val="004A14E6"/>
    <w:rsid w:val="004A2679"/>
    <w:rsid w:val="004A2F8C"/>
    <w:rsid w:val="004B3F99"/>
    <w:rsid w:val="004B6123"/>
    <w:rsid w:val="004D1880"/>
    <w:rsid w:val="004D350A"/>
    <w:rsid w:val="004D66E1"/>
    <w:rsid w:val="004E207A"/>
    <w:rsid w:val="004E275A"/>
    <w:rsid w:val="004E690F"/>
    <w:rsid w:val="004F4FD2"/>
    <w:rsid w:val="004F5C31"/>
    <w:rsid w:val="00503D66"/>
    <w:rsid w:val="00504995"/>
    <w:rsid w:val="005127EA"/>
    <w:rsid w:val="00515B31"/>
    <w:rsid w:val="0052101B"/>
    <w:rsid w:val="00522703"/>
    <w:rsid w:val="0052728C"/>
    <w:rsid w:val="00530B3B"/>
    <w:rsid w:val="00532864"/>
    <w:rsid w:val="00536820"/>
    <w:rsid w:val="00537FA7"/>
    <w:rsid w:val="00540AD1"/>
    <w:rsid w:val="00541389"/>
    <w:rsid w:val="0054160E"/>
    <w:rsid w:val="0054216D"/>
    <w:rsid w:val="005429AA"/>
    <w:rsid w:val="0054471E"/>
    <w:rsid w:val="005448D6"/>
    <w:rsid w:val="005453E8"/>
    <w:rsid w:val="00556933"/>
    <w:rsid w:val="0056096A"/>
    <w:rsid w:val="00566954"/>
    <w:rsid w:val="005679E0"/>
    <w:rsid w:val="0057338C"/>
    <w:rsid w:val="00574DFD"/>
    <w:rsid w:val="005800DB"/>
    <w:rsid w:val="00586237"/>
    <w:rsid w:val="005876BC"/>
    <w:rsid w:val="005A404B"/>
    <w:rsid w:val="005A50A7"/>
    <w:rsid w:val="005A54C4"/>
    <w:rsid w:val="005A7837"/>
    <w:rsid w:val="005B0C21"/>
    <w:rsid w:val="005B5BB9"/>
    <w:rsid w:val="005B78EC"/>
    <w:rsid w:val="005C07B9"/>
    <w:rsid w:val="005C2259"/>
    <w:rsid w:val="005C65C2"/>
    <w:rsid w:val="005C66CB"/>
    <w:rsid w:val="005C798F"/>
    <w:rsid w:val="005C7F2F"/>
    <w:rsid w:val="005D0AF1"/>
    <w:rsid w:val="005D278E"/>
    <w:rsid w:val="005D4FE4"/>
    <w:rsid w:val="005E2141"/>
    <w:rsid w:val="005E4AA2"/>
    <w:rsid w:val="005E710A"/>
    <w:rsid w:val="005F500C"/>
    <w:rsid w:val="005F510C"/>
    <w:rsid w:val="00612C7A"/>
    <w:rsid w:val="006133DB"/>
    <w:rsid w:val="00613418"/>
    <w:rsid w:val="0061694E"/>
    <w:rsid w:val="00617BC7"/>
    <w:rsid w:val="00617D72"/>
    <w:rsid w:val="006224DE"/>
    <w:rsid w:val="0062252F"/>
    <w:rsid w:val="00623610"/>
    <w:rsid w:val="0062598B"/>
    <w:rsid w:val="00625D0C"/>
    <w:rsid w:val="0063175A"/>
    <w:rsid w:val="00632A1C"/>
    <w:rsid w:val="00633134"/>
    <w:rsid w:val="006345F2"/>
    <w:rsid w:val="00635C5F"/>
    <w:rsid w:val="006428F9"/>
    <w:rsid w:val="00642A55"/>
    <w:rsid w:val="006458B9"/>
    <w:rsid w:val="00645EBF"/>
    <w:rsid w:val="006471A5"/>
    <w:rsid w:val="00655701"/>
    <w:rsid w:val="00656818"/>
    <w:rsid w:val="00667AD7"/>
    <w:rsid w:val="00676E92"/>
    <w:rsid w:val="00677F8D"/>
    <w:rsid w:val="00680A25"/>
    <w:rsid w:val="0068151F"/>
    <w:rsid w:val="00681725"/>
    <w:rsid w:val="006821F9"/>
    <w:rsid w:val="006906B2"/>
    <w:rsid w:val="00694B33"/>
    <w:rsid w:val="006A12E5"/>
    <w:rsid w:val="006A3ADB"/>
    <w:rsid w:val="006A71FB"/>
    <w:rsid w:val="006A740A"/>
    <w:rsid w:val="006B1E81"/>
    <w:rsid w:val="006B46C4"/>
    <w:rsid w:val="006C046B"/>
    <w:rsid w:val="006C3B87"/>
    <w:rsid w:val="006C3FD4"/>
    <w:rsid w:val="006C53BA"/>
    <w:rsid w:val="006D1710"/>
    <w:rsid w:val="006D1B3B"/>
    <w:rsid w:val="006E2BAF"/>
    <w:rsid w:val="006E3609"/>
    <w:rsid w:val="006E47CA"/>
    <w:rsid w:val="006E50E3"/>
    <w:rsid w:val="006F1372"/>
    <w:rsid w:val="006F3C0A"/>
    <w:rsid w:val="006F4650"/>
    <w:rsid w:val="006F7EB7"/>
    <w:rsid w:val="007012BA"/>
    <w:rsid w:val="007106CE"/>
    <w:rsid w:val="00714A5F"/>
    <w:rsid w:val="00721982"/>
    <w:rsid w:val="00722AD8"/>
    <w:rsid w:val="00732673"/>
    <w:rsid w:val="007350D2"/>
    <w:rsid w:val="007370CA"/>
    <w:rsid w:val="007409BF"/>
    <w:rsid w:val="00741967"/>
    <w:rsid w:val="0074198F"/>
    <w:rsid w:val="007436B2"/>
    <w:rsid w:val="00744950"/>
    <w:rsid w:val="0074577D"/>
    <w:rsid w:val="00746A89"/>
    <w:rsid w:val="00752D16"/>
    <w:rsid w:val="0075311B"/>
    <w:rsid w:val="0075349A"/>
    <w:rsid w:val="007536BC"/>
    <w:rsid w:val="0076158B"/>
    <w:rsid w:val="007641E3"/>
    <w:rsid w:val="0076694F"/>
    <w:rsid w:val="00773C82"/>
    <w:rsid w:val="00775C36"/>
    <w:rsid w:val="0078629A"/>
    <w:rsid w:val="00790B0F"/>
    <w:rsid w:val="007921CA"/>
    <w:rsid w:val="00792FB8"/>
    <w:rsid w:val="007A1071"/>
    <w:rsid w:val="007A7FDE"/>
    <w:rsid w:val="007B5BA3"/>
    <w:rsid w:val="007B723B"/>
    <w:rsid w:val="007C09B3"/>
    <w:rsid w:val="007C590C"/>
    <w:rsid w:val="007E1899"/>
    <w:rsid w:val="007F017A"/>
    <w:rsid w:val="007F2586"/>
    <w:rsid w:val="007F5793"/>
    <w:rsid w:val="0080010D"/>
    <w:rsid w:val="00802366"/>
    <w:rsid w:val="00803E33"/>
    <w:rsid w:val="00805FEA"/>
    <w:rsid w:val="008157F5"/>
    <w:rsid w:val="00816C44"/>
    <w:rsid w:val="00822B61"/>
    <w:rsid w:val="008239F7"/>
    <w:rsid w:val="008277B1"/>
    <w:rsid w:val="008315DB"/>
    <w:rsid w:val="00831E5E"/>
    <w:rsid w:val="008355AC"/>
    <w:rsid w:val="00841646"/>
    <w:rsid w:val="008627CA"/>
    <w:rsid w:val="00863B66"/>
    <w:rsid w:val="00863C62"/>
    <w:rsid w:val="008661F8"/>
    <w:rsid w:val="008711E9"/>
    <w:rsid w:val="00873985"/>
    <w:rsid w:val="0087478E"/>
    <w:rsid w:val="00874BF3"/>
    <w:rsid w:val="008815DB"/>
    <w:rsid w:val="00883BA2"/>
    <w:rsid w:val="0089192F"/>
    <w:rsid w:val="00891E1E"/>
    <w:rsid w:val="00892B79"/>
    <w:rsid w:val="0089361F"/>
    <w:rsid w:val="008A031A"/>
    <w:rsid w:val="008A082F"/>
    <w:rsid w:val="008A1203"/>
    <w:rsid w:val="008A7009"/>
    <w:rsid w:val="008B0D20"/>
    <w:rsid w:val="008B16AA"/>
    <w:rsid w:val="008B69AB"/>
    <w:rsid w:val="008C7A6E"/>
    <w:rsid w:val="008D0B7A"/>
    <w:rsid w:val="008D16A7"/>
    <w:rsid w:val="008E65E4"/>
    <w:rsid w:val="008E7260"/>
    <w:rsid w:val="008F099D"/>
    <w:rsid w:val="008F449F"/>
    <w:rsid w:val="008F6D85"/>
    <w:rsid w:val="00901DBA"/>
    <w:rsid w:val="00903DBB"/>
    <w:rsid w:val="009045B6"/>
    <w:rsid w:val="00907A97"/>
    <w:rsid w:val="00913AA5"/>
    <w:rsid w:val="0091446E"/>
    <w:rsid w:val="00915643"/>
    <w:rsid w:val="00920A81"/>
    <w:rsid w:val="00925AF0"/>
    <w:rsid w:val="00934298"/>
    <w:rsid w:val="00936E6D"/>
    <w:rsid w:val="00944D9E"/>
    <w:rsid w:val="009515A8"/>
    <w:rsid w:val="00952EDE"/>
    <w:rsid w:val="009553D8"/>
    <w:rsid w:val="00955E87"/>
    <w:rsid w:val="009562BB"/>
    <w:rsid w:val="009739FC"/>
    <w:rsid w:val="00975178"/>
    <w:rsid w:val="00982888"/>
    <w:rsid w:val="00983042"/>
    <w:rsid w:val="00984C82"/>
    <w:rsid w:val="00990B4B"/>
    <w:rsid w:val="00991DC8"/>
    <w:rsid w:val="009957B2"/>
    <w:rsid w:val="009A137D"/>
    <w:rsid w:val="009A2571"/>
    <w:rsid w:val="009A6D5B"/>
    <w:rsid w:val="009B19CE"/>
    <w:rsid w:val="009C283E"/>
    <w:rsid w:val="009C5BCA"/>
    <w:rsid w:val="009C743F"/>
    <w:rsid w:val="009D69ED"/>
    <w:rsid w:val="00A015E4"/>
    <w:rsid w:val="00A03874"/>
    <w:rsid w:val="00A05280"/>
    <w:rsid w:val="00A076AA"/>
    <w:rsid w:val="00A136B1"/>
    <w:rsid w:val="00A15EF0"/>
    <w:rsid w:val="00A22548"/>
    <w:rsid w:val="00A350D5"/>
    <w:rsid w:val="00A37D5D"/>
    <w:rsid w:val="00A465D0"/>
    <w:rsid w:val="00A46951"/>
    <w:rsid w:val="00A479B7"/>
    <w:rsid w:val="00A52477"/>
    <w:rsid w:val="00A535DC"/>
    <w:rsid w:val="00A6046A"/>
    <w:rsid w:val="00A60C92"/>
    <w:rsid w:val="00A60DEB"/>
    <w:rsid w:val="00A71986"/>
    <w:rsid w:val="00A72230"/>
    <w:rsid w:val="00A72D7B"/>
    <w:rsid w:val="00A76001"/>
    <w:rsid w:val="00A76C6A"/>
    <w:rsid w:val="00A83B3C"/>
    <w:rsid w:val="00A930F7"/>
    <w:rsid w:val="00A9522F"/>
    <w:rsid w:val="00A96D24"/>
    <w:rsid w:val="00AA4B14"/>
    <w:rsid w:val="00AA5EAE"/>
    <w:rsid w:val="00AA6E6E"/>
    <w:rsid w:val="00AB5B23"/>
    <w:rsid w:val="00AC01CE"/>
    <w:rsid w:val="00AC0E5E"/>
    <w:rsid w:val="00AD003A"/>
    <w:rsid w:val="00AE12C7"/>
    <w:rsid w:val="00AE62F2"/>
    <w:rsid w:val="00AF213A"/>
    <w:rsid w:val="00AF7F2B"/>
    <w:rsid w:val="00B00C00"/>
    <w:rsid w:val="00B1028A"/>
    <w:rsid w:val="00B12720"/>
    <w:rsid w:val="00B13062"/>
    <w:rsid w:val="00B14519"/>
    <w:rsid w:val="00B21151"/>
    <w:rsid w:val="00B231ED"/>
    <w:rsid w:val="00B26D18"/>
    <w:rsid w:val="00B34612"/>
    <w:rsid w:val="00B40D0B"/>
    <w:rsid w:val="00B41B48"/>
    <w:rsid w:val="00B42613"/>
    <w:rsid w:val="00B525CC"/>
    <w:rsid w:val="00B52A76"/>
    <w:rsid w:val="00B52C3D"/>
    <w:rsid w:val="00B54122"/>
    <w:rsid w:val="00B56644"/>
    <w:rsid w:val="00B57A32"/>
    <w:rsid w:val="00B61D94"/>
    <w:rsid w:val="00B63996"/>
    <w:rsid w:val="00B63BF3"/>
    <w:rsid w:val="00B76B3E"/>
    <w:rsid w:val="00B80276"/>
    <w:rsid w:val="00B81299"/>
    <w:rsid w:val="00B8192B"/>
    <w:rsid w:val="00B84255"/>
    <w:rsid w:val="00BA4115"/>
    <w:rsid w:val="00BA6346"/>
    <w:rsid w:val="00BB15FE"/>
    <w:rsid w:val="00BB1794"/>
    <w:rsid w:val="00BB5C9F"/>
    <w:rsid w:val="00BC1455"/>
    <w:rsid w:val="00BC25ED"/>
    <w:rsid w:val="00BC34EE"/>
    <w:rsid w:val="00BC52BE"/>
    <w:rsid w:val="00BD17BA"/>
    <w:rsid w:val="00BD1F17"/>
    <w:rsid w:val="00BD3F7F"/>
    <w:rsid w:val="00BD64A0"/>
    <w:rsid w:val="00BE11E5"/>
    <w:rsid w:val="00BE1AA3"/>
    <w:rsid w:val="00BE4717"/>
    <w:rsid w:val="00BE5E0E"/>
    <w:rsid w:val="00BE6E51"/>
    <w:rsid w:val="00BE71B3"/>
    <w:rsid w:val="00BE7583"/>
    <w:rsid w:val="00BF05A5"/>
    <w:rsid w:val="00BF7867"/>
    <w:rsid w:val="00C01AF2"/>
    <w:rsid w:val="00C03E8A"/>
    <w:rsid w:val="00C13E61"/>
    <w:rsid w:val="00C217B2"/>
    <w:rsid w:val="00C24B82"/>
    <w:rsid w:val="00C31250"/>
    <w:rsid w:val="00C31724"/>
    <w:rsid w:val="00C33CF3"/>
    <w:rsid w:val="00C367DA"/>
    <w:rsid w:val="00C41DDA"/>
    <w:rsid w:val="00C46564"/>
    <w:rsid w:val="00C51B83"/>
    <w:rsid w:val="00C567EA"/>
    <w:rsid w:val="00C61351"/>
    <w:rsid w:val="00C61A9A"/>
    <w:rsid w:val="00C635CD"/>
    <w:rsid w:val="00C73A5B"/>
    <w:rsid w:val="00C76F91"/>
    <w:rsid w:val="00C77420"/>
    <w:rsid w:val="00C77782"/>
    <w:rsid w:val="00C829F4"/>
    <w:rsid w:val="00C848E9"/>
    <w:rsid w:val="00C84E08"/>
    <w:rsid w:val="00C9181B"/>
    <w:rsid w:val="00C9203E"/>
    <w:rsid w:val="00C93B6F"/>
    <w:rsid w:val="00C95D0E"/>
    <w:rsid w:val="00C96E0D"/>
    <w:rsid w:val="00C97CB0"/>
    <w:rsid w:val="00CA45F7"/>
    <w:rsid w:val="00CA4B20"/>
    <w:rsid w:val="00CA5C7B"/>
    <w:rsid w:val="00CB1BBE"/>
    <w:rsid w:val="00CB2EA6"/>
    <w:rsid w:val="00CB6EE2"/>
    <w:rsid w:val="00CC6FAF"/>
    <w:rsid w:val="00CD5540"/>
    <w:rsid w:val="00CD6351"/>
    <w:rsid w:val="00CE3998"/>
    <w:rsid w:val="00CF049C"/>
    <w:rsid w:val="00CF0B04"/>
    <w:rsid w:val="00CF2FD9"/>
    <w:rsid w:val="00CF7E02"/>
    <w:rsid w:val="00D011F3"/>
    <w:rsid w:val="00D061EF"/>
    <w:rsid w:val="00D07FC5"/>
    <w:rsid w:val="00D11C31"/>
    <w:rsid w:val="00D13C64"/>
    <w:rsid w:val="00D254D4"/>
    <w:rsid w:val="00D31F30"/>
    <w:rsid w:val="00D33DF1"/>
    <w:rsid w:val="00D36E10"/>
    <w:rsid w:val="00D408DD"/>
    <w:rsid w:val="00D41944"/>
    <w:rsid w:val="00D43250"/>
    <w:rsid w:val="00D434DA"/>
    <w:rsid w:val="00D43BC1"/>
    <w:rsid w:val="00D440C4"/>
    <w:rsid w:val="00D44C9A"/>
    <w:rsid w:val="00D45262"/>
    <w:rsid w:val="00D519C7"/>
    <w:rsid w:val="00D54594"/>
    <w:rsid w:val="00D60517"/>
    <w:rsid w:val="00D6291E"/>
    <w:rsid w:val="00D63484"/>
    <w:rsid w:val="00D66D40"/>
    <w:rsid w:val="00D6789D"/>
    <w:rsid w:val="00D71C50"/>
    <w:rsid w:val="00D74222"/>
    <w:rsid w:val="00D74C38"/>
    <w:rsid w:val="00D76632"/>
    <w:rsid w:val="00D81E48"/>
    <w:rsid w:val="00D837B6"/>
    <w:rsid w:val="00D84F07"/>
    <w:rsid w:val="00D85C6C"/>
    <w:rsid w:val="00D96C9B"/>
    <w:rsid w:val="00D97838"/>
    <w:rsid w:val="00DA440B"/>
    <w:rsid w:val="00DA4A73"/>
    <w:rsid w:val="00DA5024"/>
    <w:rsid w:val="00DA5FC0"/>
    <w:rsid w:val="00DA716B"/>
    <w:rsid w:val="00DA72FE"/>
    <w:rsid w:val="00DA7B54"/>
    <w:rsid w:val="00DB293C"/>
    <w:rsid w:val="00DB3D3E"/>
    <w:rsid w:val="00DC0594"/>
    <w:rsid w:val="00DC67E8"/>
    <w:rsid w:val="00DC7979"/>
    <w:rsid w:val="00DD10A4"/>
    <w:rsid w:val="00DD1600"/>
    <w:rsid w:val="00DD45C0"/>
    <w:rsid w:val="00DD59C1"/>
    <w:rsid w:val="00DE3E61"/>
    <w:rsid w:val="00DE5A5E"/>
    <w:rsid w:val="00DF192C"/>
    <w:rsid w:val="00DF19E4"/>
    <w:rsid w:val="00DF239E"/>
    <w:rsid w:val="00DF3BE0"/>
    <w:rsid w:val="00DF7453"/>
    <w:rsid w:val="00E05DDD"/>
    <w:rsid w:val="00E10E93"/>
    <w:rsid w:val="00E12478"/>
    <w:rsid w:val="00E17734"/>
    <w:rsid w:val="00E2519D"/>
    <w:rsid w:val="00E26571"/>
    <w:rsid w:val="00E302C0"/>
    <w:rsid w:val="00E329E5"/>
    <w:rsid w:val="00E37DD9"/>
    <w:rsid w:val="00E43F5E"/>
    <w:rsid w:val="00E43FBD"/>
    <w:rsid w:val="00E45524"/>
    <w:rsid w:val="00E4591E"/>
    <w:rsid w:val="00E46844"/>
    <w:rsid w:val="00E4730A"/>
    <w:rsid w:val="00E61F3B"/>
    <w:rsid w:val="00E651F6"/>
    <w:rsid w:val="00E66D7D"/>
    <w:rsid w:val="00E67629"/>
    <w:rsid w:val="00E7185C"/>
    <w:rsid w:val="00E71D1D"/>
    <w:rsid w:val="00E8302D"/>
    <w:rsid w:val="00E870B9"/>
    <w:rsid w:val="00E9721F"/>
    <w:rsid w:val="00EA12CF"/>
    <w:rsid w:val="00EA3CE2"/>
    <w:rsid w:val="00EA49F6"/>
    <w:rsid w:val="00EB1B20"/>
    <w:rsid w:val="00EB3859"/>
    <w:rsid w:val="00EB5171"/>
    <w:rsid w:val="00EC1738"/>
    <w:rsid w:val="00EC251B"/>
    <w:rsid w:val="00EC5541"/>
    <w:rsid w:val="00EC7FDB"/>
    <w:rsid w:val="00ED19FD"/>
    <w:rsid w:val="00ED4781"/>
    <w:rsid w:val="00ED7365"/>
    <w:rsid w:val="00EE06B5"/>
    <w:rsid w:val="00EE06F0"/>
    <w:rsid w:val="00EE4046"/>
    <w:rsid w:val="00EE47FF"/>
    <w:rsid w:val="00EE7828"/>
    <w:rsid w:val="00EF7412"/>
    <w:rsid w:val="00F0162B"/>
    <w:rsid w:val="00F02AF3"/>
    <w:rsid w:val="00F144C4"/>
    <w:rsid w:val="00F15DEA"/>
    <w:rsid w:val="00F17815"/>
    <w:rsid w:val="00F20CFF"/>
    <w:rsid w:val="00F23958"/>
    <w:rsid w:val="00F27160"/>
    <w:rsid w:val="00F31C7B"/>
    <w:rsid w:val="00F51843"/>
    <w:rsid w:val="00F53CDA"/>
    <w:rsid w:val="00F557DD"/>
    <w:rsid w:val="00F55A87"/>
    <w:rsid w:val="00F56B05"/>
    <w:rsid w:val="00F624A8"/>
    <w:rsid w:val="00F637E7"/>
    <w:rsid w:val="00F700D7"/>
    <w:rsid w:val="00F71FE0"/>
    <w:rsid w:val="00F80958"/>
    <w:rsid w:val="00F83FC0"/>
    <w:rsid w:val="00F874AD"/>
    <w:rsid w:val="00F906F9"/>
    <w:rsid w:val="00F91F87"/>
    <w:rsid w:val="00F933C4"/>
    <w:rsid w:val="00F94D9B"/>
    <w:rsid w:val="00FA61F1"/>
    <w:rsid w:val="00FA716F"/>
    <w:rsid w:val="00FB0C57"/>
    <w:rsid w:val="00FB1437"/>
    <w:rsid w:val="00FB1B32"/>
    <w:rsid w:val="00FB3631"/>
    <w:rsid w:val="00FB4D92"/>
    <w:rsid w:val="00FB6F13"/>
    <w:rsid w:val="00FC29D4"/>
    <w:rsid w:val="00FC4079"/>
    <w:rsid w:val="00FC72C7"/>
    <w:rsid w:val="00FD11C1"/>
    <w:rsid w:val="00FD1FC7"/>
    <w:rsid w:val="00FD68F1"/>
    <w:rsid w:val="00FE14A0"/>
    <w:rsid w:val="00FE2520"/>
    <w:rsid w:val="00FE589E"/>
    <w:rsid w:val="00FF0361"/>
    <w:rsid w:val="00FF0D8F"/>
    <w:rsid w:val="00FF1146"/>
    <w:rsid w:val="00FF3F1D"/>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Normal2">
    <w:name w:val="Normal2"/>
    <w:rsid w:val="00714A5F"/>
    <w:rPr>
      <w:rFonts w:ascii="Times New Roman" w:hAnsi="Times New Roman"/>
      <w:noProof w:val="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Normal2">
    <w:name w:val="Normal2"/>
    <w:rsid w:val="00714A5F"/>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4414">
      <w:bodyDiv w:val="1"/>
      <w:marLeft w:val="0"/>
      <w:marRight w:val="0"/>
      <w:marTop w:val="0"/>
      <w:marBottom w:val="0"/>
      <w:divBdr>
        <w:top w:val="none" w:sz="0" w:space="0" w:color="auto"/>
        <w:left w:val="none" w:sz="0" w:space="0" w:color="auto"/>
        <w:bottom w:val="none" w:sz="0" w:space="0" w:color="auto"/>
        <w:right w:val="none" w:sz="0" w:space="0" w:color="auto"/>
      </w:divBdr>
    </w:div>
    <w:div w:id="896476779">
      <w:bodyDiv w:val="1"/>
      <w:marLeft w:val="0"/>
      <w:marRight w:val="0"/>
      <w:marTop w:val="0"/>
      <w:marBottom w:val="0"/>
      <w:divBdr>
        <w:top w:val="none" w:sz="0" w:space="0" w:color="auto"/>
        <w:left w:val="none" w:sz="0" w:space="0" w:color="auto"/>
        <w:bottom w:val="none" w:sz="0" w:space="0" w:color="auto"/>
        <w:right w:val="none" w:sz="0" w:space="0" w:color="auto"/>
      </w:divBdr>
    </w:div>
    <w:div w:id="1086342588">
      <w:bodyDiv w:val="1"/>
      <w:marLeft w:val="0"/>
      <w:marRight w:val="0"/>
      <w:marTop w:val="0"/>
      <w:marBottom w:val="0"/>
      <w:divBdr>
        <w:top w:val="none" w:sz="0" w:space="0" w:color="auto"/>
        <w:left w:val="none" w:sz="0" w:space="0" w:color="auto"/>
        <w:bottom w:val="none" w:sz="0" w:space="0" w:color="auto"/>
        <w:right w:val="none" w:sz="0" w:space="0" w:color="auto"/>
      </w:divBdr>
    </w:div>
    <w:div w:id="11367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7292</Characters>
  <Application>Microsoft Office Word</Application>
  <DocSecurity>0</DocSecurity>
  <Lines>121</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8569</CharactersWithSpaces>
  <SharedDoc>false</SharedDoc>
  <HyperlinkBase> </HyperlinkBase>
  <HLinks>
    <vt:vector size="6" baseType="variant">
      <vt:variant>
        <vt:i4>5308417</vt:i4>
      </vt:variant>
      <vt:variant>
        <vt:i4>0</vt:i4>
      </vt:variant>
      <vt:variant>
        <vt:i4>0</vt:i4>
      </vt:variant>
      <vt:variant>
        <vt:i4>5</vt:i4>
      </vt:variant>
      <vt:variant>
        <vt:lpwstr>http://wireless.fcc.gov/uls/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2016-04-06T11:55:00Z</cp:lastPrinted>
  <dcterms:created xsi:type="dcterms:W3CDTF">2017-07-21T16:50:00Z</dcterms:created>
  <dcterms:modified xsi:type="dcterms:W3CDTF">2017-07-21T16:50:00Z</dcterms:modified>
  <cp:category> </cp:category>
  <cp:contentStatus> </cp:contentStatus>
</cp:coreProperties>
</file>