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C36C" w14:textId="77777777" w:rsidR="00D0575B" w:rsidRPr="00490DED" w:rsidRDefault="00D0575B" w:rsidP="00490DED">
      <w:pPr>
        <w:jc w:val="center"/>
        <w:rPr>
          <w:b/>
          <w:szCs w:val="22"/>
        </w:rPr>
      </w:pPr>
      <w:bookmarkStart w:id="0" w:name="_GoBack"/>
      <w:bookmarkEnd w:id="0"/>
      <w:r w:rsidRPr="00490DED">
        <w:rPr>
          <w:b/>
          <w:szCs w:val="22"/>
        </w:rPr>
        <w:t>Before the</w:t>
      </w:r>
    </w:p>
    <w:p w14:paraId="0A80E1CD" w14:textId="77777777" w:rsidR="00D0575B" w:rsidRPr="00490DED" w:rsidRDefault="00D0575B" w:rsidP="00490DED">
      <w:pPr>
        <w:jc w:val="center"/>
        <w:rPr>
          <w:b/>
          <w:szCs w:val="22"/>
        </w:rPr>
      </w:pPr>
      <w:r w:rsidRPr="00490DED">
        <w:rPr>
          <w:b/>
          <w:szCs w:val="22"/>
        </w:rPr>
        <w:t>Federal Communications Commission</w:t>
      </w:r>
      <w:r w:rsidRPr="00490DED">
        <w:rPr>
          <w:b/>
          <w:szCs w:val="22"/>
        </w:rPr>
        <w:br/>
        <w:t>Washington, D.C. 20554</w:t>
      </w:r>
    </w:p>
    <w:p w14:paraId="0D63279A" w14:textId="77777777" w:rsidR="00D0575B" w:rsidRPr="00490DED" w:rsidRDefault="00D0575B" w:rsidP="00490DED">
      <w:pPr>
        <w:rPr>
          <w:b/>
          <w:szCs w:val="22"/>
        </w:rPr>
      </w:pPr>
    </w:p>
    <w:tbl>
      <w:tblPr>
        <w:tblW w:w="0" w:type="auto"/>
        <w:tblLayout w:type="fixed"/>
        <w:tblLook w:val="0000" w:firstRow="0" w:lastRow="0" w:firstColumn="0" w:lastColumn="0" w:noHBand="0" w:noVBand="0"/>
      </w:tblPr>
      <w:tblGrid>
        <w:gridCol w:w="4698"/>
        <w:gridCol w:w="630"/>
        <w:gridCol w:w="4248"/>
      </w:tblGrid>
      <w:tr w:rsidR="00D0575B" w:rsidRPr="00490DED" w14:paraId="39144BEE" w14:textId="77777777" w:rsidTr="00923944">
        <w:trPr>
          <w:trHeight w:val="1467"/>
        </w:trPr>
        <w:tc>
          <w:tcPr>
            <w:tcW w:w="4698" w:type="dxa"/>
          </w:tcPr>
          <w:p w14:paraId="2FF30647" w14:textId="77777777" w:rsidR="00D0575B" w:rsidRPr="00490DED" w:rsidRDefault="00D0575B" w:rsidP="00490DED">
            <w:pPr>
              <w:tabs>
                <w:tab w:val="center" w:pos="4680"/>
              </w:tabs>
              <w:suppressAutoHyphens/>
              <w:rPr>
                <w:color w:val="000000"/>
                <w:spacing w:val="-2"/>
                <w:szCs w:val="22"/>
              </w:rPr>
            </w:pPr>
            <w:r w:rsidRPr="00490DED">
              <w:rPr>
                <w:color w:val="000000"/>
                <w:spacing w:val="-2"/>
                <w:szCs w:val="22"/>
              </w:rPr>
              <w:t>In the Matter of</w:t>
            </w:r>
          </w:p>
          <w:p w14:paraId="1944A8A3" w14:textId="77777777" w:rsidR="00D0575B" w:rsidRPr="00490DED" w:rsidRDefault="00D0575B" w:rsidP="00490DED">
            <w:pPr>
              <w:tabs>
                <w:tab w:val="center" w:pos="4680"/>
              </w:tabs>
              <w:suppressAutoHyphens/>
              <w:rPr>
                <w:color w:val="000000"/>
                <w:spacing w:val="-2"/>
                <w:szCs w:val="22"/>
              </w:rPr>
            </w:pPr>
          </w:p>
          <w:p w14:paraId="7A063CB1" w14:textId="77777777" w:rsidR="00D0575B" w:rsidRPr="00490DED" w:rsidRDefault="00D0575B" w:rsidP="00490DED">
            <w:pPr>
              <w:rPr>
                <w:szCs w:val="22"/>
              </w:rPr>
            </w:pPr>
            <w:r w:rsidRPr="00490DED">
              <w:rPr>
                <w:szCs w:val="22"/>
              </w:rPr>
              <w:t>Pacific Comnex, Inc.</w:t>
            </w:r>
          </w:p>
          <w:p w14:paraId="5C535D71" w14:textId="77777777" w:rsidR="00D0575B" w:rsidRPr="00490DED" w:rsidRDefault="00D0575B" w:rsidP="00490DED">
            <w:pPr>
              <w:rPr>
                <w:szCs w:val="22"/>
              </w:rPr>
            </w:pPr>
          </w:p>
          <w:p w14:paraId="05349DBB" w14:textId="77777777" w:rsidR="00D0575B" w:rsidRPr="00490DED" w:rsidRDefault="00D0575B" w:rsidP="00490DED">
            <w:pPr>
              <w:rPr>
                <w:szCs w:val="22"/>
              </w:rPr>
            </w:pPr>
            <w:r w:rsidRPr="00490DED">
              <w:rPr>
                <w:szCs w:val="22"/>
              </w:rPr>
              <w:t>Tradewinds Wireless Holdings, LLC</w:t>
            </w:r>
          </w:p>
          <w:p w14:paraId="4E93D511" w14:textId="77777777" w:rsidR="00D0575B" w:rsidRPr="00490DED" w:rsidRDefault="00D0575B" w:rsidP="00490DED">
            <w:pPr>
              <w:rPr>
                <w:szCs w:val="22"/>
              </w:rPr>
            </w:pPr>
          </w:p>
          <w:p w14:paraId="1861C79E" w14:textId="77777777" w:rsidR="00D0575B" w:rsidRPr="00490DED" w:rsidRDefault="00D0575B" w:rsidP="00490DED">
            <w:pPr>
              <w:rPr>
                <w:szCs w:val="22"/>
              </w:rPr>
            </w:pPr>
            <w:r w:rsidRPr="00490DED">
              <w:rPr>
                <w:szCs w:val="22"/>
              </w:rPr>
              <w:t>Nova Wireless, LLC</w:t>
            </w:r>
          </w:p>
          <w:p w14:paraId="7A33B516" w14:textId="77777777" w:rsidR="00D0575B" w:rsidRPr="00490DED" w:rsidRDefault="00D0575B" w:rsidP="00490DED">
            <w:pPr>
              <w:rPr>
                <w:szCs w:val="22"/>
              </w:rPr>
            </w:pPr>
          </w:p>
          <w:p w14:paraId="2CB71224" w14:textId="77777777" w:rsidR="00D0575B" w:rsidRPr="00490DED" w:rsidRDefault="00D0575B" w:rsidP="00490DED">
            <w:pPr>
              <w:rPr>
                <w:szCs w:val="22"/>
              </w:rPr>
            </w:pPr>
          </w:p>
        </w:tc>
        <w:tc>
          <w:tcPr>
            <w:tcW w:w="630" w:type="dxa"/>
          </w:tcPr>
          <w:p w14:paraId="063FC061" w14:textId="77777777" w:rsidR="00D0575B" w:rsidRPr="00490DED" w:rsidRDefault="00D0575B" w:rsidP="00490DED">
            <w:pPr>
              <w:tabs>
                <w:tab w:val="center" w:pos="4680"/>
              </w:tabs>
              <w:suppressAutoHyphens/>
              <w:rPr>
                <w:b/>
                <w:spacing w:val="-2"/>
                <w:szCs w:val="22"/>
              </w:rPr>
            </w:pPr>
            <w:r w:rsidRPr="00490DED">
              <w:rPr>
                <w:b/>
                <w:spacing w:val="-2"/>
                <w:szCs w:val="22"/>
              </w:rPr>
              <w:t>)</w:t>
            </w:r>
          </w:p>
          <w:p w14:paraId="56C3FFC9" w14:textId="77777777" w:rsidR="00D0575B" w:rsidRPr="00490DED" w:rsidRDefault="00D0575B" w:rsidP="00490DED">
            <w:pPr>
              <w:tabs>
                <w:tab w:val="center" w:pos="4680"/>
              </w:tabs>
              <w:suppressAutoHyphens/>
              <w:rPr>
                <w:b/>
                <w:spacing w:val="-2"/>
                <w:szCs w:val="22"/>
              </w:rPr>
            </w:pPr>
            <w:r w:rsidRPr="00490DED">
              <w:rPr>
                <w:b/>
                <w:spacing w:val="-2"/>
                <w:szCs w:val="22"/>
              </w:rPr>
              <w:t>)</w:t>
            </w:r>
          </w:p>
          <w:p w14:paraId="3838A4DA" w14:textId="77777777" w:rsidR="00D0575B" w:rsidRPr="00490DED" w:rsidRDefault="00D0575B" w:rsidP="00490DED">
            <w:pPr>
              <w:tabs>
                <w:tab w:val="center" w:pos="4680"/>
              </w:tabs>
              <w:suppressAutoHyphens/>
              <w:rPr>
                <w:b/>
                <w:spacing w:val="-2"/>
                <w:szCs w:val="22"/>
              </w:rPr>
            </w:pPr>
            <w:r w:rsidRPr="00490DED">
              <w:rPr>
                <w:b/>
                <w:spacing w:val="-2"/>
                <w:szCs w:val="22"/>
              </w:rPr>
              <w:t>)</w:t>
            </w:r>
            <w:r w:rsidRPr="00490DED">
              <w:rPr>
                <w:b/>
                <w:spacing w:val="-2"/>
                <w:szCs w:val="22"/>
              </w:rPr>
              <w:br/>
              <w:t>)</w:t>
            </w:r>
          </w:p>
          <w:p w14:paraId="70190912" w14:textId="77777777" w:rsidR="00D0575B" w:rsidRPr="00490DED" w:rsidRDefault="00D0575B" w:rsidP="00490DED">
            <w:pPr>
              <w:tabs>
                <w:tab w:val="center" w:pos="4680"/>
              </w:tabs>
              <w:suppressAutoHyphens/>
              <w:rPr>
                <w:b/>
                <w:spacing w:val="-2"/>
                <w:szCs w:val="22"/>
              </w:rPr>
            </w:pPr>
            <w:r w:rsidRPr="00490DED">
              <w:rPr>
                <w:b/>
                <w:spacing w:val="-2"/>
                <w:szCs w:val="22"/>
              </w:rPr>
              <w:t>)</w:t>
            </w:r>
          </w:p>
          <w:p w14:paraId="0B7DFB7E" w14:textId="77777777" w:rsidR="00D0575B" w:rsidRPr="00490DED" w:rsidRDefault="00D0575B" w:rsidP="00490DED">
            <w:pPr>
              <w:tabs>
                <w:tab w:val="center" w:pos="4680"/>
              </w:tabs>
              <w:suppressAutoHyphens/>
              <w:rPr>
                <w:b/>
                <w:spacing w:val="-2"/>
                <w:szCs w:val="22"/>
              </w:rPr>
            </w:pPr>
            <w:r w:rsidRPr="00490DED">
              <w:rPr>
                <w:b/>
                <w:spacing w:val="-2"/>
                <w:szCs w:val="22"/>
              </w:rPr>
              <w:t>)</w:t>
            </w:r>
            <w:r w:rsidRPr="00490DED">
              <w:rPr>
                <w:b/>
                <w:spacing w:val="-2"/>
                <w:szCs w:val="22"/>
              </w:rPr>
              <w:br/>
              <w:t>)</w:t>
            </w:r>
          </w:p>
          <w:p w14:paraId="7B25BF4D" w14:textId="77777777" w:rsidR="00D0575B" w:rsidRPr="00490DED" w:rsidRDefault="00D0575B" w:rsidP="00490DED">
            <w:pPr>
              <w:tabs>
                <w:tab w:val="center" w:pos="4680"/>
              </w:tabs>
              <w:suppressAutoHyphens/>
              <w:rPr>
                <w:b/>
                <w:spacing w:val="-2"/>
                <w:szCs w:val="22"/>
              </w:rPr>
            </w:pPr>
            <w:r w:rsidRPr="00490DED">
              <w:rPr>
                <w:b/>
                <w:spacing w:val="-2"/>
                <w:szCs w:val="22"/>
              </w:rPr>
              <w:t>)</w:t>
            </w:r>
            <w:r w:rsidRPr="00490DED">
              <w:rPr>
                <w:b/>
                <w:spacing w:val="-2"/>
                <w:szCs w:val="22"/>
              </w:rPr>
              <w:br/>
            </w:r>
          </w:p>
        </w:tc>
        <w:tc>
          <w:tcPr>
            <w:tcW w:w="4248" w:type="dxa"/>
          </w:tcPr>
          <w:p w14:paraId="7228E574" w14:textId="77777777" w:rsidR="00D0575B" w:rsidRPr="00490DED" w:rsidRDefault="00D0575B" w:rsidP="00490DED">
            <w:pPr>
              <w:tabs>
                <w:tab w:val="center" w:pos="4680"/>
              </w:tabs>
              <w:suppressAutoHyphens/>
              <w:rPr>
                <w:spacing w:val="-2"/>
                <w:szCs w:val="22"/>
              </w:rPr>
            </w:pPr>
          </w:p>
          <w:p w14:paraId="25F79658" w14:textId="77777777" w:rsidR="00D0575B" w:rsidRPr="00490DED" w:rsidRDefault="00D0575B" w:rsidP="00490DED">
            <w:pPr>
              <w:pStyle w:val="TOAHeading"/>
              <w:widowControl/>
              <w:tabs>
                <w:tab w:val="clear" w:pos="9360"/>
                <w:tab w:val="center" w:pos="4680"/>
              </w:tabs>
              <w:rPr>
                <w:spacing w:val="-2"/>
                <w:szCs w:val="22"/>
              </w:rPr>
            </w:pPr>
          </w:p>
          <w:p w14:paraId="264F638B" w14:textId="44D2681E" w:rsidR="00D0575B" w:rsidRPr="00490DED" w:rsidRDefault="00D0575B" w:rsidP="00490DED">
            <w:pPr>
              <w:tabs>
                <w:tab w:val="center" w:pos="4680"/>
              </w:tabs>
              <w:suppressAutoHyphens/>
              <w:rPr>
                <w:color w:val="000000"/>
                <w:spacing w:val="-2"/>
                <w:szCs w:val="22"/>
              </w:rPr>
            </w:pPr>
            <w:r w:rsidRPr="00490DED">
              <w:rPr>
                <w:color w:val="000000"/>
                <w:spacing w:val="-2"/>
                <w:szCs w:val="22"/>
              </w:rPr>
              <w:t xml:space="preserve">ULS File No. </w:t>
            </w:r>
            <w:r w:rsidR="00644D1D" w:rsidRPr="00490DED">
              <w:rPr>
                <w:szCs w:val="22"/>
              </w:rPr>
              <w:t>0007759874</w:t>
            </w:r>
          </w:p>
          <w:p w14:paraId="4EAAA077" w14:textId="77777777" w:rsidR="00D0575B" w:rsidRPr="00490DED" w:rsidRDefault="00D0575B" w:rsidP="00490DED">
            <w:pPr>
              <w:tabs>
                <w:tab w:val="center" w:pos="4680"/>
              </w:tabs>
              <w:suppressAutoHyphens/>
              <w:rPr>
                <w:color w:val="000000"/>
                <w:spacing w:val="-2"/>
                <w:szCs w:val="22"/>
              </w:rPr>
            </w:pPr>
          </w:p>
          <w:p w14:paraId="02DACE53" w14:textId="31A7D23B" w:rsidR="00D0575B" w:rsidRPr="00490DED" w:rsidRDefault="00D0575B" w:rsidP="00490DED">
            <w:pPr>
              <w:tabs>
                <w:tab w:val="center" w:pos="4680"/>
              </w:tabs>
              <w:suppressAutoHyphens/>
              <w:rPr>
                <w:spacing w:val="-2"/>
                <w:szCs w:val="22"/>
              </w:rPr>
            </w:pPr>
            <w:r w:rsidRPr="00490DED">
              <w:rPr>
                <w:spacing w:val="-2"/>
                <w:szCs w:val="22"/>
              </w:rPr>
              <w:t xml:space="preserve">ULS File No. </w:t>
            </w:r>
            <w:r w:rsidR="00644D1D" w:rsidRPr="00490DED">
              <w:rPr>
                <w:szCs w:val="22"/>
              </w:rPr>
              <w:t>0007752492</w:t>
            </w:r>
          </w:p>
          <w:p w14:paraId="1F29F882" w14:textId="77777777" w:rsidR="00D0575B" w:rsidRPr="00490DED" w:rsidRDefault="00D0575B" w:rsidP="00490DED">
            <w:pPr>
              <w:tabs>
                <w:tab w:val="center" w:pos="4680"/>
              </w:tabs>
              <w:suppressAutoHyphens/>
              <w:rPr>
                <w:spacing w:val="-2"/>
                <w:szCs w:val="22"/>
              </w:rPr>
            </w:pPr>
          </w:p>
          <w:p w14:paraId="282F491B" w14:textId="1EF5F0E7" w:rsidR="00D0575B" w:rsidRPr="00490DED" w:rsidRDefault="00D0575B" w:rsidP="00490DED">
            <w:pPr>
              <w:tabs>
                <w:tab w:val="center" w:pos="4680"/>
              </w:tabs>
              <w:suppressAutoHyphens/>
              <w:rPr>
                <w:spacing w:val="-2"/>
                <w:szCs w:val="22"/>
              </w:rPr>
            </w:pPr>
            <w:r w:rsidRPr="00490DED">
              <w:rPr>
                <w:spacing w:val="-2"/>
                <w:szCs w:val="22"/>
              </w:rPr>
              <w:t xml:space="preserve">ULS File No. </w:t>
            </w:r>
            <w:r w:rsidR="00644D1D" w:rsidRPr="00490DED">
              <w:rPr>
                <w:szCs w:val="22"/>
              </w:rPr>
              <w:t>0007751705</w:t>
            </w:r>
          </w:p>
        </w:tc>
      </w:tr>
    </w:tbl>
    <w:p w14:paraId="5AB1A900" w14:textId="77777777" w:rsidR="00D0575B" w:rsidRPr="00490DED" w:rsidRDefault="00D0575B" w:rsidP="00490DED">
      <w:pPr>
        <w:pStyle w:val="StyleBoldCentered"/>
        <w:widowControl/>
        <w:jc w:val="left"/>
        <w:rPr>
          <w:rFonts w:ascii="Times New Roman" w:hAnsi="Times New Roman"/>
        </w:rPr>
      </w:pPr>
      <w:r w:rsidRPr="00490DED">
        <w:rPr>
          <w:rFonts w:ascii="Times New Roman" w:hAnsi="Times New Roman"/>
        </w:rPr>
        <w:t xml:space="preserve"> </w:t>
      </w:r>
    </w:p>
    <w:p w14:paraId="6CAD4009" w14:textId="66CE0F64" w:rsidR="00D0575B" w:rsidRPr="00490DED" w:rsidRDefault="00D0575B" w:rsidP="00490DED">
      <w:pPr>
        <w:pStyle w:val="StyleBoldCentered"/>
        <w:widowControl/>
        <w:rPr>
          <w:rFonts w:ascii="Times New Roman" w:hAnsi="Times New Roman"/>
        </w:rPr>
      </w:pPr>
      <w:r w:rsidRPr="00490DED">
        <w:rPr>
          <w:rFonts w:ascii="Times New Roman" w:hAnsi="Times New Roman"/>
        </w:rPr>
        <w:t>ORDER</w:t>
      </w:r>
    </w:p>
    <w:p w14:paraId="4D7E8DB5" w14:textId="77777777" w:rsidR="00D0575B" w:rsidRPr="00490DED" w:rsidRDefault="00D0575B" w:rsidP="00490DED">
      <w:pPr>
        <w:tabs>
          <w:tab w:val="left" w:pos="720"/>
          <w:tab w:val="left" w:pos="6750"/>
        </w:tabs>
        <w:suppressAutoHyphens/>
        <w:rPr>
          <w:b/>
          <w:spacing w:val="-2"/>
          <w:szCs w:val="22"/>
        </w:rPr>
      </w:pPr>
    </w:p>
    <w:p w14:paraId="0B0F3D16" w14:textId="31FE8FED" w:rsidR="00D0575B" w:rsidRPr="00490DED" w:rsidRDefault="00D0575B" w:rsidP="00490DED">
      <w:pPr>
        <w:tabs>
          <w:tab w:val="left" w:pos="720"/>
          <w:tab w:val="left" w:pos="6120"/>
        </w:tabs>
        <w:suppressAutoHyphens/>
        <w:rPr>
          <w:spacing w:val="-2"/>
          <w:szCs w:val="22"/>
        </w:rPr>
      </w:pPr>
      <w:r w:rsidRPr="00490DED">
        <w:rPr>
          <w:b/>
          <w:spacing w:val="-2"/>
          <w:szCs w:val="22"/>
        </w:rPr>
        <w:t xml:space="preserve">Adopted: </w:t>
      </w:r>
      <w:r w:rsidR="00E30B4B">
        <w:rPr>
          <w:b/>
          <w:spacing w:val="-2"/>
          <w:szCs w:val="22"/>
        </w:rPr>
        <w:t xml:space="preserve"> July 25, 2017</w:t>
      </w:r>
      <w:r w:rsidR="00E30B4B">
        <w:rPr>
          <w:b/>
          <w:spacing w:val="-2"/>
          <w:szCs w:val="22"/>
        </w:rPr>
        <w:tab/>
      </w:r>
      <w:r w:rsidR="00E30B4B">
        <w:rPr>
          <w:b/>
          <w:spacing w:val="-2"/>
          <w:szCs w:val="22"/>
        </w:rPr>
        <w:tab/>
        <w:t xml:space="preserve">      Released:  July 25, 2017</w:t>
      </w:r>
    </w:p>
    <w:p w14:paraId="62A730C8" w14:textId="77777777" w:rsidR="00D0575B" w:rsidRPr="00490DED" w:rsidRDefault="00D0575B" w:rsidP="00490DED">
      <w:pPr>
        <w:rPr>
          <w:spacing w:val="-2"/>
          <w:szCs w:val="22"/>
        </w:rPr>
      </w:pPr>
    </w:p>
    <w:p w14:paraId="430766E9" w14:textId="117F7E16" w:rsidR="00D0575B" w:rsidRPr="00490DED" w:rsidRDefault="00D0575B" w:rsidP="00490DED">
      <w:pPr>
        <w:tabs>
          <w:tab w:val="left" w:pos="1890"/>
          <w:tab w:val="left" w:pos="6750"/>
        </w:tabs>
        <w:suppressAutoHyphens/>
        <w:ind w:left="1890" w:hanging="1890"/>
        <w:rPr>
          <w:spacing w:val="-2"/>
          <w:szCs w:val="22"/>
        </w:rPr>
      </w:pPr>
      <w:r w:rsidRPr="00490DED">
        <w:rPr>
          <w:spacing w:val="-2"/>
          <w:szCs w:val="22"/>
        </w:rPr>
        <w:t xml:space="preserve">By the </w:t>
      </w:r>
      <w:r w:rsidR="00CE433F" w:rsidRPr="00CE433F">
        <w:rPr>
          <w:spacing w:val="-2"/>
          <w:szCs w:val="22"/>
        </w:rPr>
        <w:t>Chief, Broadband Division,</w:t>
      </w:r>
      <w:r w:rsidR="00C6387E">
        <w:rPr>
          <w:spacing w:val="-2"/>
          <w:szCs w:val="22"/>
        </w:rPr>
        <w:t xml:space="preserve"> </w:t>
      </w:r>
      <w:r w:rsidR="00214A37">
        <w:rPr>
          <w:spacing w:val="-2"/>
          <w:szCs w:val="22"/>
        </w:rPr>
        <w:t>Wireless Telecommunications Bureau</w:t>
      </w:r>
      <w:r w:rsidRPr="00490DED">
        <w:rPr>
          <w:spacing w:val="-2"/>
          <w:szCs w:val="22"/>
        </w:rPr>
        <w:t>:</w:t>
      </w:r>
    </w:p>
    <w:p w14:paraId="6E9F16E9" w14:textId="68EDCF68" w:rsidR="00D0575B" w:rsidRPr="00490DED" w:rsidRDefault="00D0575B" w:rsidP="00490DED">
      <w:pPr>
        <w:pStyle w:val="TOC2"/>
        <w:tabs>
          <w:tab w:val="left" w:pos="360"/>
        </w:tabs>
        <w:rPr>
          <w:caps/>
          <w:szCs w:val="22"/>
        </w:rPr>
      </w:pPr>
      <w:bookmarkStart w:id="1" w:name="start_here"/>
      <w:bookmarkEnd w:id="1"/>
    </w:p>
    <w:p w14:paraId="683ECCE5" w14:textId="77777777" w:rsidR="00D0575B" w:rsidRPr="00490DED" w:rsidRDefault="00D0575B" w:rsidP="00490DED">
      <w:pPr>
        <w:rPr>
          <w:szCs w:val="22"/>
        </w:rPr>
      </w:pPr>
    </w:p>
    <w:p w14:paraId="4C476EE4" w14:textId="14A0E829" w:rsidR="00D0575B" w:rsidRPr="00490DED" w:rsidRDefault="00D0575B" w:rsidP="00490DED">
      <w:pPr>
        <w:pStyle w:val="Heading1"/>
        <w:rPr>
          <w:rFonts w:ascii="Times New Roman" w:hAnsi="Times New Roman"/>
          <w:szCs w:val="22"/>
        </w:rPr>
      </w:pPr>
      <w:bookmarkStart w:id="2" w:name="_Toc380163133"/>
      <w:bookmarkStart w:id="3" w:name="_Toc383005252"/>
      <w:bookmarkStart w:id="4" w:name="_Toc383005822"/>
      <w:bookmarkStart w:id="5" w:name="_Toc383072939"/>
      <w:bookmarkStart w:id="6" w:name="_Toc384134715"/>
      <w:bookmarkStart w:id="7" w:name="_Toc384135265"/>
      <w:bookmarkStart w:id="8" w:name="_Toc385340225"/>
      <w:bookmarkStart w:id="9" w:name="_Toc385340344"/>
      <w:bookmarkStart w:id="10" w:name="_Toc385340603"/>
      <w:bookmarkStart w:id="11" w:name="_Toc385346348"/>
      <w:bookmarkStart w:id="12" w:name="_Toc385516186"/>
      <w:bookmarkStart w:id="13" w:name="_Toc385603517"/>
      <w:bookmarkStart w:id="14" w:name="_Toc387858279"/>
      <w:bookmarkStart w:id="15" w:name="_Toc388962613"/>
      <w:bookmarkStart w:id="16" w:name="_Toc388975400"/>
      <w:bookmarkStart w:id="17" w:name="_Toc426008464"/>
      <w:bookmarkStart w:id="18" w:name="_Toc426963368"/>
      <w:bookmarkStart w:id="19" w:name="_Toc426966594"/>
      <w:bookmarkStart w:id="20" w:name="_Toc427852469"/>
      <w:bookmarkStart w:id="21" w:name="_Toc430964720"/>
      <w:bookmarkStart w:id="22" w:name="_Toc431201471"/>
      <w:r w:rsidRPr="00490DED">
        <w:rPr>
          <w:rFonts w:ascii="Times New Roman" w:hAnsi="Times New Roman"/>
          <w:szCs w:val="22"/>
        </w:rPr>
        <w:t>Introduction</w:t>
      </w:r>
      <w:bookmarkStart w:id="23" w:name="_Toc383005255"/>
      <w:bookmarkStart w:id="24" w:name="_Toc383005825"/>
      <w:bookmarkStart w:id="25" w:name="_Toc383072942"/>
      <w:bookmarkStart w:id="26" w:name="_Toc384134718"/>
      <w:bookmarkStart w:id="27" w:name="_Toc384135268"/>
      <w:bookmarkStart w:id="28" w:name="_Toc385340228"/>
      <w:bookmarkStart w:id="29" w:name="_Toc385340347"/>
      <w:bookmarkStart w:id="30" w:name="_Toc385340606"/>
      <w:bookmarkStart w:id="31" w:name="_Toc385346351"/>
      <w:bookmarkStart w:id="32" w:name="_Toc385516189"/>
      <w:bookmarkStart w:id="33" w:name="_Toc385603522"/>
      <w:bookmarkStart w:id="34" w:name="_Toc387858282"/>
      <w:bookmarkStart w:id="35" w:name="_Toc388962616"/>
      <w:bookmarkStart w:id="36" w:name="_Toc388975403"/>
      <w:bookmarkStart w:id="37" w:name="_Toc325557670"/>
      <w:bookmarkStart w:id="38" w:name="_Toc325557787"/>
      <w:bookmarkStart w:id="39" w:name="_Toc326236599"/>
      <w:bookmarkStart w:id="40" w:name="_Toc326310471"/>
      <w:bookmarkStart w:id="41" w:name="_Toc326395900"/>
      <w:bookmarkStart w:id="42" w:name="_Toc327342968"/>
      <w:bookmarkStart w:id="43" w:name="_Toc327349956"/>
      <w:bookmarkStart w:id="44" w:name="_Toc327352593"/>
      <w:bookmarkStart w:id="45" w:name="_Toc327465312"/>
      <w:bookmarkStart w:id="46" w:name="_Toc329095471"/>
      <w:bookmarkStart w:id="47" w:name="_Toc322936179"/>
      <w:bookmarkStart w:id="48" w:name="_Toc322936431"/>
      <w:bookmarkStart w:id="49" w:name="_Toc322940856"/>
      <w:bookmarkStart w:id="50" w:name="_Toc330388110"/>
      <w:bookmarkStart w:id="51" w:name="_Toc330388371"/>
      <w:bookmarkStart w:id="52" w:name="_Toc330390621"/>
      <w:bookmarkStart w:id="53" w:name="_Toc330391378"/>
      <w:bookmarkStart w:id="54" w:name="_Toc330391758"/>
      <w:bookmarkStart w:id="55" w:name="_Toc331429646"/>
      <w:bookmarkStart w:id="56" w:name="_Toc331690581"/>
      <w:bookmarkStart w:id="57" w:name="_Toc333476882"/>
      <w:bookmarkStart w:id="58" w:name="_Toc333477021"/>
      <w:bookmarkStart w:id="59" w:name="_Toc333477362"/>
      <w:bookmarkStart w:id="60" w:name="_Toc333479326"/>
      <w:bookmarkStart w:id="61" w:name="_Toc333482550"/>
      <w:bookmarkStart w:id="62" w:name="_Toc333562806"/>
      <w:bookmarkStart w:id="63" w:name="_Toc333573832"/>
      <w:bookmarkStart w:id="64" w:name="_Toc333590665"/>
      <w:bookmarkStart w:id="65" w:name="_Toc334027673"/>
      <w:bookmarkStart w:id="66" w:name="_Toc325557780"/>
      <w:bookmarkStart w:id="67" w:name="_Toc326236592"/>
      <w:bookmarkStart w:id="68" w:name="_Toc326310464"/>
      <w:bookmarkStart w:id="69" w:name="_Toc326395893"/>
      <w:bookmarkStart w:id="70" w:name="_Toc327342961"/>
      <w:bookmarkStart w:id="71" w:name="_Toc327349949"/>
      <w:bookmarkStart w:id="72" w:name="_Toc327352586"/>
      <w:bookmarkStart w:id="73" w:name="_Toc327465305"/>
      <w:bookmarkStart w:id="74" w:name="_Toc329095464"/>
      <w:bookmarkStart w:id="75" w:name="_Toc329846220"/>
      <w:bookmarkStart w:id="76" w:name="_Toc329879759"/>
      <w:bookmarkStart w:id="77" w:name="_Toc329941156"/>
      <w:bookmarkStart w:id="78" w:name="_Toc330283953"/>
      <w:bookmarkStart w:id="79" w:name="_Toc330302898"/>
      <w:bookmarkStart w:id="80" w:name="_Ref332609631"/>
      <w:bookmarkStart w:id="81" w:name="_Ref332609661"/>
      <w:bookmarkStart w:id="82" w:name="_Ref334102326"/>
      <w:bookmarkStart w:id="83" w:name="_Ref334102354"/>
      <w:bookmarkStart w:id="84" w:name="_Toc33419961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914CA15" w14:textId="4F611AA5" w:rsidR="002820B6" w:rsidRPr="00490DED" w:rsidRDefault="00527742" w:rsidP="007E7C2A">
      <w:pPr>
        <w:pStyle w:val="ParaNum"/>
        <w:tabs>
          <w:tab w:val="clear" w:pos="1080"/>
          <w:tab w:val="num" w:pos="1440"/>
        </w:tabs>
      </w:pPr>
      <w:r w:rsidRPr="00490DED">
        <w:t xml:space="preserve">This Order addresses the </w:t>
      </w:r>
      <w:r w:rsidR="00F37F48">
        <w:t>w</w:t>
      </w:r>
      <w:r w:rsidR="00F37F48" w:rsidRPr="00490DED">
        <w:t xml:space="preserve">aiver </w:t>
      </w:r>
      <w:r w:rsidR="00F37F48">
        <w:t>r</w:t>
      </w:r>
      <w:r w:rsidR="00F37F48" w:rsidRPr="00490DED">
        <w:t>equests</w:t>
      </w:r>
      <w:r w:rsidR="00862DCB">
        <w:t xml:space="preserve"> </w:t>
      </w:r>
      <w:r w:rsidR="00F37F48">
        <w:t xml:space="preserve">filed by </w:t>
      </w:r>
      <w:r w:rsidR="003F667E">
        <w:t>Pacific Comnex, Inc. (Pacific Comnex),</w:t>
      </w:r>
      <w:r w:rsidR="00862DCB">
        <w:rPr>
          <w:rStyle w:val="FootnoteReference"/>
        </w:rPr>
        <w:footnoteReference w:id="2"/>
      </w:r>
      <w:r w:rsidR="003F667E">
        <w:t xml:space="preserve"> Tradewinds Wireless Holdings, LLC (Tradewinds),</w:t>
      </w:r>
      <w:r w:rsidR="00862DCB">
        <w:rPr>
          <w:rStyle w:val="FootnoteReference"/>
        </w:rPr>
        <w:footnoteReference w:id="3"/>
      </w:r>
      <w:r w:rsidR="003F667E">
        <w:t xml:space="preserve"> and Nova Wireless, LLC (Nova)</w:t>
      </w:r>
      <w:r w:rsidR="00B45A0D">
        <w:t>,</w:t>
      </w:r>
      <w:r w:rsidR="00862DCB">
        <w:rPr>
          <w:rStyle w:val="FootnoteReference"/>
        </w:rPr>
        <w:footnoteReference w:id="4"/>
      </w:r>
      <w:r w:rsidR="003F667E">
        <w:t xml:space="preserve"> </w:t>
      </w:r>
      <w:r w:rsidR="00F37F48">
        <w:t>regarding their applications to license spectrum in</w:t>
      </w:r>
      <w:r w:rsidR="005B28A3">
        <w:t xml:space="preserve"> the </w:t>
      </w:r>
      <w:r w:rsidR="00C335D9" w:rsidRPr="00490DED">
        <w:t xml:space="preserve">new 600 MHz </w:t>
      </w:r>
      <w:r w:rsidR="00F37F48">
        <w:t>Band</w:t>
      </w:r>
      <w:r w:rsidR="00F37F48" w:rsidRPr="00490DED">
        <w:t xml:space="preserve"> </w:t>
      </w:r>
      <w:r w:rsidR="005B094F">
        <w:t>pursuant to the</w:t>
      </w:r>
      <w:r w:rsidR="008447F3">
        <w:t xml:space="preserve"> forward auction of the</w:t>
      </w:r>
      <w:r w:rsidR="005B094F">
        <w:t xml:space="preserve"> </w:t>
      </w:r>
      <w:r w:rsidR="008447F3">
        <w:t xml:space="preserve">broadcast </w:t>
      </w:r>
      <w:r w:rsidR="005B094F">
        <w:t xml:space="preserve">incentive auction </w:t>
      </w:r>
      <w:r w:rsidR="00C335D9" w:rsidRPr="00490DED">
        <w:t>(Auction 1002)</w:t>
      </w:r>
      <w:r w:rsidR="00B67A6D" w:rsidRPr="00490DED">
        <w:t xml:space="preserve">. </w:t>
      </w:r>
      <w:r w:rsidR="00D95640">
        <w:t xml:space="preserve"> </w:t>
      </w:r>
      <w:r w:rsidR="0094795F">
        <w:t>The</w:t>
      </w:r>
      <w:r w:rsidR="00B7584D">
        <w:t>se</w:t>
      </w:r>
      <w:r w:rsidR="0094795F">
        <w:t xml:space="preserve"> three </w:t>
      </w:r>
      <w:r w:rsidR="00565D37">
        <w:t>applicants</w:t>
      </w:r>
      <w:r w:rsidR="00B67A6D" w:rsidRPr="00490DED">
        <w:t xml:space="preserve"> failed to timely file one or more of the required forms by the deadline established in the </w:t>
      </w:r>
      <w:r w:rsidR="003F667E" w:rsidRPr="003F667E">
        <w:rPr>
          <w:i/>
        </w:rPr>
        <w:t>Closing and Channel Reassignment Public Notice</w:t>
      </w:r>
      <w:r w:rsidR="003F667E" w:rsidRPr="003F667E">
        <w:rPr>
          <w:rStyle w:val="FootnoteReference"/>
          <w:i/>
          <w:sz w:val="22"/>
          <w:vertAlign w:val="baseline"/>
        </w:rPr>
        <w:t xml:space="preserve"> </w:t>
      </w:r>
      <w:r w:rsidR="00B67A6D" w:rsidRPr="00490DED">
        <w:rPr>
          <w:rStyle w:val="FootnoteReference"/>
          <w:sz w:val="22"/>
          <w:szCs w:val="22"/>
        </w:rPr>
        <w:footnoteReference w:id="5"/>
      </w:r>
      <w:r w:rsidR="00DF0C66">
        <w:t xml:space="preserve"> and </w:t>
      </w:r>
      <w:r w:rsidR="00B7584D">
        <w:t xml:space="preserve">each therefore </w:t>
      </w:r>
      <w:r w:rsidR="00DF0C66">
        <w:t>seek</w:t>
      </w:r>
      <w:r w:rsidR="00B7584D">
        <w:t>s</w:t>
      </w:r>
      <w:r w:rsidR="00DF0C66">
        <w:t xml:space="preserve"> </w:t>
      </w:r>
      <w:r w:rsidR="00B7584D">
        <w:t xml:space="preserve">a </w:t>
      </w:r>
      <w:r w:rsidR="00B67A6D" w:rsidRPr="00490DED">
        <w:t xml:space="preserve">waiver of the </w:t>
      </w:r>
      <w:r w:rsidR="006841D4">
        <w:t>deadline</w:t>
      </w:r>
      <w:r w:rsidR="00B67A6D" w:rsidRPr="00490DED">
        <w:t xml:space="preserve"> to allow for the late filing</w:t>
      </w:r>
      <w:r w:rsidR="00DF0C66">
        <w:t>s</w:t>
      </w:r>
      <w:r w:rsidR="00B67A6D" w:rsidRPr="00490DED">
        <w:t xml:space="preserve"> of the delinquent forms. </w:t>
      </w:r>
      <w:r w:rsidR="00762DF7">
        <w:t xml:space="preserve"> </w:t>
      </w:r>
      <w:r w:rsidR="00490DED" w:rsidRPr="00490DED">
        <w:rPr>
          <w:szCs w:val="22"/>
        </w:rPr>
        <w:t xml:space="preserve">For the reasons discussed below, we grant </w:t>
      </w:r>
      <w:r w:rsidR="00EE28B8">
        <w:rPr>
          <w:szCs w:val="22"/>
        </w:rPr>
        <w:t>these</w:t>
      </w:r>
      <w:r w:rsidR="00EE28B8" w:rsidRPr="00490DED">
        <w:rPr>
          <w:szCs w:val="22"/>
        </w:rPr>
        <w:t xml:space="preserve"> </w:t>
      </w:r>
      <w:r w:rsidR="00490DED" w:rsidRPr="00490DED">
        <w:rPr>
          <w:szCs w:val="22"/>
        </w:rPr>
        <w:t xml:space="preserve">waiver </w:t>
      </w:r>
      <w:r w:rsidR="00EE28B8">
        <w:rPr>
          <w:szCs w:val="22"/>
        </w:rPr>
        <w:t xml:space="preserve">requests </w:t>
      </w:r>
      <w:r w:rsidR="00490DED" w:rsidRPr="00490DED">
        <w:rPr>
          <w:szCs w:val="22"/>
        </w:rPr>
        <w:t xml:space="preserve">and accept </w:t>
      </w:r>
      <w:r w:rsidR="00490DED">
        <w:rPr>
          <w:szCs w:val="22"/>
        </w:rPr>
        <w:t xml:space="preserve">the </w:t>
      </w:r>
      <w:r w:rsidR="00656CDB">
        <w:rPr>
          <w:szCs w:val="22"/>
        </w:rPr>
        <w:t>applicants’</w:t>
      </w:r>
      <w:r w:rsidR="00656CDB" w:rsidRPr="00490DED">
        <w:rPr>
          <w:szCs w:val="22"/>
        </w:rPr>
        <w:t xml:space="preserve"> </w:t>
      </w:r>
      <w:r w:rsidR="00490DED" w:rsidRPr="00490DED">
        <w:rPr>
          <w:szCs w:val="22"/>
        </w:rPr>
        <w:t>late</w:t>
      </w:r>
      <w:r w:rsidR="00B7584D">
        <w:rPr>
          <w:szCs w:val="22"/>
        </w:rPr>
        <w:t>-filed</w:t>
      </w:r>
      <w:r w:rsidR="00490DED" w:rsidRPr="00490DED">
        <w:rPr>
          <w:szCs w:val="22"/>
        </w:rPr>
        <w:t xml:space="preserve"> submission</w:t>
      </w:r>
      <w:r w:rsidR="00490DED">
        <w:rPr>
          <w:szCs w:val="22"/>
        </w:rPr>
        <w:t>s.</w:t>
      </w:r>
    </w:p>
    <w:p w14:paraId="2A8847FD" w14:textId="77777777" w:rsidR="00D0575B" w:rsidRPr="00490DED" w:rsidRDefault="00D0575B" w:rsidP="00490DED">
      <w:pPr>
        <w:pStyle w:val="Heading1"/>
        <w:rPr>
          <w:rFonts w:ascii="Times New Roman" w:hAnsi="Times New Roman"/>
          <w:szCs w:val="22"/>
        </w:rPr>
      </w:pPr>
      <w:bookmarkStart w:id="85" w:name="_Toc426008465"/>
      <w:bookmarkStart w:id="86" w:name="_Toc426963369"/>
      <w:bookmarkStart w:id="87" w:name="_Toc426966595"/>
      <w:bookmarkStart w:id="88" w:name="_Toc427852470"/>
      <w:bookmarkStart w:id="89" w:name="_Toc430964721"/>
      <w:bookmarkStart w:id="90" w:name="_Toc431201472"/>
      <w:r w:rsidRPr="00490DED">
        <w:rPr>
          <w:rFonts w:ascii="Times New Roman" w:hAnsi="Times New Roman"/>
          <w:szCs w:val="22"/>
        </w:rPr>
        <w:t>BACKGROUND</w:t>
      </w:r>
      <w:bookmarkEnd w:id="85"/>
      <w:bookmarkEnd w:id="86"/>
      <w:bookmarkEnd w:id="87"/>
      <w:bookmarkEnd w:id="88"/>
      <w:bookmarkEnd w:id="89"/>
      <w:bookmarkEnd w:id="90"/>
    </w:p>
    <w:p w14:paraId="22318454" w14:textId="4ACE340B" w:rsidR="00490DED" w:rsidRPr="00490DED" w:rsidRDefault="00490DED" w:rsidP="007E7C2A">
      <w:pPr>
        <w:pStyle w:val="ParaNum"/>
        <w:tabs>
          <w:tab w:val="clear" w:pos="1080"/>
          <w:tab w:val="num" w:pos="1440"/>
        </w:tabs>
      </w:pPr>
      <w:r>
        <w:t>On April 13, 2017, the Commission released t</w:t>
      </w:r>
      <w:r w:rsidR="00527742" w:rsidRPr="00490DED">
        <w:t xml:space="preserve">he </w:t>
      </w:r>
      <w:r w:rsidR="00D57996" w:rsidRPr="00D57996">
        <w:rPr>
          <w:i/>
        </w:rPr>
        <w:t>Closing and Channel Reassignment Public Notice</w:t>
      </w:r>
      <w:r w:rsidR="00D57996">
        <w:t>,</w:t>
      </w:r>
      <w:r w:rsidR="00D57996" w:rsidRPr="00D57996">
        <w:rPr>
          <w:i/>
        </w:rPr>
        <w:t xml:space="preserve"> </w:t>
      </w:r>
      <w:r>
        <w:t>announcing</w:t>
      </w:r>
      <w:r w:rsidR="00527742" w:rsidRPr="00490DED">
        <w:t xml:space="preserve"> the winning </w:t>
      </w:r>
      <w:r w:rsidR="00527742" w:rsidRPr="007E7C2A">
        <w:rPr>
          <w:szCs w:val="22"/>
        </w:rPr>
        <w:t>bidders</w:t>
      </w:r>
      <w:r w:rsidR="00527742" w:rsidRPr="00490DED">
        <w:t xml:space="preserve"> in </w:t>
      </w:r>
      <w:r w:rsidR="00B67A6D" w:rsidRPr="00490DED">
        <w:t>Auction 1002</w:t>
      </w:r>
      <w:r>
        <w:t xml:space="preserve"> and establishing post-auction procedures and deadlines</w:t>
      </w:r>
      <w:r w:rsidR="00766E82" w:rsidRPr="00490DED">
        <w:t>.</w:t>
      </w:r>
      <w:r w:rsidR="00072ACD" w:rsidRPr="00490DED">
        <w:rPr>
          <w:rStyle w:val="FootnoteReference"/>
          <w:sz w:val="22"/>
          <w:szCs w:val="22"/>
        </w:rPr>
        <w:footnoteReference w:id="6"/>
      </w:r>
      <w:r w:rsidR="00072ACD" w:rsidRPr="00490DED">
        <w:t xml:space="preserve">  </w:t>
      </w:r>
      <w:r w:rsidR="00766E82" w:rsidRPr="00490DED">
        <w:t xml:space="preserve">By </w:t>
      </w:r>
      <w:r w:rsidR="00D0575B" w:rsidRPr="00490DED">
        <w:t xml:space="preserve">6:00 p.m. ET on April 27, 2017, winning bidders in Auction 1002 were required to </w:t>
      </w:r>
      <w:r w:rsidR="003F667E" w:rsidRPr="003F667E">
        <w:lastRenderedPageBreak/>
        <w:t xml:space="preserve">have on deposit with the Commission enough funds to cover </w:t>
      </w:r>
      <w:r w:rsidR="003F667E">
        <w:t>the</w:t>
      </w:r>
      <w:r w:rsidR="00C335D9" w:rsidRPr="00490DED">
        <w:t xml:space="preserve"> </w:t>
      </w:r>
      <w:r w:rsidR="003F667E">
        <w:t>down payment on their winning bids</w:t>
      </w:r>
      <w:r w:rsidR="00C335D9" w:rsidRPr="00490DED">
        <w:t>.</w:t>
      </w:r>
      <w:r w:rsidR="00D0575B" w:rsidRPr="00490DED">
        <w:rPr>
          <w:rStyle w:val="FootnoteReference"/>
          <w:sz w:val="22"/>
          <w:szCs w:val="22"/>
        </w:rPr>
        <w:footnoteReference w:id="7"/>
      </w:r>
      <w:r w:rsidR="00D0575B" w:rsidRPr="00490DED">
        <w:t xml:space="preserve">  By the same deadline, winning bidders</w:t>
      </w:r>
      <w:r w:rsidR="00C5655E" w:rsidRPr="00490DED">
        <w:t xml:space="preserve"> </w:t>
      </w:r>
      <w:r w:rsidR="00D0575B" w:rsidRPr="00490DED">
        <w:t>were required to submit the long-form application for authorization</w:t>
      </w:r>
      <w:r w:rsidR="00C5655E" w:rsidRPr="00490DED">
        <w:t xml:space="preserve"> (FCC Form 601)</w:t>
      </w:r>
      <w:r w:rsidR="00D0575B" w:rsidRPr="00490DED">
        <w:rPr>
          <w:rStyle w:val="FootnoteReference"/>
          <w:sz w:val="22"/>
          <w:szCs w:val="22"/>
        </w:rPr>
        <w:footnoteReference w:id="8"/>
      </w:r>
      <w:r w:rsidR="00D0575B" w:rsidRPr="00490DED">
        <w:t xml:space="preserve"> </w:t>
      </w:r>
      <w:r w:rsidR="007C6CBB">
        <w:t>and</w:t>
      </w:r>
      <w:r w:rsidR="00D0575B" w:rsidRPr="00490DED">
        <w:t xml:space="preserve"> </w:t>
      </w:r>
      <w:r w:rsidR="007C6CBB">
        <w:t xml:space="preserve">ensure </w:t>
      </w:r>
      <w:r w:rsidR="0094795F">
        <w:t xml:space="preserve">that </w:t>
      </w:r>
      <w:r w:rsidR="00893566" w:rsidRPr="00490DED">
        <w:t>a current</w:t>
      </w:r>
      <w:r w:rsidR="00D0575B" w:rsidRPr="00490DED">
        <w:t xml:space="preserve"> ownership disclosure information report</w:t>
      </w:r>
      <w:r w:rsidR="00C5655E" w:rsidRPr="00490DED">
        <w:t xml:space="preserve"> (FCC Form 602)</w:t>
      </w:r>
      <w:r w:rsidR="007C6CBB">
        <w:t xml:space="preserve"> was on file with the Commission</w:t>
      </w:r>
      <w:r w:rsidR="00D0575B" w:rsidRPr="00490DED">
        <w:t>.</w:t>
      </w:r>
      <w:r w:rsidR="00D0575B" w:rsidRPr="00490DED">
        <w:rPr>
          <w:rStyle w:val="FootnoteReference"/>
          <w:sz w:val="22"/>
          <w:szCs w:val="22"/>
        </w:rPr>
        <w:footnoteReference w:id="9"/>
      </w:r>
      <w:r w:rsidR="00D0575B" w:rsidRPr="00490DED">
        <w:t xml:space="preserve">  </w:t>
      </w:r>
    </w:p>
    <w:p w14:paraId="493E8AB4" w14:textId="72CD41E4" w:rsidR="00D0575B" w:rsidRPr="005B28A3" w:rsidRDefault="00C335D9" w:rsidP="007E7C2A">
      <w:pPr>
        <w:pStyle w:val="ParaNum"/>
        <w:tabs>
          <w:tab w:val="clear" w:pos="1080"/>
          <w:tab w:val="num" w:pos="1440"/>
        </w:tabs>
        <w:rPr>
          <w:szCs w:val="22"/>
        </w:rPr>
      </w:pPr>
      <w:r w:rsidRPr="00490DED">
        <w:rPr>
          <w:szCs w:val="22"/>
        </w:rPr>
        <w:t xml:space="preserve">All three applicants </w:t>
      </w:r>
      <w:r w:rsidR="00B7584D">
        <w:rPr>
          <w:szCs w:val="22"/>
        </w:rPr>
        <w:t xml:space="preserve">made </w:t>
      </w:r>
      <w:r w:rsidRPr="00490DED">
        <w:rPr>
          <w:szCs w:val="22"/>
        </w:rPr>
        <w:t>their requisite down payments by the deadline</w:t>
      </w:r>
      <w:r w:rsidR="008203C3">
        <w:rPr>
          <w:szCs w:val="22"/>
        </w:rPr>
        <w:t xml:space="preserve">. </w:t>
      </w:r>
      <w:r w:rsidR="00D95640">
        <w:rPr>
          <w:szCs w:val="22"/>
        </w:rPr>
        <w:t xml:space="preserve"> </w:t>
      </w:r>
      <w:r w:rsidR="008203C3">
        <w:rPr>
          <w:szCs w:val="22"/>
        </w:rPr>
        <w:t>Each of the bidders also</w:t>
      </w:r>
      <w:r w:rsidR="00D57996">
        <w:rPr>
          <w:szCs w:val="22"/>
        </w:rPr>
        <w:t xml:space="preserve"> timely submit</w:t>
      </w:r>
      <w:r w:rsidR="003314F8">
        <w:rPr>
          <w:szCs w:val="22"/>
        </w:rPr>
        <w:t>ted</w:t>
      </w:r>
      <w:r w:rsidR="00D57996">
        <w:rPr>
          <w:szCs w:val="22"/>
        </w:rPr>
        <w:t xml:space="preserve"> their final payments</w:t>
      </w:r>
      <w:r w:rsidR="008E1942">
        <w:rPr>
          <w:szCs w:val="22"/>
        </w:rPr>
        <w:t xml:space="preserve"> by the May</w:t>
      </w:r>
      <w:r w:rsidR="00BD5A09">
        <w:rPr>
          <w:szCs w:val="22"/>
        </w:rPr>
        <w:t xml:space="preserve"> 11, 2017</w:t>
      </w:r>
      <w:r w:rsidR="00B7584D">
        <w:rPr>
          <w:szCs w:val="22"/>
        </w:rPr>
        <w:t>,</w:t>
      </w:r>
      <w:r w:rsidR="00BD5A09">
        <w:rPr>
          <w:szCs w:val="22"/>
        </w:rPr>
        <w:t xml:space="preserve"> </w:t>
      </w:r>
      <w:r w:rsidR="008E1942">
        <w:rPr>
          <w:szCs w:val="22"/>
        </w:rPr>
        <w:t>deadline</w:t>
      </w:r>
      <w:r w:rsidRPr="00490DED">
        <w:rPr>
          <w:szCs w:val="22"/>
        </w:rPr>
        <w:t>.</w:t>
      </w:r>
      <w:r w:rsidR="00D57996">
        <w:rPr>
          <w:rStyle w:val="FootnoteReference"/>
          <w:szCs w:val="22"/>
        </w:rPr>
        <w:footnoteReference w:id="10"/>
      </w:r>
      <w:r w:rsidRPr="00490DED">
        <w:rPr>
          <w:szCs w:val="22"/>
        </w:rPr>
        <w:t xml:space="preserve"> </w:t>
      </w:r>
      <w:r w:rsidR="00667C5A">
        <w:rPr>
          <w:szCs w:val="22"/>
        </w:rPr>
        <w:t xml:space="preserve"> </w:t>
      </w:r>
      <w:r w:rsidRPr="002A1E48">
        <w:rPr>
          <w:szCs w:val="22"/>
        </w:rPr>
        <w:t>However, Pacific Comnex</w:t>
      </w:r>
      <w:r w:rsidR="00D57996">
        <w:rPr>
          <w:szCs w:val="22"/>
        </w:rPr>
        <w:t xml:space="preserve"> </w:t>
      </w:r>
      <w:r w:rsidRPr="002A1E48">
        <w:rPr>
          <w:szCs w:val="22"/>
        </w:rPr>
        <w:t xml:space="preserve">failed to timely file </w:t>
      </w:r>
      <w:r w:rsidR="006F6525">
        <w:rPr>
          <w:szCs w:val="22"/>
        </w:rPr>
        <w:t>FCC</w:t>
      </w:r>
      <w:r w:rsidRPr="002A1E48">
        <w:rPr>
          <w:szCs w:val="22"/>
        </w:rPr>
        <w:t xml:space="preserve"> </w:t>
      </w:r>
      <w:r w:rsidR="002A1E48" w:rsidRPr="002A1E48">
        <w:rPr>
          <w:szCs w:val="22"/>
        </w:rPr>
        <w:t>Form 601 and</w:t>
      </w:r>
      <w:r w:rsidRPr="002A1E48">
        <w:rPr>
          <w:szCs w:val="22"/>
        </w:rPr>
        <w:t xml:space="preserve"> </w:t>
      </w:r>
      <w:r w:rsidR="006F6525">
        <w:rPr>
          <w:szCs w:val="22"/>
        </w:rPr>
        <w:t xml:space="preserve">FCC </w:t>
      </w:r>
      <w:r w:rsidRPr="002A1E48">
        <w:rPr>
          <w:szCs w:val="22"/>
        </w:rPr>
        <w:t>Form 602.</w:t>
      </w:r>
      <w:r w:rsidR="00667C5A">
        <w:rPr>
          <w:szCs w:val="22"/>
        </w:rPr>
        <w:t xml:space="preserve"> </w:t>
      </w:r>
      <w:r w:rsidRPr="002A1E48">
        <w:rPr>
          <w:szCs w:val="22"/>
        </w:rPr>
        <w:t xml:space="preserve"> Tradewinds</w:t>
      </w:r>
      <w:r w:rsidR="00490DED" w:rsidRPr="002A1E48">
        <w:rPr>
          <w:szCs w:val="22"/>
        </w:rPr>
        <w:t xml:space="preserve"> </w:t>
      </w:r>
      <w:r w:rsidRPr="002A1E48">
        <w:rPr>
          <w:szCs w:val="22"/>
        </w:rPr>
        <w:t>and Nova</w:t>
      </w:r>
      <w:r w:rsidR="00490DED" w:rsidRPr="002A1E48">
        <w:rPr>
          <w:szCs w:val="22"/>
        </w:rPr>
        <w:t xml:space="preserve"> </w:t>
      </w:r>
      <w:r w:rsidRPr="002A1E48">
        <w:rPr>
          <w:szCs w:val="22"/>
        </w:rPr>
        <w:t xml:space="preserve">timely filed their </w:t>
      </w:r>
      <w:r w:rsidR="00E233C5">
        <w:rPr>
          <w:szCs w:val="22"/>
        </w:rPr>
        <w:t xml:space="preserve">FCC Form 601 </w:t>
      </w:r>
      <w:r w:rsidRPr="002A1E48">
        <w:rPr>
          <w:szCs w:val="22"/>
        </w:rPr>
        <w:t>long</w:t>
      </w:r>
      <w:r w:rsidR="00E233C5">
        <w:rPr>
          <w:szCs w:val="22"/>
        </w:rPr>
        <w:t>-</w:t>
      </w:r>
      <w:r w:rsidRPr="002A1E48">
        <w:rPr>
          <w:szCs w:val="22"/>
        </w:rPr>
        <w:t xml:space="preserve">form applications, but failed to </w:t>
      </w:r>
      <w:r w:rsidR="00667C5A">
        <w:rPr>
          <w:szCs w:val="22"/>
        </w:rPr>
        <w:t>have</w:t>
      </w:r>
      <w:r w:rsidR="006F6525">
        <w:rPr>
          <w:szCs w:val="22"/>
        </w:rPr>
        <w:t xml:space="preserve"> </w:t>
      </w:r>
      <w:r w:rsidR="00667C5A">
        <w:rPr>
          <w:szCs w:val="22"/>
        </w:rPr>
        <w:t xml:space="preserve">a current </w:t>
      </w:r>
      <w:r w:rsidR="006F6525">
        <w:rPr>
          <w:szCs w:val="22"/>
        </w:rPr>
        <w:t>FCC</w:t>
      </w:r>
      <w:r w:rsidR="00D57996">
        <w:rPr>
          <w:szCs w:val="22"/>
        </w:rPr>
        <w:t xml:space="preserve"> Form 602</w:t>
      </w:r>
      <w:r w:rsidR="00667C5A">
        <w:rPr>
          <w:szCs w:val="22"/>
        </w:rPr>
        <w:t xml:space="preserve"> on file with the Commission</w:t>
      </w:r>
      <w:r w:rsidR="00D57996">
        <w:rPr>
          <w:szCs w:val="22"/>
        </w:rPr>
        <w:t xml:space="preserve"> by the deadline. </w:t>
      </w:r>
      <w:r w:rsidR="00D95640">
        <w:rPr>
          <w:szCs w:val="22"/>
        </w:rPr>
        <w:t xml:space="preserve"> </w:t>
      </w:r>
      <w:r w:rsidRPr="005B28A3">
        <w:rPr>
          <w:szCs w:val="22"/>
        </w:rPr>
        <w:t xml:space="preserve">These three bidders </w:t>
      </w:r>
      <w:r w:rsidR="005B094F">
        <w:rPr>
          <w:szCs w:val="22"/>
        </w:rPr>
        <w:t>subsequently</w:t>
      </w:r>
      <w:r w:rsidRPr="005B28A3">
        <w:rPr>
          <w:szCs w:val="22"/>
        </w:rPr>
        <w:t xml:space="preserve"> filed the required forms along with requests to waive the filing deadline.</w:t>
      </w:r>
      <w:r w:rsidR="00A20A6E">
        <w:rPr>
          <w:rStyle w:val="FootnoteReference"/>
          <w:szCs w:val="22"/>
        </w:rPr>
        <w:footnoteReference w:id="11"/>
      </w:r>
      <w:r w:rsidRPr="005B28A3">
        <w:rPr>
          <w:szCs w:val="22"/>
        </w:rPr>
        <w:t xml:space="preserve">  </w:t>
      </w:r>
    </w:p>
    <w:p w14:paraId="05BC0B88" w14:textId="020ED4AF" w:rsidR="00D0575B" w:rsidRPr="00490DED" w:rsidRDefault="00D0575B" w:rsidP="00490DED">
      <w:pPr>
        <w:pStyle w:val="Heading2"/>
        <w:rPr>
          <w:szCs w:val="22"/>
        </w:rPr>
      </w:pPr>
      <w:r w:rsidRPr="00490DED">
        <w:rPr>
          <w:szCs w:val="22"/>
        </w:rPr>
        <w:t>Pacific Comnex</w:t>
      </w:r>
      <w:r w:rsidR="00B7431A" w:rsidRPr="00490DED">
        <w:rPr>
          <w:szCs w:val="22"/>
        </w:rPr>
        <w:t>, Inc.</w:t>
      </w:r>
    </w:p>
    <w:p w14:paraId="6429D8B7" w14:textId="3668273C" w:rsidR="002D3C48" w:rsidRPr="005B28A3" w:rsidRDefault="00D0575B" w:rsidP="007E7C2A">
      <w:pPr>
        <w:pStyle w:val="ParaNum"/>
        <w:tabs>
          <w:tab w:val="clear" w:pos="1080"/>
          <w:tab w:val="num" w:pos="1440"/>
        </w:tabs>
      </w:pPr>
      <w:r w:rsidRPr="005B28A3">
        <w:t xml:space="preserve">Pacific Comnex </w:t>
      </w:r>
      <w:r w:rsidR="00F01020">
        <w:t xml:space="preserve">states </w:t>
      </w:r>
      <w:r w:rsidR="00B7584D">
        <w:t xml:space="preserve">that </w:t>
      </w:r>
      <w:r w:rsidRPr="005B28A3">
        <w:t>good cause exists for waiver of the</w:t>
      </w:r>
      <w:r w:rsidR="007A1392" w:rsidRPr="005B28A3">
        <w:t xml:space="preserve"> </w:t>
      </w:r>
      <w:r w:rsidRPr="005B28A3">
        <w:t>filing d</w:t>
      </w:r>
      <w:r w:rsidR="00766E82" w:rsidRPr="005B28A3">
        <w:t>eadline</w:t>
      </w:r>
      <w:r w:rsidRPr="005B28A3">
        <w:t xml:space="preserve"> for submission of</w:t>
      </w:r>
      <w:r w:rsidR="00320B7E" w:rsidRPr="005B28A3">
        <w:t xml:space="preserve"> </w:t>
      </w:r>
      <w:r w:rsidR="00F01020">
        <w:t xml:space="preserve">its </w:t>
      </w:r>
      <w:r w:rsidR="00320B7E" w:rsidRPr="005B28A3">
        <w:t>FCC</w:t>
      </w:r>
      <w:r w:rsidRPr="005B28A3">
        <w:t xml:space="preserve"> Form 601</w:t>
      </w:r>
      <w:r w:rsidR="00C474E0" w:rsidRPr="005B28A3">
        <w:t>.</w:t>
      </w:r>
      <w:r w:rsidR="00A66346" w:rsidRPr="00490DED">
        <w:rPr>
          <w:rStyle w:val="FootnoteReference"/>
          <w:sz w:val="22"/>
          <w:szCs w:val="22"/>
        </w:rPr>
        <w:footnoteReference w:id="12"/>
      </w:r>
      <w:r w:rsidR="00C474E0" w:rsidRPr="005B28A3">
        <w:t xml:space="preserve"> </w:t>
      </w:r>
      <w:r w:rsidR="00D95640">
        <w:t xml:space="preserve"> </w:t>
      </w:r>
      <w:r w:rsidR="001734E5">
        <w:t xml:space="preserve">The </w:t>
      </w:r>
      <w:r w:rsidR="00784D92">
        <w:t>applicant also requests</w:t>
      </w:r>
      <w:r w:rsidR="00255F15">
        <w:t xml:space="preserve"> waiver </w:t>
      </w:r>
      <w:r w:rsidR="00784D92">
        <w:t>for late submission of</w:t>
      </w:r>
      <w:r w:rsidR="00255F15">
        <w:t xml:space="preserve"> FCC </w:t>
      </w:r>
      <w:r w:rsidR="001734E5">
        <w:t>Form 602</w:t>
      </w:r>
      <w:r w:rsidR="00255F15">
        <w:t xml:space="preserve"> </w:t>
      </w:r>
      <w:r w:rsidR="00884146">
        <w:t>pursuant to Section 1.925(b)(3)</w:t>
      </w:r>
      <w:r w:rsidR="001734E5">
        <w:t>.</w:t>
      </w:r>
      <w:r w:rsidR="001734E5">
        <w:rPr>
          <w:rStyle w:val="FootnoteReference"/>
          <w:szCs w:val="22"/>
        </w:rPr>
        <w:footnoteReference w:id="13"/>
      </w:r>
      <w:r w:rsidR="001734E5">
        <w:t xml:space="preserve"> </w:t>
      </w:r>
      <w:r w:rsidR="00D95640">
        <w:t xml:space="preserve"> </w:t>
      </w:r>
      <w:r w:rsidR="005B28A3" w:rsidRPr="005B28A3">
        <w:t xml:space="preserve">In </w:t>
      </w:r>
      <w:r w:rsidR="005B28A3" w:rsidRPr="007E7C2A">
        <w:rPr>
          <w:szCs w:val="22"/>
        </w:rPr>
        <w:t>its</w:t>
      </w:r>
      <w:r w:rsidR="005B28A3" w:rsidRPr="005B28A3">
        <w:t xml:space="preserve"> waiver request,</w:t>
      </w:r>
      <w:r w:rsidR="005B28A3">
        <w:t xml:space="preserve"> Pacific Comnex </w:t>
      </w:r>
      <w:r w:rsidRPr="005B28A3">
        <w:t xml:space="preserve">argues </w:t>
      </w:r>
      <w:r w:rsidR="00B7584D">
        <w:t xml:space="preserve">that </w:t>
      </w:r>
      <w:r w:rsidR="00610651" w:rsidRPr="005B28A3">
        <w:t xml:space="preserve">strict </w:t>
      </w:r>
      <w:r w:rsidRPr="005B28A3">
        <w:t>application of the rule in the present circumstances is not necessary</w:t>
      </w:r>
      <w:r w:rsidR="00A66346" w:rsidRPr="005B28A3">
        <w:t xml:space="preserve"> to serve the rule’s underlying </w:t>
      </w:r>
      <w:r w:rsidRPr="005B28A3">
        <w:t>purpose</w:t>
      </w:r>
      <w:r w:rsidR="009F7CF3" w:rsidRPr="005B28A3">
        <w:t xml:space="preserve">, and </w:t>
      </w:r>
      <w:r w:rsidR="00B7584D">
        <w:t xml:space="preserve">that </w:t>
      </w:r>
      <w:r w:rsidR="009F7CF3" w:rsidRPr="005B28A3">
        <w:t>denial of the waiver would be both inequitable and contrary to the public interest</w:t>
      </w:r>
      <w:r w:rsidRPr="005B28A3">
        <w:t>.</w:t>
      </w:r>
      <w:r w:rsidR="00A66346" w:rsidRPr="00490DED">
        <w:rPr>
          <w:rStyle w:val="FootnoteReference"/>
          <w:sz w:val="22"/>
          <w:szCs w:val="22"/>
        </w:rPr>
        <w:footnoteReference w:id="14"/>
      </w:r>
      <w:r w:rsidR="00F725D1" w:rsidRPr="005B28A3">
        <w:t xml:space="preserve"> </w:t>
      </w:r>
      <w:r w:rsidR="00D95640">
        <w:t xml:space="preserve"> </w:t>
      </w:r>
      <w:r w:rsidR="009F7CF3" w:rsidRPr="005B28A3">
        <w:t xml:space="preserve">The applicant asserts </w:t>
      </w:r>
      <w:r w:rsidR="00B7584D">
        <w:t xml:space="preserve">that </w:t>
      </w:r>
      <w:r w:rsidR="009F7CF3" w:rsidRPr="005B28A3">
        <w:t xml:space="preserve">it gained no advantage in filing its </w:t>
      </w:r>
      <w:r w:rsidR="00F55AC6">
        <w:t>long-</w:t>
      </w:r>
      <w:r w:rsidR="009F7CF3" w:rsidRPr="005B28A3">
        <w:t xml:space="preserve">form application late, and </w:t>
      </w:r>
      <w:r w:rsidR="00B7584D">
        <w:t xml:space="preserve">that </w:t>
      </w:r>
      <w:r w:rsidR="009F7CF3" w:rsidRPr="005B28A3">
        <w:t xml:space="preserve">no party </w:t>
      </w:r>
      <w:r w:rsidR="00B7584D">
        <w:t xml:space="preserve">would be </w:t>
      </w:r>
      <w:r w:rsidR="009F7CF3" w:rsidRPr="005B28A3">
        <w:t>disadvantaged or harmed by grant of the requested waiver.</w:t>
      </w:r>
      <w:r w:rsidR="00A66346" w:rsidRPr="00490DED">
        <w:rPr>
          <w:rStyle w:val="FootnoteReference"/>
          <w:sz w:val="22"/>
          <w:szCs w:val="22"/>
        </w:rPr>
        <w:footnoteReference w:id="15"/>
      </w:r>
      <w:r w:rsidR="009F7CF3" w:rsidRPr="005B28A3">
        <w:t xml:space="preserve"> </w:t>
      </w:r>
      <w:r w:rsidR="00D95640">
        <w:t xml:space="preserve"> </w:t>
      </w:r>
      <w:r w:rsidR="002D3C48" w:rsidRPr="005B28A3">
        <w:t>Pacific Comnex</w:t>
      </w:r>
      <w:r w:rsidRPr="005B28A3">
        <w:t xml:space="preserve"> </w:t>
      </w:r>
      <w:r w:rsidR="009F7CF3" w:rsidRPr="005B28A3">
        <w:t>states</w:t>
      </w:r>
      <w:r w:rsidRPr="005B28A3">
        <w:t xml:space="preserve"> its late filing was the result of an “inadvertent misreading of the Commission’s requirements,”</w:t>
      </w:r>
      <w:r w:rsidR="0006769C">
        <w:rPr>
          <w:rStyle w:val="FootnoteReference"/>
        </w:rPr>
        <w:footnoteReference w:id="16"/>
      </w:r>
      <w:r w:rsidRPr="005B28A3">
        <w:t xml:space="preserve"> explaining that because </w:t>
      </w:r>
      <w:r w:rsidR="002D3C48" w:rsidRPr="005B28A3">
        <w:t>it</w:t>
      </w:r>
      <w:r w:rsidRPr="005B28A3">
        <w:t xml:space="preserve"> </w:t>
      </w:r>
      <w:r w:rsidR="00B7584D">
        <w:t xml:space="preserve">had already </w:t>
      </w:r>
      <w:r w:rsidRPr="005B28A3">
        <w:t xml:space="preserve">met its financial </w:t>
      </w:r>
      <w:r w:rsidR="00B03227">
        <w:t xml:space="preserve">down payment </w:t>
      </w:r>
      <w:r w:rsidRPr="005B28A3">
        <w:t xml:space="preserve">obligation before April 27, 2017, it mistakenly concluded no further action was required until the final payment </w:t>
      </w:r>
      <w:r w:rsidR="00B03227">
        <w:t xml:space="preserve">deadline </w:t>
      </w:r>
      <w:r w:rsidRPr="005B28A3">
        <w:t>on May 11, 2017</w:t>
      </w:r>
      <w:r w:rsidR="00A66346" w:rsidRPr="005B28A3">
        <w:t>.</w:t>
      </w:r>
      <w:r w:rsidR="00A66346" w:rsidRPr="00490DED">
        <w:rPr>
          <w:rStyle w:val="FootnoteReference"/>
          <w:sz w:val="22"/>
          <w:szCs w:val="22"/>
        </w:rPr>
        <w:footnoteReference w:id="17"/>
      </w:r>
      <w:r w:rsidR="007A1392" w:rsidRPr="005B28A3">
        <w:t xml:space="preserve"> </w:t>
      </w:r>
      <w:r w:rsidRPr="005B28A3">
        <w:t xml:space="preserve"> </w:t>
      </w:r>
    </w:p>
    <w:p w14:paraId="0C4F69B3" w14:textId="276F38B1" w:rsidR="00D0575B" w:rsidRPr="00490DED" w:rsidRDefault="00D0575B" w:rsidP="00490DED">
      <w:pPr>
        <w:pStyle w:val="Heading2"/>
        <w:rPr>
          <w:szCs w:val="22"/>
        </w:rPr>
      </w:pPr>
      <w:r w:rsidRPr="00490DED">
        <w:rPr>
          <w:szCs w:val="22"/>
        </w:rPr>
        <w:t xml:space="preserve">Tradewinds </w:t>
      </w:r>
      <w:r w:rsidR="00B7431A" w:rsidRPr="00490DED">
        <w:rPr>
          <w:szCs w:val="22"/>
        </w:rPr>
        <w:t>Wireless Holdings, LLC</w:t>
      </w:r>
    </w:p>
    <w:p w14:paraId="279A794B" w14:textId="1DC5D9A6" w:rsidR="00CD4776" w:rsidRPr="00393F82" w:rsidRDefault="002F2DB3" w:rsidP="007E7C2A">
      <w:pPr>
        <w:pStyle w:val="ParaNum"/>
        <w:tabs>
          <w:tab w:val="clear" w:pos="1080"/>
          <w:tab w:val="num" w:pos="1440"/>
        </w:tabs>
        <w:rPr>
          <w:szCs w:val="22"/>
        </w:rPr>
      </w:pPr>
      <w:r w:rsidRPr="00490DED">
        <w:t xml:space="preserve">In support of its </w:t>
      </w:r>
      <w:r w:rsidR="00255F15">
        <w:t xml:space="preserve">waiver </w:t>
      </w:r>
      <w:r w:rsidRPr="00490DED">
        <w:t xml:space="preserve">request, </w:t>
      </w:r>
      <w:r w:rsidR="001B1FBF" w:rsidRPr="00490DED">
        <w:t>Tradewinds</w:t>
      </w:r>
      <w:r w:rsidR="00A623D9">
        <w:t xml:space="preserve"> </w:t>
      </w:r>
      <w:r w:rsidR="001B1FBF" w:rsidRPr="00490DED">
        <w:t xml:space="preserve">argues </w:t>
      </w:r>
      <w:r w:rsidR="00B03227">
        <w:t xml:space="preserve">that </w:t>
      </w:r>
      <w:r w:rsidR="001B1FBF" w:rsidRPr="00490DED">
        <w:t xml:space="preserve">waiver of </w:t>
      </w:r>
      <w:r w:rsidR="00CF1DC1" w:rsidRPr="00490DED">
        <w:t xml:space="preserve">the </w:t>
      </w:r>
      <w:r w:rsidR="001B1FBF" w:rsidRPr="00490DED">
        <w:t xml:space="preserve">Form 602 filing date is warranted under both waiver </w:t>
      </w:r>
      <w:r w:rsidR="001B1FBF" w:rsidRPr="007E7C2A">
        <w:rPr>
          <w:szCs w:val="22"/>
        </w:rPr>
        <w:t>provisions</w:t>
      </w:r>
      <w:r w:rsidR="001B1FBF" w:rsidRPr="00490DED">
        <w:t xml:space="preserve"> of Section 1.925(b)(3).</w:t>
      </w:r>
      <w:r w:rsidR="001B1FBF" w:rsidRPr="00490DED">
        <w:rPr>
          <w:rStyle w:val="FootnoteReference"/>
          <w:sz w:val="22"/>
          <w:szCs w:val="22"/>
        </w:rPr>
        <w:footnoteReference w:id="18"/>
      </w:r>
      <w:r w:rsidR="001B1FBF" w:rsidRPr="00490DED">
        <w:t xml:space="preserve">  </w:t>
      </w:r>
      <w:r w:rsidR="00CD4776" w:rsidRPr="00490DED">
        <w:t>Tradewinds asserts</w:t>
      </w:r>
      <w:r w:rsidR="005B094F">
        <w:t xml:space="preserve"> that</w:t>
      </w:r>
      <w:r w:rsidR="00CD4776" w:rsidRPr="00490DED">
        <w:t xml:space="preserve"> strict application of Section 1.2107(f) in this instance would frustrate the rule’s purpose and run counter to the </w:t>
      </w:r>
      <w:r w:rsidR="00CD4776" w:rsidRPr="00490DED">
        <w:lastRenderedPageBreak/>
        <w:t>public interest.</w:t>
      </w:r>
      <w:r w:rsidR="001E3C15" w:rsidRPr="00490DED">
        <w:rPr>
          <w:rStyle w:val="FootnoteReference"/>
          <w:sz w:val="22"/>
          <w:szCs w:val="22"/>
        </w:rPr>
        <w:footnoteReference w:id="19"/>
      </w:r>
      <w:r w:rsidR="00CD4776" w:rsidRPr="00490DED">
        <w:t xml:space="preserve"> </w:t>
      </w:r>
      <w:r w:rsidR="00D95640">
        <w:t xml:space="preserve"> </w:t>
      </w:r>
      <w:r w:rsidR="00CD4776" w:rsidRPr="00490DED">
        <w:t xml:space="preserve">Tradewinds explains its late filing was “inadvertent” and the result of </w:t>
      </w:r>
      <w:r w:rsidR="00CF1DC1" w:rsidRPr="00490DED">
        <w:t>its</w:t>
      </w:r>
      <w:r w:rsidR="00CD4776" w:rsidRPr="00490DED">
        <w:t xml:space="preserve"> mistaken belief that </w:t>
      </w:r>
      <w:r w:rsidR="00CF1DC1" w:rsidRPr="00490DED">
        <w:t xml:space="preserve">it already had </w:t>
      </w:r>
      <w:r w:rsidR="00CD4776" w:rsidRPr="00490DED">
        <w:t>a current Form 602 on file.</w:t>
      </w:r>
      <w:r w:rsidR="00CD4776" w:rsidRPr="00490DED">
        <w:rPr>
          <w:rStyle w:val="FootnoteReference"/>
          <w:sz w:val="22"/>
          <w:szCs w:val="22"/>
        </w:rPr>
        <w:footnoteReference w:id="20"/>
      </w:r>
      <w:r w:rsidR="00CD4776" w:rsidRPr="00490DED">
        <w:t xml:space="preserve">  Tradewinds</w:t>
      </w:r>
      <w:r w:rsidR="008F1C6B">
        <w:t xml:space="preserve"> also</w:t>
      </w:r>
      <w:r w:rsidR="00CD4776" w:rsidRPr="00490DED">
        <w:t xml:space="preserve"> highlights that </w:t>
      </w:r>
      <w:r w:rsidR="006D52BE">
        <w:t xml:space="preserve">it timely filed </w:t>
      </w:r>
      <w:r w:rsidR="006D52BE" w:rsidRPr="00393F82">
        <w:rPr>
          <w:szCs w:val="22"/>
        </w:rPr>
        <w:t>all other required forms</w:t>
      </w:r>
      <w:r w:rsidR="00CD4776" w:rsidRPr="00490DED">
        <w:t xml:space="preserve">, </w:t>
      </w:r>
      <w:r w:rsidR="00CF1DC1" w:rsidRPr="00490DED">
        <w:t>and</w:t>
      </w:r>
      <w:r w:rsidR="00371FC7">
        <w:t xml:space="preserve"> that it </w:t>
      </w:r>
      <w:r w:rsidR="00CD4776" w:rsidRPr="00490DED">
        <w:t xml:space="preserve">filed Form 602 without delay </w:t>
      </w:r>
      <w:r w:rsidR="00371FC7">
        <w:t>after learning of its delinquency</w:t>
      </w:r>
      <w:r w:rsidR="001E3C15" w:rsidRPr="00490DED">
        <w:t>.</w:t>
      </w:r>
      <w:r w:rsidR="001E3C15" w:rsidRPr="00490DED">
        <w:rPr>
          <w:rStyle w:val="FootnoteReference"/>
          <w:sz w:val="22"/>
          <w:szCs w:val="22"/>
        </w:rPr>
        <w:footnoteReference w:id="21"/>
      </w:r>
      <w:r w:rsidR="001E3C15" w:rsidRPr="00490DED">
        <w:t xml:space="preserve"> </w:t>
      </w:r>
      <w:r w:rsidR="00610651" w:rsidRPr="00490DED">
        <w:t xml:space="preserve"> </w:t>
      </w:r>
    </w:p>
    <w:p w14:paraId="75ABBB40" w14:textId="7B948039" w:rsidR="00B7431A" w:rsidRDefault="00B7431A" w:rsidP="00490DED">
      <w:pPr>
        <w:pStyle w:val="Heading2"/>
        <w:rPr>
          <w:szCs w:val="22"/>
        </w:rPr>
      </w:pPr>
      <w:r w:rsidRPr="00490DED">
        <w:rPr>
          <w:szCs w:val="22"/>
        </w:rPr>
        <w:t>Nova Wireless</w:t>
      </w:r>
      <w:r w:rsidR="00B45A0D">
        <w:rPr>
          <w:szCs w:val="22"/>
        </w:rPr>
        <w:t>,</w:t>
      </w:r>
      <w:r w:rsidRPr="00490DED">
        <w:rPr>
          <w:szCs w:val="22"/>
        </w:rPr>
        <w:t xml:space="preserve"> LLC</w:t>
      </w:r>
    </w:p>
    <w:p w14:paraId="166AF132" w14:textId="51C5203C" w:rsidR="00B70D9C" w:rsidRPr="00B70D9C" w:rsidRDefault="00210170" w:rsidP="007E7C2A">
      <w:pPr>
        <w:pStyle w:val="ParaNum"/>
        <w:tabs>
          <w:tab w:val="clear" w:pos="1080"/>
          <w:tab w:val="num" w:pos="1440"/>
        </w:tabs>
      </w:pPr>
      <w:r>
        <w:t xml:space="preserve">Nova </w:t>
      </w:r>
      <w:r w:rsidR="001734E5">
        <w:t xml:space="preserve">also requests waiver of the FCC Form 602 deadline pursuant to </w:t>
      </w:r>
      <w:r w:rsidR="00784D92">
        <w:t>Section 1.925(b)(3)</w:t>
      </w:r>
      <w:r w:rsidR="0076116B">
        <w:t>.</w:t>
      </w:r>
      <w:r w:rsidR="00255F15">
        <w:rPr>
          <w:rStyle w:val="FootnoteReference"/>
        </w:rPr>
        <w:footnoteReference w:id="22"/>
      </w:r>
      <w:r w:rsidR="001734E5">
        <w:t xml:space="preserve"> </w:t>
      </w:r>
      <w:r w:rsidR="00D95640">
        <w:t xml:space="preserve"> </w:t>
      </w:r>
      <w:r w:rsidR="0076116B">
        <w:t xml:space="preserve">The applicant argues </w:t>
      </w:r>
      <w:r w:rsidR="00B03227">
        <w:t xml:space="preserve">that </w:t>
      </w:r>
      <w:r w:rsidR="0076116B">
        <w:t>the</w:t>
      </w:r>
      <w:r w:rsidR="001734E5">
        <w:t xml:space="preserve"> underlying purpose of the deadline, </w:t>
      </w:r>
      <w:r w:rsidR="001734E5" w:rsidRPr="001734E5">
        <w:t>which is to ensure the Commission and interested third parties have complete and accurate information about the ownership of the applicant</w:t>
      </w:r>
      <w:r w:rsidR="001734E5">
        <w:t xml:space="preserve">, will be served by granting </w:t>
      </w:r>
      <w:r w:rsidR="00B03227">
        <w:t xml:space="preserve">the </w:t>
      </w:r>
      <w:r w:rsidR="00B03227" w:rsidRPr="007E7C2A">
        <w:rPr>
          <w:szCs w:val="22"/>
        </w:rPr>
        <w:t>requested</w:t>
      </w:r>
      <w:r w:rsidR="00B03227">
        <w:t xml:space="preserve"> </w:t>
      </w:r>
      <w:r w:rsidR="001734E5">
        <w:t>waiver.</w:t>
      </w:r>
      <w:r w:rsidR="001734E5">
        <w:rPr>
          <w:rStyle w:val="FootnoteReference"/>
        </w:rPr>
        <w:footnoteReference w:id="23"/>
      </w:r>
      <w:r w:rsidR="001734E5">
        <w:t xml:space="preserve"> </w:t>
      </w:r>
      <w:r w:rsidR="00D95640">
        <w:t xml:space="preserve"> </w:t>
      </w:r>
      <w:r w:rsidR="001734E5">
        <w:t xml:space="preserve">The applicant states </w:t>
      </w:r>
      <w:r w:rsidR="00B03227">
        <w:t xml:space="preserve">that </w:t>
      </w:r>
      <w:r w:rsidR="001734E5">
        <w:t>the missed deadline was “</w:t>
      </w:r>
      <w:r w:rsidR="001734E5" w:rsidRPr="001734E5">
        <w:t>minor, inadvertent, and without prejudice to any party seeking full and accurate information regarding Nova’s ownership.</w:t>
      </w:r>
      <w:r w:rsidR="001734E5">
        <w:t>”</w:t>
      </w:r>
      <w:r w:rsidR="001734E5">
        <w:rPr>
          <w:rStyle w:val="FootnoteReference"/>
        </w:rPr>
        <w:footnoteReference w:id="24"/>
      </w:r>
      <w:r w:rsidR="00784D92">
        <w:t xml:space="preserve"> </w:t>
      </w:r>
      <w:r w:rsidR="00D95640">
        <w:t xml:space="preserve"> </w:t>
      </w:r>
      <w:r w:rsidR="00784D92">
        <w:t xml:space="preserve">Nova </w:t>
      </w:r>
      <w:r w:rsidR="008F1C6B">
        <w:t xml:space="preserve">further </w:t>
      </w:r>
      <w:r w:rsidR="00784D92">
        <w:t>asserts that g</w:t>
      </w:r>
      <w:r w:rsidR="00784D92" w:rsidRPr="00784D92">
        <w:t xml:space="preserve">rant of this request is in the public interest </w:t>
      </w:r>
      <w:r w:rsidR="008F1C6B">
        <w:t>and is consistent with Bureau precedent.</w:t>
      </w:r>
      <w:r w:rsidR="008F1C6B">
        <w:rPr>
          <w:rStyle w:val="FootnoteReference"/>
        </w:rPr>
        <w:footnoteReference w:id="25"/>
      </w:r>
    </w:p>
    <w:p w14:paraId="7363A70E" w14:textId="77777777" w:rsidR="00D0575B" w:rsidRPr="00490DED" w:rsidRDefault="00D0575B" w:rsidP="00490DED">
      <w:pPr>
        <w:pStyle w:val="Heading1"/>
        <w:rPr>
          <w:rFonts w:ascii="Times New Roman" w:hAnsi="Times New Roman"/>
          <w:szCs w:val="22"/>
        </w:rPr>
      </w:pPr>
      <w:bookmarkStart w:id="91" w:name="_Toc426008466"/>
      <w:bookmarkStart w:id="92" w:name="_Toc426963370"/>
      <w:bookmarkStart w:id="93" w:name="_Toc426966596"/>
      <w:bookmarkStart w:id="94" w:name="_Toc427852471"/>
      <w:bookmarkStart w:id="95" w:name="_Toc430964722"/>
      <w:bookmarkStart w:id="96" w:name="_Toc431201473"/>
      <w:r w:rsidRPr="00490DED">
        <w:rPr>
          <w:rFonts w:ascii="Times New Roman" w:hAnsi="Times New Roman"/>
          <w:szCs w:val="22"/>
        </w:rPr>
        <w:t>DISCUSSION</w:t>
      </w:r>
      <w:bookmarkEnd w:id="91"/>
      <w:bookmarkEnd w:id="92"/>
      <w:bookmarkEnd w:id="93"/>
      <w:bookmarkEnd w:id="94"/>
      <w:bookmarkEnd w:id="95"/>
      <w:bookmarkEnd w:id="96"/>
    </w:p>
    <w:bookmarkEnd w:id="23"/>
    <w:bookmarkEnd w:id="24"/>
    <w:bookmarkEnd w:id="25"/>
    <w:bookmarkEnd w:id="26"/>
    <w:bookmarkEnd w:id="27"/>
    <w:bookmarkEnd w:id="28"/>
    <w:bookmarkEnd w:id="29"/>
    <w:bookmarkEnd w:id="30"/>
    <w:bookmarkEnd w:id="31"/>
    <w:bookmarkEnd w:id="32"/>
    <w:bookmarkEnd w:id="33"/>
    <w:bookmarkEnd w:id="34"/>
    <w:bookmarkEnd w:id="35"/>
    <w:bookmarkEnd w:id="36"/>
    <w:p w14:paraId="0A8F22A8" w14:textId="00D0C73A" w:rsidR="000227B5" w:rsidRPr="00636F20" w:rsidRDefault="00636F20" w:rsidP="007E7C2A">
      <w:pPr>
        <w:pStyle w:val="ParaNum"/>
        <w:tabs>
          <w:tab w:val="clear" w:pos="1080"/>
          <w:tab w:val="num" w:pos="1440"/>
        </w:tabs>
        <w:rPr>
          <w:szCs w:val="22"/>
        </w:rPr>
      </w:pPr>
      <w:r>
        <w:t>One of the</w:t>
      </w:r>
      <w:r w:rsidRPr="00C5025B">
        <w:t xml:space="preserve"> underlying purpose</w:t>
      </w:r>
      <w:r>
        <w:t>s</w:t>
      </w:r>
      <w:r w:rsidRPr="00C5025B">
        <w:t xml:space="preserve"> of post-auction application deadlines is to ensure </w:t>
      </w:r>
      <w:r w:rsidR="00B03227">
        <w:t xml:space="preserve">that </w:t>
      </w:r>
      <w:r w:rsidRPr="00C5025B">
        <w:t>winning bidders satisfy the Commission’s qualification and eligibility requirements in a timely manner to avoid delays in the d</w:t>
      </w:r>
      <w:r>
        <w:t xml:space="preserve">eployment </w:t>
      </w:r>
      <w:r w:rsidRPr="007E7C2A">
        <w:rPr>
          <w:szCs w:val="22"/>
        </w:rPr>
        <w:t>of</w:t>
      </w:r>
      <w:r>
        <w:t xml:space="preserve"> new services</w:t>
      </w:r>
      <w:r w:rsidRPr="00C5025B">
        <w:t>.</w:t>
      </w:r>
      <w:r w:rsidRPr="00C5025B">
        <w:rPr>
          <w:rStyle w:val="FootnoteReference"/>
        </w:rPr>
        <w:footnoteReference w:id="26"/>
      </w:r>
      <w:r w:rsidR="000B6BA9">
        <w:t xml:space="preserve">  </w:t>
      </w:r>
      <w:r w:rsidR="00527742" w:rsidRPr="00875BE7">
        <w:t xml:space="preserve">As </w:t>
      </w:r>
      <w:r w:rsidR="00537FCD">
        <w:t xml:space="preserve">stated above, the Commission </w:t>
      </w:r>
      <w:r w:rsidR="00527742" w:rsidRPr="00875BE7">
        <w:t>require</w:t>
      </w:r>
      <w:r w:rsidR="00B63BA9">
        <w:t>d</w:t>
      </w:r>
      <w:r w:rsidR="00527742" w:rsidRPr="00875BE7">
        <w:t xml:space="preserve"> each winning bidder</w:t>
      </w:r>
      <w:r w:rsidR="002A1E48" w:rsidRPr="00875BE7">
        <w:t xml:space="preserve"> in Auction 1002 to submit its FCC Form 601 and</w:t>
      </w:r>
      <w:r w:rsidR="003314F8">
        <w:t xml:space="preserve"> to have a current</w:t>
      </w:r>
      <w:r w:rsidR="002A1E48" w:rsidRPr="00875BE7">
        <w:t xml:space="preserve"> FCC Form 602 </w:t>
      </w:r>
      <w:r w:rsidR="003314F8">
        <w:t xml:space="preserve">on file </w:t>
      </w:r>
      <w:r w:rsidR="002A1E48" w:rsidRPr="00875BE7">
        <w:t xml:space="preserve">by </w:t>
      </w:r>
      <w:r w:rsidR="00565D37" w:rsidRPr="00875BE7">
        <w:t xml:space="preserve">6 p.m. ET on </w:t>
      </w:r>
      <w:r w:rsidR="002A1E48" w:rsidRPr="00875BE7">
        <w:t>April 27, 2017.</w:t>
      </w:r>
      <w:r w:rsidR="00537FCD">
        <w:rPr>
          <w:rStyle w:val="FootnoteReference"/>
        </w:rPr>
        <w:footnoteReference w:id="27"/>
      </w:r>
      <w:r w:rsidR="002A1E48" w:rsidRPr="00875BE7">
        <w:t xml:space="preserve"> </w:t>
      </w:r>
      <w:r w:rsidR="00147988">
        <w:t xml:space="preserve"> </w:t>
      </w:r>
      <w:r w:rsidR="00393F82">
        <w:t>Unless good cause is shown</w:t>
      </w:r>
      <w:r w:rsidR="005E667F" w:rsidRPr="00875BE7">
        <w:t>,</w:t>
      </w:r>
      <w:r w:rsidR="00393F82">
        <w:rPr>
          <w:rStyle w:val="FootnoteReference"/>
        </w:rPr>
        <w:footnoteReference w:id="28"/>
      </w:r>
      <w:r w:rsidR="005E667F" w:rsidRPr="00875BE7">
        <w:t xml:space="preserve"> a winning bidder that fails to timely file </w:t>
      </w:r>
      <w:r w:rsidR="00A556EC">
        <w:t xml:space="preserve">FCC Form 601 </w:t>
      </w:r>
      <w:r w:rsidR="005E667F" w:rsidRPr="00875BE7">
        <w:t>is deemed to have defaulted, its application is dismissed, and it is subject to the default payment set for</w:t>
      </w:r>
      <w:r w:rsidR="00FB4921" w:rsidRPr="00875BE7">
        <w:t>th in Section 1.2104(g)</w:t>
      </w:r>
      <w:r w:rsidR="005E667F" w:rsidRPr="00875BE7">
        <w:t>.</w:t>
      </w:r>
      <w:r w:rsidR="005E667F" w:rsidRPr="00875BE7">
        <w:rPr>
          <w:rStyle w:val="FootnoteReference"/>
          <w:sz w:val="22"/>
          <w:szCs w:val="22"/>
        </w:rPr>
        <w:footnoteReference w:id="29"/>
      </w:r>
      <w:r w:rsidR="00D3746A" w:rsidRPr="00875BE7">
        <w:t xml:space="preserve"> </w:t>
      </w:r>
      <w:r w:rsidR="00875BE7">
        <w:t xml:space="preserve"> However, t</w:t>
      </w:r>
      <w:r w:rsidR="00875BE7" w:rsidRPr="00875BE7">
        <w:t xml:space="preserve">he Commission may waive </w:t>
      </w:r>
      <w:r w:rsidR="00875BE7" w:rsidRPr="00636F20">
        <w:rPr>
          <w:szCs w:val="22"/>
        </w:rPr>
        <w:t xml:space="preserve">specific requirements </w:t>
      </w:r>
      <w:r w:rsidR="00875BE7" w:rsidRPr="00875BE7">
        <w:t xml:space="preserve">if applicants affirmatively show </w:t>
      </w:r>
      <w:r w:rsidR="00B03227">
        <w:t xml:space="preserve">that </w:t>
      </w:r>
      <w:r w:rsidR="00875BE7" w:rsidRPr="00875BE7">
        <w:t xml:space="preserve">either: </w:t>
      </w:r>
      <w:r w:rsidR="007E7C2A">
        <w:t xml:space="preserve"> </w:t>
      </w:r>
      <w:r w:rsidR="00875BE7" w:rsidRPr="00875BE7">
        <w:t>(a) the underlying purpose of the rule would not be served by strict application to the instant case and waiver of the rule would be in the public interest; or (b) the unique facts and circumstances of the case render strict application of the rule “inequitable, unduly burdensome, or contrary to the public interest.”</w:t>
      </w:r>
      <w:r w:rsidR="00875BE7" w:rsidRPr="00875BE7">
        <w:rPr>
          <w:rStyle w:val="FootnoteReference"/>
          <w:sz w:val="22"/>
          <w:szCs w:val="22"/>
        </w:rPr>
        <w:footnoteReference w:id="30"/>
      </w:r>
      <w:r w:rsidR="000B6BA9">
        <w:t xml:space="preserve">  </w:t>
      </w:r>
      <w:r w:rsidR="00653ADC" w:rsidRPr="00636F20">
        <w:rPr>
          <w:szCs w:val="22"/>
        </w:rPr>
        <w:t>Considering</w:t>
      </w:r>
      <w:r w:rsidR="000227B5" w:rsidRPr="00636F20">
        <w:rPr>
          <w:szCs w:val="22"/>
        </w:rPr>
        <w:t xml:space="preserve"> the record before us, </w:t>
      </w:r>
      <w:r w:rsidR="00653ADC" w:rsidRPr="000B6BA9">
        <w:rPr>
          <w:szCs w:val="22"/>
        </w:rPr>
        <w:t xml:space="preserve">and Commission precedent wherein waivers were granted for minor post-auction </w:t>
      </w:r>
      <w:r w:rsidR="00B03227">
        <w:rPr>
          <w:szCs w:val="22"/>
        </w:rPr>
        <w:t xml:space="preserve">filing </w:t>
      </w:r>
      <w:r w:rsidR="00653ADC" w:rsidRPr="000B6BA9">
        <w:rPr>
          <w:szCs w:val="22"/>
        </w:rPr>
        <w:t>delinquencies,</w:t>
      </w:r>
      <w:r w:rsidR="00653ADC" w:rsidRPr="00490DED">
        <w:rPr>
          <w:rStyle w:val="FootnoteReference"/>
          <w:sz w:val="22"/>
          <w:szCs w:val="22"/>
        </w:rPr>
        <w:footnoteReference w:id="31"/>
      </w:r>
      <w:r w:rsidR="00653ADC" w:rsidRPr="00636F20">
        <w:rPr>
          <w:szCs w:val="22"/>
        </w:rPr>
        <w:t xml:space="preserve"> </w:t>
      </w:r>
      <w:r w:rsidR="000227B5" w:rsidRPr="00636F20">
        <w:rPr>
          <w:szCs w:val="22"/>
        </w:rPr>
        <w:t xml:space="preserve">we </w:t>
      </w:r>
      <w:r w:rsidR="00B5363E" w:rsidRPr="00636F20">
        <w:rPr>
          <w:szCs w:val="22"/>
        </w:rPr>
        <w:t xml:space="preserve">determine that </w:t>
      </w:r>
      <w:r w:rsidR="00C474E0" w:rsidRPr="00636F20">
        <w:rPr>
          <w:szCs w:val="22"/>
        </w:rPr>
        <w:t xml:space="preserve">the three applicants have demonstrated circumstances that </w:t>
      </w:r>
      <w:r w:rsidR="00A8310C" w:rsidRPr="00636F20">
        <w:rPr>
          <w:szCs w:val="22"/>
        </w:rPr>
        <w:t>justify</w:t>
      </w:r>
      <w:r w:rsidR="00C474E0" w:rsidRPr="00636F20">
        <w:rPr>
          <w:szCs w:val="22"/>
        </w:rPr>
        <w:t xml:space="preserve"> waiver of </w:t>
      </w:r>
      <w:r w:rsidR="00653ADC" w:rsidRPr="00636F20">
        <w:rPr>
          <w:szCs w:val="22"/>
        </w:rPr>
        <w:t xml:space="preserve">the </w:t>
      </w:r>
      <w:r w:rsidR="0076116B" w:rsidRPr="00636F20">
        <w:rPr>
          <w:szCs w:val="22"/>
        </w:rPr>
        <w:t>deadline</w:t>
      </w:r>
      <w:r w:rsidR="00CB09B5" w:rsidRPr="00636F20">
        <w:rPr>
          <w:szCs w:val="22"/>
        </w:rPr>
        <w:t xml:space="preserve"> in </w:t>
      </w:r>
      <w:r w:rsidR="002820B6" w:rsidRPr="00636F20">
        <w:rPr>
          <w:szCs w:val="22"/>
        </w:rPr>
        <w:t>this instance</w:t>
      </w:r>
      <w:r w:rsidR="00653ADC" w:rsidRPr="00636F20">
        <w:rPr>
          <w:szCs w:val="22"/>
        </w:rPr>
        <w:t xml:space="preserve">. </w:t>
      </w:r>
      <w:r w:rsidR="00B665F6" w:rsidRPr="00636F20">
        <w:rPr>
          <w:szCs w:val="22"/>
        </w:rPr>
        <w:t xml:space="preserve"> </w:t>
      </w:r>
      <w:r w:rsidR="001435DA" w:rsidRPr="006F14C7">
        <w:t xml:space="preserve"> </w:t>
      </w:r>
      <w:r w:rsidR="00B665F6">
        <w:t xml:space="preserve"> </w:t>
      </w:r>
      <w:r w:rsidR="001435DA">
        <w:t xml:space="preserve"> </w:t>
      </w:r>
      <w:r w:rsidR="0076116B">
        <w:t xml:space="preserve"> </w:t>
      </w:r>
    </w:p>
    <w:p w14:paraId="70DEC7B2" w14:textId="12727CE2" w:rsidR="00D0575B" w:rsidRPr="00490DED" w:rsidRDefault="00D35F84" w:rsidP="00490DED">
      <w:pPr>
        <w:pStyle w:val="Heading2"/>
        <w:rPr>
          <w:szCs w:val="22"/>
        </w:rPr>
      </w:pPr>
      <w:r w:rsidRPr="00490DED">
        <w:rPr>
          <w:szCs w:val="22"/>
        </w:rPr>
        <w:t xml:space="preserve">Waiver </w:t>
      </w:r>
      <w:r w:rsidR="00B03227">
        <w:rPr>
          <w:szCs w:val="22"/>
        </w:rPr>
        <w:t xml:space="preserve">to Permit </w:t>
      </w:r>
      <w:r w:rsidRPr="00490DED">
        <w:rPr>
          <w:szCs w:val="22"/>
        </w:rPr>
        <w:t>Late Submission of FCC Form 601</w:t>
      </w:r>
      <w:r w:rsidR="003757C1" w:rsidRPr="00490DED">
        <w:rPr>
          <w:szCs w:val="22"/>
        </w:rPr>
        <w:t xml:space="preserve">                         </w:t>
      </w:r>
      <w:r w:rsidRPr="00490DED">
        <w:rPr>
          <w:szCs w:val="22"/>
        </w:rPr>
        <w:t xml:space="preserve">            </w:t>
      </w:r>
    </w:p>
    <w:p w14:paraId="17E0702A" w14:textId="50F4CDEE" w:rsidR="002F1265" w:rsidRPr="003762F3" w:rsidRDefault="00627683" w:rsidP="007E7C2A">
      <w:pPr>
        <w:pStyle w:val="ParaNum"/>
        <w:tabs>
          <w:tab w:val="clear" w:pos="1080"/>
          <w:tab w:val="num" w:pos="1440"/>
        </w:tabs>
      </w:pPr>
      <w:r>
        <w:t>T</w:t>
      </w:r>
      <w:r w:rsidRPr="00627683">
        <w:t xml:space="preserve">he Commission may, for good cause, </w:t>
      </w:r>
      <w:r w:rsidR="00AC3BCA">
        <w:t xml:space="preserve">waive its deadline for submission of FCC Form 601 if the underlying purpose of the rule </w:t>
      </w:r>
      <w:r w:rsidR="00976B21">
        <w:t>w</w:t>
      </w:r>
      <w:r w:rsidR="00456BE6">
        <w:t>ould</w:t>
      </w:r>
      <w:r w:rsidR="00976B21">
        <w:t xml:space="preserve"> not be </w:t>
      </w:r>
      <w:r w:rsidR="00F65D39">
        <w:t>served</w:t>
      </w:r>
      <w:r w:rsidR="00976B21">
        <w:t xml:space="preserve"> </w:t>
      </w:r>
      <w:r w:rsidR="00456BE6">
        <w:t xml:space="preserve">by its application </w:t>
      </w:r>
      <w:r w:rsidR="00AC3BCA">
        <w:t xml:space="preserve">and </w:t>
      </w:r>
      <w:r w:rsidR="00456BE6">
        <w:t xml:space="preserve">the </w:t>
      </w:r>
      <w:r w:rsidR="00AC3BCA">
        <w:t>waiver is otherwise in the public interest</w:t>
      </w:r>
      <w:r>
        <w:t>.</w:t>
      </w:r>
      <w:r>
        <w:rPr>
          <w:rStyle w:val="FootnoteReference"/>
        </w:rPr>
        <w:footnoteReference w:id="32"/>
      </w:r>
      <w:r>
        <w:t xml:space="preserve"> </w:t>
      </w:r>
      <w:r w:rsidR="00B665F6">
        <w:t xml:space="preserve"> </w:t>
      </w:r>
      <w:r w:rsidR="00562613">
        <w:t xml:space="preserve">In </w:t>
      </w:r>
      <w:r w:rsidR="003762F3" w:rsidRPr="00490DED">
        <w:t>Pacific Comnex’s case</w:t>
      </w:r>
      <w:r w:rsidR="00562613">
        <w:t>, we find</w:t>
      </w:r>
      <w:r w:rsidR="003762F3" w:rsidRPr="00490DED">
        <w:t xml:space="preserve"> that waiver of the long-form application deadline </w:t>
      </w:r>
      <w:r w:rsidR="00F55AC6">
        <w:t xml:space="preserve">is </w:t>
      </w:r>
      <w:r w:rsidR="00726D19">
        <w:t>warranted</w:t>
      </w:r>
      <w:r w:rsidR="006F14C7">
        <w:t>.</w:t>
      </w:r>
      <w:r w:rsidR="00AD7760">
        <w:t xml:space="preserve"> </w:t>
      </w:r>
      <w:r w:rsidR="00CF471E">
        <w:t xml:space="preserve"> </w:t>
      </w:r>
      <w:r w:rsidR="002F1265" w:rsidRPr="003762F3">
        <w:t xml:space="preserve">Because Pacific Comnex timely met </w:t>
      </w:r>
      <w:r w:rsidR="001435DA" w:rsidRPr="001435DA">
        <w:t>both its down payment and final payment obligations</w:t>
      </w:r>
      <w:r w:rsidR="002F1265" w:rsidRPr="003762F3">
        <w:t xml:space="preserve">, and submitted its long-form application within </w:t>
      </w:r>
      <w:r w:rsidR="006D026C">
        <w:t xml:space="preserve">three business </w:t>
      </w:r>
      <w:r w:rsidR="002F1265" w:rsidRPr="003762F3">
        <w:t xml:space="preserve">days </w:t>
      </w:r>
      <w:r w:rsidR="002145A3">
        <w:t>after</w:t>
      </w:r>
      <w:r w:rsidR="002F1265" w:rsidRPr="003762F3">
        <w:t xml:space="preserve"> the filing deadline, the post-auction licensing process for Auction 1002 has not been significantly delayed or materially adversely affected.</w:t>
      </w:r>
      <w:r w:rsidR="002145A3">
        <w:t xml:space="preserve"> </w:t>
      </w:r>
      <w:r w:rsidR="00B665F6">
        <w:t xml:space="preserve"> </w:t>
      </w:r>
      <w:r w:rsidR="002145A3">
        <w:t xml:space="preserve">Furthermore, </w:t>
      </w:r>
      <w:r w:rsidR="002145A3">
        <w:rPr>
          <w:szCs w:val="22"/>
        </w:rPr>
        <w:t>t</w:t>
      </w:r>
      <w:r w:rsidR="002145A3" w:rsidRPr="00466D87">
        <w:rPr>
          <w:szCs w:val="22"/>
        </w:rPr>
        <w:t>here is nothing in the record that indicates the applicant’s error was part of a deliberate effort to delay the processing of its long-form application, or was the result of bad faith on the part of Pacific Comnex.</w:t>
      </w:r>
      <w:r w:rsidR="002145A3">
        <w:rPr>
          <w:szCs w:val="22"/>
        </w:rPr>
        <w:t xml:space="preserve"> </w:t>
      </w:r>
      <w:r w:rsidR="002145A3">
        <w:t xml:space="preserve"> </w:t>
      </w:r>
    </w:p>
    <w:p w14:paraId="69FB13BD" w14:textId="0D26AE85" w:rsidR="00D0575B" w:rsidRPr="00466D87" w:rsidRDefault="003762F3" w:rsidP="007E7C2A">
      <w:pPr>
        <w:pStyle w:val="ParaNum"/>
        <w:tabs>
          <w:tab w:val="clear" w:pos="1080"/>
          <w:tab w:val="num" w:pos="1440"/>
        </w:tabs>
      </w:pPr>
      <w:r>
        <w:t>W</w:t>
      </w:r>
      <w:r w:rsidR="00466D87">
        <w:t>e further conclude</w:t>
      </w:r>
      <w:r w:rsidR="00BA18BD" w:rsidRPr="00BA18BD">
        <w:t xml:space="preserve"> the public interest would not be served by </w:t>
      </w:r>
      <w:r w:rsidR="000B6BA9">
        <w:t>strict</w:t>
      </w:r>
      <w:r w:rsidR="00BA18BD" w:rsidRPr="00BA18BD">
        <w:t xml:space="preserve"> enforcement of the long-form filing deadline</w:t>
      </w:r>
      <w:r w:rsidR="009119C5">
        <w:t xml:space="preserve"> in this case</w:t>
      </w:r>
      <w:r w:rsidR="00466D87">
        <w:t xml:space="preserve">. </w:t>
      </w:r>
      <w:r w:rsidR="00762DF7">
        <w:t xml:space="preserve"> </w:t>
      </w:r>
      <w:r w:rsidR="00466D87" w:rsidRPr="00490DED">
        <w:t xml:space="preserve">Given </w:t>
      </w:r>
      <w:r w:rsidR="00762DF7">
        <w:t xml:space="preserve">that </w:t>
      </w:r>
      <w:r w:rsidR="002145A3">
        <w:t xml:space="preserve">Pacific Comnex </w:t>
      </w:r>
      <w:r w:rsidR="00466D87" w:rsidRPr="00490DED">
        <w:t>complied with all auction filing requirements</w:t>
      </w:r>
      <w:r w:rsidR="002145A3">
        <w:t xml:space="preserve"> before </w:t>
      </w:r>
      <w:r w:rsidR="003314F8">
        <w:t>the filing deadline</w:t>
      </w:r>
      <w:r w:rsidR="00466D87" w:rsidRPr="00490DED">
        <w:t xml:space="preserve">, and </w:t>
      </w:r>
      <w:r w:rsidR="00B03227">
        <w:t xml:space="preserve">that </w:t>
      </w:r>
      <w:r w:rsidR="003314F8">
        <w:t>its</w:t>
      </w:r>
      <w:r w:rsidR="003314F8" w:rsidRPr="00490DED">
        <w:t xml:space="preserve"> </w:t>
      </w:r>
      <w:r w:rsidR="00466D87" w:rsidRPr="00490DED">
        <w:t xml:space="preserve">failure to timely file the </w:t>
      </w:r>
      <w:r w:rsidR="00F55AC6">
        <w:t>long-</w:t>
      </w:r>
      <w:r w:rsidR="002145A3">
        <w:t>form application</w:t>
      </w:r>
      <w:r w:rsidR="00466D87" w:rsidRPr="00490DED">
        <w:t xml:space="preserve"> had no major adverse effects on the post-auction licensing process, gran</w:t>
      </w:r>
      <w:r w:rsidR="007C7A58">
        <w:t>t of the subject waiver request</w:t>
      </w:r>
      <w:r w:rsidR="0050605D">
        <w:t xml:space="preserve"> is in the public interest</w:t>
      </w:r>
      <w:r w:rsidR="00466D87" w:rsidRPr="00490DED">
        <w:t>.</w:t>
      </w:r>
      <w:r w:rsidR="00CD0CEB">
        <w:t xml:space="preserve"> </w:t>
      </w:r>
      <w:r w:rsidR="00762DF7">
        <w:t xml:space="preserve"> </w:t>
      </w:r>
      <w:r w:rsidR="00D0575B" w:rsidRPr="00466D87">
        <w:rPr>
          <w:szCs w:val="22"/>
        </w:rPr>
        <w:t>Accordingly, we</w:t>
      </w:r>
      <w:r w:rsidR="00E920EE">
        <w:rPr>
          <w:szCs w:val="22"/>
        </w:rPr>
        <w:t xml:space="preserve"> </w:t>
      </w:r>
      <w:r w:rsidR="00D0575B" w:rsidRPr="00466D87">
        <w:rPr>
          <w:szCs w:val="22"/>
        </w:rPr>
        <w:t xml:space="preserve">grant Pacific Comnex’s waiver request and </w:t>
      </w:r>
      <w:r w:rsidR="00241C2B" w:rsidRPr="00466D87">
        <w:rPr>
          <w:szCs w:val="22"/>
        </w:rPr>
        <w:t>accept its</w:t>
      </w:r>
      <w:r w:rsidR="00D0575B" w:rsidRPr="00466D87">
        <w:rPr>
          <w:szCs w:val="22"/>
        </w:rPr>
        <w:t xml:space="preserve"> </w:t>
      </w:r>
      <w:r w:rsidR="00962265" w:rsidRPr="00466D87">
        <w:rPr>
          <w:szCs w:val="22"/>
        </w:rPr>
        <w:t xml:space="preserve">long-form </w:t>
      </w:r>
      <w:r w:rsidR="00D0575B" w:rsidRPr="00466D87">
        <w:rPr>
          <w:szCs w:val="22"/>
        </w:rPr>
        <w:t xml:space="preserve">application for processing. </w:t>
      </w:r>
      <w:r w:rsidR="00134A76" w:rsidRPr="00466D87">
        <w:rPr>
          <w:szCs w:val="22"/>
        </w:rPr>
        <w:t xml:space="preserve"> </w:t>
      </w:r>
      <w:r w:rsidR="00CA213D" w:rsidRPr="00466D87">
        <w:rPr>
          <w:szCs w:val="22"/>
        </w:rPr>
        <w:t xml:space="preserve"> </w:t>
      </w:r>
      <w:r w:rsidR="00466D87">
        <w:rPr>
          <w:szCs w:val="22"/>
        </w:rPr>
        <w:t xml:space="preserve"> </w:t>
      </w:r>
    </w:p>
    <w:p w14:paraId="603132E4" w14:textId="0A1D85C3" w:rsidR="00D0575B" w:rsidRPr="00490DED" w:rsidRDefault="001A6245" w:rsidP="00490DED">
      <w:pPr>
        <w:pStyle w:val="Heading2"/>
        <w:rPr>
          <w:szCs w:val="22"/>
        </w:rPr>
      </w:pPr>
      <w:r w:rsidRPr="00490DED">
        <w:rPr>
          <w:szCs w:val="22"/>
        </w:rPr>
        <w:t>Waiver</w:t>
      </w:r>
      <w:r w:rsidR="0045137E">
        <w:rPr>
          <w:szCs w:val="22"/>
        </w:rPr>
        <w:t>s</w:t>
      </w:r>
      <w:r w:rsidRPr="00490DED">
        <w:rPr>
          <w:szCs w:val="22"/>
        </w:rPr>
        <w:t xml:space="preserve"> </w:t>
      </w:r>
      <w:r w:rsidR="00B03227">
        <w:rPr>
          <w:szCs w:val="22"/>
        </w:rPr>
        <w:t xml:space="preserve">to Permit </w:t>
      </w:r>
      <w:r w:rsidRPr="00490DED">
        <w:rPr>
          <w:szCs w:val="22"/>
        </w:rPr>
        <w:t>Late Submission of FCC</w:t>
      </w:r>
      <w:r w:rsidR="00D0575B" w:rsidRPr="00490DED">
        <w:rPr>
          <w:szCs w:val="22"/>
        </w:rPr>
        <w:t xml:space="preserve"> Form 602 </w:t>
      </w:r>
    </w:p>
    <w:p w14:paraId="275D546A" w14:textId="157A1EDD" w:rsidR="0050605D" w:rsidRDefault="00B03227" w:rsidP="007E7C2A">
      <w:pPr>
        <w:pStyle w:val="ParaNum"/>
        <w:tabs>
          <w:tab w:val="clear" w:pos="1080"/>
          <w:tab w:val="num" w:pos="1440"/>
        </w:tabs>
      </w:pPr>
      <w:r>
        <w:t>T</w:t>
      </w:r>
      <w:r w:rsidR="00327DDE">
        <w:t>he Commission may</w:t>
      </w:r>
      <w:r w:rsidR="00AC3BCA">
        <w:t>, for good cause,</w:t>
      </w:r>
      <w:r w:rsidR="00327DDE">
        <w:t xml:space="preserve"> waive</w:t>
      </w:r>
      <w:r w:rsidR="00773288">
        <w:t xml:space="preserve"> </w:t>
      </w:r>
      <w:r>
        <w:t xml:space="preserve">its deadline for submission of FCC Form 602 </w:t>
      </w:r>
      <w:r w:rsidR="00773288">
        <w:t xml:space="preserve">if the </w:t>
      </w:r>
      <w:r w:rsidR="00327DDE" w:rsidRPr="00327DDE">
        <w:t>underlying purpose of the rule</w:t>
      </w:r>
      <w:r w:rsidR="00773288">
        <w:t xml:space="preserve"> </w:t>
      </w:r>
      <w:r w:rsidR="00456BE6">
        <w:t xml:space="preserve">would not be </w:t>
      </w:r>
      <w:r w:rsidR="00F65D39">
        <w:t>served</w:t>
      </w:r>
      <w:r w:rsidR="00456BE6">
        <w:t xml:space="preserve"> by its application and the </w:t>
      </w:r>
      <w:r w:rsidR="00C00406">
        <w:t xml:space="preserve">waiver </w:t>
      </w:r>
      <w:r w:rsidR="00773288">
        <w:t>is otherwise in the public interest.</w:t>
      </w:r>
      <w:r w:rsidR="00773288">
        <w:rPr>
          <w:rStyle w:val="FootnoteReference"/>
        </w:rPr>
        <w:footnoteReference w:id="33"/>
      </w:r>
      <w:r w:rsidR="0059506C">
        <w:t xml:space="preserve"> </w:t>
      </w:r>
      <w:r w:rsidR="00762DF7">
        <w:t xml:space="preserve"> </w:t>
      </w:r>
      <w:r w:rsidR="0059506C">
        <w:t>W</w:t>
      </w:r>
      <w:r w:rsidR="0059506C" w:rsidRPr="00466D87">
        <w:t>e are satisfied the applicants’ late filing</w:t>
      </w:r>
      <w:r w:rsidR="0059506C">
        <w:t>s</w:t>
      </w:r>
      <w:r w:rsidR="0059506C" w:rsidRPr="00466D87">
        <w:t xml:space="preserve"> of Form 602</w:t>
      </w:r>
      <w:r w:rsidR="0059506C">
        <w:t xml:space="preserve"> </w:t>
      </w:r>
      <w:r w:rsidR="0059506C" w:rsidRPr="00466D87">
        <w:t>will not unduly delay deployment of services to the public</w:t>
      </w:r>
      <w:r w:rsidR="00CA213D" w:rsidRPr="00466D87">
        <w:t xml:space="preserve">, and </w:t>
      </w:r>
      <w:r w:rsidR="00CA213D" w:rsidRPr="007E7C2A">
        <w:rPr>
          <w:szCs w:val="22"/>
        </w:rPr>
        <w:t>thus</w:t>
      </w:r>
      <w:r w:rsidR="00CA213D" w:rsidRPr="00466D87">
        <w:t xml:space="preserve"> </w:t>
      </w:r>
      <w:r w:rsidR="00844913">
        <w:t>do</w:t>
      </w:r>
      <w:r w:rsidR="007C7A58">
        <w:t xml:space="preserve"> </w:t>
      </w:r>
      <w:r w:rsidR="00CA213D" w:rsidRPr="00466D87">
        <w:t>not undermine or frustrate the purpose of the p</w:t>
      </w:r>
      <w:r w:rsidR="00CD0CEB">
        <w:t xml:space="preserve">ost-auction licensing process. </w:t>
      </w:r>
      <w:r w:rsidR="00762DF7">
        <w:t xml:space="preserve"> </w:t>
      </w:r>
      <w:r w:rsidR="00FC2668" w:rsidRPr="00466D87">
        <w:t>The record indicates that</w:t>
      </w:r>
      <w:r w:rsidR="00163245" w:rsidRPr="00466D87">
        <w:t xml:space="preserve">, notwithstanding the subject late filings, </w:t>
      </w:r>
      <w:r w:rsidR="003F3DE9" w:rsidRPr="00466D87">
        <w:t>each of the three applicants has</w:t>
      </w:r>
      <w:r w:rsidR="00FC2668" w:rsidRPr="00466D87">
        <w:t xml:space="preserve"> complied with all previous </w:t>
      </w:r>
      <w:r w:rsidR="002A7BE2" w:rsidRPr="00466D87">
        <w:t>auction-related requirements</w:t>
      </w:r>
      <w:r w:rsidR="003F3DE9" w:rsidRPr="00466D87">
        <w:t xml:space="preserve">. </w:t>
      </w:r>
      <w:r w:rsidR="00762DF7">
        <w:t xml:space="preserve"> </w:t>
      </w:r>
      <w:r w:rsidR="00FC2668" w:rsidRPr="00466D87">
        <w:t xml:space="preserve">Additionally, </w:t>
      </w:r>
      <w:r w:rsidR="001F286A">
        <w:t>each</w:t>
      </w:r>
      <w:r w:rsidR="001F286A" w:rsidRPr="00466D87">
        <w:t xml:space="preserve"> </w:t>
      </w:r>
      <w:r w:rsidR="001F286A">
        <w:t xml:space="preserve">of </w:t>
      </w:r>
      <w:r w:rsidR="003F3DE9" w:rsidRPr="00466D87">
        <w:t>the</w:t>
      </w:r>
      <w:r w:rsidR="00FC2668" w:rsidRPr="00466D87">
        <w:t xml:space="preserve"> applicants had sufficient funds on deposit with the Commission to satisfy their respective payment obligations at the ti</w:t>
      </w:r>
      <w:r w:rsidR="009119C5">
        <w:t>me the down payments were due.</w:t>
      </w:r>
      <w:r w:rsidR="002145A3">
        <w:t xml:space="preserve"> </w:t>
      </w:r>
      <w:r w:rsidR="0059506C">
        <w:t xml:space="preserve"> </w:t>
      </w:r>
    </w:p>
    <w:p w14:paraId="20AC6E18" w14:textId="6EE3D778" w:rsidR="00466D87" w:rsidRPr="007104F9" w:rsidRDefault="007104F9" w:rsidP="007E7C2A">
      <w:pPr>
        <w:pStyle w:val="ParaNum"/>
        <w:tabs>
          <w:tab w:val="clear" w:pos="1080"/>
          <w:tab w:val="num" w:pos="1440"/>
        </w:tabs>
      </w:pPr>
      <w:r>
        <w:t xml:space="preserve">Given </w:t>
      </w:r>
      <w:r w:rsidR="00AC3BCA">
        <w:t xml:space="preserve">that </w:t>
      </w:r>
      <w:r>
        <w:t xml:space="preserve">the late filings of Form 602 did </w:t>
      </w:r>
      <w:r w:rsidRPr="007104F9">
        <w:rPr>
          <w:szCs w:val="22"/>
        </w:rPr>
        <w:t xml:space="preserve">not disrupt the </w:t>
      </w:r>
      <w:r w:rsidR="00CD1984">
        <w:rPr>
          <w:szCs w:val="22"/>
        </w:rPr>
        <w:t>post-</w:t>
      </w:r>
      <w:r w:rsidRPr="007104F9">
        <w:rPr>
          <w:szCs w:val="22"/>
        </w:rPr>
        <w:t>auction</w:t>
      </w:r>
      <w:r w:rsidR="00CD1984">
        <w:rPr>
          <w:szCs w:val="22"/>
        </w:rPr>
        <w:t xml:space="preserve"> licensing</w:t>
      </w:r>
      <w:r w:rsidRPr="007104F9">
        <w:rPr>
          <w:szCs w:val="22"/>
        </w:rPr>
        <w:t xml:space="preserve"> process</w:t>
      </w:r>
      <w:r w:rsidR="00CD0CEB">
        <w:rPr>
          <w:szCs w:val="22"/>
        </w:rPr>
        <w:t>,</w:t>
      </w:r>
      <w:r w:rsidRPr="007104F9">
        <w:rPr>
          <w:szCs w:val="22"/>
        </w:rPr>
        <w:t xml:space="preserve"> </w:t>
      </w:r>
      <w:r w:rsidR="00AC3BCA">
        <w:rPr>
          <w:szCs w:val="22"/>
        </w:rPr>
        <w:t xml:space="preserve">or </w:t>
      </w:r>
      <w:r w:rsidRPr="007104F9">
        <w:rPr>
          <w:szCs w:val="22"/>
        </w:rPr>
        <w:t>undermine the Commission’s policy of facilitating rapid implementation of reliable communications service to the public</w:t>
      </w:r>
      <w:r>
        <w:rPr>
          <w:szCs w:val="22"/>
        </w:rPr>
        <w:t xml:space="preserve">, we </w:t>
      </w:r>
      <w:r w:rsidR="00AC3BCA">
        <w:rPr>
          <w:szCs w:val="22"/>
        </w:rPr>
        <w:t xml:space="preserve">find that </w:t>
      </w:r>
      <w:r>
        <w:rPr>
          <w:szCs w:val="22"/>
        </w:rPr>
        <w:t>it is in the public interest to grant the</w:t>
      </w:r>
      <w:r w:rsidR="00AC3BCA">
        <w:rPr>
          <w:szCs w:val="22"/>
        </w:rPr>
        <w:t xml:space="preserve"> requested</w:t>
      </w:r>
      <w:r>
        <w:rPr>
          <w:szCs w:val="22"/>
        </w:rPr>
        <w:t xml:space="preserve"> waivers. </w:t>
      </w:r>
      <w:r w:rsidR="003D63CE">
        <w:rPr>
          <w:szCs w:val="22"/>
        </w:rPr>
        <w:t xml:space="preserve"> </w:t>
      </w:r>
      <w:r w:rsidR="0031356F">
        <w:rPr>
          <w:szCs w:val="22"/>
        </w:rPr>
        <w:t>For those reasons,</w:t>
      </w:r>
      <w:r w:rsidR="00457587" w:rsidRPr="007104F9">
        <w:rPr>
          <w:szCs w:val="22"/>
        </w:rPr>
        <w:t xml:space="preserve"> </w:t>
      </w:r>
      <w:r w:rsidR="0031356F">
        <w:rPr>
          <w:szCs w:val="22"/>
        </w:rPr>
        <w:t>we grant</w:t>
      </w:r>
      <w:r w:rsidR="00457587" w:rsidRPr="007104F9">
        <w:rPr>
          <w:szCs w:val="22"/>
        </w:rPr>
        <w:t xml:space="preserve"> the three applicants’ waiver requests and accept their </w:t>
      </w:r>
      <w:r w:rsidR="007C7A58">
        <w:rPr>
          <w:szCs w:val="22"/>
        </w:rPr>
        <w:t>FCC Forms 602</w:t>
      </w:r>
      <w:r w:rsidR="00457587" w:rsidRPr="007104F9">
        <w:rPr>
          <w:szCs w:val="22"/>
        </w:rPr>
        <w:t xml:space="preserve"> for processing.</w:t>
      </w:r>
      <w:r w:rsidR="003F3DE9" w:rsidRPr="007104F9">
        <w:rPr>
          <w:szCs w:val="22"/>
        </w:rPr>
        <w:t xml:space="preserve"> </w:t>
      </w:r>
    </w:p>
    <w:p w14:paraId="06C5E210" w14:textId="25854B57" w:rsidR="00D0575B" w:rsidRPr="001B1B6D" w:rsidRDefault="00D0575B" w:rsidP="001B1B6D">
      <w:pPr>
        <w:pStyle w:val="Heading1"/>
      </w:pPr>
      <w:bookmarkStart w:id="97" w:name="_Toc426008471"/>
      <w:bookmarkStart w:id="98" w:name="_Toc426963375"/>
      <w:bookmarkStart w:id="99" w:name="_Toc426966601"/>
      <w:bookmarkStart w:id="100" w:name="_Toc427852476"/>
      <w:bookmarkStart w:id="101" w:name="_Toc430964728"/>
      <w:bookmarkStart w:id="102" w:name="_Toc431201478"/>
      <w:bookmarkStart w:id="103" w:name="_Toc316992332"/>
      <w:bookmarkStart w:id="104" w:name="_Toc316999270"/>
      <w:bookmarkStart w:id="105" w:name="_Toc317002636"/>
      <w:bookmarkStart w:id="106" w:name="_Toc317161354"/>
      <w:bookmarkStart w:id="107" w:name="_Toc317164443"/>
      <w:bookmarkStart w:id="108" w:name="_Toc317168540"/>
      <w:bookmarkStart w:id="109" w:name="_Toc317174547"/>
      <w:bookmarkStart w:id="110" w:name="_Toc317240086"/>
      <w:bookmarkStart w:id="111" w:name="_Toc317240510"/>
      <w:bookmarkStart w:id="112" w:name="_Toc248739649"/>
      <w:bookmarkStart w:id="113" w:name="_Toc248740840"/>
      <w:bookmarkStart w:id="114" w:name="_Toc248803150"/>
      <w:bookmarkStart w:id="115" w:name="_Toc248804906"/>
      <w:bookmarkStart w:id="116" w:name="_Toc248814260"/>
      <w:bookmarkStart w:id="117" w:name="_Toc248909530"/>
      <w:bookmarkStart w:id="118" w:name="_Toc259178210"/>
      <w:bookmarkStart w:id="119" w:name="_Toc259178319"/>
      <w:bookmarkStart w:id="120" w:name="_Toc259779418"/>
      <w:bookmarkStart w:id="121" w:name="_Toc260058985"/>
      <w:bookmarkStart w:id="122" w:name="_Toc260125053"/>
      <w:bookmarkStart w:id="123" w:name="_Toc260135932"/>
      <w:bookmarkStart w:id="124" w:name="_Toc260388815"/>
      <w:bookmarkStart w:id="125" w:name="_Toc260905145"/>
      <w:bookmarkStart w:id="126" w:name="_Toc261507242"/>
      <w:bookmarkStart w:id="127" w:name="_Toc261585634"/>
      <w:bookmarkStart w:id="128" w:name="_Toc262717601"/>
      <w:bookmarkStart w:id="129" w:name="_Toc263400933"/>
      <w:bookmarkStart w:id="130" w:name="_Toc263688798"/>
      <w:bookmarkStart w:id="131" w:name="_Toc312236283"/>
      <w:bookmarkStart w:id="132" w:name="_Toc312237006"/>
      <w:bookmarkStart w:id="133" w:name="_Toc312237041"/>
      <w:bookmarkStart w:id="134" w:name="_Toc313634752"/>
      <w:bookmarkStart w:id="135" w:name="_Toc313635154"/>
      <w:bookmarkStart w:id="136" w:name="_Toc313635175"/>
      <w:bookmarkStart w:id="137" w:name="_Toc313635222"/>
      <w:bookmarkStart w:id="138" w:name="_Toc313635269"/>
      <w:bookmarkStart w:id="139" w:name="_Toc313635798"/>
      <w:bookmarkStart w:id="140" w:name="_Toc313635864"/>
      <w:bookmarkStart w:id="141" w:name="_Toc313636646"/>
      <w:bookmarkStart w:id="142" w:name="_Toc313637349"/>
      <w:bookmarkStart w:id="143" w:name="_Toc313637861"/>
      <w:bookmarkStart w:id="144" w:name="_Toc313638366"/>
      <w:bookmarkStart w:id="145" w:name="_Toc313881004"/>
      <w:bookmarkStart w:id="146" w:name="_Toc314216648"/>
      <w:bookmarkStart w:id="147" w:name="_Toc314216884"/>
      <w:bookmarkStart w:id="148" w:name="_Toc314218141"/>
      <w:bookmarkStart w:id="149" w:name="_Toc314228881"/>
      <w:bookmarkStart w:id="150" w:name="_Toc314229198"/>
      <w:bookmarkStart w:id="151" w:name="_Toc314234433"/>
      <w:bookmarkStart w:id="152" w:name="_Toc314234888"/>
      <w:bookmarkStart w:id="153" w:name="_Toc314236019"/>
      <w:bookmarkStart w:id="154" w:name="_Toc314238383"/>
      <w:bookmarkStart w:id="155" w:name="_Toc315344706"/>
      <w:bookmarkStart w:id="156" w:name="_Toc315349201"/>
      <w:bookmarkStart w:id="157" w:name="_Toc315349306"/>
      <w:bookmarkStart w:id="158" w:name="_Toc315349728"/>
      <w:bookmarkStart w:id="159" w:name="_Toc315351124"/>
      <w:bookmarkStart w:id="160" w:name="_Toc315352210"/>
      <w:bookmarkStart w:id="161" w:name="_Toc315443567"/>
      <w:bookmarkStart w:id="162" w:name="_Toc316030675"/>
      <w:bookmarkStart w:id="163" w:name="_Toc316032520"/>
      <w:bookmarkStart w:id="164" w:name="_Toc316033717"/>
      <w:bookmarkStart w:id="165" w:name="_Toc316037005"/>
      <w:bookmarkStart w:id="166" w:name="_Toc316037270"/>
      <w:bookmarkStart w:id="167" w:name="_Toc316038304"/>
      <w:bookmarkStart w:id="168" w:name="_Toc316038496"/>
      <w:bookmarkStart w:id="169" w:name="_Toc316038588"/>
      <w:bookmarkStart w:id="170" w:name="_Toc316041933"/>
      <w:bookmarkStart w:id="171" w:name="_Toc316043797"/>
      <w:bookmarkStart w:id="172" w:name="_Toc316059852"/>
      <w:bookmarkStart w:id="173" w:name="_Toc316060987"/>
      <w:bookmarkStart w:id="174" w:name="_Toc316392578"/>
      <w:bookmarkStart w:id="175" w:name="_Toc316393293"/>
      <w:bookmarkStart w:id="176" w:name="_Toc316393462"/>
      <w:bookmarkStart w:id="177" w:name="_Toc316394260"/>
      <w:bookmarkStart w:id="178" w:name="_Toc316396247"/>
      <w:bookmarkStart w:id="179" w:name="_Toc316987389"/>
      <w:bookmarkStart w:id="180" w:name="_Toc316987948"/>
      <w:bookmarkStart w:id="181" w:name="_Toc316992336"/>
      <w:bookmarkStart w:id="182" w:name="_Toc316999274"/>
      <w:bookmarkStart w:id="183" w:name="_Toc317002640"/>
      <w:bookmarkStart w:id="184" w:name="_Toc331429669"/>
      <w:bookmarkStart w:id="185" w:name="_Toc331690589"/>
      <w:bookmarkStart w:id="186" w:name="_Toc330388149"/>
      <w:bookmarkStart w:id="187" w:name="_Toc330388410"/>
      <w:bookmarkStart w:id="188" w:name="_Toc330390655"/>
      <w:bookmarkStart w:id="189" w:name="_Toc330391412"/>
      <w:bookmarkStart w:id="190" w:name="_Toc330391792"/>
      <w:bookmarkStart w:id="191" w:name="_Toc333476895"/>
      <w:bookmarkStart w:id="192" w:name="_Toc333477028"/>
      <w:bookmarkStart w:id="193" w:name="_Toc33347736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1B1B6D">
        <w:t xml:space="preserve">Conclusion </w:t>
      </w:r>
      <w:bookmarkEnd w:id="97"/>
      <w:bookmarkEnd w:id="98"/>
      <w:bookmarkEnd w:id="99"/>
      <w:bookmarkEnd w:id="100"/>
      <w:bookmarkEnd w:id="101"/>
      <w:bookmarkEnd w:id="102"/>
    </w:p>
    <w:p w14:paraId="041205F5" w14:textId="35CE03EA" w:rsidR="00DD446B" w:rsidRPr="00490DED" w:rsidRDefault="00DD446B" w:rsidP="007E7C2A">
      <w:pPr>
        <w:pStyle w:val="ParaNum"/>
        <w:tabs>
          <w:tab w:val="clear" w:pos="1080"/>
          <w:tab w:val="num" w:pos="1440"/>
        </w:tabs>
      </w:pPr>
      <w:bookmarkStart w:id="194" w:name="_Toc385603573"/>
      <w:bookmarkEnd w:id="194"/>
      <w:r w:rsidRPr="00DD446B">
        <w:t>For th</w:t>
      </w:r>
      <w:r w:rsidR="009119C5">
        <w:t>e foregoing reasons, we</w:t>
      </w:r>
      <w:r w:rsidR="00D87550">
        <w:t xml:space="preserve"> determine that</w:t>
      </w:r>
      <w:r w:rsidRPr="00DD446B">
        <w:t xml:space="preserve"> </w:t>
      </w:r>
      <w:r w:rsidR="00492E34">
        <w:t xml:space="preserve">it is in </w:t>
      </w:r>
      <w:r w:rsidRPr="00DD446B">
        <w:t xml:space="preserve">the public interest </w:t>
      </w:r>
      <w:r w:rsidR="00B15730">
        <w:t>to waive</w:t>
      </w:r>
      <w:r>
        <w:t xml:space="preserve"> </w:t>
      </w:r>
      <w:r w:rsidR="000B6BA9">
        <w:t xml:space="preserve">certain of </w:t>
      </w:r>
      <w:r>
        <w:t xml:space="preserve">the </w:t>
      </w:r>
      <w:r w:rsidR="000B6BA9">
        <w:t>Auction 1002 application</w:t>
      </w:r>
      <w:r w:rsidRPr="00DD446B">
        <w:t xml:space="preserve"> </w:t>
      </w:r>
      <w:r w:rsidR="009119C5">
        <w:t>filing deadline</w:t>
      </w:r>
      <w:r w:rsidR="000B6BA9">
        <w:t>s</w:t>
      </w:r>
      <w:r w:rsidRPr="00DD446B">
        <w:t>.</w:t>
      </w:r>
      <w:r>
        <w:t xml:space="preserve"> </w:t>
      </w:r>
      <w:r w:rsidR="008D3AFF">
        <w:t xml:space="preserve"> </w:t>
      </w:r>
      <w:r w:rsidRPr="00490DED">
        <w:t xml:space="preserve">In </w:t>
      </w:r>
      <w:r w:rsidRPr="007E7C2A">
        <w:rPr>
          <w:szCs w:val="22"/>
        </w:rPr>
        <w:t>reaching</w:t>
      </w:r>
      <w:r w:rsidRPr="00490DED">
        <w:t xml:space="preserve"> this conclusion, we give considerable weight to the applicants’ prior records</w:t>
      </w:r>
      <w:r>
        <w:t xml:space="preserve"> of compliance in Auction 1002 and their prompt action to remedy their delinquencies. </w:t>
      </w:r>
      <w:r w:rsidR="00762DF7">
        <w:t xml:space="preserve"> </w:t>
      </w:r>
      <w:r w:rsidR="007104F9">
        <w:t>W</w:t>
      </w:r>
      <w:r w:rsidR="002A7BE2" w:rsidRPr="00490DED">
        <w:t xml:space="preserve">e </w:t>
      </w:r>
      <w:r w:rsidR="0031356F">
        <w:t xml:space="preserve">therefore </w:t>
      </w:r>
      <w:r w:rsidR="00093CE8" w:rsidRPr="00490DED">
        <w:t>grant Pacific Comnex, Tradewinds, and Nova</w:t>
      </w:r>
      <w:r w:rsidR="00697446" w:rsidRPr="00490DED">
        <w:t xml:space="preserve"> </w:t>
      </w:r>
      <w:r w:rsidR="0005275C" w:rsidRPr="00490DED">
        <w:t>the</w:t>
      </w:r>
      <w:r w:rsidR="00093CE8" w:rsidRPr="00490DED">
        <w:t xml:space="preserve"> requested waivers</w:t>
      </w:r>
      <w:r w:rsidR="009119C5">
        <w:t xml:space="preserve"> and accept their applications for processing. </w:t>
      </w:r>
    </w:p>
    <w:p w14:paraId="24C968E5" w14:textId="21702390" w:rsidR="00134A76" w:rsidRPr="00490DED" w:rsidRDefault="00BA18BD" w:rsidP="007E7C2A">
      <w:pPr>
        <w:pStyle w:val="ParaNum"/>
        <w:tabs>
          <w:tab w:val="clear" w:pos="1080"/>
          <w:tab w:val="num" w:pos="1440"/>
        </w:tabs>
        <w:rPr>
          <w:szCs w:val="22"/>
        </w:rPr>
      </w:pPr>
      <w:r w:rsidRPr="00BA18BD">
        <w:rPr>
          <w:szCs w:val="22"/>
        </w:rPr>
        <w:t>We nonetheless note that our decision to waive these rules in this instance should not suggest tha</w:t>
      </w:r>
      <w:r w:rsidR="009B4F0C">
        <w:rPr>
          <w:szCs w:val="22"/>
        </w:rPr>
        <w:t>t such waivers will be routine.</w:t>
      </w:r>
      <w:r w:rsidR="008D3AFF">
        <w:rPr>
          <w:szCs w:val="22"/>
        </w:rPr>
        <w:t xml:space="preserve">  </w:t>
      </w:r>
      <w:r w:rsidR="00CA213D" w:rsidRPr="00490DED">
        <w:rPr>
          <w:szCs w:val="22"/>
        </w:rPr>
        <w:t xml:space="preserve">The timely filing of </w:t>
      </w:r>
      <w:r w:rsidR="00163245" w:rsidRPr="00490DED">
        <w:rPr>
          <w:szCs w:val="22"/>
        </w:rPr>
        <w:t xml:space="preserve">required forms is important </w:t>
      </w:r>
      <w:r w:rsidR="00CA213D" w:rsidRPr="00490DED">
        <w:rPr>
          <w:szCs w:val="22"/>
        </w:rPr>
        <w:t>to the efficiency of the competitive bidding licensing process, and the applicants’ noncompliance imposes additional administr</w:t>
      </w:r>
      <w:r w:rsidR="00A717D8">
        <w:rPr>
          <w:szCs w:val="22"/>
        </w:rPr>
        <w:t>ative burden on the Commission.</w:t>
      </w:r>
      <w:r w:rsidR="00CA213D" w:rsidRPr="00490DED">
        <w:rPr>
          <w:szCs w:val="22"/>
        </w:rPr>
        <w:t xml:space="preserve"> </w:t>
      </w:r>
      <w:r w:rsidR="008D3AFF">
        <w:rPr>
          <w:szCs w:val="22"/>
        </w:rPr>
        <w:t xml:space="preserve"> </w:t>
      </w:r>
      <w:r w:rsidR="00CA213D" w:rsidRPr="00490DED">
        <w:rPr>
          <w:szCs w:val="22"/>
        </w:rPr>
        <w:t>The fact that applicants’ errors appear inadvertent does not excuse their failure to meet the filing deadline</w:t>
      </w:r>
      <w:r w:rsidR="00697446" w:rsidRPr="00490DED">
        <w:rPr>
          <w:szCs w:val="22"/>
        </w:rPr>
        <w:t>,</w:t>
      </w:r>
      <w:r w:rsidR="00CA213D" w:rsidRPr="00490DED">
        <w:rPr>
          <w:szCs w:val="22"/>
        </w:rPr>
        <w:t xml:space="preserve"> and </w:t>
      </w:r>
      <w:r w:rsidR="00951BCA" w:rsidRPr="00490DED">
        <w:rPr>
          <w:szCs w:val="22"/>
        </w:rPr>
        <w:t xml:space="preserve">the Commission reserves the right to take any enforcement action it deems appropriate at a later time. </w:t>
      </w:r>
    </w:p>
    <w:p w14:paraId="713BEC1D" w14:textId="742174EB" w:rsidR="00CA213D" w:rsidRPr="001B1B6D" w:rsidRDefault="00CA213D" w:rsidP="001B1B6D">
      <w:pPr>
        <w:pStyle w:val="Heading1"/>
        <w:numPr>
          <w:ilvl w:val="0"/>
          <w:numId w:val="7"/>
        </w:numPr>
        <w:rPr>
          <w:szCs w:val="22"/>
        </w:rPr>
      </w:pPr>
      <w:r w:rsidRPr="001B1B6D">
        <w:rPr>
          <w:szCs w:val="22"/>
        </w:rPr>
        <w:t>Ordering Clauses</w:t>
      </w:r>
    </w:p>
    <w:p w14:paraId="04EC708B" w14:textId="582AC355" w:rsidR="00D0575B" w:rsidRPr="00490DED" w:rsidRDefault="00D0575B" w:rsidP="007E7C2A">
      <w:pPr>
        <w:pStyle w:val="ParaNum"/>
        <w:tabs>
          <w:tab w:val="clear" w:pos="1080"/>
          <w:tab w:val="num" w:pos="1440"/>
        </w:tabs>
        <w:rPr>
          <w:szCs w:val="22"/>
        </w:rPr>
      </w:pPr>
      <w:r w:rsidRPr="00490DED">
        <w:rPr>
          <w:szCs w:val="22"/>
        </w:rPr>
        <w:t>Accordingly, IT IS ORDERED that, pursuant to Section 4(i) and 303(r) of the Communications Act of 1934, as amended, 47 U.S.C. §§ 154(i), 303(r), and Sections 0.331</w:t>
      </w:r>
      <w:r w:rsidR="00527E79">
        <w:rPr>
          <w:szCs w:val="22"/>
        </w:rPr>
        <w:t>, 1.925</w:t>
      </w:r>
      <w:r w:rsidR="00CC3BCE">
        <w:rPr>
          <w:szCs w:val="22"/>
        </w:rPr>
        <w:t>,</w:t>
      </w:r>
      <w:r w:rsidRPr="00490DED">
        <w:rPr>
          <w:szCs w:val="22"/>
        </w:rPr>
        <w:t xml:space="preserve"> and 1.2107(c) of the Commission’s rules, 47 CFR §§ 0.331, </w:t>
      </w:r>
      <w:r w:rsidR="00CC3BCE">
        <w:rPr>
          <w:szCs w:val="22"/>
        </w:rPr>
        <w:t xml:space="preserve">1.925, and </w:t>
      </w:r>
      <w:r w:rsidRPr="00490DED">
        <w:rPr>
          <w:szCs w:val="22"/>
        </w:rPr>
        <w:t>1.2107(c), the waiver request filed by Pacific Comnex</w:t>
      </w:r>
      <w:r w:rsidR="00AC34A4" w:rsidRPr="00490DED">
        <w:rPr>
          <w:szCs w:val="22"/>
        </w:rPr>
        <w:t>, Inc.</w:t>
      </w:r>
      <w:r w:rsidR="00B45A0D">
        <w:rPr>
          <w:szCs w:val="22"/>
        </w:rPr>
        <w:t>,</w:t>
      </w:r>
      <w:r w:rsidRPr="00490DED">
        <w:rPr>
          <w:szCs w:val="22"/>
        </w:rPr>
        <w:t xml:space="preserve"> </w:t>
      </w:r>
      <w:r w:rsidR="00C833EF" w:rsidRPr="00490DED">
        <w:rPr>
          <w:szCs w:val="22"/>
        </w:rPr>
        <w:t>is</w:t>
      </w:r>
      <w:r w:rsidRPr="00490DED">
        <w:rPr>
          <w:szCs w:val="22"/>
        </w:rPr>
        <w:t xml:space="preserve"> HEREBY GRANTED.  </w:t>
      </w:r>
    </w:p>
    <w:p w14:paraId="7DA62D8E" w14:textId="484347EA" w:rsidR="00D0575B" w:rsidRPr="00490DED" w:rsidRDefault="00D0575B" w:rsidP="007E7C2A">
      <w:pPr>
        <w:pStyle w:val="ParaNum"/>
        <w:tabs>
          <w:tab w:val="clear" w:pos="1080"/>
          <w:tab w:val="num" w:pos="1440"/>
        </w:tabs>
        <w:rPr>
          <w:szCs w:val="22"/>
        </w:rPr>
      </w:pPr>
      <w:r w:rsidRPr="00490DED">
        <w:rPr>
          <w:szCs w:val="22"/>
        </w:rPr>
        <w:t>IT IS FURTHER ORDERED that, pursuant to Section 4(i) and 303(r) of the Communications Act of 1934, as amended, 47 U.S.C. §§ 154(i), 303(r), and Sections 0.331 and 1.925(b)(3) of the Commission’s rules, 47 CFR §§ 0.331</w:t>
      </w:r>
      <w:r w:rsidR="00CC3BCE">
        <w:rPr>
          <w:szCs w:val="22"/>
        </w:rPr>
        <w:t xml:space="preserve"> and</w:t>
      </w:r>
      <w:r w:rsidRPr="00490DED">
        <w:rPr>
          <w:szCs w:val="22"/>
        </w:rPr>
        <w:t xml:space="preserve"> 1.925(b)(3), the waiver requests filed by Tradewinds</w:t>
      </w:r>
      <w:r w:rsidR="00CB7255">
        <w:rPr>
          <w:szCs w:val="22"/>
        </w:rPr>
        <w:t xml:space="preserve"> Wireless</w:t>
      </w:r>
      <w:r w:rsidR="00AC34A4" w:rsidRPr="00AC34A4">
        <w:rPr>
          <w:szCs w:val="22"/>
        </w:rPr>
        <w:t xml:space="preserve"> </w:t>
      </w:r>
      <w:r w:rsidR="00AC34A4" w:rsidRPr="00490DED">
        <w:rPr>
          <w:szCs w:val="22"/>
        </w:rPr>
        <w:t>Holdings, LLC</w:t>
      </w:r>
      <w:r w:rsidR="00B45A0D">
        <w:rPr>
          <w:szCs w:val="22"/>
        </w:rPr>
        <w:t>,</w:t>
      </w:r>
      <w:r w:rsidRPr="00490DED">
        <w:rPr>
          <w:szCs w:val="22"/>
        </w:rPr>
        <w:t xml:space="preserve"> and Nova</w:t>
      </w:r>
      <w:r w:rsidR="00CB7255">
        <w:rPr>
          <w:szCs w:val="22"/>
        </w:rPr>
        <w:t xml:space="preserve"> Wireless</w:t>
      </w:r>
      <w:r w:rsidR="00AC34A4" w:rsidRPr="00490DED">
        <w:rPr>
          <w:szCs w:val="22"/>
        </w:rPr>
        <w:t>, LLC</w:t>
      </w:r>
      <w:r w:rsidR="00B45A0D">
        <w:rPr>
          <w:szCs w:val="22"/>
        </w:rPr>
        <w:t>,</w:t>
      </w:r>
      <w:r w:rsidRPr="00490DED">
        <w:rPr>
          <w:szCs w:val="22"/>
        </w:rPr>
        <w:t xml:space="preserve"> are HEREBY GRANTED. </w:t>
      </w:r>
    </w:p>
    <w:p w14:paraId="0B396B84" w14:textId="33EBB642" w:rsidR="00653ADC" w:rsidRPr="00490DED" w:rsidRDefault="00653ADC" w:rsidP="00490DED">
      <w:pPr>
        <w:pStyle w:val="ParaNum"/>
        <w:numPr>
          <w:ilvl w:val="0"/>
          <w:numId w:val="0"/>
        </w:numPr>
        <w:ind w:firstLine="720"/>
        <w:rPr>
          <w:szCs w:val="22"/>
        </w:rPr>
      </w:pPr>
    </w:p>
    <w:p w14:paraId="74BBC688" w14:textId="77777777" w:rsidR="00653ADC" w:rsidRPr="003314F8" w:rsidRDefault="00653ADC" w:rsidP="00CB7255">
      <w:pPr>
        <w:pStyle w:val="ParaNum"/>
        <w:numPr>
          <w:ilvl w:val="0"/>
          <w:numId w:val="0"/>
        </w:numPr>
        <w:ind w:left="4320" w:firstLine="720"/>
        <w:rPr>
          <w:szCs w:val="22"/>
        </w:rPr>
      </w:pP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14:paraId="52C622CA" w14:textId="30364D7A" w:rsidR="00A20A6E" w:rsidRPr="00E233C5" w:rsidRDefault="00A20A6E" w:rsidP="00CB7255">
      <w:pPr>
        <w:widowControl/>
        <w:autoSpaceDE w:val="0"/>
        <w:autoSpaceDN w:val="0"/>
        <w:adjustRightInd w:val="0"/>
        <w:ind w:left="4320"/>
        <w:rPr>
          <w:rFonts w:eastAsiaTheme="minorHAnsi"/>
          <w:snapToGrid/>
          <w:kern w:val="0"/>
          <w:szCs w:val="22"/>
        </w:rPr>
      </w:pPr>
      <w:r w:rsidRPr="00E233C5">
        <w:rPr>
          <w:rFonts w:eastAsiaTheme="minorHAnsi"/>
          <w:snapToGrid/>
          <w:kern w:val="0"/>
          <w:szCs w:val="22"/>
        </w:rPr>
        <w:t>FEDERAL COMMUNICATIONS COMMISSION</w:t>
      </w:r>
    </w:p>
    <w:p w14:paraId="2E4715C4" w14:textId="781ACEE0" w:rsidR="00A20A6E" w:rsidRPr="00E233C5" w:rsidRDefault="00A20A6E" w:rsidP="00CB7255">
      <w:pPr>
        <w:widowControl/>
        <w:autoSpaceDE w:val="0"/>
        <w:autoSpaceDN w:val="0"/>
        <w:adjustRightInd w:val="0"/>
        <w:ind w:left="4320"/>
        <w:rPr>
          <w:rFonts w:eastAsiaTheme="minorHAnsi"/>
          <w:snapToGrid/>
          <w:kern w:val="0"/>
          <w:szCs w:val="22"/>
        </w:rPr>
      </w:pPr>
    </w:p>
    <w:p w14:paraId="377F5CF0" w14:textId="2C1D3CE1" w:rsidR="00A20A6E" w:rsidRPr="00E233C5" w:rsidRDefault="00A20A6E" w:rsidP="00CB7255">
      <w:pPr>
        <w:widowControl/>
        <w:autoSpaceDE w:val="0"/>
        <w:autoSpaceDN w:val="0"/>
        <w:adjustRightInd w:val="0"/>
        <w:ind w:left="4320"/>
        <w:rPr>
          <w:rFonts w:eastAsiaTheme="minorHAnsi"/>
          <w:snapToGrid/>
          <w:kern w:val="0"/>
          <w:szCs w:val="22"/>
        </w:rPr>
      </w:pPr>
    </w:p>
    <w:p w14:paraId="78B54778" w14:textId="77777777" w:rsidR="00A20A6E" w:rsidRPr="00E233C5" w:rsidRDefault="00A20A6E" w:rsidP="00CB7255">
      <w:pPr>
        <w:widowControl/>
        <w:autoSpaceDE w:val="0"/>
        <w:autoSpaceDN w:val="0"/>
        <w:adjustRightInd w:val="0"/>
        <w:ind w:left="4320"/>
        <w:rPr>
          <w:rFonts w:eastAsiaTheme="minorHAnsi"/>
          <w:snapToGrid/>
          <w:kern w:val="0"/>
          <w:szCs w:val="22"/>
        </w:rPr>
      </w:pPr>
    </w:p>
    <w:p w14:paraId="163170E8" w14:textId="77777777" w:rsidR="00A20A6E" w:rsidRPr="00E233C5" w:rsidRDefault="00A20A6E" w:rsidP="00CB7255">
      <w:pPr>
        <w:widowControl/>
        <w:autoSpaceDE w:val="0"/>
        <w:autoSpaceDN w:val="0"/>
        <w:adjustRightInd w:val="0"/>
        <w:ind w:left="4320"/>
        <w:rPr>
          <w:rFonts w:eastAsiaTheme="minorHAnsi"/>
          <w:b/>
          <w:bCs/>
          <w:snapToGrid/>
          <w:kern w:val="0"/>
          <w:szCs w:val="22"/>
        </w:rPr>
      </w:pPr>
      <w:r w:rsidRPr="00E233C5">
        <w:rPr>
          <w:rFonts w:eastAsiaTheme="minorHAnsi"/>
          <w:b/>
          <w:bCs/>
          <w:snapToGrid/>
          <w:kern w:val="0"/>
          <w:szCs w:val="22"/>
        </w:rPr>
        <w:t>_____________________________________</w:t>
      </w:r>
    </w:p>
    <w:p w14:paraId="01C53FBD" w14:textId="20CC0750" w:rsidR="00A20A6E" w:rsidRPr="00E233C5" w:rsidRDefault="00CE433F" w:rsidP="00CB7255">
      <w:pPr>
        <w:widowControl/>
        <w:autoSpaceDE w:val="0"/>
        <w:autoSpaceDN w:val="0"/>
        <w:adjustRightInd w:val="0"/>
        <w:ind w:left="4320"/>
        <w:rPr>
          <w:rFonts w:eastAsiaTheme="minorHAnsi"/>
          <w:snapToGrid/>
          <w:kern w:val="0"/>
          <w:szCs w:val="22"/>
        </w:rPr>
      </w:pPr>
      <w:r>
        <w:rPr>
          <w:rFonts w:eastAsiaTheme="minorHAnsi"/>
          <w:snapToGrid/>
          <w:kern w:val="0"/>
          <w:szCs w:val="22"/>
        </w:rPr>
        <w:t>Blaise A. Scinto</w:t>
      </w:r>
    </w:p>
    <w:p w14:paraId="16BD0E4D" w14:textId="3235783F" w:rsidR="00CE433F" w:rsidRDefault="00A20A6E" w:rsidP="00CE433F">
      <w:pPr>
        <w:widowControl/>
        <w:autoSpaceDE w:val="0"/>
        <w:autoSpaceDN w:val="0"/>
        <w:adjustRightInd w:val="0"/>
        <w:ind w:left="4320"/>
        <w:rPr>
          <w:rFonts w:eastAsiaTheme="minorHAnsi"/>
          <w:snapToGrid/>
          <w:kern w:val="0"/>
          <w:szCs w:val="22"/>
        </w:rPr>
      </w:pPr>
      <w:r w:rsidRPr="00E233C5">
        <w:rPr>
          <w:rFonts w:eastAsiaTheme="minorHAnsi"/>
          <w:snapToGrid/>
          <w:kern w:val="0"/>
          <w:szCs w:val="22"/>
        </w:rPr>
        <w:t xml:space="preserve">Chief, </w:t>
      </w:r>
      <w:r w:rsidR="00C6387E">
        <w:rPr>
          <w:rFonts w:eastAsiaTheme="minorHAnsi"/>
          <w:snapToGrid/>
          <w:kern w:val="0"/>
          <w:szCs w:val="22"/>
        </w:rPr>
        <w:t>Broadband Division</w:t>
      </w:r>
      <w:r w:rsidR="00CE433F" w:rsidRPr="00CE433F">
        <w:rPr>
          <w:rFonts w:eastAsiaTheme="minorHAnsi"/>
          <w:snapToGrid/>
          <w:kern w:val="0"/>
          <w:szCs w:val="22"/>
        </w:rPr>
        <w:t xml:space="preserve"> </w:t>
      </w:r>
    </w:p>
    <w:p w14:paraId="553E623B" w14:textId="75EAC923" w:rsidR="00A20A6E" w:rsidRPr="00E233C5" w:rsidRDefault="00CE433F" w:rsidP="00CE433F">
      <w:pPr>
        <w:widowControl/>
        <w:autoSpaceDE w:val="0"/>
        <w:autoSpaceDN w:val="0"/>
        <w:adjustRightInd w:val="0"/>
        <w:ind w:left="4320"/>
        <w:rPr>
          <w:rFonts w:eastAsiaTheme="minorHAnsi"/>
          <w:snapToGrid/>
          <w:kern w:val="0"/>
          <w:szCs w:val="22"/>
        </w:rPr>
      </w:pPr>
      <w:r w:rsidRPr="00CE433F">
        <w:rPr>
          <w:rFonts w:eastAsiaTheme="minorHAnsi"/>
          <w:snapToGrid/>
          <w:kern w:val="0"/>
          <w:szCs w:val="22"/>
        </w:rPr>
        <w:t>Wireless</w:t>
      </w:r>
      <w:r>
        <w:rPr>
          <w:rFonts w:eastAsiaTheme="minorHAnsi"/>
          <w:snapToGrid/>
          <w:kern w:val="0"/>
          <w:szCs w:val="22"/>
        </w:rPr>
        <w:t xml:space="preserve"> </w:t>
      </w:r>
      <w:r w:rsidRPr="00CE433F">
        <w:rPr>
          <w:rFonts w:eastAsiaTheme="minorHAnsi"/>
          <w:snapToGrid/>
          <w:kern w:val="0"/>
          <w:szCs w:val="22"/>
        </w:rPr>
        <w:t>Telecommunications Bureau</w:t>
      </w:r>
    </w:p>
    <w:sectPr w:rsidR="00A20A6E" w:rsidRPr="00E233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44AB4" w14:textId="77777777" w:rsidR="00864B1E" w:rsidRDefault="00864B1E" w:rsidP="00D0575B">
      <w:r>
        <w:separator/>
      </w:r>
    </w:p>
  </w:endnote>
  <w:endnote w:type="continuationSeparator" w:id="0">
    <w:p w14:paraId="576B7685" w14:textId="77777777" w:rsidR="00864B1E" w:rsidRDefault="00864B1E" w:rsidP="00D0575B">
      <w:r>
        <w:continuationSeparator/>
      </w:r>
    </w:p>
  </w:endnote>
  <w:endnote w:type="continuationNotice" w:id="1">
    <w:p w14:paraId="58E3CA49" w14:textId="77777777" w:rsidR="00864B1E" w:rsidRDefault="00864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DEDE" w14:textId="77777777" w:rsidR="0045287A" w:rsidRDefault="00452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210F1" w14:textId="77777777" w:rsidR="005E3B58" w:rsidRDefault="005E3B58" w:rsidP="005E3B58"/>
  <w:p w14:paraId="49B43163" w14:textId="695802A8" w:rsidR="005E3B58" w:rsidRDefault="005E3B58">
    <w:pPr>
      <w:pStyle w:val="Footer"/>
    </w:pPr>
  </w:p>
  <w:p w14:paraId="58E862D9" w14:textId="77777777" w:rsidR="005E3B58" w:rsidRDefault="005E3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CA31" w14:textId="77777777" w:rsidR="0045287A" w:rsidRDefault="00452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63FDC" w14:textId="77777777" w:rsidR="00864B1E" w:rsidRDefault="00864B1E" w:rsidP="00D0575B">
      <w:r>
        <w:separator/>
      </w:r>
    </w:p>
  </w:footnote>
  <w:footnote w:type="continuationSeparator" w:id="0">
    <w:p w14:paraId="242A314D" w14:textId="77777777" w:rsidR="00864B1E" w:rsidRDefault="00864B1E" w:rsidP="00D0575B">
      <w:r>
        <w:continuationSeparator/>
      </w:r>
    </w:p>
  </w:footnote>
  <w:footnote w:type="continuationNotice" w:id="1">
    <w:p w14:paraId="2B5DD4DE" w14:textId="77777777" w:rsidR="00864B1E" w:rsidRDefault="00864B1E"/>
  </w:footnote>
  <w:footnote w:id="2">
    <w:p w14:paraId="55BD7CA0" w14:textId="0A69D930" w:rsidR="00862DCB" w:rsidRPr="00F65AA4" w:rsidRDefault="00862DCB" w:rsidP="002A1843">
      <w:pPr>
        <w:pStyle w:val="FootnoteText"/>
      </w:pPr>
      <w:r w:rsidRPr="00F65AA4">
        <w:rPr>
          <w:rStyle w:val="FootnoteReference"/>
        </w:rPr>
        <w:footnoteRef/>
      </w:r>
      <w:r w:rsidR="000655A2" w:rsidRPr="00F65AA4">
        <w:t xml:space="preserve"> The waiver request was attached to Pacific Comnex’s </w:t>
      </w:r>
      <w:r w:rsidR="00F55AC6">
        <w:t>long-</w:t>
      </w:r>
      <w:r w:rsidR="000655A2" w:rsidRPr="00F65AA4">
        <w:t>form application</w:t>
      </w:r>
      <w:r w:rsidR="00EB4387" w:rsidRPr="00F65AA4">
        <w:t xml:space="preserve">. </w:t>
      </w:r>
      <w:r w:rsidR="007E7C2A">
        <w:t xml:space="preserve"> </w:t>
      </w:r>
      <w:r w:rsidR="00EB4387" w:rsidRPr="00F65AA4">
        <w:rPr>
          <w:i/>
        </w:rPr>
        <w:t>See</w:t>
      </w:r>
      <w:r w:rsidRPr="00B63BA9">
        <w:t xml:space="preserve"> </w:t>
      </w:r>
      <w:r w:rsidR="00ED6132" w:rsidRPr="00B63BA9">
        <w:t>ULS</w:t>
      </w:r>
      <w:r w:rsidR="00ED6132" w:rsidRPr="00F65AA4">
        <w:t xml:space="preserve"> </w:t>
      </w:r>
      <w:r w:rsidR="00EB4387" w:rsidRPr="00F65AA4">
        <w:t xml:space="preserve">File No. 0007759874 </w:t>
      </w:r>
      <w:r w:rsidRPr="00F65AA4">
        <w:t>(Pacific Comnex Waiver Request</w:t>
      </w:r>
      <w:r w:rsidR="00425D7C" w:rsidRPr="00F65AA4">
        <w:t>)</w:t>
      </w:r>
      <w:r w:rsidR="009A71B3" w:rsidRPr="00F65AA4">
        <w:t>.</w:t>
      </w:r>
    </w:p>
  </w:footnote>
  <w:footnote w:id="3">
    <w:p w14:paraId="672B80D1" w14:textId="70246F4B" w:rsidR="00862DCB" w:rsidRPr="00F65AA4" w:rsidRDefault="00862DCB" w:rsidP="00F74A46">
      <w:pPr>
        <w:pStyle w:val="FootnoteText"/>
      </w:pPr>
      <w:r w:rsidRPr="00F65AA4">
        <w:rPr>
          <w:rStyle w:val="FootnoteReference"/>
        </w:rPr>
        <w:footnoteRef/>
      </w:r>
      <w:r w:rsidR="00EB4387" w:rsidRPr="00F65AA4">
        <w:t xml:space="preserve"> The waiver request was attached to Tradewinds</w:t>
      </w:r>
      <w:r w:rsidR="0090190B">
        <w:t>’s</w:t>
      </w:r>
      <w:r w:rsidR="00EB4387" w:rsidRPr="00F65AA4">
        <w:t xml:space="preserve"> </w:t>
      </w:r>
      <w:r w:rsidR="00F55AC6">
        <w:t>long-</w:t>
      </w:r>
      <w:r w:rsidR="00EB4387" w:rsidRPr="00F65AA4">
        <w:t>form application as Exhibit F.</w:t>
      </w:r>
      <w:r w:rsidR="008447F3">
        <w:t xml:space="preserve"> </w:t>
      </w:r>
      <w:r w:rsidR="00EB4387" w:rsidRPr="00F65AA4">
        <w:t xml:space="preserve"> </w:t>
      </w:r>
      <w:r w:rsidR="00241C2B" w:rsidRPr="00F65AA4">
        <w:rPr>
          <w:i/>
        </w:rPr>
        <w:t>See</w:t>
      </w:r>
      <w:r w:rsidR="00241C2B" w:rsidRPr="00B63BA9">
        <w:t xml:space="preserve"> </w:t>
      </w:r>
      <w:r w:rsidR="00ED6132" w:rsidRPr="00B63BA9">
        <w:t>ULS</w:t>
      </w:r>
      <w:r w:rsidR="00ED6132" w:rsidRPr="00F65AA4">
        <w:t xml:space="preserve"> </w:t>
      </w:r>
      <w:r w:rsidR="00241C2B" w:rsidRPr="00F65AA4">
        <w:t>File</w:t>
      </w:r>
      <w:r w:rsidR="00EB4387" w:rsidRPr="00F65AA4">
        <w:t xml:space="preserve"> No. 0007752492, Exhibit F </w:t>
      </w:r>
      <w:r w:rsidR="00F74A46" w:rsidRPr="00F65AA4">
        <w:t>(Tradewinds Waiver Request).</w:t>
      </w:r>
      <w:r w:rsidRPr="00F65AA4">
        <w:t xml:space="preserve"> </w:t>
      </w:r>
    </w:p>
  </w:footnote>
  <w:footnote w:id="4">
    <w:p w14:paraId="33D65DB7" w14:textId="6CEBCA98" w:rsidR="00862DCB" w:rsidRPr="00F65AA4" w:rsidRDefault="00862DCB">
      <w:pPr>
        <w:pStyle w:val="FootnoteText"/>
      </w:pPr>
      <w:r w:rsidRPr="00F65AA4">
        <w:rPr>
          <w:rStyle w:val="FootnoteReference"/>
        </w:rPr>
        <w:footnoteRef/>
      </w:r>
      <w:r w:rsidRPr="00F65AA4">
        <w:t xml:space="preserve"> </w:t>
      </w:r>
      <w:r w:rsidR="00284A60" w:rsidRPr="00F65AA4">
        <w:t>The waiver request was attached to Nova</w:t>
      </w:r>
      <w:r w:rsidR="0090190B">
        <w:t xml:space="preserve">’s </w:t>
      </w:r>
      <w:r w:rsidR="00F55AC6">
        <w:t>long-</w:t>
      </w:r>
      <w:r w:rsidR="00284A60" w:rsidRPr="00F65AA4">
        <w:t xml:space="preserve">form application. </w:t>
      </w:r>
      <w:r w:rsidR="008447F3">
        <w:t xml:space="preserve"> </w:t>
      </w:r>
      <w:r w:rsidR="00284A60" w:rsidRPr="00F65AA4">
        <w:rPr>
          <w:i/>
        </w:rPr>
        <w:t>See</w:t>
      </w:r>
      <w:r w:rsidR="00284A60" w:rsidRPr="00B63BA9">
        <w:t xml:space="preserve"> </w:t>
      </w:r>
      <w:r w:rsidR="00ED6132" w:rsidRPr="00B63BA9">
        <w:t>ULS</w:t>
      </w:r>
      <w:r w:rsidR="00ED6132" w:rsidRPr="00F65AA4">
        <w:t xml:space="preserve"> </w:t>
      </w:r>
      <w:r w:rsidR="00F74A46" w:rsidRPr="00F65AA4">
        <w:t>File No. 0007751705</w:t>
      </w:r>
      <w:r w:rsidR="00194C8F" w:rsidRPr="00F65AA4">
        <w:t xml:space="preserve"> </w:t>
      </w:r>
      <w:r w:rsidR="00F74A46" w:rsidRPr="00F65AA4">
        <w:t>(Nova Waiver Request</w:t>
      </w:r>
      <w:r w:rsidR="00425D7C" w:rsidRPr="00F65AA4">
        <w:t>)</w:t>
      </w:r>
      <w:r w:rsidR="00194C8F" w:rsidRPr="00F65AA4">
        <w:t>.</w:t>
      </w:r>
    </w:p>
  </w:footnote>
  <w:footnote w:id="5">
    <w:p w14:paraId="001DD328" w14:textId="63AF79F0" w:rsidR="00B67A6D" w:rsidRPr="00F65AA4" w:rsidRDefault="00B67A6D" w:rsidP="00B67A6D">
      <w:pPr>
        <w:pStyle w:val="FootnoteText"/>
      </w:pPr>
      <w:r w:rsidRPr="00F65AA4">
        <w:rPr>
          <w:rStyle w:val="FootnoteReference"/>
        </w:rPr>
        <w:footnoteRef/>
      </w:r>
      <w:r w:rsidRPr="00F65AA4">
        <w:t xml:space="preserve"> </w:t>
      </w:r>
      <w:r w:rsidRPr="00F65AA4">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F65AA4">
        <w:t>, Public Notice, 32 FCC Rcd 2786 (2017) (</w:t>
      </w:r>
      <w:r w:rsidR="00A37F7E" w:rsidRPr="00F65AA4">
        <w:rPr>
          <w:i/>
        </w:rPr>
        <w:t>Closing and Channel Reassignment Public Notice</w:t>
      </w:r>
      <w:r w:rsidRPr="00F65AA4">
        <w:t xml:space="preserve">).  </w:t>
      </w:r>
      <w:r w:rsidR="007C7C5E" w:rsidRPr="00F65AA4">
        <w:rPr>
          <w:i/>
        </w:rPr>
        <w:t>See also</w:t>
      </w:r>
      <w:r w:rsidR="007C7C5E" w:rsidRPr="00F65AA4">
        <w:t xml:space="preserve"> 47 CFR §§ 1.919(b)(1), 1.2107(c), 1.2107(f).</w:t>
      </w:r>
    </w:p>
  </w:footnote>
  <w:footnote w:id="6">
    <w:p w14:paraId="6C6F05D8" w14:textId="5DE5D443" w:rsidR="00072ACD" w:rsidRPr="00F65AA4" w:rsidRDefault="00072ACD" w:rsidP="00072ACD">
      <w:pPr>
        <w:pStyle w:val="FootnoteText"/>
      </w:pPr>
      <w:r w:rsidRPr="00F65AA4">
        <w:rPr>
          <w:rStyle w:val="FootnoteReference"/>
        </w:rPr>
        <w:footnoteRef/>
      </w:r>
      <w:r w:rsidRPr="00F65AA4">
        <w:t xml:space="preserve"> </w:t>
      </w:r>
      <w:r w:rsidR="00DF0C66" w:rsidRPr="00F65AA4">
        <w:rPr>
          <w:i/>
        </w:rPr>
        <w:t xml:space="preserve">See generally </w:t>
      </w:r>
      <w:r w:rsidR="007C7C5E" w:rsidRPr="00F65AA4">
        <w:rPr>
          <w:i/>
        </w:rPr>
        <w:t>Closing and Channel Reassignment Public Notice.</w:t>
      </w:r>
    </w:p>
  </w:footnote>
  <w:footnote w:id="7">
    <w:p w14:paraId="47FAA2A8" w14:textId="19BDBFC3" w:rsidR="00D0575B" w:rsidRPr="00F65AA4" w:rsidRDefault="00D0575B" w:rsidP="00D0575B">
      <w:pPr>
        <w:pStyle w:val="FootnoteText"/>
      </w:pPr>
      <w:r w:rsidRPr="00F65AA4">
        <w:rPr>
          <w:rStyle w:val="FootnoteReference"/>
        </w:rPr>
        <w:footnoteRef/>
      </w:r>
      <w:r w:rsidRPr="00F65AA4">
        <w:t xml:space="preserve"> </w:t>
      </w:r>
      <w:r w:rsidR="008447F3" w:rsidRPr="00F65AA4">
        <w:rPr>
          <w:i/>
        </w:rPr>
        <w:t>See</w:t>
      </w:r>
      <w:r w:rsidR="008447F3" w:rsidRPr="00F65AA4">
        <w:t xml:space="preserve"> </w:t>
      </w:r>
      <w:r w:rsidR="008447F3" w:rsidRPr="00F65AA4">
        <w:rPr>
          <w:i/>
        </w:rPr>
        <w:t xml:space="preserve">Closing and Channel Reassignment Public </w:t>
      </w:r>
      <w:r w:rsidR="008447F3" w:rsidRPr="00436E70">
        <w:rPr>
          <w:i/>
        </w:rPr>
        <w:t>Notice</w:t>
      </w:r>
      <w:r w:rsidR="008447F3">
        <w:t>,</w:t>
      </w:r>
      <w:r w:rsidR="008447F3" w:rsidRPr="00F65AA4">
        <w:rPr>
          <w:i/>
        </w:rPr>
        <w:t xml:space="preserve"> </w:t>
      </w:r>
      <w:r w:rsidR="008447F3" w:rsidRPr="00F65AA4">
        <w:t>32 FCC Rcd at 2797, para</w:t>
      </w:r>
      <w:r w:rsidR="008447F3">
        <w:t>s</w:t>
      </w:r>
      <w:r w:rsidR="008447F3" w:rsidRPr="00F65AA4">
        <w:t>. 23</w:t>
      </w:r>
      <w:r w:rsidR="008447F3" w:rsidRPr="00B63BA9">
        <w:t>-24</w:t>
      </w:r>
      <w:r w:rsidR="007A7072" w:rsidRPr="00F65AA4">
        <w:t xml:space="preserve">. </w:t>
      </w:r>
      <w:r w:rsidR="001C77F6" w:rsidRPr="00F65AA4">
        <w:t xml:space="preserve"> </w:t>
      </w:r>
      <w:r w:rsidR="001B28C6" w:rsidRPr="00F65AA4">
        <w:t>A</w:t>
      </w:r>
      <w:r w:rsidR="001C77F6" w:rsidRPr="00F65AA4">
        <w:t xml:space="preserve">pplicants were required to submit final payments by 6:00 </w:t>
      </w:r>
      <w:r w:rsidR="008447F3">
        <w:t>p.m.</w:t>
      </w:r>
      <w:r w:rsidR="001C77F6" w:rsidRPr="00F65AA4">
        <w:t xml:space="preserve"> ET on May 11, 2017. </w:t>
      </w:r>
      <w:r w:rsidR="007E7C2A">
        <w:t xml:space="preserve"> </w:t>
      </w:r>
      <w:r w:rsidR="003A2851" w:rsidRPr="003A2851">
        <w:rPr>
          <w:i/>
        </w:rPr>
        <w:t>I</w:t>
      </w:r>
      <w:r w:rsidR="001C77F6" w:rsidRPr="00F65AA4">
        <w:rPr>
          <w:i/>
        </w:rPr>
        <w:t xml:space="preserve">d. </w:t>
      </w:r>
      <w:r w:rsidR="001C77F6" w:rsidRPr="00F65AA4">
        <w:t xml:space="preserve">at 2797, para. 26. </w:t>
      </w:r>
    </w:p>
  </w:footnote>
  <w:footnote w:id="8">
    <w:p w14:paraId="753EDC12" w14:textId="6B566B3A" w:rsidR="00D0575B" w:rsidRPr="00F65AA4" w:rsidRDefault="00D0575B" w:rsidP="00D0575B">
      <w:pPr>
        <w:pStyle w:val="FootnoteText"/>
      </w:pPr>
      <w:r w:rsidRPr="00F65AA4">
        <w:rPr>
          <w:rStyle w:val="FootnoteReference"/>
        </w:rPr>
        <w:footnoteRef/>
      </w:r>
      <w:r w:rsidRPr="00F65AA4">
        <w:t xml:space="preserve"> </w:t>
      </w:r>
      <w:r w:rsidR="003A2851" w:rsidRPr="003A2851">
        <w:rPr>
          <w:i/>
        </w:rPr>
        <w:t>I</w:t>
      </w:r>
      <w:r w:rsidR="003A2851" w:rsidRPr="00F65AA4">
        <w:rPr>
          <w:i/>
        </w:rPr>
        <w:t xml:space="preserve">d. </w:t>
      </w:r>
      <w:r w:rsidR="003A2851" w:rsidRPr="00F65AA4">
        <w:t xml:space="preserve">at </w:t>
      </w:r>
      <w:r w:rsidR="007A7072" w:rsidRPr="00F65AA4">
        <w:t>2801</w:t>
      </w:r>
      <w:r w:rsidR="003A334C" w:rsidRPr="00F65AA4">
        <w:t>,</w:t>
      </w:r>
      <w:r w:rsidRPr="00F65AA4">
        <w:t xml:space="preserve"> para</w:t>
      </w:r>
      <w:r w:rsidR="00D26CD4" w:rsidRPr="00F65AA4">
        <w:t>s</w:t>
      </w:r>
      <w:r w:rsidRPr="00F65AA4">
        <w:t>. 45</w:t>
      </w:r>
      <w:r w:rsidR="007A7072" w:rsidRPr="00F65AA4">
        <w:t>-47</w:t>
      </w:r>
      <w:r w:rsidRPr="00F65AA4">
        <w:t>.</w:t>
      </w:r>
    </w:p>
  </w:footnote>
  <w:footnote w:id="9">
    <w:p w14:paraId="078DA4F7" w14:textId="12B5E394" w:rsidR="00D0575B" w:rsidRPr="00F65AA4" w:rsidRDefault="00D0575B" w:rsidP="00D0575B">
      <w:pPr>
        <w:pStyle w:val="FootnoteText"/>
      </w:pPr>
      <w:r w:rsidRPr="00F65AA4">
        <w:rPr>
          <w:rStyle w:val="FootnoteReference"/>
        </w:rPr>
        <w:footnoteRef/>
      </w:r>
      <w:r w:rsidRPr="00F65AA4">
        <w:t xml:space="preserve"> </w:t>
      </w:r>
      <w:r w:rsidR="003A2851" w:rsidRPr="003A2851">
        <w:rPr>
          <w:i/>
        </w:rPr>
        <w:t>I</w:t>
      </w:r>
      <w:r w:rsidR="003A2851" w:rsidRPr="00F65AA4">
        <w:rPr>
          <w:i/>
        </w:rPr>
        <w:t xml:space="preserve">d. </w:t>
      </w:r>
      <w:r w:rsidR="003A2851" w:rsidRPr="00F65AA4">
        <w:t xml:space="preserve">at </w:t>
      </w:r>
      <w:r w:rsidR="0084446F" w:rsidRPr="00F65AA4">
        <w:t>2802</w:t>
      </w:r>
      <w:r w:rsidR="003A334C" w:rsidRPr="00F65AA4">
        <w:t>,</w:t>
      </w:r>
      <w:r w:rsidR="0084446F" w:rsidRPr="00F65AA4">
        <w:t xml:space="preserve"> </w:t>
      </w:r>
      <w:r w:rsidRPr="00F65AA4">
        <w:t>para. 51</w:t>
      </w:r>
      <w:r w:rsidR="007C7C5E" w:rsidRPr="003B64DE">
        <w:t xml:space="preserve"> </w:t>
      </w:r>
      <w:r w:rsidR="007C7C5E" w:rsidRPr="00F65AA4">
        <w:t>(“Pursuant to sections 1.913, 1.919 and 1.2112 of the Commission’s rules, an applicant for a license offered at auction must, at the time of submitting its FCC Form 601, have on file with the Commission a current ownership disclosure information report (FCC Form 602) providing the applicant’s complete and ac</w:t>
      </w:r>
      <w:r w:rsidR="000F2321" w:rsidRPr="00F65AA4">
        <w:t>curate ownership information.”)</w:t>
      </w:r>
      <w:r w:rsidRPr="00F65AA4">
        <w:t xml:space="preserve">.  </w:t>
      </w:r>
    </w:p>
  </w:footnote>
  <w:footnote w:id="10">
    <w:p w14:paraId="1E5046FA" w14:textId="59959E6A" w:rsidR="00D57996" w:rsidRPr="00F65AA4" w:rsidRDefault="00D57996">
      <w:pPr>
        <w:pStyle w:val="FootnoteText"/>
      </w:pPr>
      <w:r w:rsidRPr="00F65AA4">
        <w:rPr>
          <w:rStyle w:val="FootnoteReference"/>
        </w:rPr>
        <w:footnoteRef/>
      </w:r>
      <w:r w:rsidRPr="00F65AA4">
        <w:t xml:space="preserve"> </w:t>
      </w:r>
      <w:r w:rsidR="00194C8F" w:rsidRPr="00F65AA4">
        <w:rPr>
          <w:i/>
          <w:color w:val="000000"/>
        </w:rPr>
        <w:t xml:space="preserve">See </w:t>
      </w:r>
      <w:r w:rsidR="00E60930" w:rsidRPr="00F65AA4">
        <w:rPr>
          <w:i/>
        </w:rPr>
        <w:t xml:space="preserve">id. </w:t>
      </w:r>
      <w:r w:rsidR="00E60930" w:rsidRPr="00F65AA4">
        <w:t>at 2797, para. 26.</w:t>
      </w:r>
    </w:p>
  </w:footnote>
  <w:footnote w:id="11">
    <w:p w14:paraId="33D52B92" w14:textId="4076ED3D" w:rsidR="00A20A6E" w:rsidRPr="00F65AA4" w:rsidRDefault="00A20A6E">
      <w:pPr>
        <w:pStyle w:val="FootnoteText"/>
      </w:pPr>
      <w:r w:rsidRPr="00F65AA4">
        <w:rPr>
          <w:rStyle w:val="FootnoteReference"/>
        </w:rPr>
        <w:footnoteRef/>
      </w:r>
      <w:r w:rsidRPr="00F65AA4">
        <w:t xml:space="preserve"> </w:t>
      </w:r>
      <w:r w:rsidR="00194C8F" w:rsidRPr="00F65AA4">
        <w:rPr>
          <w:i/>
        </w:rPr>
        <w:t xml:space="preserve">See </w:t>
      </w:r>
      <w:r w:rsidR="00B26B26" w:rsidRPr="00F65AA4">
        <w:t xml:space="preserve">Pacific Comnex Waiver Request; Tradewinds Waiver Request; Nova Waiver Request. </w:t>
      </w:r>
    </w:p>
  </w:footnote>
  <w:footnote w:id="12">
    <w:p w14:paraId="055DB0D2" w14:textId="1F725919" w:rsidR="00A66346" w:rsidRPr="00F65AA4" w:rsidRDefault="00A66346">
      <w:pPr>
        <w:pStyle w:val="FootnoteText"/>
      </w:pPr>
      <w:r w:rsidRPr="00F65AA4">
        <w:rPr>
          <w:rStyle w:val="FootnoteReference"/>
        </w:rPr>
        <w:footnoteRef/>
      </w:r>
      <w:r w:rsidRPr="00F65AA4">
        <w:t xml:space="preserve"> </w:t>
      </w:r>
      <w:r w:rsidR="00C0115D" w:rsidRPr="00F65AA4">
        <w:t xml:space="preserve">Pacific Comnex </w:t>
      </w:r>
      <w:r w:rsidR="00255F15" w:rsidRPr="00F65AA4">
        <w:t xml:space="preserve">Waiver Request at 1; </w:t>
      </w:r>
      <w:r w:rsidR="00CD5E8B" w:rsidRPr="00B63BA9">
        <w:rPr>
          <w:i/>
        </w:rPr>
        <w:t>s</w:t>
      </w:r>
      <w:r w:rsidR="00633888" w:rsidRPr="00B63BA9">
        <w:rPr>
          <w:i/>
        </w:rPr>
        <w:t>ee</w:t>
      </w:r>
      <w:r w:rsidR="00633888" w:rsidRPr="00B63BA9">
        <w:t xml:space="preserve"> </w:t>
      </w:r>
      <w:r w:rsidR="00633888" w:rsidRPr="003A2851">
        <w:rPr>
          <w:i/>
        </w:rPr>
        <w:t>also</w:t>
      </w:r>
      <w:r w:rsidR="00633888" w:rsidRPr="00B63BA9">
        <w:t xml:space="preserve"> </w:t>
      </w:r>
      <w:r w:rsidR="00255F15" w:rsidRPr="00F65AA4">
        <w:t xml:space="preserve">47 CFR </w:t>
      </w:r>
      <w:r w:rsidR="00D95640" w:rsidRPr="00F65AA4">
        <w:t>§§</w:t>
      </w:r>
      <w:r w:rsidR="007E7C2A">
        <w:t xml:space="preserve"> </w:t>
      </w:r>
      <w:r w:rsidR="00D95640" w:rsidRPr="00F65AA4">
        <w:t xml:space="preserve">1.3, </w:t>
      </w:r>
      <w:r w:rsidR="00255F15" w:rsidRPr="00F65AA4">
        <w:t>1.</w:t>
      </w:r>
      <w:r w:rsidR="00884146" w:rsidRPr="00F65AA4">
        <w:t>2107(c)</w:t>
      </w:r>
      <w:r w:rsidR="00D95640" w:rsidRPr="00F65AA4">
        <w:t>.</w:t>
      </w:r>
    </w:p>
  </w:footnote>
  <w:footnote w:id="13">
    <w:p w14:paraId="2816B8C6" w14:textId="468DE8DD" w:rsidR="001734E5" w:rsidRPr="00F65AA4" w:rsidRDefault="001734E5" w:rsidP="001734E5">
      <w:pPr>
        <w:pStyle w:val="FootnoteText"/>
      </w:pPr>
      <w:r w:rsidRPr="00F65AA4">
        <w:rPr>
          <w:rStyle w:val="FootnoteReference"/>
        </w:rPr>
        <w:footnoteRef/>
      </w:r>
      <w:r w:rsidRPr="00F65AA4">
        <w:t xml:space="preserve"> </w:t>
      </w:r>
      <w:r w:rsidR="00255F15" w:rsidRPr="00F65AA4">
        <w:t xml:space="preserve">Pacific Comnex </w:t>
      </w:r>
      <w:r w:rsidR="003A334C" w:rsidRPr="00F65AA4">
        <w:t>Waiver Request at 1</w:t>
      </w:r>
      <w:r w:rsidR="00255F15" w:rsidRPr="00F65AA4">
        <w:t xml:space="preserve">; </w:t>
      </w:r>
      <w:r w:rsidR="00CD5E8B" w:rsidRPr="00B63BA9">
        <w:rPr>
          <w:i/>
        </w:rPr>
        <w:t>s</w:t>
      </w:r>
      <w:r w:rsidR="00633888" w:rsidRPr="00B63BA9">
        <w:rPr>
          <w:i/>
        </w:rPr>
        <w:t>ee also</w:t>
      </w:r>
      <w:r w:rsidR="00633888" w:rsidRPr="00B63BA9">
        <w:t xml:space="preserve"> </w:t>
      </w:r>
      <w:r w:rsidRPr="00F65AA4">
        <w:t>47 CFR § 1.925(b)(3).</w:t>
      </w:r>
    </w:p>
  </w:footnote>
  <w:footnote w:id="14">
    <w:p w14:paraId="4BC3BB60" w14:textId="00D02986" w:rsidR="00A66346" w:rsidRPr="00F65AA4" w:rsidRDefault="00A66346">
      <w:pPr>
        <w:pStyle w:val="FootnoteText"/>
      </w:pPr>
      <w:r w:rsidRPr="00F65AA4">
        <w:rPr>
          <w:rStyle w:val="FootnoteReference"/>
        </w:rPr>
        <w:footnoteRef/>
      </w:r>
      <w:r w:rsidRPr="00F65AA4">
        <w:t xml:space="preserve"> </w:t>
      </w:r>
      <w:r w:rsidRPr="00F65AA4">
        <w:rPr>
          <w:i/>
        </w:rPr>
        <w:t>See</w:t>
      </w:r>
      <w:r w:rsidR="000F2321" w:rsidRPr="00F65AA4">
        <w:t xml:space="preserve"> Pacific Comnex Waiver Request</w:t>
      </w:r>
      <w:r w:rsidRPr="00F65AA4">
        <w:rPr>
          <w:i/>
        </w:rPr>
        <w:t xml:space="preserve"> </w:t>
      </w:r>
      <w:r w:rsidRPr="00F65AA4">
        <w:t xml:space="preserve">at </w:t>
      </w:r>
      <w:r w:rsidR="005E6C19" w:rsidRPr="00F65AA4">
        <w:t>4</w:t>
      </w:r>
      <w:r w:rsidRPr="00F65AA4">
        <w:t>.</w:t>
      </w:r>
    </w:p>
  </w:footnote>
  <w:footnote w:id="15">
    <w:p w14:paraId="68808DBE" w14:textId="1110FFBD" w:rsidR="00A66346" w:rsidRPr="00F65AA4" w:rsidRDefault="00A66346">
      <w:pPr>
        <w:pStyle w:val="FootnoteText"/>
      </w:pPr>
      <w:r w:rsidRPr="00F65AA4">
        <w:rPr>
          <w:rStyle w:val="FootnoteReference"/>
        </w:rPr>
        <w:footnoteRef/>
      </w:r>
      <w:r w:rsidRPr="00F65AA4">
        <w:t xml:space="preserve"> </w:t>
      </w:r>
      <w:r w:rsidR="003B39DF" w:rsidRPr="00B63BA9">
        <w:rPr>
          <w:i/>
        </w:rPr>
        <w:t>I</w:t>
      </w:r>
      <w:r w:rsidRPr="00B63BA9">
        <w:rPr>
          <w:i/>
        </w:rPr>
        <w:t>d</w:t>
      </w:r>
      <w:r w:rsidRPr="00B63BA9">
        <w:t>.</w:t>
      </w:r>
      <w:r w:rsidR="003B64DE">
        <w:t xml:space="preserve"> at 3-4</w:t>
      </w:r>
      <w:r w:rsidR="003B64DE" w:rsidRPr="00F65AA4">
        <w:t>.</w:t>
      </w:r>
    </w:p>
  </w:footnote>
  <w:footnote w:id="16">
    <w:p w14:paraId="5FA09273" w14:textId="183A1B70" w:rsidR="0006769C" w:rsidRPr="003B64DE" w:rsidRDefault="0006769C">
      <w:pPr>
        <w:pStyle w:val="FootnoteText"/>
      </w:pPr>
      <w:r w:rsidRPr="003B64DE">
        <w:rPr>
          <w:rStyle w:val="FootnoteReference"/>
        </w:rPr>
        <w:footnoteRef/>
      </w:r>
      <w:r w:rsidRPr="003B64DE">
        <w:t xml:space="preserve"> </w:t>
      </w:r>
      <w:r w:rsidRPr="00B63BA9">
        <w:rPr>
          <w:i/>
        </w:rPr>
        <w:t>Id</w:t>
      </w:r>
      <w:r w:rsidRPr="00B63BA9">
        <w:t>.</w:t>
      </w:r>
      <w:r w:rsidR="003B64DE">
        <w:t xml:space="preserve"> at 4.</w:t>
      </w:r>
    </w:p>
  </w:footnote>
  <w:footnote w:id="17">
    <w:p w14:paraId="6221AAB3" w14:textId="2DDA7ABE" w:rsidR="00A66346" w:rsidRPr="00F65AA4" w:rsidRDefault="00A66346" w:rsidP="00A66346">
      <w:pPr>
        <w:pStyle w:val="FootnoteText"/>
      </w:pPr>
      <w:r w:rsidRPr="00F65AA4">
        <w:rPr>
          <w:rStyle w:val="FootnoteReference"/>
        </w:rPr>
        <w:footnoteRef/>
      </w:r>
      <w:r w:rsidRPr="00F65AA4">
        <w:t xml:space="preserve"> </w:t>
      </w:r>
      <w:r w:rsidR="003B39DF" w:rsidRPr="00B63BA9">
        <w:rPr>
          <w:i/>
        </w:rPr>
        <w:t>I</w:t>
      </w:r>
      <w:r w:rsidRPr="00B63BA9">
        <w:rPr>
          <w:i/>
        </w:rPr>
        <w:t>d</w:t>
      </w:r>
      <w:r w:rsidRPr="00F65AA4">
        <w:t>.</w:t>
      </w:r>
      <w:r w:rsidR="008B0785" w:rsidRPr="00F65AA4">
        <w:t xml:space="preserve"> at </w:t>
      </w:r>
      <w:r w:rsidR="0006769C" w:rsidRPr="00F65AA4">
        <w:t>2</w:t>
      </w:r>
      <w:r w:rsidR="008B0785" w:rsidRPr="00F65AA4">
        <w:t>.</w:t>
      </w:r>
    </w:p>
  </w:footnote>
  <w:footnote w:id="18">
    <w:p w14:paraId="2E7A280B" w14:textId="44F831F2" w:rsidR="001B1FBF" w:rsidRPr="00F65AA4" w:rsidRDefault="001B1FBF" w:rsidP="001B1FBF">
      <w:pPr>
        <w:pStyle w:val="FootnoteText"/>
      </w:pPr>
      <w:r w:rsidRPr="00F65AA4">
        <w:rPr>
          <w:rStyle w:val="FootnoteReference"/>
        </w:rPr>
        <w:footnoteRef/>
      </w:r>
      <w:r w:rsidRPr="00F65AA4">
        <w:t xml:space="preserve"> </w:t>
      </w:r>
      <w:r w:rsidR="002C7232" w:rsidRPr="00F65AA4">
        <w:t xml:space="preserve">Tradewinds Waiver Request at </w:t>
      </w:r>
      <w:r w:rsidR="0006769C" w:rsidRPr="00B63BA9">
        <w:t>2</w:t>
      </w:r>
      <w:r w:rsidR="002C7232" w:rsidRPr="00B63BA9">
        <w:t xml:space="preserve">; </w:t>
      </w:r>
      <w:r w:rsidR="00CD5E8B" w:rsidRPr="00B63BA9">
        <w:rPr>
          <w:i/>
        </w:rPr>
        <w:t>s</w:t>
      </w:r>
      <w:r w:rsidR="0006769C" w:rsidRPr="00B63BA9">
        <w:rPr>
          <w:i/>
        </w:rPr>
        <w:t>ee also</w:t>
      </w:r>
      <w:r w:rsidR="0006769C" w:rsidRPr="00F65AA4">
        <w:t xml:space="preserve"> </w:t>
      </w:r>
      <w:r w:rsidRPr="00F65AA4">
        <w:t>47 CFR § 1.925(b)(3).</w:t>
      </w:r>
    </w:p>
  </w:footnote>
  <w:footnote w:id="19">
    <w:p w14:paraId="19A69F7A" w14:textId="23CB809B" w:rsidR="001E3C15" w:rsidRPr="00F65AA4" w:rsidRDefault="001E3C15">
      <w:pPr>
        <w:pStyle w:val="FootnoteText"/>
      </w:pPr>
      <w:r w:rsidRPr="00F65AA4">
        <w:rPr>
          <w:rStyle w:val="FootnoteReference"/>
        </w:rPr>
        <w:footnoteRef/>
      </w:r>
      <w:r w:rsidRPr="00F65AA4">
        <w:t xml:space="preserve"> Tradewinds Waiver Request at 2.</w:t>
      </w:r>
    </w:p>
  </w:footnote>
  <w:footnote w:id="20">
    <w:p w14:paraId="53CA1BFB" w14:textId="24A9EF31" w:rsidR="00CD4776" w:rsidRPr="00F65AA4" w:rsidRDefault="00CD4776" w:rsidP="00CD4776">
      <w:pPr>
        <w:pStyle w:val="FootnoteText"/>
      </w:pPr>
      <w:r w:rsidRPr="00F65AA4">
        <w:rPr>
          <w:rStyle w:val="FootnoteReference"/>
        </w:rPr>
        <w:footnoteRef/>
      </w:r>
      <w:r w:rsidR="00610651" w:rsidRPr="00F65AA4">
        <w:rPr>
          <w:i/>
        </w:rPr>
        <w:t xml:space="preserve"> </w:t>
      </w:r>
      <w:r w:rsidR="001E3C15" w:rsidRPr="00F65AA4">
        <w:rPr>
          <w:i/>
        </w:rPr>
        <w:t xml:space="preserve"> </w:t>
      </w:r>
      <w:r w:rsidR="003B39DF" w:rsidRPr="00B63BA9">
        <w:rPr>
          <w:i/>
        </w:rPr>
        <w:t>I</w:t>
      </w:r>
      <w:r w:rsidR="001E3C15" w:rsidRPr="00B63BA9">
        <w:rPr>
          <w:i/>
        </w:rPr>
        <w:t>d</w:t>
      </w:r>
      <w:r w:rsidR="001E3C15" w:rsidRPr="00F65AA4">
        <w:t>.</w:t>
      </w:r>
      <w:r w:rsidR="00EA629A" w:rsidRPr="00F65AA4">
        <w:t xml:space="preserve">  Specifically, Tradewinds states that it “reviewed an Ownership Disclosure Filing that was already in the Commission’s Ownership Information Filing system based on the [short-form] Form 175 filing</w:t>
      </w:r>
      <w:r w:rsidR="00E728A1" w:rsidRPr="00B63BA9">
        <w:t xml:space="preserve"> . . .</w:t>
      </w:r>
      <w:r w:rsidR="00EA629A" w:rsidRPr="00B63BA9">
        <w:t xml:space="preserve"> </w:t>
      </w:r>
      <w:r w:rsidR="00E728A1" w:rsidRPr="00B63BA9">
        <w:t>[</w:t>
      </w:r>
      <w:r w:rsidR="00EA629A" w:rsidRPr="00F65AA4">
        <w:t>and because</w:t>
      </w:r>
      <w:r w:rsidR="00E728A1" w:rsidRPr="00B63BA9">
        <w:t xml:space="preserve">] </w:t>
      </w:r>
      <w:r w:rsidR="00EA629A" w:rsidRPr="00F65AA4">
        <w:t xml:space="preserve">a ‘preview’ copy of the short form ownership information formatted into a Form 602 appeared in the ownership information module, it seemed that the short-form ownership information had automatically populated into a Form 602 ownership report that was already on file with the Commission.” </w:t>
      </w:r>
      <w:r w:rsidR="003B64DE" w:rsidRPr="00F65AA4">
        <w:rPr>
          <w:i/>
        </w:rPr>
        <w:t>Id.</w:t>
      </w:r>
      <w:r w:rsidR="007E7C2A">
        <w:rPr>
          <w:i/>
        </w:rPr>
        <w:t xml:space="preserve"> </w:t>
      </w:r>
      <w:r w:rsidR="00E728A1" w:rsidRPr="00B63BA9">
        <w:t>at 1</w:t>
      </w:r>
      <w:r w:rsidR="00EA629A" w:rsidRPr="00B63BA9">
        <w:t>.</w:t>
      </w:r>
    </w:p>
  </w:footnote>
  <w:footnote w:id="21">
    <w:p w14:paraId="4838D024" w14:textId="20C26093" w:rsidR="001E3C15" w:rsidRPr="00F65AA4" w:rsidRDefault="001E3C15">
      <w:pPr>
        <w:pStyle w:val="FootnoteText"/>
      </w:pPr>
      <w:r w:rsidRPr="00F65AA4">
        <w:rPr>
          <w:rStyle w:val="FootnoteReference"/>
        </w:rPr>
        <w:footnoteRef/>
      </w:r>
      <w:r w:rsidRPr="00F65AA4">
        <w:t xml:space="preserve"> </w:t>
      </w:r>
      <w:r w:rsidR="003B64DE">
        <w:rPr>
          <w:i/>
        </w:rPr>
        <w:t>Id.</w:t>
      </w:r>
      <w:r w:rsidR="008447F3">
        <w:rPr>
          <w:i/>
        </w:rPr>
        <w:t xml:space="preserve"> </w:t>
      </w:r>
      <w:r w:rsidR="00CD5E8B" w:rsidRPr="00B63BA9">
        <w:t>at 2</w:t>
      </w:r>
      <w:r w:rsidRPr="00F65AA4">
        <w:t xml:space="preserve">. </w:t>
      </w:r>
    </w:p>
  </w:footnote>
  <w:footnote w:id="22">
    <w:p w14:paraId="03719CFE" w14:textId="77B1BDBC" w:rsidR="00255F15" w:rsidRPr="00F65AA4" w:rsidRDefault="00255F15">
      <w:pPr>
        <w:pStyle w:val="FootnoteText"/>
      </w:pPr>
      <w:r w:rsidRPr="00F65AA4">
        <w:rPr>
          <w:rStyle w:val="FootnoteReference"/>
        </w:rPr>
        <w:footnoteRef/>
      </w:r>
      <w:r w:rsidRPr="00B63BA9">
        <w:t xml:space="preserve"> </w:t>
      </w:r>
      <w:r w:rsidR="00CD5E8B" w:rsidRPr="00B63BA9">
        <w:t xml:space="preserve">Nova Waiver Request; </w:t>
      </w:r>
      <w:r w:rsidR="00CD5E8B" w:rsidRPr="00B63BA9">
        <w:rPr>
          <w:i/>
        </w:rPr>
        <w:t>see also</w:t>
      </w:r>
      <w:r w:rsidR="00CD5E8B" w:rsidRPr="00F65AA4">
        <w:t xml:space="preserve"> </w:t>
      </w:r>
      <w:r w:rsidRPr="00F65AA4">
        <w:t xml:space="preserve">47 CFR </w:t>
      </w:r>
      <w:r w:rsidR="008447F3">
        <w:t xml:space="preserve">§ </w:t>
      </w:r>
      <w:r w:rsidRPr="00F65AA4">
        <w:t xml:space="preserve">1.925(b)(3). </w:t>
      </w:r>
    </w:p>
  </w:footnote>
  <w:footnote w:id="23">
    <w:p w14:paraId="7850C374" w14:textId="01BD6968" w:rsidR="001734E5" w:rsidRPr="00F65AA4" w:rsidRDefault="001734E5">
      <w:pPr>
        <w:pStyle w:val="FootnoteText"/>
      </w:pPr>
      <w:r w:rsidRPr="00F65AA4">
        <w:rPr>
          <w:rStyle w:val="FootnoteReference"/>
        </w:rPr>
        <w:footnoteRef/>
      </w:r>
      <w:r w:rsidRPr="00F65AA4">
        <w:t xml:space="preserve"> Nova Waiver Request</w:t>
      </w:r>
      <w:r w:rsidR="0076116B" w:rsidRPr="00F65AA4">
        <w:t xml:space="preserve">. </w:t>
      </w:r>
    </w:p>
  </w:footnote>
  <w:footnote w:id="24">
    <w:p w14:paraId="4B86C16E" w14:textId="3352C16F" w:rsidR="001734E5" w:rsidRPr="00F65AA4" w:rsidRDefault="001734E5">
      <w:pPr>
        <w:pStyle w:val="FootnoteText"/>
      </w:pPr>
      <w:r w:rsidRPr="00F65AA4">
        <w:rPr>
          <w:rStyle w:val="FootnoteReference"/>
        </w:rPr>
        <w:footnoteRef/>
      </w:r>
      <w:r w:rsidRPr="00F65AA4">
        <w:t xml:space="preserve"> </w:t>
      </w:r>
      <w:r w:rsidR="00CD5E8B" w:rsidRPr="00B63BA9">
        <w:rPr>
          <w:i/>
        </w:rPr>
        <w:t>I</w:t>
      </w:r>
      <w:r w:rsidRPr="00B63BA9">
        <w:rPr>
          <w:i/>
        </w:rPr>
        <w:t>d</w:t>
      </w:r>
      <w:r w:rsidRPr="00F65AA4">
        <w:t>.</w:t>
      </w:r>
      <w:r w:rsidR="00EA629A" w:rsidRPr="00F65AA4">
        <w:t xml:space="preserve">  Specifically, Nova asserts that in its FCC Form 601 Application: “Nova stated that its ownership information is set forth in ULS File No. 0007134833, filed July 18, 2016. </w:t>
      </w:r>
      <w:r w:rsidR="00064947" w:rsidRPr="00F65AA4">
        <w:t xml:space="preserve"> </w:t>
      </w:r>
      <w:r w:rsidR="00EA629A" w:rsidRPr="00F65AA4">
        <w:t xml:space="preserve">Nova also certified in the Application that it had current ownership information on file with the Commission, relying on the July 18, 2016 [short-form] submission and the fact that there had been no changes in the ownership information filed on that date.” </w:t>
      </w:r>
      <w:r w:rsidR="00EA629A" w:rsidRPr="00F65AA4">
        <w:rPr>
          <w:i/>
        </w:rPr>
        <w:t>Id</w:t>
      </w:r>
      <w:r w:rsidR="00EA629A" w:rsidRPr="00F65AA4">
        <w:t>.</w:t>
      </w:r>
    </w:p>
  </w:footnote>
  <w:footnote w:id="25">
    <w:p w14:paraId="1C1B40C0" w14:textId="7AAF5329" w:rsidR="008F1C6B" w:rsidRPr="003B64DE" w:rsidRDefault="008F1C6B">
      <w:pPr>
        <w:pStyle w:val="FootnoteText"/>
      </w:pPr>
      <w:r w:rsidRPr="00F65AA4">
        <w:rPr>
          <w:rStyle w:val="FootnoteReference"/>
        </w:rPr>
        <w:footnoteRef/>
      </w:r>
      <w:r w:rsidRPr="00F65AA4">
        <w:t xml:space="preserve"> </w:t>
      </w:r>
      <w:r w:rsidR="00D419B9" w:rsidRPr="00B63BA9">
        <w:rPr>
          <w:i/>
        </w:rPr>
        <w:t>I</w:t>
      </w:r>
      <w:r w:rsidRPr="00B63BA9">
        <w:rPr>
          <w:i/>
        </w:rPr>
        <w:t>d</w:t>
      </w:r>
      <w:r w:rsidRPr="00F65AA4">
        <w:t xml:space="preserve">. (citing </w:t>
      </w:r>
      <w:r w:rsidRPr="00F65AA4">
        <w:rPr>
          <w:i/>
        </w:rPr>
        <w:t>Pinpoint Communications, Inc.</w:t>
      </w:r>
      <w:r w:rsidRPr="00F65AA4">
        <w:t>, Order, 14</w:t>
      </w:r>
      <w:r w:rsidR="004D5B5C" w:rsidRPr="00F65AA4">
        <w:t xml:space="preserve"> FCC Rcd 6421</w:t>
      </w:r>
      <w:r w:rsidR="00064947" w:rsidRPr="00F65AA4">
        <w:t xml:space="preserve">, </w:t>
      </w:r>
      <w:r w:rsidR="00FF6867" w:rsidRPr="00F65AA4">
        <w:t>6424-25</w:t>
      </w:r>
      <w:r w:rsidR="004D5B5C" w:rsidRPr="00F65AA4">
        <w:t>, para</w:t>
      </w:r>
      <w:r w:rsidRPr="00F65AA4">
        <w:t>. 10 (PSPWD 1999) (</w:t>
      </w:r>
      <w:r w:rsidR="004D5B5C" w:rsidRPr="00F65AA4">
        <w:t>g</w:t>
      </w:r>
      <w:r w:rsidR="00293469" w:rsidRPr="00F65AA4">
        <w:t>ranting “partial relief for minor, inadvertent post-auction delinquencies that did not disrupt the auction process nor undermine the Commission’s policy of facilitating rapid implementation of reliable communications service to the public.”))</w:t>
      </w:r>
      <w:r w:rsidR="00CB2875" w:rsidRPr="00F65AA4">
        <w:t>.</w:t>
      </w:r>
    </w:p>
  </w:footnote>
  <w:footnote w:id="26">
    <w:p w14:paraId="42C869F2" w14:textId="6DC49397" w:rsidR="00636F20" w:rsidRPr="00F65AA4" w:rsidRDefault="00636F20" w:rsidP="00636F20">
      <w:pPr>
        <w:pStyle w:val="FootnoteText"/>
      </w:pPr>
      <w:r w:rsidRPr="00F65AA4">
        <w:rPr>
          <w:rStyle w:val="FootnoteReference"/>
        </w:rPr>
        <w:footnoteRef/>
      </w:r>
      <w:r w:rsidR="00D419B9" w:rsidRPr="00F65AA4">
        <w:t xml:space="preserve"> </w:t>
      </w:r>
      <w:r w:rsidR="00D419B9" w:rsidRPr="00B63BA9">
        <w:rPr>
          <w:i/>
        </w:rPr>
        <w:t>Implementation of Section 309(j) of the Communications Act,</w:t>
      </w:r>
      <w:r w:rsidR="00D419B9" w:rsidRPr="00F65AA4">
        <w:rPr>
          <w:i/>
        </w:rPr>
        <w:t xml:space="preserve"> Competitive Bidding</w:t>
      </w:r>
      <w:r w:rsidR="00D419B9" w:rsidRPr="00B63BA9">
        <w:t>,</w:t>
      </w:r>
      <w:r w:rsidR="00D419B9" w:rsidRPr="00F65AA4">
        <w:t xml:space="preserve"> Second </w:t>
      </w:r>
      <w:r w:rsidR="00D419B9" w:rsidRPr="00B63BA9">
        <w:t>Report and Order</w:t>
      </w:r>
      <w:r w:rsidR="00D419B9" w:rsidRPr="00F65AA4">
        <w:t xml:space="preserve">, 9 FCC Rcd </w:t>
      </w:r>
      <w:r w:rsidR="00D419B9" w:rsidRPr="00B63BA9">
        <w:t>2348,</w:t>
      </w:r>
      <w:r w:rsidR="00D419B9" w:rsidRPr="00F65AA4">
        <w:t xml:space="preserve"> 238</w:t>
      </w:r>
      <w:r w:rsidR="00E139D0" w:rsidRPr="00F65AA4">
        <w:t>2</w:t>
      </w:r>
      <w:r w:rsidR="00D419B9" w:rsidRPr="00F65AA4">
        <w:t xml:space="preserve"> para. 19</w:t>
      </w:r>
      <w:r w:rsidR="00E139D0" w:rsidRPr="00F65AA4">
        <w:t>7</w:t>
      </w:r>
      <w:r w:rsidR="00D419B9" w:rsidRPr="00B63BA9">
        <w:t xml:space="preserve"> (1994)</w:t>
      </w:r>
      <w:r w:rsidR="003B64DE">
        <w:t>.</w:t>
      </w:r>
      <w:r w:rsidR="00D419B9" w:rsidRPr="00B63BA9">
        <w:t xml:space="preserve"> </w:t>
      </w:r>
    </w:p>
  </w:footnote>
  <w:footnote w:id="27">
    <w:p w14:paraId="68A209FC" w14:textId="550CF3A4" w:rsidR="00537FCD" w:rsidRPr="00F65AA4" w:rsidRDefault="00537FCD">
      <w:pPr>
        <w:pStyle w:val="FootnoteText"/>
      </w:pPr>
      <w:r w:rsidRPr="00F65AA4">
        <w:rPr>
          <w:rStyle w:val="FootnoteReference"/>
        </w:rPr>
        <w:footnoteRef/>
      </w:r>
      <w:r w:rsidRPr="00F65AA4">
        <w:t xml:space="preserve"> </w:t>
      </w:r>
      <w:r w:rsidR="006E2C95" w:rsidRPr="00F65AA4">
        <w:rPr>
          <w:i/>
        </w:rPr>
        <w:t xml:space="preserve">Closing </w:t>
      </w:r>
      <w:r w:rsidR="006E2C95" w:rsidRPr="00B63BA9">
        <w:rPr>
          <w:i/>
        </w:rPr>
        <w:t xml:space="preserve">and Channel Reassignment </w:t>
      </w:r>
      <w:r w:rsidR="006E2C95" w:rsidRPr="00F65AA4">
        <w:rPr>
          <w:i/>
        </w:rPr>
        <w:t>Public Notice</w:t>
      </w:r>
      <w:r w:rsidR="006E2C95" w:rsidRPr="00F65AA4">
        <w:t>,</w:t>
      </w:r>
      <w:r w:rsidR="006E2C95" w:rsidRPr="00F65AA4">
        <w:rPr>
          <w:i/>
        </w:rPr>
        <w:t xml:space="preserve"> </w:t>
      </w:r>
      <w:r w:rsidR="006E2C95" w:rsidRPr="00F65AA4">
        <w:t>32 FCC Rcd at 2801-02, paras. 45-47, 51.</w:t>
      </w:r>
      <w:r w:rsidR="006E2C95" w:rsidRPr="00B63BA9">
        <w:t xml:space="preserve">  </w:t>
      </w:r>
      <w:r w:rsidR="006E2C95" w:rsidRPr="00B63BA9">
        <w:rPr>
          <w:i/>
        </w:rPr>
        <w:t>See also</w:t>
      </w:r>
      <w:r w:rsidR="006E2C95" w:rsidRPr="00B63BA9">
        <w:t xml:space="preserve"> </w:t>
      </w:r>
      <w:r w:rsidR="00627683" w:rsidRPr="00B63BA9">
        <w:t>47 CFR §</w:t>
      </w:r>
      <w:r w:rsidR="00064947" w:rsidRPr="00B63BA9">
        <w:t>§</w:t>
      </w:r>
      <w:r w:rsidR="00393F82" w:rsidRPr="00B63BA9">
        <w:t xml:space="preserve"> </w:t>
      </w:r>
      <w:r w:rsidR="000F2321" w:rsidRPr="00B63BA9">
        <w:t xml:space="preserve">1.919(b)(1), </w:t>
      </w:r>
      <w:r w:rsidR="00627683" w:rsidRPr="00B63BA9">
        <w:t>1.2107</w:t>
      </w:r>
      <w:r w:rsidR="003158C1" w:rsidRPr="00B63BA9">
        <w:t>(c), 1.2107(f)</w:t>
      </w:r>
      <w:r w:rsidR="003B64DE">
        <w:t>.</w:t>
      </w:r>
      <w:r w:rsidR="006E2C95" w:rsidRPr="00B63BA9">
        <w:t xml:space="preserve"> </w:t>
      </w:r>
    </w:p>
  </w:footnote>
  <w:footnote w:id="28">
    <w:p w14:paraId="06DA8368" w14:textId="6338BCB9" w:rsidR="00393F82" w:rsidRPr="00F65AA4" w:rsidRDefault="00393F82">
      <w:pPr>
        <w:pStyle w:val="FootnoteText"/>
      </w:pPr>
      <w:r w:rsidRPr="00F65AA4">
        <w:rPr>
          <w:rStyle w:val="FootnoteReference"/>
        </w:rPr>
        <w:footnoteRef/>
      </w:r>
      <w:r w:rsidRPr="00F65AA4">
        <w:t xml:space="preserve"> </w:t>
      </w:r>
      <w:r w:rsidRPr="00F65AA4">
        <w:rPr>
          <w:i/>
        </w:rPr>
        <w:t xml:space="preserve">See </w:t>
      </w:r>
      <w:r w:rsidRPr="00F65AA4">
        <w:t>47 CFR §</w:t>
      </w:r>
      <w:r w:rsidR="00064947" w:rsidRPr="00F65AA4">
        <w:t>§</w:t>
      </w:r>
      <w:r w:rsidRPr="00F65AA4">
        <w:t xml:space="preserve"> 1.3</w:t>
      </w:r>
      <w:r w:rsidR="00064947" w:rsidRPr="00F65AA4">
        <w:t>, 1.2107(c)</w:t>
      </w:r>
      <w:r w:rsidRPr="00F65AA4">
        <w:t>.</w:t>
      </w:r>
    </w:p>
  </w:footnote>
  <w:footnote w:id="29">
    <w:p w14:paraId="088B27FF" w14:textId="7186F163" w:rsidR="005E667F" w:rsidRPr="00F65AA4" w:rsidRDefault="005E667F" w:rsidP="005E667F">
      <w:pPr>
        <w:pStyle w:val="FootnoteText"/>
      </w:pPr>
      <w:r w:rsidRPr="00F65AA4">
        <w:rPr>
          <w:rStyle w:val="FootnoteReference"/>
        </w:rPr>
        <w:footnoteRef/>
      </w:r>
      <w:r w:rsidR="00EE05D1" w:rsidRPr="00F65AA4">
        <w:t xml:space="preserve"> 47 CFR</w:t>
      </w:r>
      <w:r w:rsidR="00875BE7" w:rsidRPr="00F65AA4">
        <w:t xml:space="preserve"> §</w:t>
      </w:r>
      <w:r w:rsidR="00064947" w:rsidRPr="00F65AA4">
        <w:t>§</w:t>
      </w:r>
      <w:r w:rsidR="00875BE7" w:rsidRPr="00F65AA4">
        <w:t xml:space="preserve"> 1.2104(g), 1.2107(c).  </w:t>
      </w:r>
    </w:p>
  </w:footnote>
  <w:footnote w:id="30">
    <w:p w14:paraId="63FACD19" w14:textId="24872064" w:rsidR="00875BE7" w:rsidRPr="00F65AA4" w:rsidRDefault="00875BE7" w:rsidP="00875BE7">
      <w:pPr>
        <w:pStyle w:val="FootnoteText"/>
      </w:pPr>
      <w:r w:rsidRPr="00F65AA4">
        <w:rPr>
          <w:rStyle w:val="FootnoteReference"/>
        </w:rPr>
        <w:footnoteRef/>
      </w:r>
      <w:r w:rsidRPr="00F65AA4">
        <w:t xml:space="preserve"> 47 CFR § 1.925(b)(3)</w:t>
      </w:r>
      <w:r w:rsidR="00C26460" w:rsidRPr="00F65AA4">
        <w:t>.</w:t>
      </w:r>
    </w:p>
  </w:footnote>
  <w:footnote w:id="31">
    <w:p w14:paraId="6B85E547" w14:textId="5D0D7312" w:rsidR="00653ADC" w:rsidRPr="00F65AA4" w:rsidRDefault="00653ADC" w:rsidP="00653ADC">
      <w:pPr>
        <w:pStyle w:val="FootnoteText"/>
      </w:pPr>
      <w:r w:rsidRPr="00F65AA4">
        <w:rPr>
          <w:rStyle w:val="FootnoteReference"/>
        </w:rPr>
        <w:footnoteRef/>
      </w:r>
      <w:r w:rsidRPr="00F65AA4">
        <w:t xml:space="preserve"> </w:t>
      </w:r>
      <w:r w:rsidR="00A2782A" w:rsidRPr="00F65AA4">
        <w:rPr>
          <w:i/>
          <w:color w:val="000000" w:themeColor="text1"/>
        </w:rPr>
        <w:t>See</w:t>
      </w:r>
      <w:r w:rsidR="00B665F6" w:rsidRPr="00F65AA4">
        <w:rPr>
          <w:color w:val="000000" w:themeColor="text1"/>
        </w:rPr>
        <w:t xml:space="preserve">, </w:t>
      </w:r>
      <w:r w:rsidR="00B665F6" w:rsidRPr="00F65AA4">
        <w:rPr>
          <w:i/>
          <w:color w:val="000000" w:themeColor="text1"/>
        </w:rPr>
        <w:t>e.g.</w:t>
      </w:r>
      <w:r w:rsidR="00B665F6" w:rsidRPr="00F65AA4">
        <w:rPr>
          <w:color w:val="000000" w:themeColor="text1"/>
        </w:rPr>
        <w:t>,</w:t>
      </w:r>
      <w:r w:rsidR="00A2782A" w:rsidRPr="00F65AA4">
        <w:rPr>
          <w:i/>
          <w:color w:val="000000" w:themeColor="text1"/>
        </w:rPr>
        <w:t xml:space="preserve"> Paging Systems, Inc.</w:t>
      </w:r>
      <w:r w:rsidR="00A2782A" w:rsidRPr="00F65AA4">
        <w:rPr>
          <w:rStyle w:val="cosearchterm"/>
          <w:color w:val="000000" w:themeColor="text1"/>
        </w:rPr>
        <w:t xml:space="preserve">, Memorandum Opinion and </w:t>
      </w:r>
      <w:r w:rsidR="00A2782A" w:rsidRPr="00F65AA4">
        <w:rPr>
          <w:rStyle w:val="Emphasis"/>
          <w:rFonts w:eastAsiaTheme="majorEastAsia"/>
          <w:i w:val="0"/>
          <w:color w:val="000000" w:themeColor="text1"/>
        </w:rPr>
        <w:t>Order</w:t>
      </w:r>
      <w:r w:rsidR="00A2782A" w:rsidRPr="00F65AA4">
        <w:rPr>
          <w:rStyle w:val="Emphasis"/>
          <w:rFonts w:eastAsiaTheme="majorEastAsia"/>
          <w:color w:val="000000" w:themeColor="text1"/>
        </w:rPr>
        <w:t xml:space="preserve">, </w:t>
      </w:r>
      <w:r w:rsidR="00FF6867" w:rsidRPr="00F65AA4">
        <w:rPr>
          <w:rStyle w:val="Emphasis"/>
          <w:rFonts w:eastAsiaTheme="majorEastAsia"/>
          <w:i w:val="0"/>
          <w:color w:val="000000" w:themeColor="text1"/>
        </w:rPr>
        <w:t>2</w:t>
      </w:r>
      <w:r w:rsidR="00A2782A" w:rsidRPr="00F65AA4">
        <w:rPr>
          <w:rStyle w:val="Emphasis"/>
          <w:rFonts w:eastAsiaTheme="majorEastAsia"/>
          <w:i w:val="0"/>
          <w:color w:val="000000" w:themeColor="text1"/>
        </w:rPr>
        <w:t>5</w:t>
      </w:r>
      <w:r w:rsidR="00A2782A" w:rsidRPr="00F65AA4">
        <w:rPr>
          <w:rStyle w:val="cosearchterm"/>
          <w:i/>
          <w:color w:val="000000" w:themeColor="text1"/>
        </w:rPr>
        <w:t xml:space="preserve"> </w:t>
      </w:r>
      <w:r w:rsidR="00CD4FA8" w:rsidRPr="00F65AA4">
        <w:rPr>
          <w:rStyle w:val="cosearchterm"/>
          <w:color w:val="000000" w:themeColor="text1"/>
        </w:rPr>
        <w:t xml:space="preserve">FCC Rcd </w:t>
      </w:r>
      <w:r w:rsidR="008F13B4">
        <w:rPr>
          <w:rStyle w:val="cosearchterm"/>
          <w:color w:val="000000" w:themeColor="text1"/>
        </w:rPr>
        <w:t xml:space="preserve">450, </w:t>
      </w:r>
      <w:r w:rsidR="00CD4FA8" w:rsidRPr="00F65AA4">
        <w:rPr>
          <w:rStyle w:val="cosearchterm"/>
          <w:color w:val="000000" w:themeColor="text1"/>
        </w:rPr>
        <w:t>450-451, para. 2</w:t>
      </w:r>
      <w:r w:rsidR="00A2782A" w:rsidRPr="00F65AA4">
        <w:rPr>
          <w:rStyle w:val="cosearchterm"/>
          <w:color w:val="000000" w:themeColor="text1"/>
        </w:rPr>
        <w:t xml:space="preserve"> (2010) </w:t>
      </w:r>
      <w:r w:rsidR="003158C1" w:rsidRPr="00F65AA4">
        <w:rPr>
          <w:color w:val="000000" w:themeColor="text1"/>
        </w:rPr>
        <w:t>(a</w:t>
      </w:r>
      <w:r w:rsidR="00A2782A" w:rsidRPr="00F65AA4">
        <w:rPr>
          <w:color w:val="000000" w:themeColor="text1"/>
        </w:rPr>
        <w:t xml:space="preserve">ffirming waiver of long-form application deadline </w:t>
      </w:r>
      <w:r w:rsidR="00A2782A" w:rsidRPr="00F65AA4">
        <w:rPr>
          <w:rStyle w:val="apple-converted-space"/>
          <w:color w:val="000000" w:themeColor="text1"/>
        </w:rPr>
        <w:t>because the </w:t>
      </w:r>
      <w:r w:rsidR="00A2782A" w:rsidRPr="00F65AA4">
        <w:rPr>
          <w:color w:val="000000" w:themeColor="text1"/>
        </w:rPr>
        <w:t>post-auction licensing process was not adversely affected,</w:t>
      </w:r>
      <w:r w:rsidR="00875BE7" w:rsidRPr="00F65AA4">
        <w:rPr>
          <w:color w:val="000000" w:themeColor="text1"/>
        </w:rPr>
        <w:t xml:space="preserve"> </w:t>
      </w:r>
      <w:r w:rsidR="00A2782A" w:rsidRPr="00F65AA4">
        <w:rPr>
          <w:color w:val="000000" w:themeColor="text1"/>
        </w:rPr>
        <w:t xml:space="preserve">thus the underlying purpose of the rule would not be served by denying the waiver and a waiver would serve the public interest).  </w:t>
      </w:r>
    </w:p>
  </w:footnote>
  <w:footnote w:id="32">
    <w:p w14:paraId="5A0D39E9" w14:textId="5B1A410C" w:rsidR="00627683" w:rsidRPr="00F65AA4" w:rsidRDefault="00627683">
      <w:pPr>
        <w:pStyle w:val="FootnoteText"/>
      </w:pPr>
      <w:r w:rsidRPr="00F65AA4">
        <w:rPr>
          <w:rStyle w:val="FootnoteReference"/>
        </w:rPr>
        <w:footnoteRef/>
      </w:r>
      <w:r w:rsidRPr="00F65AA4">
        <w:t xml:space="preserve"> </w:t>
      </w:r>
      <w:r w:rsidR="00C6387E" w:rsidRPr="00C6387E">
        <w:rPr>
          <w:i/>
        </w:rPr>
        <w:t>See</w:t>
      </w:r>
      <w:r w:rsidR="00C6387E">
        <w:t xml:space="preserve"> </w:t>
      </w:r>
      <w:r w:rsidRPr="00F65AA4">
        <w:t>47 C.F.R. §</w:t>
      </w:r>
      <w:r w:rsidR="00A83F81" w:rsidRPr="00F65AA4">
        <w:t>§ 1.3,</w:t>
      </w:r>
      <w:r w:rsidRPr="00F65AA4">
        <w:t xml:space="preserve"> </w:t>
      </w:r>
      <w:r w:rsidR="00C6387E" w:rsidRPr="00F65AA4">
        <w:t>1.925(b)(3)</w:t>
      </w:r>
      <w:r w:rsidR="00C6387E">
        <w:t xml:space="preserve">, </w:t>
      </w:r>
      <w:r w:rsidRPr="00F65AA4">
        <w:t>1.2107(c)</w:t>
      </w:r>
      <w:r w:rsidR="00A83F81" w:rsidRPr="00F65AA4">
        <w:t>.</w:t>
      </w:r>
    </w:p>
  </w:footnote>
  <w:footnote w:id="33">
    <w:p w14:paraId="30A797D8" w14:textId="01B86EFE" w:rsidR="00773288" w:rsidRPr="00F65AA4" w:rsidRDefault="00773288">
      <w:pPr>
        <w:pStyle w:val="FootnoteText"/>
      </w:pPr>
      <w:r w:rsidRPr="00F65AA4">
        <w:rPr>
          <w:rStyle w:val="FootnoteReference"/>
        </w:rPr>
        <w:footnoteRef/>
      </w:r>
      <w:r w:rsidRPr="00F65AA4">
        <w:t xml:space="preserve"> </w:t>
      </w:r>
      <w:r w:rsidR="00C6387E" w:rsidRPr="00C6387E">
        <w:rPr>
          <w:i/>
        </w:rPr>
        <w:t>See</w:t>
      </w:r>
      <w:r w:rsidR="00C6387E">
        <w:t xml:space="preserve"> </w:t>
      </w:r>
      <w:r w:rsidRPr="00F65AA4">
        <w:t>47 CFR § 1.925(b)(3)</w:t>
      </w:r>
      <w:r w:rsidR="00844913" w:rsidRPr="00F65AA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26A4" w14:textId="77777777" w:rsidR="0045287A" w:rsidRDefault="00452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21E45" w14:textId="0FC6D25E" w:rsidR="00D0575B" w:rsidRDefault="00D0575B">
    <w:pPr>
      <w:pStyle w:val="Header"/>
      <w:rPr>
        <w:b/>
        <w:spacing w:val="-2"/>
      </w:rPr>
    </w:pPr>
    <w:r>
      <w:tab/>
    </w:r>
    <w:r w:rsidRPr="00D0575B">
      <w:rPr>
        <w:b/>
      </w:rPr>
      <w:t>Federal Communications Commission</w:t>
    </w:r>
    <w:r w:rsidRPr="00D0575B">
      <w:rPr>
        <w:b/>
      </w:rPr>
      <w:tab/>
    </w:r>
    <w:r w:rsidR="00004EA6">
      <w:rPr>
        <w:b/>
        <w:spacing w:val="-2"/>
      </w:rPr>
      <w:t>DA</w:t>
    </w:r>
    <w:r w:rsidR="00004EA6" w:rsidRPr="00D0575B">
      <w:rPr>
        <w:b/>
        <w:spacing w:val="-2"/>
      </w:rPr>
      <w:t xml:space="preserve"> </w:t>
    </w:r>
    <w:r w:rsidR="00004EA6">
      <w:rPr>
        <w:b/>
        <w:spacing w:val="-2"/>
      </w:rPr>
      <w:t>17</w:t>
    </w:r>
    <w:r w:rsidRPr="00D0575B">
      <w:rPr>
        <w:b/>
        <w:spacing w:val="-2"/>
      </w:rPr>
      <w:t>-</w:t>
    </w:r>
    <w:r w:rsidR="007C5248">
      <w:rPr>
        <w:b/>
        <w:spacing w:val="-2"/>
      </w:rPr>
      <w:t>714</w:t>
    </w:r>
  </w:p>
  <w:p w14:paraId="31D08E51" w14:textId="77777777" w:rsidR="00072ACD" w:rsidRPr="00D0575B" w:rsidRDefault="00072ACD">
    <w:pPr>
      <w:pStyle w:val="Header"/>
      <w:rPr>
        <w:b/>
      </w:rPr>
    </w:pPr>
  </w:p>
  <w:p w14:paraId="5C0FFB55" w14:textId="77777777" w:rsidR="00D0575B" w:rsidRDefault="00D0575B">
    <w:pPr>
      <w:pStyle w:val="Header"/>
    </w:pPr>
    <w:r>
      <w:rPr>
        <w:noProof/>
      </w:rPr>
      <mc:AlternateContent>
        <mc:Choice Requires="wps">
          <w:drawing>
            <wp:anchor distT="0" distB="0" distL="114300" distR="114300" simplePos="0" relativeHeight="251659264" behindDoc="1" locked="0" layoutInCell="0" allowOverlap="1" wp14:anchorId="37E7A397" wp14:editId="4C7BA22F">
              <wp:simplePos x="0" y="0"/>
              <wp:positionH relativeFrom="margin">
                <wp:align>right</wp:align>
              </wp:positionH>
              <wp:positionV relativeFrom="paragraph">
                <wp:posOffset>10795</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txbx>
                      <w:txbxContent>
                        <w:p w14:paraId="3D2AEAB6" w14:textId="77777777" w:rsidR="00D0575B" w:rsidRDefault="00D0575B" w:rsidP="00D0575B">
                          <w:pPr>
                            <w:jc w:val="center"/>
                          </w:pPr>
                        </w:p>
                        <w:p w14:paraId="327B0EED" w14:textId="77777777" w:rsidR="00D0575B" w:rsidRDefault="00D0575B" w:rsidP="00D057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7E7A397" id="Rectangle 1" o:spid="_x0000_s1026" style="position:absolute;margin-left:416.8pt;margin-top:.85pt;width:468pt;height:.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" o:allowincell="f" fillcolor="black" stroked="f">
              <v:textbox>
                <w:txbxContent>
                  <w:p w14:paraId="3D2AEAB6" w14:textId="77777777" w:rsidR="00D0575B" w:rsidRDefault="00D0575B" w:rsidP="00D0575B">
                    <w:pPr>
                      <w:jc w:val="center"/>
                    </w:pPr>
                  </w:p>
                  <w:p w14:paraId="327B0EED" w14:textId="77777777" w:rsidR="00D0575B" w:rsidRDefault="00D0575B" w:rsidP="00D0575B">
                    <w:pPr>
                      <w:jc w:val="center"/>
                    </w:pP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85F9B" w14:textId="77777777" w:rsidR="0045287A" w:rsidRDefault="00452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7660E16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86255D6"/>
    <w:multiLevelType w:val="hybridMultilevel"/>
    <w:tmpl w:val="7EE468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94C39"/>
    <w:multiLevelType w:val="hybridMultilevel"/>
    <w:tmpl w:val="AF96792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
    <w:lvlOverride w:ilvl="0">
      <w:startOverride w:val="1"/>
    </w:lvlOverride>
  </w:num>
  <w:num w:numId="5">
    <w:abstractNumId w:val="2"/>
  </w:num>
  <w:num w:numId="6">
    <w:abstractNumId w:val="1"/>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5B"/>
    <w:rsid w:val="00001766"/>
    <w:rsid w:val="00003281"/>
    <w:rsid w:val="00004EA6"/>
    <w:rsid w:val="000227B5"/>
    <w:rsid w:val="00035CC3"/>
    <w:rsid w:val="00037188"/>
    <w:rsid w:val="000423D1"/>
    <w:rsid w:val="0005275C"/>
    <w:rsid w:val="00064947"/>
    <w:rsid w:val="000655A2"/>
    <w:rsid w:val="00065F26"/>
    <w:rsid w:val="000662C3"/>
    <w:rsid w:val="0006769C"/>
    <w:rsid w:val="00067EC8"/>
    <w:rsid w:val="00072ACD"/>
    <w:rsid w:val="00090571"/>
    <w:rsid w:val="00093CE8"/>
    <w:rsid w:val="000A4FD7"/>
    <w:rsid w:val="000B6BA9"/>
    <w:rsid w:val="000D168A"/>
    <w:rsid w:val="000E1D53"/>
    <w:rsid w:val="000E39C5"/>
    <w:rsid w:val="000E5ED4"/>
    <w:rsid w:val="000F2321"/>
    <w:rsid w:val="000F5F0B"/>
    <w:rsid w:val="000F6150"/>
    <w:rsid w:val="001106FA"/>
    <w:rsid w:val="00113456"/>
    <w:rsid w:val="001217B9"/>
    <w:rsid w:val="00134A76"/>
    <w:rsid w:val="00141906"/>
    <w:rsid w:val="001435DA"/>
    <w:rsid w:val="00147988"/>
    <w:rsid w:val="00163245"/>
    <w:rsid w:val="001734E5"/>
    <w:rsid w:val="00194C8F"/>
    <w:rsid w:val="001A6245"/>
    <w:rsid w:val="001B1B6D"/>
    <w:rsid w:val="001B1FBF"/>
    <w:rsid w:val="001B28C6"/>
    <w:rsid w:val="001C3A15"/>
    <w:rsid w:val="001C77F6"/>
    <w:rsid w:val="001E3C15"/>
    <w:rsid w:val="001E7AD7"/>
    <w:rsid w:val="001F1177"/>
    <w:rsid w:val="001F286A"/>
    <w:rsid w:val="001F30C4"/>
    <w:rsid w:val="002031DF"/>
    <w:rsid w:val="00210170"/>
    <w:rsid w:val="002145A3"/>
    <w:rsid w:val="00214A37"/>
    <w:rsid w:val="00215EC4"/>
    <w:rsid w:val="00220289"/>
    <w:rsid w:val="00222D15"/>
    <w:rsid w:val="0023120D"/>
    <w:rsid w:val="00231370"/>
    <w:rsid w:val="00237A9B"/>
    <w:rsid w:val="00241C2B"/>
    <w:rsid w:val="00255F15"/>
    <w:rsid w:val="0025726B"/>
    <w:rsid w:val="002724F0"/>
    <w:rsid w:val="00274CE9"/>
    <w:rsid w:val="00276B4C"/>
    <w:rsid w:val="002820B6"/>
    <w:rsid w:val="00284A60"/>
    <w:rsid w:val="002859A6"/>
    <w:rsid w:val="00287C66"/>
    <w:rsid w:val="00293469"/>
    <w:rsid w:val="002A1843"/>
    <w:rsid w:val="002A1E48"/>
    <w:rsid w:val="002A1FF9"/>
    <w:rsid w:val="002A7BE2"/>
    <w:rsid w:val="002C2789"/>
    <w:rsid w:val="002C7232"/>
    <w:rsid w:val="002C7A8C"/>
    <w:rsid w:val="002D3C48"/>
    <w:rsid w:val="002D755B"/>
    <w:rsid w:val="002F1265"/>
    <w:rsid w:val="002F2DB3"/>
    <w:rsid w:val="002F598A"/>
    <w:rsid w:val="00300DC5"/>
    <w:rsid w:val="0031356F"/>
    <w:rsid w:val="00313886"/>
    <w:rsid w:val="003158C1"/>
    <w:rsid w:val="0031667F"/>
    <w:rsid w:val="00320B7E"/>
    <w:rsid w:val="00327DDE"/>
    <w:rsid w:val="003314F8"/>
    <w:rsid w:val="00364185"/>
    <w:rsid w:val="003659F2"/>
    <w:rsid w:val="00366522"/>
    <w:rsid w:val="00371FC7"/>
    <w:rsid w:val="003757C1"/>
    <w:rsid w:val="003762F3"/>
    <w:rsid w:val="00393F82"/>
    <w:rsid w:val="003A27A3"/>
    <w:rsid w:val="003A2851"/>
    <w:rsid w:val="003A334C"/>
    <w:rsid w:val="003A7B18"/>
    <w:rsid w:val="003B39DF"/>
    <w:rsid w:val="003B64DE"/>
    <w:rsid w:val="003C64FD"/>
    <w:rsid w:val="003D5CC0"/>
    <w:rsid w:val="003D63CE"/>
    <w:rsid w:val="003E1DC5"/>
    <w:rsid w:val="003E2A00"/>
    <w:rsid w:val="003F1A49"/>
    <w:rsid w:val="003F3DE9"/>
    <w:rsid w:val="003F4CF4"/>
    <w:rsid w:val="003F667E"/>
    <w:rsid w:val="0042012A"/>
    <w:rsid w:val="00425D7C"/>
    <w:rsid w:val="00430EE6"/>
    <w:rsid w:val="00450266"/>
    <w:rsid w:val="0045137E"/>
    <w:rsid w:val="0045287A"/>
    <w:rsid w:val="00456BE6"/>
    <w:rsid w:val="00457587"/>
    <w:rsid w:val="00466D87"/>
    <w:rsid w:val="00471242"/>
    <w:rsid w:val="00490DED"/>
    <w:rsid w:val="00492E34"/>
    <w:rsid w:val="004959E0"/>
    <w:rsid w:val="004B3CAD"/>
    <w:rsid w:val="004C22B6"/>
    <w:rsid w:val="004C2536"/>
    <w:rsid w:val="004C6441"/>
    <w:rsid w:val="004D5B5C"/>
    <w:rsid w:val="004F5586"/>
    <w:rsid w:val="00501A25"/>
    <w:rsid w:val="0050605D"/>
    <w:rsid w:val="00510779"/>
    <w:rsid w:val="005107B0"/>
    <w:rsid w:val="00513966"/>
    <w:rsid w:val="00516279"/>
    <w:rsid w:val="00527742"/>
    <w:rsid w:val="00527E79"/>
    <w:rsid w:val="00537FCD"/>
    <w:rsid w:val="00562613"/>
    <w:rsid w:val="00565D37"/>
    <w:rsid w:val="005664F5"/>
    <w:rsid w:val="00572316"/>
    <w:rsid w:val="005724C2"/>
    <w:rsid w:val="0059506C"/>
    <w:rsid w:val="005A2631"/>
    <w:rsid w:val="005B094F"/>
    <w:rsid w:val="005B28A3"/>
    <w:rsid w:val="005B3CB1"/>
    <w:rsid w:val="005B7624"/>
    <w:rsid w:val="005C4BD2"/>
    <w:rsid w:val="005E3B58"/>
    <w:rsid w:val="005E6250"/>
    <w:rsid w:val="005E667F"/>
    <w:rsid w:val="005E6C19"/>
    <w:rsid w:val="00605D70"/>
    <w:rsid w:val="00610651"/>
    <w:rsid w:val="00614030"/>
    <w:rsid w:val="0062455F"/>
    <w:rsid w:val="00627683"/>
    <w:rsid w:val="00633888"/>
    <w:rsid w:val="00633AAE"/>
    <w:rsid w:val="00636F20"/>
    <w:rsid w:val="00644D1D"/>
    <w:rsid w:val="00653ADC"/>
    <w:rsid w:val="00656CDB"/>
    <w:rsid w:val="00663776"/>
    <w:rsid w:val="00667C5A"/>
    <w:rsid w:val="00676DFF"/>
    <w:rsid w:val="00682880"/>
    <w:rsid w:val="006835FA"/>
    <w:rsid w:val="006841D4"/>
    <w:rsid w:val="0069059E"/>
    <w:rsid w:val="00697446"/>
    <w:rsid w:val="006C04EC"/>
    <w:rsid w:val="006D026C"/>
    <w:rsid w:val="006D52BE"/>
    <w:rsid w:val="006E0D1C"/>
    <w:rsid w:val="006E2C95"/>
    <w:rsid w:val="006F14C7"/>
    <w:rsid w:val="006F3CE4"/>
    <w:rsid w:val="006F441A"/>
    <w:rsid w:val="006F6525"/>
    <w:rsid w:val="006F7215"/>
    <w:rsid w:val="007104F9"/>
    <w:rsid w:val="007145C1"/>
    <w:rsid w:val="00726D19"/>
    <w:rsid w:val="007605D4"/>
    <w:rsid w:val="0076116B"/>
    <w:rsid w:val="00762DF7"/>
    <w:rsid w:val="00764075"/>
    <w:rsid w:val="00766E82"/>
    <w:rsid w:val="00773288"/>
    <w:rsid w:val="00780C56"/>
    <w:rsid w:val="007813CF"/>
    <w:rsid w:val="00781AB2"/>
    <w:rsid w:val="00784D92"/>
    <w:rsid w:val="00791DB3"/>
    <w:rsid w:val="00792710"/>
    <w:rsid w:val="0079611B"/>
    <w:rsid w:val="007A1392"/>
    <w:rsid w:val="007A7072"/>
    <w:rsid w:val="007C11E1"/>
    <w:rsid w:val="007C47B7"/>
    <w:rsid w:val="007C5248"/>
    <w:rsid w:val="007C6CBB"/>
    <w:rsid w:val="007C7073"/>
    <w:rsid w:val="007C7A58"/>
    <w:rsid w:val="007C7C5E"/>
    <w:rsid w:val="007E7C2A"/>
    <w:rsid w:val="007F156D"/>
    <w:rsid w:val="00806A47"/>
    <w:rsid w:val="008152D0"/>
    <w:rsid w:val="00815D02"/>
    <w:rsid w:val="00817CEE"/>
    <w:rsid w:val="008203C3"/>
    <w:rsid w:val="00830823"/>
    <w:rsid w:val="00842729"/>
    <w:rsid w:val="0084446F"/>
    <w:rsid w:val="008447F3"/>
    <w:rsid w:val="00844913"/>
    <w:rsid w:val="00862DCB"/>
    <w:rsid w:val="00864B1E"/>
    <w:rsid w:val="00874CFA"/>
    <w:rsid w:val="00875BE7"/>
    <w:rsid w:val="00884146"/>
    <w:rsid w:val="0088710E"/>
    <w:rsid w:val="0089075F"/>
    <w:rsid w:val="00893566"/>
    <w:rsid w:val="008946B5"/>
    <w:rsid w:val="008B0785"/>
    <w:rsid w:val="008D0C01"/>
    <w:rsid w:val="008D1A54"/>
    <w:rsid w:val="008D3AFF"/>
    <w:rsid w:val="008D7939"/>
    <w:rsid w:val="008E0EB4"/>
    <w:rsid w:val="008E1942"/>
    <w:rsid w:val="008F13B4"/>
    <w:rsid w:val="008F1C6B"/>
    <w:rsid w:val="0090190B"/>
    <w:rsid w:val="009119C5"/>
    <w:rsid w:val="00912BB1"/>
    <w:rsid w:val="00937F7E"/>
    <w:rsid w:val="0094795F"/>
    <w:rsid w:val="00951586"/>
    <w:rsid w:val="00951BCA"/>
    <w:rsid w:val="00954E67"/>
    <w:rsid w:val="00962265"/>
    <w:rsid w:val="00976B21"/>
    <w:rsid w:val="0098076B"/>
    <w:rsid w:val="009A71B3"/>
    <w:rsid w:val="009B4F0C"/>
    <w:rsid w:val="009C2CA9"/>
    <w:rsid w:val="009E0DAE"/>
    <w:rsid w:val="009E730F"/>
    <w:rsid w:val="009F0414"/>
    <w:rsid w:val="009F3932"/>
    <w:rsid w:val="009F7CF3"/>
    <w:rsid w:val="00A0664A"/>
    <w:rsid w:val="00A20A6E"/>
    <w:rsid w:val="00A2538D"/>
    <w:rsid w:val="00A26300"/>
    <w:rsid w:val="00A2782A"/>
    <w:rsid w:val="00A32745"/>
    <w:rsid w:val="00A37F7E"/>
    <w:rsid w:val="00A519FE"/>
    <w:rsid w:val="00A53439"/>
    <w:rsid w:val="00A556EC"/>
    <w:rsid w:val="00A623D9"/>
    <w:rsid w:val="00A66346"/>
    <w:rsid w:val="00A6753D"/>
    <w:rsid w:val="00A717D8"/>
    <w:rsid w:val="00A8310C"/>
    <w:rsid w:val="00A83F81"/>
    <w:rsid w:val="00AC34A4"/>
    <w:rsid w:val="00AC3BCA"/>
    <w:rsid w:val="00AD2835"/>
    <w:rsid w:val="00AD7760"/>
    <w:rsid w:val="00B03227"/>
    <w:rsid w:val="00B103B0"/>
    <w:rsid w:val="00B15730"/>
    <w:rsid w:val="00B220D3"/>
    <w:rsid w:val="00B23CD8"/>
    <w:rsid w:val="00B26B26"/>
    <w:rsid w:val="00B30D9C"/>
    <w:rsid w:val="00B3524A"/>
    <w:rsid w:val="00B4308E"/>
    <w:rsid w:val="00B45A0D"/>
    <w:rsid w:val="00B5363E"/>
    <w:rsid w:val="00B54144"/>
    <w:rsid w:val="00B63BA9"/>
    <w:rsid w:val="00B665F6"/>
    <w:rsid w:val="00B67A6D"/>
    <w:rsid w:val="00B70D9C"/>
    <w:rsid w:val="00B735B3"/>
    <w:rsid w:val="00B7431A"/>
    <w:rsid w:val="00B7584D"/>
    <w:rsid w:val="00B82484"/>
    <w:rsid w:val="00B825F2"/>
    <w:rsid w:val="00B86FF0"/>
    <w:rsid w:val="00B917B3"/>
    <w:rsid w:val="00BA18BD"/>
    <w:rsid w:val="00BA77BB"/>
    <w:rsid w:val="00BB327C"/>
    <w:rsid w:val="00BB43E7"/>
    <w:rsid w:val="00BB5550"/>
    <w:rsid w:val="00BC0CC2"/>
    <w:rsid w:val="00BC6119"/>
    <w:rsid w:val="00BD008B"/>
    <w:rsid w:val="00BD115E"/>
    <w:rsid w:val="00BD2598"/>
    <w:rsid w:val="00BD5A09"/>
    <w:rsid w:val="00BF4B3B"/>
    <w:rsid w:val="00C00406"/>
    <w:rsid w:val="00C0115D"/>
    <w:rsid w:val="00C105FE"/>
    <w:rsid w:val="00C26460"/>
    <w:rsid w:val="00C31447"/>
    <w:rsid w:val="00C335D9"/>
    <w:rsid w:val="00C474E0"/>
    <w:rsid w:val="00C47CAB"/>
    <w:rsid w:val="00C5025B"/>
    <w:rsid w:val="00C5655E"/>
    <w:rsid w:val="00C6387E"/>
    <w:rsid w:val="00C65B53"/>
    <w:rsid w:val="00C8024E"/>
    <w:rsid w:val="00C833EF"/>
    <w:rsid w:val="00CA213D"/>
    <w:rsid w:val="00CA61D7"/>
    <w:rsid w:val="00CA6E18"/>
    <w:rsid w:val="00CB09B5"/>
    <w:rsid w:val="00CB1635"/>
    <w:rsid w:val="00CB2875"/>
    <w:rsid w:val="00CB61CC"/>
    <w:rsid w:val="00CB6571"/>
    <w:rsid w:val="00CB7255"/>
    <w:rsid w:val="00CC1F7D"/>
    <w:rsid w:val="00CC3BCE"/>
    <w:rsid w:val="00CC4EBE"/>
    <w:rsid w:val="00CC7D90"/>
    <w:rsid w:val="00CD0CEB"/>
    <w:rsid w:val="00CD1984"/>
    <w:rsid w:val="00CD4776"/>
    <w:rsid w:val="00CD4FA8"/>
    <w:rsid w:val="00CD5E8B"/>
    <w:rsid w:val="00CE433F"/>
    <w:rsid w:val="00CF1DC1"/>
    <w:rsid w:val="00CF471E"/>
    <w:rsid w:val="00CF72EE"/>
    <w:rsid w:val="00D01993"/>
    <w:rsid w:val="00D05056"/>
    <w:rsid w:val="00D0575B"/>
    <w:rsid w:val="00D066B0"/>
    <w:rsid w:val="00D074A1"/>
    <w:rsid w:val="00D12125"/>
    <w:rsid w:val="00D26CD4"/>
    <w:rsid w:val="00D3513E"/>
    <w:rsid w:val="00D35F84"/>
    <w:rsid w:val="00D3746A"/>
    <w:rsid w:val="00D419B9"/>
    <w:rsid w:val="00D57996"/>
    <w:rsid w:val="00D62DCF"/>
    <w:rsid w:val="00D641D3"/>
    <w:rsid w:val="00D76BBD"/>
    <w:rsid w:val="00D8154F"/>
    <w:rsid w:val="00D87550"/>
    <w:rsid w:val="00D901C5"/>
    <w:rsid w:val="00D91AE1"/>
    <w:rsid w:val="00D95640"/>
    <w:rsid w:val="00DB68EE"/>
    <w:rsid w:val="00DD446B"/>
    <w:rsid w:val="00DD5E96"/>
    <w:rsid w:val="00DE039A"/>
    <w:rsid w:val="00DE5C03"/>
    <w:rsid w:val="00DF0C66"/>
    <w:rsid w:val="00E00446"/>
    <w:rsid w:val="00E00835"/>
    <w:rsid w:val="00E139D0"/>
    <w:rsid w:val="00E201AA"/>
    <w:rsid w:val="00E233C5"/>
    <w:rsid w:val="00E30B4B"/>
    <w:rsid w:val="00E513A1"/>
    <w:rsid w:val="00E57AD1"/>
    <w:rsid w:val="00E60930"/>
    <w:rsid w:val="00E622CE"/>
    <w:rsid w:val="00E728A1"/>
    <w:rsid w:val="00E81856"/>
    <w:rsid w:val="00E91D00"/>
    <w:rsid w:val="00E920EE"/>
    <w:rsid w:val="00E97AE3"/>
    <w:rsid w:val="00EA629A"/>
    <w:rsid w:val="00EA79BD"/>
    <w:rsid w:val="00EB4387"/>
    <w:rsid w:val="00EC354A"/>
    <w:rsid w:val="00ED1108"/>
    <w:rsid w:val="00ED2193"/>
    <w:rsid w:val="00ED6132"/>
    <w:rsid w:val="00EE05D1"/>
    <w:rsid w:val="00EE1A3C"/>
    <w:rsid w:val="00EE28B8"/>
    <w:rsid w:val="00F01020"/>
    <w:rsid w:val="00F069AF"/>
    <w:rsid w:val="00F237AC"/>
    <w:rsid w:val="00F37F48"/>
    <w:rsid w:val="00F418C4"/>
    <w:rsid w:val="00F55AC6"/>
    <w:rsid w:val="00F616B1"/>
    <w:rsid w:val="00F65AA4"/>
    <w:rsid w:val="00F65D39"/>
    <w:rsid w:val="00F725D1"/>
    <w:rsid w:val="00F74A46"/>
    <w:rsid w:val="00FB4921"/>
    <w:rsid w:val="00FC2668"/>
    <w:rsid w:val="00FC414C"/>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B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5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D0575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25726B"/>
    <w:pPr>
      <w:keepNext/>
      <w:numPr>
        <w:ilvl w:val="1"/>
        <w:numId w:val="2"/>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D0575B"/>
    <w:pPr>
      <w:keepNext/>
      <w:numPr>
        <w:ilvl w:val="2"/>
        <w:numId w:val="2"/>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D0575B"/>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D0575B"/>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D0575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0575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0575B"/>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D0575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0575B"/>
    <w:rPr>
      <w:rFonts w:asciiTheme="majorHAnsi" w:eastAsiaTheme="majorEastAsia" w:hAnsiTheme="majorHAnsi" w:cstheme="majorBidi"/>
      <w:snapToGrid w:val="0"/>
      <w:color w:val="2F5496" w:themeColor="accent1" w:themeShade="BF"/>
      <w:kern w:val="28"/>
      <w:sz w:val="32"/>
      <w:szCs w:val="32"/>
    </w:rPr>
  </w:style>
  <w:style w:type="character" w:customStyle="1" w:styleId="Heading2Char">
    <w:name w:val="Heading 2 Char"/>
    <w:basedOn w:val="DefaultParagraphFont"/>
    <w:uiPriority w:val="9"/>
    <w:semiHidden/>
    <w:rsid w:val="00D0575B"/>
    <w:rPr>
      <w:rFonts w:asciiTheme="majorHAnsi" w:eastAsiaTheme="majorEastAsia" w:hAnsiTheme="majorHAnsi" w:cstheme="majorBidi"/>
      <w:snapToGrid w:val="0"/>
      <w:color w:val="2F5496" w:themeColor="accent1" w:themeShade="BF"/>
      <w:kern w:val="28"/>
      <w:sz w:val="26"/>
      <w:szCs w:val="26"/>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D0575B"/>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575B"/>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575B"/>
    <w:rPr>
      <w:rFonts w:ascii="Times New Roman" w:eastAsia="Times New Roman" w:hAnsi="Times New Roman" w:cs="Times New Roman"/>
      <w:b/>
      <w:snapToGrid w:val="0"/>
      <w:kern w:val="28"/>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D0575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0575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0575B"/>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D0575B"/>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0575B"/>
    <w:pPr>
      <w:numPr>
        <w:numId w:val="1"/>
      </w:numPr>
      <w:spacing w:after="120"/>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rsid w:val="00D0575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0575B"/>
    <w:rPr>
      <w:rFonts w:ascii="Times New Roman" w:eastAsia="Times New Roman" w:hAnsi="Times New Roman" w:cs="Times New Roman"/>
      <w:snapToGrid w:val="0"/>
      <w:kern w:val="28"/>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D0575B"/>
    <w:rPr>
      <w:rFonts w:ascii="Times New Roman" w:hAnsi="Times New Roman"/>
      <w:dstrike w:val="0"/>
      <w:color w:val="auto"/>
      <w:sz w:val="20"/>
      <w:vertAlign w:val="superscript"/>
    </w:rPr>
  </w:style>
  <w:style w:type="paragraph" w:styleId="TOC1">
    <w:name w:val="toc 1"/>
    <w:basedOn w:val="Normal"/>
    <w:next w:val="Normal"/>
    <w:rsid w:val="00D0575B"/>
    <w:pPr>
      <w:tabs>
        <w:tab w:val="left" w:pos="360"/>
        <w:tab w:val="right" w:leader="dot" w:pos="9360"/>
      </w:tabs>
      <w:suppressAutoHyphens/>
      <w:ind w:left="360" w:right="720" w:hanging="360"/>
    </w:pPr>
    <w:rPr>
      <w:caps/>
      <w:noProof/>
    </w:rPr>
  </w:style>
  <w:style w:type="paragraph" w:styleId="TOC2">
    <w:name w:val="toc 2"/>
    <w:basedOn w:val="Normal"/>
    <w:next w:val="Normal"/>
    <w:rsid w:val="00D0575B"/>
    <w:pPr>
      <w:tabs>
        <w:tab w:val="left" w:pos="720"/>
        <w:tab w:val="right" w:leader="dot" w:pos="9360"/>
      </w:tabs>
      <w:suppressAutoHyphens/>
      <w:ind w:left="720" w:right="720" w:hanging="360"/>
    </w:pPr>
    <w:rPr>
      <w:noProof/>
    </w:rPr>
  </w:style>
  <w:style w:type="paragraph" w:styleId="TOAHeading">
    <w:name w:val="toa heading"/>
    <w:basedOn w:val="Normal"/>
    <w:next w:val="Normal"/>
    <w:semiHidden/>
    <w:rsid w:val="00D0575B"/>
    <w:pPr>
      <w:tabs>
        <w:tab w:val="right" w:pos="9360"/>
      </w:tabs>
      <w:suppressAutoHyphens/>
    </w:pPr>
  </w:style>
  <w:style w:type="paragraph" w:customStyle="1" w:styleId="Paratitle">
    <w:name w:val="Para title"/>
    <w:basedOn w:val="Normal"/>
    <w:rsid w:val="00D0575B"/>
    <w:pPr>
      <w:tabs>
        <w:tab w:val="center" w:pos="9270"/>
      </w:tabs>
      <w:spacing w:after="240"/>
    </w:pPr>
    <w:rPr>
      <w:spacing w:val="-2"/>
    </w:rPr>
  </w:style>
  <w:style w:type="paragraph" w:customStyle="1" w:styleId="TOCTitle">
    <w:name w:val="TOC Title"/>
    <w:basedOn w:val="Normal"/>
    <w:rsid w:val="00D057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575B"/>
    <w:pPr>
      <w:jc w:val="center"/>
    </w:pPr>
    <w:rPr>
      <w:rFonts w:ascii="Times New Roman Bold" w:hAnsi="Times New Roman Bold"/>
      <w:b/>
      <w:bCs/>
      <w:caps/>
      <w:szCs w:val="22"/>
    </w:rPr>
  </w:style>
  <w:style w:type="character" w:customStyle="1" w:styleId="ParaNumChar">
    <w:name w:val="ParaNum Char"/>
    <w:link w:val="ParaNum"/>
    <w:locked/>
    <w:rsid w:val="00D0575B"/>
    <w:rPr>
      <w:rFonts w:ascii="Times New Roman" w:eastAsia="Times New Roman" w:hAnsi="Times New Roman" w:cs="Times New Roman"/>
      <w:snapToGrid w:val="0"/>
      <w:kern w:val="28"/>
      <w:szCs w:val="20"/>
    </w:rPr>
  </w:style>
  <w:style w:type="character" w:customStyle="1" w:styleId="Heading1Char1">
    <w:name w:val="Heading 1 Char1"/>
    <w:aliases w:val="Heading 1 Char2 Char,Heading 1 Char1 Char Char,Heading 1 Char Char Char Char,Heading 1 Char Char1 Char1,Heading 1 Char Char1 Char Char,Heading 1 Char2 Char Char1 Char Char,Heading 1 Char1 Char Char Char2 Char Char"/>
    <w:link w:val="Heading1"/>
    <w:locked/>
    <w:rsid w:val="00D0575B"/>
    <w:rPr>
      <w:rFonts w:ascii="Times New Roman Bold" w:eastAsia="Times New Roman" w:hAnsi="Times New Roman Bold" w:cs="Times New Roman"/>
      <w:b/>
      <w:caps/>
      <w:snapToGrid w:val="0"/>
      <w:kern w:val="28"/>
      <w:szCs w:val="20"/>
    </w:rPr>
  </w:style>
  <w:style w:type="character" w:customStyle="1" w:styleId="Heading2Char1">
    <w:name w:val="Heading 2 Char1"/>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25726B"/>
    <w:rPr>
      <w:rFonts w:ascii="Times New Roman" w:eastAsia="Times New Roman" w:hAnsi="Times New Roman" w:cs="Times New Roman"/>
      <w:b/>
      <w:snapToGrid w:val="0"/>
      <w:kern w:val="28"/>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D0575B"/>
    <w:rPr>
      <w:rFonts w:ascii="Times New Roman" w:eastAsia="Times New Roman" w:hAnsi="Times New Roman" w:cs="Times New Roman"/>
      <w:sz w:val="20"/>
      <w:szCs w:val="20"/>
    </w:rPr>
  </w:style>
  <w:style w:type="character" w:styleId="CommentReference">
    <w:name w:val="annotation reference"/>
    <w:uiPriority w:val="99"/>
    <w:rsid w:val="00D0575B"/>
    <w:rPr>
      <w:rFonts w:cs="Times New Roman"/>
      <w:sz w:val="16"/>
    </w:rPr>
  </w:style>
  <w:style w:type="paragraph" w:styleId="CommentText">
    <w:name w:val="annotation text"/>
    <w:basedOn w:val="Normal"/>
    <w:link w:val="CommentTextChar1"/>
    <w:uiPriority w:val="99"/>
    <w:rsid w:val="00D0575B"/>
    <w:rPr>
      <w:sz w:val="20"/>
    </w:rPr>
  </w:style>
  <w:style w:type="character" w:customStyle="1" w:styleId="CommentTextChar">
    <w:name w:val="Comment Text Char"/>
    <w:basedOn w:val="DefaultParagraphFont"/>
    <w:uiPriority w:val="99"/>
    <w:semiHidden/>
    <w:rsid w:val="00D0575B"/>
    <w:rPr>
      <w:rFonts w:ascii="Times New Roman" w:eastAsia="Times New Roman" w:hAnsi="Times New Roman" w:cs="Times New Roman"/>
      <w:snapToGrid w:val="0"/>
      <w:kern w:val="28"/>
      <w:sz w:val="20"/>
      <w:szCs w:val="20"/>
    </w:rPr>
  </w:style>
  <w:style w:type="character" w:customStyle="1" w:styleId="CommentTextChar1">
    <w:name w:val="Comment Text Char1"/>
    <w:link w:val="CommentText"/>
    <w:uiPriority w:val="99"/>
    <w:locked/>
    <w:rsid w:val="00D0575B"/>
    <w:rPr>
      <w:rFonts w:ascii="Times New Roman" w:eastAsia="Times New Roman" w:hAnsi="Times New Roman" w:cs="Times New Roman"/>
      <w:snapToGrid w:val="0"/>
      <w:kern w:val="28"/>
      <w:sz w:val="20"/>
      <w:szCs w:val="20"/>
    </w:rPr>
  </w:style>
  <w:style w:type="paragraph" w:styleId="ListParagraph">
    <w:name w:val="List Paragraph"/>
    <w:basedOn w:val="Normal"/>
    <w:qFormat/>
    <w:rsid w:val="00D0575B"/>
    <w:pPr>
      <w:widowControl/>
      <w:spacing w:after="200" w:line="276" w:lineRule="auto"/>
      <w:ind w:left="720"/>
      <w:contextualSpacing/>
    </w:pPr>
    <w:rPr>
      <w:rFonts w:ascii="Calibri" w:hAnsi="Calibri"/>
      <w:szCs w:val="22"/>
    </w:rPr>
  </w:style>
  <w:style w:type="paragraph" w:styleId="BalloonText">
    <w:name w:val="Balloon Text"/>
    <w:basedOn w:val="Normal"/>
    <w:link w:val="BalloonTextChar"/>
    <w:uiPriority w:val="99"/>
    <w:semiHidden/>
    <w:unhideWhenUsed/>
    <w:rsid w:val="00D05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5B"/>
    <w:rPr>
      <w:rFonts w:ascii="Segoe UI" w:eastAsia="Times New Roman" w:hAnsi="Segoe UI" w:cs="Segoe UI"/>
      <w:snapToGrid w:val="0"/>
      <w:kern w:val="28"/>
      <w:sz w:val="18"/>
      <w:szCs w:val="18"/>
    </w:rPr>
  </w:style>
  <w:style w:type="paragraph" w:styleId="Header">
    <w:name w:val="header"/>
    <w:basedOn w:val="Normal"/>
    <w:link w:val="HeaderChar"/>
    <w:uiPriority w:val="99"/>
    <w:unhideWhenUsed/>
    <w:rsid w:val="00D0575B"/>
    <w:pPr>
      <w:tabs>
        <w:tab w:val="center" w:pos="4680"/>
        <w:tab w:val="right" w:pos="9360"/>
      </w:tabs>
    </w:pPr>
  </w:style>
  <w:style w:type="character" w:customStyle="1" w:styleId="HeaderChar">
    <w:name w:val="Header Char"/>
    <w:basedOn w:val="DefaultParagraphFont"/>
    <w:link w:val="Header"/>
    <w:uiPriority w:val="99"/>
    <w:rsid w:val="00D0575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0575B"/>
    <w:pPr>
      <w:tabs>
        <w:tab w:val="center" w:pos="4680"/>
        <w:tab w:val="right" w:pos="9360"/>
      </w:tabs>
    </w:pPr>
  </w:style>
  <w:style w:type="character" w:customStyle="1" w:styleId="FooterChar">
    <w:name w:val="Footer Char"/>
    <w:basedOn w:val="DefaultParagraphFont"/>
    <w:link w:val="Footer"/>
    <w:uiPriority w:val="99"/>
    <w:rsid w:val="00D0575B"/>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79611B"/>
    <w:rPr>
      <w:b/>
      <w:bCs/>
    </w:rPr>
  </w:style>
  <w:style w:type="character" w:customStyle="1" w:styleId="CommentSubjectChar">
    <w:name w:val="Comment Subject Char"/>
    <w:basedOn w:val="CommentTextChar1"/>
    <w:link w:val="CommentSubject"/>
    <w:uiPriority w:val="99"/>
    <w:semiHidden/>
    <w:rsid w:val="0079611B"/>
    <w:rPr>
      <w:rFonts w:ascii="Times New Roman" w:eastAsia="Times New Roman" w:hAnsi="Times New Roman" w:cs="Times New Roman"/>
      <w:b/>
      <w:bCs/>
      <w:snapToGrid w:val="0"/>
      <w:kern w:val="28"/>
      <w:sz w:val="20"/>
      <w:szCs w:val="20"/>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rsid w:val="005E667F"/>
    <w:rPr>
      <w:sz w:val="22"/>
      <w:lang w:val="en-US" w:eastAsia="en-US" w:bidi="ar-SA"/>
    </w:rPr>
  </w:style>
  <w:style w:type="character" w:styleId="Emphasis">
    <w:name w:val="Emphasis"/>
    <w:basedOn w:val="DefaultParagraphFont"/>
    <w:uiPriority w:val="20"/>
    <w:qFormat/>
    <w:rsid w:val="00A2782A"/>
    <w:rPr>
      <w:i/>
      <w:iCs/>
    </w:rPr>
  </w:style>
  <w:style w:type="character" w:customStyle="1" w:styleId="apple-converted-space">
    <w:name w:val="apple-converted-space"/>
    <w:basedOn w:val="DefaultParagraphFont"/>
    <w:rsid w:val="00A2782A"/>
  </w:style>
  <w:style w:type="character" w:customStyle="1" w:styleId="cosearchterm">
    <w:name w:val="co_searchterm"/>
    <w:basedOn w:val="DefaultParagraphFont"/>
    <w:rsid w:val="00A2782A"/>
  </w:style>
  <w:style w:type="paragraph" w:styleId="Revision">
    <w:name w:val="Revision"/>
    <w:hidden/>
    <w:uiPriority w:val="99"/>
    <w:semiHidden/>
    <w:rsid w:val="00B63BA9"/>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5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D0575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25726B"/>
    <w:pPr>
      <w:keepNext/>
      <w:numPr>
        <w:ilvl w:val="1"/>
        <w:numId w:val="2"/>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D0575B"/>
    <w:pPr>
      <w:keepNext/>
      <w:numPr>
        <w:ilvl w:val="2"/>
        <w:numId w:val="2"/>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D0575B"/>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D0575B"/>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D0575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0575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0575B"/>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D0575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0575B"/>
    <w:rPr>
      <w:rFonts w:asciiTheme="majorHAnsi" w:eastAsiaTheme="majorEastAsia" w:hAnsiTheme="majorHAnsi" w:cstheme="majorBidi"/>
      <w:snapToGrid w:val="0"/>
      <w:color w:val="2F5496" w:themeColor="accent1" w:themeShade="BF"/>
      <w:kern w:val="28"/>
      <w:sz w:val="32"/>
      <w:szCs w:val="32"/>
    </w:rPr>
  </w:style>
  <w:style w:type="character" w:customStyle="1" w:styleId="Heading2Char">
    <w:name w:val="Heading 2 Char"/>
    <w:basedOn w:val="DefaultParagraphFont"/>
    <w:uiPriority w:val="9"/>
    <w:semiHidden/>
    <w:rsid w:val="00D0575B"/>
    <w:rPr>
      <w:rFonts w:asciiTheme="majorHAnsi" w:eastAsiaTheme="majorEastAsia" w:hAnsiTheme="majorHAnsi" w:cstheme="majorBidi"/>
      <w:snapToGrid w:val="0"/>
      <w:color w:val="2F5496" w:themeColor="accent1" w:themeShade="BF"/>
      <w:kern w:val="28"/>
      <w:sz w:val="26"/>
      <w:szCs w:val="26"/>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D0575B"/>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575B"/>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575B"/>
    <w:rPr>
      <w:rFonts w:ascii="Times New Roman" w:eastAsia="Times New Roman" w:hAnsi="Times New Roman" w:cs="Times New Roman"/>
      <w:b/>
      <w:snapToGrid w:val="0"/>
      <w:kern w:val="28"/>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D0575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0575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0575B"/>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D0575B"/>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0575B"/>
    <w:pPr>
      <w:numPr>
        <w:numId w:val="1"/>
      </w:numPr>
      <w:spacing w:after="120"/>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rsid w:val="00D0575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0575B"/>
    <w:rPr>
      <w:rFonts w:ascii="Times New Roman" w:eastAsia="Times New Roman" w:hAnsi="Times New Roman" w:cs="Times New Roman"/>
      <w:snapToGrid w:val="0"/>
      <w:kern w:val="28"/>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D0575B"/>
    <w:rPr>
      <w:rFonts w:ascii="Times New Roman" w:hAnsi="Times New Roman"/>
      <w:dstrike w:val="0"/>
      <w:color w:val="auto"/>
      <w:sz w:val="20"/>
      <w:vertAlign w:val="superscript"/>
    </w:rPr>
  </w:style>
  <w:style w:type="paragraph" w:styleId="TOC1">
    <w:name w:val="toc 1"/>
    <w:basedOn w:val="Normal"/>
    <w:next w:val="Normal"/>
    <w:rsid w:val="00D0575B"/>
    <w:pPr>
      <w:tabs>
        <w:tab w:val="left" w:pos="360"/>
        <w:tab w:val="right" w:leader="dot" w:pos="9360"/>
      </w:tabs>
      <w:suppressAutoHyphens/>
      <w:ind w:left="360" w:right="720" w:hanging="360"/>
    </w:pPr>
    <w:rPr>
      <w:caps/>
      <w:noProof/>
    </w:rPr>
  </w:style>
  <w:style w:type="paragraph" w:styleId="TOC2">
    <w:name w:val="toc 2"/>
    <w:basedOn w:val="Normal"/>
    <w:next w:val="Normal"/>
    <w:rsid w:val="00D0575B"/>
    <w:pPr>
      <w:tabs>
        <w:tab w:val="left" w:pos="720"/>
        <w:tab w:val="right" w:leader="dot" w:pos="9360"/>
      </w:tabs>
      <w:suppressAutoHyphens/>
      <w:ind w:left="720" w:right="720" w:hanging="360"/>
    </w:pPr>
    <w:rPr>
      <w:noProof/>
    </w:rPr>
  </w:style>
  <w:style w:type="paragraph" w:styleId="TOAHeading">
    <w:name w:val="toa heading"/>
    <w:basedOn w:val="Normal"/>
    <w:next w:val="Normal"/>
    <w:semiHidden/>
    <w:rsid w:val="00D0575B"/>
    <w:pPr>
      <w:tabs>
        <w:tab w:val="right" w:pos="9360"/>
      </w:tabs>
      <w:suppressAutoHyphens/>
    </w:pPr>
  </w:style>
  <w:style w:type="paragraph" w:customStyle="1" w:styleId="Paratitle">
    <w:name w:val="Para title"/>
    <w:basedOn w:val="Normal"/>
    <w:rsid w:val="00D0575B"/>
    <w:pPr>
      <w:tabs>
        <w:tab w:val="center" w:pos="9270"/>
      </w:tabs>
      <w:spacing w:after="240"/>
    </w:pPr>
    <w:rPr>
      <w:spacing w:val="-2"/>
    </w:rPr>
  </w:style>
  <w:style w:type="paragraph" w:customStyle="1" w:styleId="TOCTitle">
    <w:name w:val="TOC Title"/>
    <w:basedOn w:val="Normal"/>
    <w:rsid w:val="00D057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575B"/>
    <w:pPr>
      <w:jc w:val="center"/>
    </w:pPr>
    <w:rPr>
      <w:rFonts w:ascii="Times New Roman Bold" w:hAnsi="Times New Roman Bold"/>
      <w:b/>
      <w:bCs/>
      <w:caps/>
      <w:szCs w:val="22"/>
    </w:rPr>
  </w:style>
  <w:style w:type="character" w:customStyle="1" w:styleId="ParaNumChar">
    <w:name w:val="ParaNum Char"/>
    <w:link w:val="ParaNum"/>
    <w:locked/>
    <w:rsid w:val="00D0575B"/>
    <w:rPr>
      <w:rFonts w:ascii="Times New Roman" w:eastAsia="Times New Roman" w:hAnsi="Times New Roman" w:cs="Times New Roman"/>
      <w:snapToGrid w:val="0"/>
      <w:kern w:val="28"/>
      <w:szCs w:val="20"/>
    </w:rPr>
  </w:style>
  <w:style w:type="character" w:customStyle="1" w:styleId="Heading1Char1">
    <w:name w:val="Heading 1 Char1"/>
    <w:aliases w:val="Heading 1 Char2 Char,Heading 1 Char1 Char Char,Heading 1 Char Char Char Char,Heading 1 Char Char1 Char1,Heading 1 Char Char1 Char Char,Heading 1 Char2 Char Char1 Char Char,Heading 1 Char1 Char Char Char2 Char Char"/>
    <w:link w:val="Heading1"/>
    <w:locked/>
    <w:rsid w:val="00D0575B"/>
    <w:rPr>
      <w:rFonts w:ascii="Times New Roman Bold" w:eastAsia="Times New Roman" w:hAnsi="Times New Roman Bold" w:cs="Times New Roman"/>
      <w:b/>
      <w:caps/>
      <w:snapToGrid w:val="0"/>
      <w:kern w:val="28"/>
      <w:szCs w:val="20"/>
    </w:rPr>
  </w:style>
  <w:style w:type="character" w:customStyle="1" w:styleId="Heading2Char1">
    <w:name w:val="Heading 2 Char1"/>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25726B"/>
    <w:rPr>
      <w:rFonts w:ascii="Times New Roman" w:eastAsia="Times New Roman" w:hAnsi="Times New Roman" w:cs="Times New Roman"/>
      <w:b/>
      <w:snapToGrid w:val="0"/>
      <w:kern w:val="28"/>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D0575B"/>
    <w:rPr>
      <w:rFonts w:ascii="Times New Roman" w:eastAsia="Times New Roman" w:hAnsi="Times New Roman" w:cs="Times New Roman"/>
      <w:sz w:val="20"/>
      <w:szCs w:val="20"/>
    </w:rPr>
  </w:style>
  <w:style w:type="character" w:styleId="CommentReference">
    <w:name w:val="annotation reference"/>
    <w:uiPriority w:val="99"/>
    <w:rsid w:val="00D0575B"/>
    <w:rPr>
      <w:rFonts w:cs="Times New Roman"/>
      <w:sz w:val="16"/>
    </w:rPr>
  </w:style>
  <w:style w:type="paragraph" w:styleId="CommentText">
    <w:name w:val="annotation text"/>
    <w:basedOn w:val="Normal"/>
    <w:link w:val="CommentTextChar1"/>
    <w:uiPriority w:val="99"/>
    <w:rsid w:val="00D0575B"/>
    <w:rPr>
      <w:sz w:val="20"/>
    </w:rPr>
  </w:style>
  <w:style w:type="character" w:customStyle="1" w:styleId="CommentTextChar">
    <w:name w:val="Comment Text Char"/>
    <w:basedOn w:val="DefaultParagraphFont"/>
    <w:uiPriority w:val="99"/>
    <w:semiHidden/>
    <w:rsid w:val="00D0575B"/>
    <w:rPr>
      <w:rFonts w:ascii="Times New Roman" w:eastAsia="Times New Roman" w:hAnsi="Times New Roman" w:cs="Times New Roman"/>
      <w:snapToGrid w:val="0"/>
      <w:kern w:val="28"/>
      <w:sz w:val="20"/>
      <w:szCs w:val="20"/>
    </w:rPr>
  </w:style>
  <w:style w:type="character" w:customStyle="1" w:styleId="CommentTextChar1">
    <w:name w:val="Comment Text Char1"/>
    <w:link w:val="CommentText"/>
    <w:uiPriority w:val="99"/>
    <w:locked/>
    <w:rsid w:val="00D0575B"/>
    <w:rPr>
      <w:rFonts w:ascii="Times New Roman" w:eastAsia="Times New Roman" w:hAnsi="Times New Roman" w:cs="Times New Roman"/>
      <w:snapToGrid w:val="0"/>
      <w:kern w:val="28"/>
      <w:sz w:val="20"/>
      <w:szCs w:val="20"/>
    </w:rPr>
  </w:style>
  <w:style w:type="paragraph" w:styleId="ListParagraph">
    <w:name w:val="List Paragraph"/>
    <w:basedOn w:val="Normal"/>
    <w:qFormat/>
    <w:rsid w:val="00D0575B"/>
    <w:pPr>
      <w:widowControl/>
      <w:spacing w:after="200" w:line="276" w:lineRule="auto"/>
      <w:ind w:left="720"/>
      <w:contextualSpacing/>
    </w:pPr>
    <w:rPr>
      <w:rFonts w:ascii="Calibri" w:hAnsi="Calibri"/>
      <w:szCs w:val="22"/>
    </w:rPr>
  </w:style>
  <w:style w:type="paragraph" w:styleId="BalloonText">
    <w:name w:val="Balloon Text"/>
    <w:basedOn w:val="Normal"/>
    <w:link w:val="BalloonTextChar"/>
    <w:uiPriority w:val="99"/>
    <w:semiHidden/>
    <w:unhideWhenUsed/>
    <w:rsid w:val="00D05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5B"/>
    <w:rPr>
      <w:rFonts w:ascii="Segoe UI" w:eastAsia="Times New Roman" w:hAnsi="Segoe UI" w:cs="Segoe UI"/>
      <w:snapToGrid w:val="0"/>
      <w:kern w:val="28"/>
      <w:sz w:val="18"/>
      <w:szCs w:val="18"/>
    </w:rPr>
  </w:style>
  <w:style w:type="paragraph" w:styleId="Header">
    <w:name w:val="header"/>
    <w:basedOn w:val="Normal"/>
    <w:link w:val="HeaderChar"/>
    <w:uiPriority w:val="99"/>
    <w:unhideWhenUsed/>
    <w:rsid w:val="00D0575B"/>
    <w:pPr>
      <w:tabs>
        <w:tab w:val="center" w:pos="4680"/>
        <w:tab w:val="right" w:pos="9360"/>
      </w:tabs>
    </w:pPr>
  </w:style>
  <w:style w:type="character" w:customStyle="1" w:styleId="HeaderChar">
    <w:name w:val="Header Char"/>
    <w:basedOn w:val="DefaultParagraphFont"/>
    <w:link w:val="Header"/>
    <w:uiPriority w:val="99"/>
    <w:rsid w:val="00D0575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0575B"/>
    <w:pPr>
      <w:tabs>
        <w:tab w:val="center" w:pos="4680"/>
        <w:tab w:val="right" w:pos="9360"/>
      </w:tabs>
    </w:pPr>
  </w:style>
  <w:style w:type="character" w:customStyle="1" w:styleId="FooterChar">
    <w:name w:val="Footer Char"/>
    <w:basedOn w:val="DefaultParagraphFont"/>
    <w:link w:val="Footer"/>
    <w:uiPriority w:val="99"/>
    <w:rsid w:val="00D0575B"/>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79611B"/>
    <w:rPr>
      <w:b/>
      <w:bCs/>
    </w:rPr>
  </w:style>
  <w:style w:type="character" w:customStyle="1" w:styleId="CommentSubjectChar">
    <w:name w:val="Comment Subject Char"/>
    <w:basedOn w:val="CommentTextChar1"/>
    <w:link w:val="CommentSubject"/>
    <w:uiPriority w:val="99"/>
    <w:semiHidden/>
    <w:rsid w:val="0079611B"/>
    <w:rPr>
      <w:rFonts w:ascii="Times New Roman" w:eastAsia="Times New Roman" w:hAnsi="Times New Roman" w:cs="Times New Roman"/>
      <w:b/>
      <w:bCs/>
      <w:snapToGrid w:val="0"/>
      <w:kern w:val="28"/>
      <w:sz w:val="20"/>
      <w:szCs w:val="20"/>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rsid w:val="005E667F"/>
    <w:rPr>
      <w:sz w:val="22"/>
      <w:lang w:val="en-US" w:eastAsia="en-US" w:bidi="ar-SA"/>
    </w:rPr>
  </w:style>
  <w:style w:type="character" w:styleId="Emphasis">
    <w:name w:val="Emphasis"/>
    <w:basedOn w:val="DefaultParagraphFont"/>
    <w:uiPriority w:val="20"/>
    <w:qFormat/>
    <w:rsid w:val="00A2782A"/>
    <w:rPr>
      <w:i/>
      <w:iCs/>
    </w:rPr>
  </w:style>
  <w:style w:type="character" w:customStyle="1" w:styleId="apple-converted-space">
    <w:name w:val="apple-converted-space"/>
    <w:basedOn w:val="DefaultParagraphFont"/>
    <w:rsid w:val="00A2782A"/>
  </w:style>
  <w:style w:type="character" w:customStyle="1" w:styleId="cosearchterm">
    <w:name w:val="co_searchterm"/>
    <w:basedOn w:val="DefaultParagraphFont"/>
    <w:rsid w:val="00A2782A"/>
  </w:style>
  <w:style w:type="paragraph" w:styleId="Revision">
    <w:name w:val="Revision"/>
    <w:hidden/>
    <w:uiPriority w:val="99"/>
    <w:semiHidden/>
    <w:rsid w:val="00B63BA9"/>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8800</Characters>
  <Application>Microsoft Office Word</Application>
  <DocSecurity>0</DocSecurity>
  <Lines>160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2017-07-19T16:46:00Z</cp:lastPrinted>
  <dcterms:created xsi:type="dcterms:W3CDTF">2017-07-25T16:37:00Z</dcterms:created>
  <dcterms:modified xsi:type="dcterms:W3CDTF">2017-07-25T16:37:00Z</dcterms:modified>
  <cp:category> </cp:category>
  <cp:contentStatus> </cp:contentStatus>
</cp:coreProperties>
</file>