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7E1F9"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CA4E6D9" w14:textId="77777777" w:rsidR="00921803" w:rsidRDefault="00921803" w:rsidP="00921803">
      <w:pPr>
        <w:pStyle w:val="StyleBoldCentered"/>
      </w:pPr>
      <w:r>
        <w:t>F</w:t>
      </w:r>
      <w:r>
        <w:rPr>
          <w:caps w:val="0"/>
        </w:rPr>
        <w:t>ederal Communications Commission</w:t>
      </w:r>
    </w:p>
    <w:p w14:paraId="1D38E10F" w14:textId="77777777" w:rsidR="004C2EE3" w:rsidRDefault="00810B6F" w:rsidP="00096D8C">
      <w:pPr>
        <w:pStyle w:val="StyleBoldCentered"/>
      </w:pPr>
      <w:r>
        <w:rPr>
          <w:caps w:val="0"/>
        </w:rPr>
        <w:t>Washington, D.C. 20554</w:t>
      </w:r>
    </w:p>
    <w:p w14:paraId="2A1EC834" w14:textId="77777777" w:rsidR="004C2EE3" w:rsidRDefault="004C2EE3" w:rsidP="0070224F"/>
    <w:p w14:paraId="79F33ED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3CDCD2A" w14:textId="77777777">
        <w:tc>
          <w:tcPr>
            <w:tcW w:w="4698" w:type="dxa"/>
          </w:tcPr>
          <w:p w14:paraId="03BFAB89" w14:textId="77777777" w:rsidR="004C2EE3" w:rsidRDefault="004C2EE3">
            <w:pPr>
              <w:tabs>
                <w:tab w:val="center" w:pos="4680"/>
              </w:tabs>
              <w:suppressAutoHyphens/>
              <w:rPr>
                <w:spacing w:val="-2"/>
              </w:rPr>
            </w:pPr>
            <w:r>
              <w:rPr>
                <w:spacing w:val="-2"/>
              </w:rPr>
              <w:t>In the Matter of</w:t>
            </w:r>
          </w:p>
          <w:p w14:paraId="6B2454FF" w14:textId="77777777" w:rsidR="004C2EE3" w:rsidRDefault="004C2EE3">
            <w:pPr>
              <w:tabs>
                <w:tab w:val="center" w:pos="4680"/>
              </w:tabs>
              <w:suppressAutoHyphens/>
              <w:rPr>
                <w:spacing w:val="-2"/>
              </w:rPr>
            </w:pPr>
          </w:p>
          <w:p w14:paraId="5127872D" w14:textId="77777777" w:rsidR="004C2EE3" w:rsidRDefault="009C6D14" w:rsidP="007115F7">
            <w:pPr>
              <w:tabs>
                <w:tab w:val="center" w:pos="4680"/>
              </w:tabs>
              <w:suppressAutoHyphens/>
              <w:rPr>
                <w:spacing w:val="-2"/>
              </w:rPr>
            </w:pPr>
            <w:r>
              <w:rPr>
                <w:spacing w:val="-2"/>
              </w:rPr>
              <w:t>Lighthouse Christian Center</w:t>
            </w:r>
          </w:p>
          <w:p w14:paraId="2C9BB5F4" w14:textId="29AEF2FB" w:rsidR="009C6D14" w:rsidRDefault="009C6D14" w:rsidP="007115F7">
            <w:pPr>
              <w:tabs>
                <w:tab w:val="center" w:pos="4680"/>
              </w:tabs>
              <w:suppressAutoHyphens/>
              <w:rPr>
                <w:spacing w:val="-2"/>
              </w:rPr>
            </w:pPr>
            <w:r>
              <w:rPr>
                <w:spacing w:val="-2"/>
              </w:rPr>
              <w:t>WLCQ-LP, Feeding Hills, Massachusetts</w:t>
            </w:r>
          </w:p>
          <w:p w14:paraId="6BDDBD9C" w14:textId="7479B0E5" w:rsidR="009C6D14" w:rsidRPr="007115F7" w:rsidRDefault="009C6D14" w:rsidP="007115F7">
            <w:pPr>
              <w:tabs>
                <w:tab w:val="center" w:pos="4680"/>
              </w:tabs>
              <w:suppressAutoHyphens/>
              <w:rPr>
                <w:spacing w:val="-2"/>
              </w:rPr>
            </w:pPr>
          </w:p>
        </w:tc>
        <w:tc>
          <w:tcPr>
            <w:tcW w:w="630" w:type="dxa"/>
          </w:tcPr>
          <w:p w14:paraId="34BFF6FE" w14:textId="77777777" w:rsidR="004C2EE3" w:rsidRDefault="004C2EE3">
            <w:pPr>
              <w:tabs>
                <w:tab w:val="center" w:pos="4680"/>
              </w:tabs>
              <w:suppressAutoHyphens/>
              <w:rPr>
                <w:b/>
                <w:spacing w:val="-2"/>
              </w:rPr>
            </w:pPr>
            <w:r>
              <w:rPr>
                <w:b/>
                <w:spacing w:val="-2"/>
              </w:rPr>
              <w:t>)</w:t>
            </w:r>
          </w:p>
          <w:p w14:paraId="437348B6" w14:textId="77777777" w:rsidR="004C2EE3" w:rsidRDefault="004C2EE3">
            <w:pPr>
              <w:tabs>
                <w:tab w:val="center" w:pos="4680"/>
              </w:tabs>
              <w:suppressAutoHyphens/>
              <w:rPr>
                <w:b/>
                <w:spacing w:val="-2"/>
              </w:rPr>
            </w:pPr>
            <w:r>
              <w:rPr>
                <w:b/>
                <w:spacing w:val="-2"/>
              </w:rPr>
              <w:t>)</w:t>
            </w:r>
          </w:p>
          <w:p w14:paraId="38B9512C" w14:textId="77777777" w:rsidR="004C2EE3" w:rsidRDefault="004C2EE3">
            <w:pPr>
              <w:tabs>
                <w:tab w:val="center" w:pos="4680"/>
              </w:tabs>
              <w:suppressAutoHyphens/>
              <w:rPr>
                <w:b/>
                <w:spacing w:val="-2"/>
              </w:rPr>
            </w:pPr>
            <w:r>
              <w:rPr>
                <w:b/>
                <w:spacing w:val="-2"/>
              </w:rPr>
              <w:t>)</w:t>
            </w:r>
          </w:p>
          <w:p w14:paraId="386BE3C5" w14:textId="77777777" w:rsidR="004C2EE3" w:rsidRDefault="004C2EE3">
            <w:pPr>
              <w:tabs>
                <w:tab w:val="center" w:pos="4680"/>
              </w:tabs>
              <w:suppressAutoHyphens/>
              <w:rPr>
                <w:b/>
                <w:spacing w:val="-2"/>
              </w:rPr>
            </w:pPr>
            <w:r>
              <w:rPr>
                <w:b/>
                <w:spacing w:val="-2"/>
              </w:rPr>
              <w:t>)</w:t>
            </w:r>
          </w:p>
          <w:p w14:paraId="1E0DCDCB" w14:textId="77777777" w:rsidR="004C2EE3" w:rsidRDefault="004C2EE3">
            <w:pPr>
              <w:tabs>
                <w:tab w:val="center" w:pos="4680"/>
              </w:tabs>
              <w:suppressAutoHyphens/>
              <w:rPr>
                <w:b/>
                <w:spacing w:val="-2"/>
              </w:rPr>
            </w:pPr>
            <w:r>
              <w:rPr>
                <w:b/>
                <w:spacing w:val="-2"/>
              </w:rPr>
              <w:t>)</w:t>
            </w:r>
          </w:p>
          <w:p w14:paraId="129C9454" w14:textId="77777777" w:rsidR="004C2EE3" w:rsidRDefault="004C2EE3">
            <w:pPr>
              <w:tabs>
                <w:tab w:val="center" w:pos="4680"/>
              </w:tabs>
              <w:suppressAutoHyphens/>
              <w:rPr>
                <w:b/>
                <w:spacing w:val="-2"/>
              </w:rPr>
            </w:pPr>
            <w:r>
              <w:rPr>
                <w:b/>
                <w:spacing w:val="-2"/>
              </w:rPr>
              <w:t>)</w:t>
            </w:r>
          </w:p>
          <w:p w14:paraId="5863A450" w14:textId="7458C89D" w:rsidR="004C2EE3" w:rsidRDefault="004C2EE3">
            <w:pPr>
              <w:tabs>
                <w:tab w:val="center" w:pos="4680"/>
              </w:tabs>
              <w:suppressAutoHyphens/>
              <w:rPr>
                <w:b/>
                <w:spacing w:val="-2"/>
              </w:rPr>
            </w:pPr>
            <w:r>
              <w:rPr>
                <w:b/>
                <w:spacing w:val="-2"/>
              </w:rPr>
              <w:t>)</w:t>
            </w:r>
          </w:p>
          <w:p w14:paraId="01A3722C" w14:textId="2CC91FAE" w:rsidR="004C2EE3" w:rsidRDefault="004C2EE3">
            <w:pPr>
              <w:tabs>
                <w:tab w:val="center" w:pos="4680"/>
              </w:tabs>
              <w:suppressAutoHyphens/>
              <w:rPr>
                <w:spacing w:val="-2"/>
              </w:rPr>
            </w:pPr>
          </w:p>
        </w:tc>
        <w:tc>
          <w:tcPr>
            <w:tcW w:w="4248" w:type="dxa"/>
          </w:tcPr>
          <w:p w14:paraId="765FC50B" w14:textId="77777777" w:rsidR="004C2EE3" w:rsidRDefault="004C2EE3">
            <w:pPr>
              <w:tabs>
                <w:tab w:val="center" w:pos="4680"/>
              </w:tabs>
              <w:suppressAutoHyphens/>
              <w:rPr>
                <w:spacing w:val="-2"/>
              </w:rPr>
            </w:pPr>
          </w:p>
          <w:p w14:paraId="531726A4" w14:textId="77777777" w:rsidR="004C2EE3" w:rsidRDefault="004C2EE3">
            <w:pPr>
              <w:pStyle w:val="TOAHeading"/>
              <w:tabs>
                <w:tab w:val="clear" w:pos="9360"/>
                <w:tab w:val="center" w:pos="4680"/>
              </w:tabs>
              <w:rPr>
                <w:spacing w:val="-2"/>
              </w:rPr>
            </w:pPr>
          </w:p>
          <w:p w14:paraId="401D57AA" w14:textId="705CA805" w:rsidR="00151434" w:rsidRPr="00D61B8B" w:rsidRDefault="00151434" w:rsidP="00D61B8B">
            <w:pPr>
              <w:rPr>
                <w:snapToGrid/>
                <w:kern w:val="0"/>
              </w:rPr>
            </w:pPr>
            <w:r>
              <w:rPr>
                <w:szCs w:val="22"/>
              </w:rPr>
              <w:t>NAL/Account</w:t>
            </w:r>
            <w:r w:rsidRPr="00AF6B0C">
              <w:rPr>
                <w:szCs w:val="22"/>
              </w:rPr>
              <w:t xml:space="preserve"> No.:  </w:t>
            </w:r>
            <w:r w:rsidR="00D61B8B">
              <w:t>MB-201741410010</w:t>
            </w:r>
          </w:p>
          <w:p w14:paraId="5AA69184" w14:textId="1C4363EC" w:rsidR="009C6D14" w:rsidRPr="00151434" w:rsidRDefault="00151434" w:rsidP="00151434">
            <w:pPr>
              <w:pStyle w:val="Title"/>
              <w:jc w:val="left"/>
              <w:rPr>
                <w:b w:val="0"/>
                <w:szCs w:val="22"/>
                <w:lang w:val="en-US" w:eastAsia="en-US"/>
              </w:rPr>
            </w:pPr>
            <w:r w:rsidRPr="0001199F">
              <w:rPr>
                <w:b w:val="0"/>
                <w:szCs w:val="22"/>
                <w:lang w:val="en-US" w:eastAsia="en-US"/>
              </w:rPr>
              <w:t xml:space="preserve">FRN:  </w:t>
            </w:r>
            <w:hyperlink r:id="rId8" w:tgtFrame="_blank" w:history="1">
              <w:r w:rsidR="004736F7" w:rsidRPr="004736F7">
                <w:rPr>
                  <w:b w:val="0"/>
                  <w:snapToGrid w:val="0"/>
                  <w:kern w:val="28"/>
                  <w:lang w:val="en-US" w:eastAsia="en-US"/>
                </w:rPr>
                <w:t>0010722700</w:t>
              </w:r>
            </w:hyperlink>
            <w:r w:rsidR="009C6D14" w:rsidRPr="008E4DB5">
              <w:rPr>
                <w:szCs w:val="22"/>
              </w:rPr>
              <w:tab/>
            </w:r>
          </w:p>
          <w:p w14:paraId="2A17EBB8" w14:textId="77777777" w:rsidR="004C2EE3" w:rsidRDefault="009C6D14">
            <w:pPr>
              <w:tabs>
                <w:tab w:val="center" w:pos="4680"/>
              </w:tabs>
              <w:suppressAutoHyphens/>
              <w:rPr>
                <w:szCs w:val="22"/>
              </w:rPr>
            </w:pPr>
            <w:r>
              <w:rPr>
                <w:spacing w:val="-2"/>
              </w:rPr>
              <w:t xml:space="preserve">File Nos. </w:t>
            </w:r>
            <w:r>
              <w:rPr>
                <w:szCs w:val="22"/>
              </w:rPr>
              <w:t>BLL-20061106AAA, BPL-20151102AHI and BSTA</w:t>
            </w:r>
            <w:r w:rsidR="00C57328">
              <w:rPr>
                <w:szCs w:val="22"/>
              </w:rPr>
              <w:t>-</w:t>
            </w:r>
            <w:r>
              <w:rPr>
                <w:szCs w:val="22"/>
              </w:rPr>
              <w:t>20151102AHI</w:t>
            </w:r>
          </w:p>
          <w:p w14:paraId="3A323952" w14:textId="72BAC084" w:rsidR="00151434" w:rsidRDefault="00151434">
            <w:pPr>
              <w:tabs>
                <w:tab w:val="center" w:pos="4680"/>
              </w:tabs>
              <w:suppressAutoHyphens/>
              <w:rPr>
                <w:spacing w:val="-2"/>
              </w:rPr>
            </w:pPr>
            <w:r>
              <w:rPr>
                <w:spacing w:val="-2"/>
              </w:rPr>
              <w:t xml:space="preserve">Facility ID No. </w:t>
            </w:r>
            <w:r>
              <w:rPr>
                <w:szCs w:val="22"/>
              </w:rPr>
              <w:t>133854</w:t>
            </w:r>
          </w:p>
        </w:tc>
      </w:tr>
    </w:tbl>
    <w:p w14:paraId="79449DF2" w14:textId="77777777" w:rsidR="004C2EE3" w:rsidRDefault="004C2EE3" w:rsidP="0070224F"/>
    <w:p w14:paraId="586C3703" w14:textId="7A1FFF10" w:rsidR="00841AB1" w:rsidRDefault="009C6D14" w:rsidP="00F021FA">
      <w:pPr>
        <w:pStyle w:val="StyleBoldCentered"/>
      </w:pPr>
      <w:r>
        <w:t>memorandum opinion and order</w:t>
      </w:r>
    </w:p>
    <w:p w14:paraId="4A874FB9" w14:textId="77777777" w:rsidR="004C2EE3" w:rsidRDefault="004C2EE3">
      <w:pPr>
        <w:tabs>
          <w:tab w:val="left" w:pos="-720"/>
        </w:tabs>
        <w:suppressAutoHyphens/>
        <w:spacing w:line="227" w:lineRule="auto"/>
        <w:rPr>
          <w:spacing w:val="-2"/>
        </w:rPr>
      </w:pPr>
    </w:p>
    <w:p w14:paraId="440A39AF" w14:textId="1E010FF9" w:rsidR="004C2EE3" w:rsidRDefault="004C2EE3" w:rsidP="00133F79">
      <w:pPr>
        <w:tabs>
          <w:tab w:val="left" w:pos="720"/>
          <w:tab w:val="right" w:pos="9360"/>
        </w:tabs>
        <w:suppressAutoHyphens/>
        <w:spacing w:line="227" w:lineRule="auto"/>
        <w:rPr>
          <w:spacing w:val="-2"/>
        </w:rPr>
      </w:pPr>
      <w:r>
        <w:rPr>
          <w:b/>
          <w:spacing w:val="-2"/>
        </w:rPr>
        <w:t xml:space="preserve">Adopted:  </w:t>
      </w:r>
      <w:r w:rsidR="00CF01DD">
        <w:rPr>
          <w:b/>
          <w:spacing w:val="-2"/>
        </w:rPr>
        <w:t>August 23</w:t>
      </w:r>
      <w:r w:rsidR="009B7209">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B7209">
        <w:rPr>
          <w:b/>
          <w:spacing w:val="-2"/>
        </w:rPr>
        <w:t xml:space="preserve">August </w:t>
      </w:r>
      <w:r w:rsidR="00CF01DD">
        <w:rPr>
          <w:b/>
          <w:spacing w:val="-2"/>
        </w:rPr>
        <w:t>24</w:t>
      </w:r>
      <w:r w:rsidR="009B7209">
        <w:rPr>
          <w:b/>
          <w:spacing w:val="-2"/>
        </w:rPr>
        <w:t>, 2017</w:t>
      </w:r>
    </w:p>
    <w:p w14:paraId="5753C15E" w14:textId="77777777" w:rsidR="00822CE0" w:rsidRDefault="00822CE0"/>
    <w:p w14:paraId="432E2856" w14:textId="3C133174" w:rsidR="004C2EE3" w:rsidRDefault="004C2EE3">
      <w:pPr>
        <w:rPr>
          <w:spacing w:val="-2"/>
        </w:rPr>
      </w:pPr>
      <w:r>
        <w:t xml:space="preserve">By </w:t>
      </w:r>
      <w:r w:rsidR="004E4A22">
        <w:t>the</w:t>
      </w:r>
      <w:r w:rsidR="002A2D2E">
        <w:t xml:space="preserve"> </w:t>
      </w:r>
      <w:r w:rsidR="007F786A">
        <w:rPr>
          <w:spacing w:val="-2"/>
        </w:rPr>
        <w:t>Chief, Media Bureau:</w:t>
      </w:r>
    </w:p>
    <w:p w14:paraId="5CCE4860" w14:textId="77777777" w:rsidR="00412FC5" w:rsidRDefault="00412FC5" w:rsidP="00412FC5"/>
    <w:p w14:paraId="70BB829C" w14:textId="77777777" w:rsidR="002A5018" w:rsidRDefault="002A5018" w:rsidP="002A5018">
      <w:pPr>
        <w:pStyle w:val="Heading1"/>
      </w:pPr>
      <w:r>
        <w:t>introduction</w:t>
      </w:r>
    </w:p>
    <w:p w14:paraId="4999C602" w14:textId="6ECE5041" w:rsidR="002A5018" w:rsidRPr="009C6D14" w:rsidRDefault="002A5018" w:rsidP="002477D8">
      <w:pPr>
        <w:pStyle w:val="ParaNum"/>
        <w:tabs>
          <w:tab w:val="clear" w:pos="1080"/>
        </w:tabs>
      </w:pPr>
      <w:r w:rsidRPr="002A5018">
        <w:t>We have before us a Petition to Revoke License (Petition)</w:t>
      </w:r>
      <w:r w:rsidRPr="002A5018">
        <w:rPr>
          <w:snapToGrid/>
        </w:rPr>
        <w:t xml:space="preserve"> filed by Saga Communications of New England, LLC (Saga) and opposed by Lighthouse Christian Center (Lighthouse).  The Petition urges us to revoke Lighthouse’s license to operate low power FM (LPFM) station WLCQ-LP, Feeding Hills, Massachusetts (Station).  Also before us are an application to make minor changes to the licensed facilities of the Station</w:t>
      </w:r>
      <w:r w:rsidR="00CE3B96">
        <w:rPr>
          <w:snapToGrid/>
        </w:rPr>
        <w:t xml:space="preserve"> (2015 Permit Application)</w:t>
      </w:r>
      <w:r w:rsidRPr="002A5018">
        <w:rPr>
          <w:snapToGrid/>
        </w:rPr>
        <w:t xml:space="preserve"> and a request</w:t>
      </w:r>
      <w:r w:rsidR="00CE3B96">
        <w:rPr>
          <w:snapToGrid/>
        </w:rPr>
        <w:t xml:space="preserve"> </w:t>
      </w:r>
      <w:r w:rsidRPr="002A5018">
        <w:rPr>
          <w:snapToGrid/>
        </w:rPr>
        <w:t>for special temporary authority (STA) to operate at a variance from the Station’s license</w:t>
      </w:r>
      <w:r w:rsidR="00CE3B96">
        <w:rPr>
          <w:snapToGrid/>
        </w:rPr>
        <w:t xml:space="preserve"> </w:t>
      </w:r>
      <w:r w:rsidR="00CE3B96" w:rsidRPr="002A5018">
        <w:rPr>
          <w:snapToGrid/>
        </w:rPr>
        <w:t>(STA Request)</w:t>
      </w:r>
      <w:r w:rsidRPr="002A5018">
        <w:rPr>
          <w:snapToGrid/>
        </w:rPr>
        <w:t xml:space="preserve">.  Both the Application and the STA Request were filed by Lighthouse in response to the </w:t>
      </w:r>
      <w:r w:rsidR="00BB3D9B">
        <w:rPr>
          <w:snapToGrid/>
        </w:rPr>
        <w:t>Petition and are opposed by Saga</w:t>
      </w:r>
      <w:r w:rsidRPr="002A5018">
        <w:rPr>
          <w:snapToGrid/>
        </w:rPr>
        <w:t>.</w:t>
      </w:r>
      <w:r w:rsidRPr="002A5018">
        <w:rPr>
          <w:i/>
          <w:snapToGrid/>
        </w:rPr>
        <w:t xml:space="preserve">  </w:t>
      </w:r>
      <w:r w:rsidRPr="00CE3B96">
        <w:rPr>
          <w:snapToGrid/>
        </w:rPr>
        <w:t>For the reasons set forth herein, we grant in part</w:t>
      </w:r>
      <w:r w:rsidR="002A362E" w:rsidRPr="00CE3B96">
        <w:rPr>
          <w:snapToGrid/>
        </w:rPr>
        <w:t>, dismiss in part</w:t>
      </w:r>
      <w:r w:rsidRPr="00CE3B96">
        <w:rPr>
          <w:snapToGrid/>
        </w:rPr>
        <w:t xml:space="preserve"> and otherwise deny </w:t>
      </w:r>
      <w:r w:rsidR="00212720" w:rsidRPr="00CE3B96">
        <w:rPr>
          <w:snapToGrid/>
        </w:rPr>
        <w:t>the Petition</w:t>
      </w:r>
      <w:r w:rsidR="00212720" w:rsidRPr="00BB3D9B">
        <w:rPr>
          <w:snapToGrid/>
        </w:rPr>
        <w:t xml:space="preserve">, </w:t>
      </w:r>
      <w:r w:rsidR="002A362E" w:rsidRPr="00BB3D9B">
        <w:rPr>
          <w:snapToGrid/>
        </w:rPr>
        <w:t>deny Saga’s</w:t>
      </w:r>
      <w:r w:rsidRPr="00BB3D9B">
        <w:rPr>
          <w:snapToGrid/>
        </w:rPr>
        <w:t xml:space="preserve"> </w:t>
      </w:r>
      <w:r w:rsidR="002A362E" w:rsidRPr="00BB3D9B">
        <w:rPr>
          <w:snapToGrid/>
        </w:rPr>
        <w:t>Informal Objection to the 2015 Permit Application and its Opposition to the STA Request</w:t>
      </w:r>
      <w:r w:rsidR="00E72435" w:rsidRPr="00BB3D9B">
        <w:rPr>
          <w:snapToGrid/>
        </w:rPr>
        <w:t>,</w:t>
      </w:r>
      <w:r w:rsidR="000E4B97" w:rsidRPr="00BB3D9B">
        <w:rPr>
          <w:snapToGrid/>
        </w:rPr>
        <w:t xml:space="preserve"> a</w:t>
      </w:r>
      <w:r w:rsidR="009C6D14" w:rsidRPr="00BB3D9B">
        <w:rPr>
          <w:snapToGrid/>
        </w:rPr>
        <w:t>d</w:t>
      </w:r>
      <w:r w:rsidR="000E4B97" w:rsidRPr="00BB3D9B">
        <w:rPr>
          <w:snapToGrid/>
        </w:rPr>
        <w:t>opt the attached Consent Decree</w:t>
      </w:r>
      <w:r w:rsidR="00BB3D9B">
        <w:rPr>
          <w:snapToGrid/>
        </w:rPr>
        <w:t>, and grant the STA Request</w:t>
      </w:r>
      <w:r w:rsidRPr="00BB3D9B">
        <w:rPr>
          <w:snapToGrid/>
        </w:rPr>
        <w:t>.</w:t>
      </w:r>
      <w:r w:rsidRPr="00E72435">
        <w:rPr>
          <w:snapToGrid/>
        </w:rPr>
        <w:t xml:space="preserve"> </w:t>
      </w:r>
    </w:p>
    <w:p w14:paraId="2B4E0BF3" w14:textId="226F9414" w:rsidR="002A5018" w:rsidRDefault="002A5018" w:rsidP="002A5018">
      <w:pPr>
        <w:pStyle w:val="Heading1"/>
      </w:pPr>
      <w:r w:rsidRPr="008E4DB5">
        <w:t xml:space="preserve">Background  </w:t>
      </w:r>
    </w:p>
    <w:p w14:paraId="6C2D3F38" w14:textId="685C7B56" w:rsidR="002A5018" w:rsidRDefault="002A5018" w:rsidP="002477D8">
      <w:pPr>
        <w:pStyle w:val="ParaNum"/>
        <w:tabs>
          <w:tab w:val="clear" w:pos="1080"/>
        </w:tabs>
      </w:pPr>
      <w:r>
        <w:t>Lighthouse filed an application for the Station’s original construction permit</w:t>
      </w:r>
      <w:r w:rsidR="00CE3B96">
        <w:t xml:space="preserve"> (2001 Permit Application)</w:t>
      </w:r>
      <w:r>
        <w:t xml:space="preserve"> during the </w:t>
      </w:r>
      <w:r w:rsidR="009C6D14">
        <w:t>first</w:t>
      </w:r>
      <w:r>
        <w:t xml:space="preserve"> LPFM filing window in 2001.  The Commission granted this application in 2005.  Lighthouse proceeded to construct the Station and file an application for license to cover the Station’s facilities</w:t>
      </w:r>
      <w:r w:rsidR="00CE3B96">
        <w:t xml:space="preserve"> (License Application)</w:t>
      </w:r>
      <w:r>
        <w:t>,</w:t>
      </w:r>
      <w:r>
        <w:rPr>
          <w:rStyle w:val="FootnoteReference"/>
          <w:szCs w:val="22"/>
        </w:rPr>
        <w:footnoteReference w:id="2"/>
      </w:r>
      <w:r>
        <w:t xml:space="preserve"> which we granted in November 2006.</w:t>
      </w:r>
      <w:r>
        <w:rPr>
          <w:rStyle w:val="FootnoteReference"/>
          <w:szCs w:val="22"/>
        </w:rPr>
        <w:footnoteReference w:id="3"/>
      </w:r>
      <w:r>
        <w:t xml:space="preserve">  </w:t>
      </w:r>
    </w:p>
    <w:p w14:paraId="1EDF2E4C" w14:textId="0CB98E95" w:rsidR="002A5018" w:rsidRPr="002A5018" w:rsidRDefault="002A5018" w:rsidP="002477D8">
      <w:pPr>
        <w:pStyle w:val="ParaNum"/>
        <w:tabs>
          <w:tab w:val="clear" w:pos="1080"/>
        </w:tabs>
      </w:pPr>
      <w:r w:rsidRPr="002A5018">
        <w:rPr>
          <w:szCs w:val="22"/>
        </w:rPr>
        <w:t>Nearly nine years later, Saga filed the Petition</w:t>
      </w:r>
      <w:r w:rsidR="00C427AC">
        <w:rPr>
          <w:szCs w:val="22"/>
        </w:rPr>
        <w:t>, which urges</w:t>
      </w:r>
      <w:r w:rsidRPr="002A5018">
        <w:rPr>
          <w:szCs w:val="22"/>
        </w:rPr>
        <w:t xml:space="preserve"> us to revoke the Station’s license.   Saga alleges that the Station interferes with the signal of one of its stations, is not operating from the location or with the antenna specified in its license, and has violated the law and rules governing underwriting announcements.  </w:t>
      </w:r>
      <w:r w:rsidR="00EE1595">
        <w:rPr>
          <w:szCs w:val="22"/>
        </w:rPr>
        <w:t xml:space="preserve">In addition, </w:t>
      </w:r>
      <w:r w:rsidRPr="002A5018">
        <w:rPr>
          <w:szCs w:val="22"/>
        </w:rPr>
        <w:t>Saga asserts that Lighthouse failed to comply with the Commission’s environmental and historic preservation review requirements and falsely certified that the facilities specified in the 2001 Permit Application were excluded from such review.  Saga</w:t>
      </w:r>
      <w:r w:rsidR="00EE1595">
        <w:rPr>
          <w:szCs w:val="22"/>
        </w:rPr>
        <w:t xml:space="preserve"> further</w:t>
      </w:r>
      <w:r w:rsidRPr="002A5018">
        <w:rPr>
          <w:szCs w:val="22"/>
        </w:rPr>
        <w:t xml:space="preserve"> contends that Lighthouse falsely certified, in the License Application, that the Station’s facilities were constructed as authorized in the Station’s construction permit.   </w:t>
      </w:r>
    </w:p>
    <w:p w14:paraId="5A1B03EB" w14:textId="0F913A8C" w:rsidR="00146D8C" w:rsidRPr="009C6D14" w:rsidRDefault="00146D8C" w:rsidP="002477D8">
      <w:pPr>
        <w:pStyle w:val="ParaNum"/>
        <w:tabs>
          <w:tab w:val="clear" w:pos="1080"/>
        </w:tabs>
      </w:pPr>
      <w:r w:rsidRPr="002A5018">
        <w:rPr>
          <w:szCs w:val="22"/>
        </w:rPr>
        <w:t xml:space="preserve">Lighthouse </w:t>
      </w:r>
      <w:r w:rsidR="00CE3B96">
        <w:rPr>
          <w:szCs w:val="22"/>
        </w:rPr>
        <w:t>responded to the Petition, filing</w:t>
      </w:r>
      <w:r w:rsidRPr="002A5018">
        <w:rPr>
          <w:szCs w:val="22"/>
        </w:rPr>
        <w:t xml:space="preserve"> the 2015 Permit Application and the STA </w:t>
      </w:r>
      <w:r w:rsidR="00CE3B96">
        <w:rPr>
          <w:szCs w:val="22"/>
        </w:rPr>
        <w:t>Request</w:t>
      </w:r>
      <w:r w:rsidRPr="002A5018">
        <w:rPr>
          <w:szCs w:val="22"/>
        </w:rPr>
        <w:t xml:space="preserve"> along with an Opposition to Petition to Revoke</w:t>
      </w:r>
      <w:r w:rsidR="00CE3B96">
        <w:rPr>
          <w:szCs w:val="22"/>
        </w:rPr>
        <w:t xml:space="preserve"> (Opposition)</w:t>
      </w:r>
      <w:r w:rsidRPr="002A5018">
        <w:rPr>
          <w:szCs w:val="22"/>
        </w:rPr>
        <w:t>.  Saga</w:t>
      </w:r>
      <w:r w:rsidR="004D2D00">
        <w:rPr>
          <w:szCs w:val="22"/>
        </w:rPr>
        <w:t xml:space="preserve"> </w:t>
      </w:r>
      <w:r w:rsidRPr="002A5018">
        <w:rPr>
          <w:szCs w:val="22"/>
        </w:rPr>
        <w:t>replied</w:t>
      </w:r>
      <w:r w:rsidR="00CE3B96">
        <w:rPr>
          <w:szCs w:val="22"/>
        </w:rPr>
        <w:t xml:space="preserve"> to the Opposition</w:t>
      </w:r>
      <w:r w:rsidRPr="002A5018">
        <w:rPr>
          <w:szCs w:val="22"/>
        </w:rPr>
        <w:t xml:space="preserve">.  It </w:t>
      </w:r>
      <w:r w:rsidRPr="002A5018">
        <w:rPr>
          <w:szCs w:val="22"/>
        </w:rPr>
        <w:lastRenderedPageBreak/>
        <w:t xml:space="preserve">also filed an Informal Objection to the </w:t>
      </w:r>
      <w:r w:rsidR="004D2D00">
        <w:rPr>
          <w:szCs w:val="22"/>
        </w:rPr>
        <w:t xml:space="preserve">2015 </w:t>
      </w:r>
      <w:r>
        <w:rPr>
          <w:szCs w:val="22"/>
        </w:rPr>
        <w:t xml:space="preserve">Permit </w:t>
      </w:r>
      <w:r w:rsidRPr="002A5018">
        <w:rPr>
          <w:szCs w:val="22"/>
        </w:rPr>
        <w:t>A</w:t>
      </w:r>
      <w:r w:rsidR="00CE3B96">
        <w:rPr>
          <w:szCs w:val="22"/>
        </w:rPr>
        <w:t>pplication and an Opposition to Request for Special Temporary Authority</w:t>
      </w:r>
      <w:r w:rsidRPr="002A5018">
        <w:rPr>
          <w:szCs w:val="22"/>
        </w:rPr>
        <w:t xml:space="preserve">.  </w:t>
      </w:r>
      <w:r w:rsidRPr="00E9628D">
        <w:rPr>
          <w:szCs w:val="22"/>
        </w:rPr>
        <w:t>In these subsequent pleadings, Saga references the Petition and again makes environmental processing and false certification allegations.</w:t>
      </w:r>
      <w:r w:rsidRPr="002A5018">
        <w:rPr>
          <w:szCs w:val="22"/>
        </w:rPr>
        <w:t xml:space="preserve">  Saga also asserts that, in the STA Request, Lighthouse should have specified both the antenna being used and the proposed transmitter power output (TPO) but failed to include that information.  Lighthouse has responded to these pleadings with additional pleadings of its own.</w:t>
      </w:r>
      <w:r>
        <w:rPr>
          <w:rStyle w:val="FootnoteReference"/>
          <w:szCs w:val="22"/>
        </w:rPr>
        <w:footnoteReference w:id="4"/>
      </w:r>
      <w:r w:rsidRPr="002A5018">
        <w:rPr>
          <w:szCs w:val="22"/>
        </w:rPr>
        <w:t xml:space="preserve">  We consider all of these pleadings and matters below.</w:t>
      </w:r>
    </w:p>
    <w:p w14:paraId="6DEA40EE" w14:textId="65A668B9" w:rsidR="002A5018" w:rsidRDefault="002A5018" w:rsidP="00146D8C">
      <w:pPr>
        <w:pStyle w:val="Heading1"/>
      </w:pPr>
      <w:r w:rsidRPr="008E4DB5">
        <w:t>Discussion</w:t>
      </w:r>
      <w:r w:rsidRPr="002A5018">
        <w:t xml:space="preserve">   </w:t>
      </w:r>
    </w:p>
    <w:p w14:paraId="1B5A02E4" w14:textId="34E607A2" w:rsidR="003A5D14" w:rsidRPr="003A5D14" w:rsidRDefault="003A5D14" w:rsidP="002477D8">
      <w:pPr>
        <w:pStyle w:val="ParaNum"/>
        <w:tabs>
          <w:tab w:val="clear" w:pos="1080"/>
        </w:tabs>
      </w:pPr>
      <w:r>
        <w:t xml:space="preserve">For the reasons set forth below, we </w:t>
      </w:r>
      <w:r w:rsidR="00BC5870">
        <w:t>reject</w:t>
      </w:r>
      <w:r>
        <w:t xml:space="preserve"> Saga’s </w:t>
      </w:r>
      <w:r w:rsidR="00BC5870">
        <w:t>interference allegations as</w:t>
      </w:r>
      <w:r>
        <w:t xml:space="preserve"> unsupported.  We also find no merit to Saga’s claims that Lighthouse failed to comply with the Commission’s </w:t>
      </w:r>
      <w:r w:rsidRPr="002A5018">
        <w:rPr>
          <w:szCs w:val="22"/>
        </w:rPr>
        <w:t>environmental and historic preservation review requirements</w:t>
      </w:r>
      <w:r>
        <w:rPr>
          <w:szCs w:val="22"/>
        </w:rPr>
        <w:t xml:space="preserve"> </w:t>
      </w:r>
      <w:r w:rsidR="0009114F">
        <w:rPr>
          <w:szCs w:val="22"/>
        </w:rPr>
        <w:t>or its allegations that Lighthouse</w:t>
      </w:r>
      <w:r>
        <w:rPr>
          <w:szCs w:val="22"/>
        </w:rPr>
        <w:t xml:space="preserve"> made false certifications regarding its compliance with these requirements.  We do find that the Station </w:t>
      </w:r>
      <w:r w:rsidRPr="002A5018">
        <w:rPr>
          <w:szCs w:val="22"/>
        </w:rPr>
        <w:t xml:space="preserve">is not operating from the location or with the antenna specified in its license, and has violated the law and rules governing underwriting announcements.  </w:t>
      </w:r>
      <w:r>
        <w:rPr>
          <w:szCs w:val="22"/>
        </w:rPr>
        <w:t xml:space="preserve">Lighthouse itself admits the former and acknowledges at least some violations of the latter.  </w:t>
      </w:r>
      <w:r w:rsidR="0009114F">
        <w:t>W</w:t>
      </w:r>
      <w:r w:rsidRPr="0009114F">
        <w:rPr>
          <w:szCs w:val="22"/>
        </w:rPr>
        <w:t xml:space="preserve">e adopt a Consent Decree that </w:t>
      </w:r>
      <w:r w:rsidR="00BC5870" w:rsidRPr="0009114F">
        <w:rPr>
          <w:szCs w:val="22"/>
        </w:rPr>
        <w:t>addresses these violations</w:t>
      </w:r>
      <w:r w:rsidRPr="0009114F">
        <w:rPr>
          <w:szCs w:val="22"/>
        </w:rPr>
        <w:t>.</w:t>
      </w:r>
    </w:p>
    <w:p w14:paraId="4ADD72CD" w14:textId="7D703589" w:rsidR="00AC51E4" w:rsidRPr="00AC51E4" w:rsidRDefault="002A5018" w:rsidP="00AC51E4">
      <w:pPr>
        <w:pStyle w:val="Heading2"/>
      </w:pPr>
      <w:r w:rsidRPr="002A5018">
        <w:t xml:space="preserve">Interference  </w:t>
      </w:r>
    </w:p>
    <w:p w14:paraId="0BAA9FA3" w14:textId="312F4BDC" w:rsidR="002A5018" w:rsidRDefault="002A5018" w:rsidP="002477D8">
      <w:pPr>
        <w:pStyle w:val="ParaNum"/>
        <w:tabs>
          <w:tab w:val="clear" w:pos="1080"/>
        </w:tabs>
      </w:pPr>
      <w:r w:rsidRPr="002A5018">
        <w:rPr>
          <w:szCs w:val="22"/>
        </w:rPr>
        <w:t>Saga asserts that the Station interferes with the signal of its station, WLZX(FM), Northampton, Massachusetts, which operates on a second-adjacent channel from the Station.</w:t>
      </w:r>
      <w:r>
        <w:rPr>
          <w:rStyle w:val="FootnoteReference"/>
          <w:szCs w:val="22"/>
        </w:rPr>
        <w:footnoteReference w:id="5"/>
      </w:r>
      <w:r w:rsidRPr="002A5018">
        <w:rPr>
          <w:szCs w:val="22"/>
        </w:rPr>
        <w:t xml:space="preserve">  Saga, however, does not submit any evidence in support of its interference claim.</w:t>
      </w:r>
      <w:r>
        <w:rPr>
          <w:rStyle w:val="FootnoteReference"/>
          <w:szCs w:val="22"/>
        </w:rPr>
        <w:footnoteReference w:id="6"/>
      </w:r>
      <w:r w:rsidRPr="002A5018">
        <w:rPr>
          <w:szCs w:val="22"/>
        </w:rPr>
        <w:t xml:space="preserve">  </w:t>
      </w:r>
      <w:r w:rsidR="00321B5B">
        <w:rPr>
          <w:szCs w:val="22"/>
        </w:rPr>
        <w:t>Indeed, Saga itself admits that</w:t>
      </w:r>
      <w:r w:rsidRPr="002A5018">
        <w:rPr>
          <w:szCs w:val="22"/>
        </w:rPr>
        <w:t xml:space="preserve"> the Station satisfies the second-adjacent channel spacing requirements set forth in Section 73.807 of the Commission’s rules with respect to WLZX(FM).</w:t>
      </w:r>
      <w:r>
        <w:rPr>
          <w:rStyle w:val="FootnoteReference"/>
          <w:szCs w:val="22"/>
        </w:rPr>
        <w:footnoteReference w:id="7"/>
      </w:r>
      <w:r w:rsidRPr="002A5018">
        <w:rPr>
          <w:szCs w:val="22"/>
        </w:rPr>
        <w:t xml:space="preserve">  </w:t>
      </w:r>
      <w:r w:rsidR="00321B5B">
        <w:rPr>
          <w:szCs w:val="22"/>
        </w:rPr>
        <w:t>In any event</w:t>
      </w:r>
      <w:r w:rsidRPr="002A5018">
        <w:rPr>
          <w:szCs w:val="22"/>
        </w:rPr>
        <w:t>, Saga acknowledges that “under the interference protection to full service FM stations provisions of § 73.809, WLZX(FM) has no recourse against this interference ….”</w:t>
      </w:r>
      <w:r>
        <w:rPr>
          <w:rStyle w:val="FootnoteReference"/>
          <w:szCs w:val="22"/>
        </w:rPr>
        <w:footnoteReference w:id="8"/>
      </w:r>
      <w:r w:rsidRPr="002A5018">
        <w:rPr>
          <w:szCs w:val="22"/>
        </w:rPr>
        <w:t xml:space="preserve">  For these reasons, we</w:t>
      </w:r>
      <w:r w:rsidR="00CD2205">
        <w:rPr>
          <w:szCs w:val="22"/>
        </w:rPr>
        <w:t xml:space="preserve"> </w:t>
      </w:r>
      <w:r w:rsidR="00485095">
        <w:rPr>
          <w:szCs w:val="22"/>
        </w:rPr>
        <w:t xml:space="preserve">deny </w:t>
      </w:r>
      <w:r w:rsidR="00CD2205">
        <w:rPr>
          <w:szCs w:val="22"/>
        </w:rPr>
        <w:t>those portions of the Petition related to Saga’s interference claims and</w:t>
      </w:r>
      <w:r w:rsidRPr="002A5018">
        <w:rPr>
          <w:szCs w:val="22"/>
        </w:rPr>
        <w:t xml:space="preserve"> do not consider </w:t>
      </w:r>
      <w:r w:rsidR="00CD2205">
        <w:rPr>
          <w:szCs w:val="22"/>
        </w:rPr>
        <w:t>those claims</w:t>
      </w:r>
      <w:r w:rsidRPr="002A5018">
        <w:rPr>
          <w:szCs w:val="22"/>
        </w:rPr>
        <w:t xml:space="preserve"> further.</w:t>
      </w:r>
    </w:p>
    <w:p w14:paraId="47C571A6" w14:textId="3D51F15E" w:rsidR="00AC51E4" w:rsidRPr="00AC51E4" w:rsidRDefault="002A5018" w:rsidP="00AC51E4">
      <w:pPr>
        <w:pStyle w:val="Heading2"/>
      </w:pPr>
      <w:r w:rsidRPr="002A5018">
        <w:t xml:space="preserve">Environmental and Historic Preservation Review  </w:t>
      </w:r>
    </w:p>
    <w:p w14:paraId="508C8095" w14:textId="0BBCC08D" w:rsidR="002A5018" w:rsidRPr="002A5018" w:rsidRDefault="002A5018" w:rsidP="006E6E45">
      <w:pPr>
        <w:pStyle w:val="ParaNum"/>
        <w:widowControl/>
        <w:tabs>
          <w:tab w:val="clear" w:pos="1080"/>
        </w:tabs>
      </w:pPr>
      <w:r w:rsidRPr="002A5018">
        <w:rPr>
          <w:szCs w:val="22"/>
        </w:rPr>
        <w:t>The Commission has established rules and processes that implement the requirements of the National Environmental Policy Act, as well as a series of other federal laws related to the environment.  As part of this, the Commission has identified those facilities that ordinarily may have a significant impact on the environment and that require preparation of environmental assessments (EAs).</w:t>
      </w:r>
      <w:r w:rsidRPr="00344B06">
        <w:rPr>
          <w:rStyle w:val="FootnoteReference"/>
          <w:szCs w:val="22"/>
        </w:rPr>
        <w:footnoteReference w:id="9"/>
      </w:r>
      <w:r w:rsidRPr="002A5018">
        <w:rPr>
          <w:szCs w:val="22"/>
        </w:rPr>
        <w:t xml:space="preserve">  Conversely, it has categorically exempted from environmental review those facilities that will not have a significant environmental impact and comply with the Commission’s radiofrequency exposure limits.</w:t>
      </w:r>
      <w:r w:rsidRPr="00344B06">
        <w:rPr>
          <w:rStyle w:val="FootnoteReference"/>
          <w:szCs w:val="22"/>
        </w:rPr>
        <w:footnoteReference w:id="10"/>
      </w:r>
      <w:r w:rsidRPr="002A5018">
        <w:rPr>
          <w:szCs w:val="22"/>
        </w:rPr>
        <w:t xml:space="preserve">  In addition, the Commission has incorporated into its environmental rules and processes the requirements of the National Historic Preservation Act of 1966, as amended (NHPA).</w:t>
      </w:r>
      <w:r>
        <w:rPr>
          <w:rStyle w:val="FootnoteReference"/>
          <w:szCs w:val="22"/>
        </w:rPr>
        <w:footnoteReference w:id="11"/>
      </w:r>
      <w:r w:rsidRPr="002A5018">
        <w:rPr>
          <w:szCs w:val="22"/>
        </w:rPr>
        <w:t xml:space="preserve">  Thus, regardless of whether the Commission has found that a facility is categorically excluded from environmental review, an applicant </w:t>
      </w:r>
      <w:r w:rsidRPr="002A5018">
        <w:rPr>
          <w:szCs w:val="22"/>
        </w:rPr>
        <w:lastRenderedPageBreak/>
        <w:t>may still need to submit an EA if the facility may adversely affect properties listed or eligible for listing in the National Register</w:t>
      </w:r>
      <w:r w:rsidR="00771F68">
        <w:rPr>
          <w:szCs w:val="22"/>
        </w:rPr>
        <w:t xml:space="preserve"> of Historic Places</w:t>
      </w:r>
      <w:r w:rsidRPr="002A5018">
        <w:rPr>
          <w:szCs w:val="22"/>
        </w:rPr>
        <w:t>.</w:t>
      </w:r>
      <w:r w:rsidRPr="00344B06">
        <w:rPr>
          <w:rStyle w:val="FootnoteReference"/>
          <w:szCs w:val="22"/>
        </w:rPr>
        <w:footnoteReference w:id="12"/>
      </w:r>
    </w:p>
    <w:p w14:paraId="392DB23D" w14:textId="6629822C" w:rsidR="002A5018" w:rsidRPr="002A5018" w:rsidRDefault="002A5018" w:rsidP="002477D8">
      <w:pPr>
        <w:pStyle w:val="ParaNum"/>
        <w:tabs>
          <w:tab w:val="clear" w:pos="1080"/>
        </w:tabs>
      </w:pPr>
      <w:r w:rsidRPr="002A5018">
        <w:rPr>
          <w:i/>
          <w:szCs w:val="22"/>
        </w:rPr>
        <w:t>2001 Permit Application</w:t>
      </w:r>
      <w:r w:rsidRPr="002A5018">
        <w:rPr>
          <w:szCs w:val="22"/>
        </w:rPr>
        <w:t xml:space="preserve">.  In the 2001 Permit Application, Lighthouse certified that the Station’s proposed facilities were excluded from environmental processing.  </w:t>
      </w:r>
      <w:r w:rsidR="00771F68">
        <w:rPr>
          <w:szCs w:val="22"/>
        </w:rPr>
        <w:t xml:space="preserve">In its Petition, </w:t>
      </w:r>
      <w:r w:rsidR="00651C67">
        <w:rPr>
          <w:szCs w:val="22"/>
        </w:rPr>
        <w:t>Saga</w:t>
      </w:r>
      <w:r w:rsidRPr="002A5018">
        <w:rPr>
          <w:szCs w:val="22"/>
        </w:rPr>
        <w:t xml:space="preserve"> asserts that the facilities proposed in that application should have undergone </w:t>
      </w:r>
      <w:r w:rsidR="00771F68">
        <w:rPr>
          <w:szCs w:val="22"/>
        </w:rPr>
        <w:t xml:space="preserve">both </w:t>
      </w:r>
      <w:r w:rsidRPr="002A5018">
        <w:rPr>
          <w:szCs w:val="22"/>
        </w:rPr>
        <w:t>environmental and historic preservation review.</w:t>
      </w:r>
      <w:r w:rsidRPr="00866250">
        <w:rPr>
          <w:rStyle w:val="FootnoteReference"/>
          <w:szCs w:val="22"/>
        </w:rPr>
        <w:footnoteReference w:id="13"/>
      </w:r>
      <w:r w:rsidR="00771F68">
        <w:rPr>
          <w:szCs w:val="22"/>
        </w:rPr>
        <w:t xml:space="preserve">  Saga essentially seeks</w:t>
      </w:r>
      <w:r w:rsidRPr="002A5018">
        <w:rPr>
          <w:szCs w:val="22"/>
        </w:rPr>
        <w:t xml:space="preserve"> reconsideration</w:t>
      </w:r>
      <w:r w:rsidR="00771F68">
        <w:rPr>
          <w:szCs w:val="22"/>
        </w:rPr>
        <w:t xml:space="preserve"> of our grant of the 2001 Permit Application</w:t>
      </w:r>
      <w:r w:rsidRPr="002A5018">
        <w:rPr>
          <w:szCs w:val="22"/>
        </w:rPr>
        <w:t xml:space="preserve">.  The time period for filing </w:t>
      </w:r>
      <w:r w:rsidRPr="002A5018">
        <w:rPr>
          <w:rStyle w:val="term"/>
          <w:szCs w:val="22"/>
        </w:rPr>
        <w:t>petitions for reconsideration</w:t>
      </w:r>
      <w:r w:rsidRPr="002A5018">
        <w:rPr>
          <w:szCs w:val="22"/>
        </w:rPr>
        <w:t xml:space="preserve"> is prescribed by statute</w:t>
      </w:r>
      <w:r w:rsidR="00771F68">
        <w:rPr>
          <w:szCs w:val="22"/>
        </w:rPr>
        <w:t xml:space="preserve"> and expired in 2005</w:t>
      </w:r>
      <w:r w:rsidRPr="002A5018">
        <w:rPr>
          <w:szCs w:val="22"/>
        </w:rPr>
        <w:t>.</w:t>
      </w:r>
      <w:r w:rsidRPr="008656EC">
        <w:rPr>
          <w:rStyle w:val="FootnoteReference"/>
          <w:szCs w:val="22"/>
        </w:rPr>
        <w:footnoteReference w:id="14"/>
      </w:r>
      <w:r w:rsidRPr="002A5018">
        <w:rPr>
          <w:szCs w:val="22"/>
        </w:rPr>
        <w:t xml:space="preserve">  As a result, </w:t>
      </w:r>
      <w:r w:rsidR="00434946">
        <w:rPr>
          <w:szCs w:val="22"/>
        </w:rPr>
        <w:t>we</w:t>
      </w:r>
      <w:r w:rsidRPr="002A5018">
        <w:rPr>
          <w:szCs w:val="22"/>
        </w:rPr>
        <w:t xml:space="preserve"> may not, with one extremely narrow exception not applicable here, waive or extend the filing period.</w:t>
      </w:r>
      <w:r w:rsidRPr="008656EC">
        <w:rPr>
          <w:rStyle w:val="FootnoteReference"/>
          <w:szCs w:val="22"/>
        </w:rPr>
        <w:footnoteReference w:id="15"/>
      </w:r>
      <w:r w:rsidRPr="002A5018">
        <w:rPr>
          <w:szCs w:val="22"/>
        </w:rPr>
        <w:t xml:space="preserve">  </w:t>
      </w:r>
      <w:r w:rsidR="00434946">
        <w:rPr>
          <w:szCs w:val="22"/>
        </w:rPr>
        <w:t>Accordingly, we</w:t>
      </w:r>
      <w:r w:rsidRPr="002A5018">
        <w:rPr>
          <w:szCs w:val="22"/>
        </w:rPr>
        <w:t xml:space="preserve"> find</w:t>
      </w:r>
      <w:r w:rsidR="00434946">
        <w:rPr>
          <w:szCs w:val="22"/>
        </w:rPr>
        <w:t xml:space="preserve"> </w:t>
      </w:r>
      <w:r w:rsidRPr="002A5018">
        <w:rPr>
          <w:rStyle w:val="term"/>
          <w:szCs w:val="22"/>
        </w:rPr>
        <w:t>this indirect</w:t>
      </w:r>
      <w:r w:rsidR="00651C67">
        <w:rPr>
          <w:szCs w:val="22"/>
        </w:rPr>
        <w:t xml:space="preserve"> challenge</w:t>
      </w:r>
      <w:r w:rsidRPr="002A5018">
        <w:rPr>
          <w:szCs w:val="22"/>
        </w:rPr>
        <w:t xml:space="preserve"> </w:t>
      </w:r>
      <w:r w:rsidR="00651C67">
        <w:rPr>
          <w:szCs w:val="22"/>
        </w:rPr>
        <w:t xml:space="preserve">to our grant of the 2001 Permit Application </w:t>
      </w:r>
      <w:r w:rsidRPr="002A5018">
        <w:rPr>
          <w:szCs w:val="22"/>
        </w:rPr>
        <w:t>constitutes an impermissible collateral attack and is properly denied.</w:t>
      </w:r>
      <w:r w:rsidRPr="008656EC">
        <w:rPr>
          <w:rStyle w:val="FootnoteReference"/>
          <w:szCs w:val="22"/>
        </w:rPr>
        <w:footnoteReference w:id="16"/>
      </w:r>
      <w:r w:rsidRPr="002A5018">
        <w:rPr>
          <w:szCs w:val="22"/>
        </w:rPr>
        <w:t xml:space="preserve">    </w:t>
      </w:r>
    </w:p>
    <w:p w14:paraId="291BAD65" w14:textId="61DC06DA" w:rsidR="002A5018" w:rsidRPr="002A5018" w:rsidRDefault="002A5018" w:rsidP="002477D8">
      <w:pPr>
        <w:pStyle w:val="ParaNum"/>
        <w:tabs>
          <w:tab w:val="clear" w:pos="1080"/>
        </w:tabs>
      </w:pPr>
      <w:r w:rsidRPr="002A5018">
        <w:rPr>
          <w:i/>
          <w:szCs w:val="22"/>
        </w:rPr>
        <w:t>2015 Permit Application</w:t>
      </w:r>
      <w:r w:rsidRPr="002A5018">
        <w:rPr>
          <w:szCs w:val="22"/>
        </w:rPr>
        <w:t>.  When Lighthouse filed the 2015 Permit Application, it acknowledged the need to complete historic preservation review of the Station’s proposed facilities and indicated it had retained a consultant to complete an “NPA study.”</w:t>
      </w:r>
      <w:r w:rsidRPr="00525CFC">
        <w:rPr>
          <w:rStyle w:val="FootnoteReference"/>
          <w:szCs w:val="22"/>
        </w:rPr>
        <w:footnoteReference w:id="17"/>
      </w:r>
      <w:r w:rsidRPr="002A5018">
        <w:rPr>
          <w:szCs w:val="22"/>
        </w:rPr>
        <w:t xml:space="preserve">  Lighthouse subsequently amended the Application to include this study, which concludes that the proposed facilities will not affect properties within the scope of Section 1.1307(a)(4).</w:t>
      </w:r>
      <w:r w:rsidR="008C2D2E">
        <w:rPr>
          <w:rStyle w:val="FootnoteReference"/>
          <w:szCs w:val="22"/>
        </w:rPr>
        <w:footnoteReference w:id="18"/>
      </w:r>
      <w:r w:rsidR="008C2D2E" w:rsidRPr="002A5018">
        <w:rPr>
          <w:szCs w:val="22"/>
        </w:rPr>
        <w:t xml:space="preserve"> </w:t>
      </w:r>
      <w:r w:rsidRPr="002A5018">
        <w:rPr>
          <w:szCs w:val="22"/>
        </w:rPr>
        <w:t xml:space="preserve">  The Massachusetts Historical Commission has concurred in this finding.</w:t>
      </w:r>
      <w:r>
        <w:rPr>
          <w:rStyle w:val="FootnoteReference"/>
          <w:szCs w:val="22"/>
        </w:rPr>
        <w:footnoteReference w:id="19"/>
      </w:r>
      <w:r w:rsidRPr="002A5018">
        <w:rPr>
          <w:szCs w:val="22"/>
        </w:rPr>
        <w:t xml:space="preserve">  Despite this, Saga argues that Lighthouse must prepare and submit an EA that addresses both historic preservation concerns and the threatened species and migratory birds that are present in the Station’s community of license.</w:t>
      </w:r>
      <w:r w:rsidRPr="00525CFC">
        <w:rPr>
          <w:rStyle w:val="FootnoteReference"/>
          <w:szCs w:val="22"/>
        </w:rPr>
        <w:footnoteReference w:id="20"/>
      </w:r>
      <w:r w:rsidRPr="002A5018">
        <w:rPr>
          <w:szCs w:val="22"/>
        </w:rPr>
        <w:t xml:space="preserve">  We address and reject Saga’s arguments below, concluding that no EA is required for the facilities proposed in the 2015 Permit Application.</w:t>
      </w:r>
    </w:p>
    <w:p w14:paraId="25D7D05D" w14:textId="755D1539" w:rsidR="002A5018" w:rsidRPr="002A5018" w:rsidRDefault="002A5018" w:rsidP="002477D8">
      <w:pPr>
        <w:pStyle w:val="ParaNum"/>
        <w:tabs>
          <w:tab w:val="clear" w:pos="1080"/>
        </w:tabs>
      </w:pPr>
      <w:r w:rsidRPr="002A5018">
        <w:rPr>
          <w:szCs w:val="22"/>
        </w:rPr>
        <w:t>To reach its conclusion that an EA is required to address historic preservation concerns,</w:t>
      </w:r>
      <w:r w:rsidR="00EE6D9F">
        <w:rPr>
          <w:rStyle w:val="FootnoteReference"/>
          <w:szCs w:val="22"/>
        </w:rPr>
        <w:footnoteReference w:id="21"/>
      </w:r>
      <w:r w:rsidRPr="002A5018">
        <w:rPr>
          <w:szCs w:val="22"/>
        </w:rPr>
        <w:t xml:space="preserve"> Saga cites Part V of the Nationwide Programmatic Agreement </w:t>
      </w:r>
      <w:r w:rsidRPr="002A5018">
        <w:rPr>
          <w:snapToGrid/>
          <w:szCs w:val="22"/>
        </w:rPr>
        <w:t>for the Collocation of Wireless Antennas (Collocation Agreement).</w:t>
      </w:r>
      <w:r w:rsidRPr="00525CFC">
        <w:rPr>
          <w:rStyle w:val="FootnoteReference"/>
          <w:snapToGrid/>
          <w:szCs w:val="22"/>
        </w:rPr>
        <w:footnoteReference w:id="22"/>
      </w:r>
      <w:r w:rsidRPr="002A5018">
        <w:rPr>
          <w:snapToGrid/>
          <w:szCs w:val="22"/>
        </w:rPr>
        <w:t xml:space="preserve">  Not only does Saga focus on the wrong part of the Collocation Agreement but it misunderstands </w:t>
      </w:r>
      <w:r w:rsidR="00162206">
        <w:rPr>
          <w:snapToGrid/>
          <w:szCs w:val="22"/>
        </w:rPr>
        <w:t>the agreement’s</w:t>
      </w:r>
      <w:r w:rsidRPr="002A5018">
        <w:rPr>
          <w:snapToGrid/>
          <w:szCs w:val="22"/>
        </w:rPr>
        <w:t xml:space="preserve"> requirements.</w:t>
      </w:r>
      <w:r w:rsidRPr="00525CFC">
        <w:rPr>
          <w:rStyle w:val="FootnoteReference"/>
          <w:snapToGrid/>
          <w:szCs w:val="22"/>
        </w:rPr>
        <w:footnoteReference w:id="23"/>
      </w:r>
      <w:r w:rsidRPr="002A5018">
        <w:rPr>
          <w:snapToGrid/>
          <w:szCs w:val="22"/>
        </w:rPr>
        <w:t xml:space="preserve">  Part IV, not Part V, of the agreement applies.  Part IV</w:t>
      </w:r>
      <w:r w:rsidRPr="002A5018">
        <w:rPr>
          <w:b/>
          <w:snapToGrid/>
          <w:szCs w:val="22"/>
        </w:rPr>
        <w:t xml:space="preserve"> </w:t>
      </w:r>
      <w:r w:rsidRPr="002A5018">
        <w:rPr>
          <w:snapToGrid/>
          <w:szCs w:val="22"/>
        </w:rPr>
        <w:t>generally exempts the “mounting or installation of an antenna” on a tower constructed after March 16, 2001, from historic preservation review but requires such review if an applicant proposes to install its antenna on a “twilight tower.”  A “twilight tower” is a tower constructed after March 16, 2001, that did not undergo historic preservation review prior to construction.</w:t>
      </w:r>
      <w:r w:rsidRPr="00525CFC">
        <w:rPr>
          <w:rStyle w:val="FootnoteReference"/>
          <w:snapToGrid/>
          <w:szCs w:val="22"/>
        </w:rPr>
        <w:footnoteReference w:id="24"/>
      </w:r>
      <w:r w:rsidRPr="002A5018">
        <w:rPr>
          <w:snapToGrid/>
          <w:szCs w:val="22"/>
        </w:rPr>
        <w:t xml:space="preserve">  Part V, in contrast, applies to the mounting of an antenna on a building or non-tower structure.  Here, the antenna is mounted on a tower as that term is defined in the Collocation Agreement.</w:t>
      </w:r>
      <w:r w:rsidRPr="00525CFC">
        <w:rPr>
          <w:rStyle w:val="FootnoteReference"/>
          <w:snapToGrid/>
          <w:szCs w:val="22"/>
        </w:rPr>
        <w:footnoteReference w:id="25"/>
      </w:r>
      <w:r w:rsidRPr="002A5018">
        <w:rPr>
          <w:snapToGrid/>
          <w:szCs w:val="22"/>
        </w:rPr>
        <w:t xml:space="preserve">  Thus, Part V does not apply.</w:t>
      </w:r>
      <w:r w:rsidRPr="00525CFC">
        <w:rPr>
          <w:rStyle w:val="FootnoteReference"/>
          <w:snapToGrid/>
          <w:szCs w:val="22"/>
        </w:rPr>
        <w:footnoteReference w:id="26"/>
      </w:r>
      <w:r w:rsidRPr="002A5018">
        <w:rPr>
          <w:snapToGrid/>
          <w:szCs w:val="22"/>
        </w:rPr>
        <w:t xml:space="preserve">  </w:t>
      </w:r>
    </w:p>
    <w:p w14:paraId="63613D00" w14:textId="6795039F" w:rsidR="002A5018" w:rsidRPr="002A5018" w:rsidRDefault="002A5018" w:rsidP="002477D8">
      <w:pPr>
        <w:pStyle w:val="ParaNum"/>
        <w:tabs>
          <w:tab w:val="clear" w:pos="1080"/>
        </w:tabs>
      </w:pPr>
      <w:r w:rsidRPr="002A5018">
        <w:rPr>
          <w:snapToGrid/>
          <w:szCs w:val="22"/>
        </w:rPr>
        <w:t>Because the Station’s tower was constructed after March 16, 2001, but did not undergo historic preservation review prior to construction, under Part IV of the Collocation Agreement, Lighthouse must complete the historic preservation review process before we can grant the Application.</w:t>
      </w:r>
      <w:r w:rsidRPr="00525CFC">
        <w:rPr>
          <w:rStyle w:val="FootnoteReference"/>
          <w:snapToGrid/>
          <w:szCs w:val="22"/>
        </w:rPr>
        <w:footnoteReference w:id="27"/>
      </w:r>
      <w:r w:rsidRPr="002A5018">
        <w:rPr>
          <w:snapToGrid/>
          <w:szCs w:val="22"/>
        </w:rPr>
        <w:t xml:space="preserve">  To do so, it must follow the procedures set forth in the Nationwide Programmatic Agreement</w:t>
      </w:r>
      <w:r w:rsidR="001208F8">
        <w:rPr>
          <w:snapToGrid/>
          <w:szCs w:val="22"/>
        </w:rPr>
        <w:t xml:space="preserve"> for Review of Effects on Historic Properties for Certain Undertakings Approved by the Federal Communications Commission </w:t>
      </w:r>
      <w:r w:rsidR="001208F8" w:rsidRPr="00665043">
        <w:rPr>
          <w:snapToGrid/>
          <w:szCs w:val="22"/>
        </w:rPr>
        <w:t>(NPA)</w:t>
      </w:r>
      <w:r w:rsidRPr="00665043">
        <w:rPr>
          <w:snapToGrid/>
          <w:szCs w:val="22"/>
        </w:rPr>
        <w:t>.</w:t>
      </w:r>
      <w:r w:rsidRPr="00665043">
        <w:rPr>
          <w:rStyle w:val="FootnoteReference"/>
          <w:snapToGrid/>
          <w:szCs w:val="22"/>
        </w:rPr>
        <w:footnoteReference w:id="28"/>
      </w:r>
      <w:r w:rsidRPr="002A5018">
        <w:rPr>
          <w:snapToGrid/>
          <w:szCs w:val="22"/>
        </w:rPr>
        <w:t xml:space="preserve">  Contrary to Saga’s assertion,</w:t>
      </w:r>
      <w:r w:rsidR="000E2108">
        <w:rPr>
          <w:snapToGrid/>
          <w:szCs w:val="22"/>
        </w:rPr>
        <w:t xml:space="preserve"> though,</w:t>
      </w:r>
      <w:r w:rsidRPr="002A5018">
        <w:rPr>
          <w:snapToGrid/>
          <w:szCs w:val="22"/>
        </w:rPr>
        <w:t xml:space="preserve"> this does not necessarily involve preparation of an EA.  That is required only if the proposed facility may have an adverse effect on a historic property</w:t>
      </w:r>
      <w:r w:rsidRPr="002A5018">
        <w:rPr>
          <w:szCs w:val="22"/>
        </w:rPr>
        <w:t>.</w:t>
      </w:r>
      <w:r w:rsidRPr="00525CFC">
        <w:rPr>
          <w:rStyle w:val="FootnoteReference"/>
          <w:szCs w:val="22"/>
        </w:rPr>
        <w:footnoteReference w:id="29"/>
      </w:r>
      <w:r w:rsidRPr="002A5018">
        <w:rPr>
          <w:szCs w:val="22"/>
        </w:rPr>
        <w:t xml:space="preserve">  If the facility will have “no effect” or “no adverse effect” on any historic properties, no EA is required.</w:t>
      </w:r>
      <w:r w:rsidRPr="00525CFC">
        <w:rPr>
          <w:rStyle w:val="FootnoteReference"/>
          <w:szCs w:val="22"/>
        </w:rPr>
        <w:footnoteReference w:id="30"/>
      </w:r>
      <w:r w:rsidRPr="002A5018">
        <w:rPr>
          <w:szCs w:val="22"/>
        </w:rPr>
        <w:t xml:space="preserve">  </w:t>
      </w:r>
      <w:r w:rsidRPr="002A5018">
        <w:rPr>
          <w:snapToGrid/>
          <w:szCs w:val="22"/>
        </w:rPr>
        <w:t xml:space="preserve">As noted, Lighthouse hired </w:t>
      </w:r>
      <w:r w:rsidR="000E2108">
        <w:rPr>
          <w:snapToGrid/>
          <w:szCs w:val="22"/>
        </w:rPr>
        <w:t>a consultant</w:t>
      </w:r>
      <w:r w:rsidRPr="002A5018">
        <w:rPr>
          <w:snapToGrid/>
          <w:szCs w:val="22"/>
        </w:rPr>
        <w:t xml:space="preserve"> to undertake a historic preservation review of both the existing tower and the new antenna specified in the Application.</w:t>
      </w:r>
      <w:r w:rsidRPr="00525CFC">
        <w:rPr>
          <w:rStyle w:val="FootnoteReference"/>
          <w:snapToGrid/>
          <w:szCs w:val="22"/>
        </w:rPr>
        <w:footnoteReference w:id="31"/>
      </w:r>
      <w:r w:rsidRPr="002A5018">
        <w:rPr>
          <w:snapToGrid/>
          <w:szCs w:val="22"/>
        </w:rPr>
        <w:t xml:space="preserve">  </w:t>
      </w:r>
      <w:r w:rsidR="000E2108">
        <w:rPr>
          <w:snapToGrid/>
          <w:szCs w:val="22"/>
        </w:rPr>
        <w:t>The consultant</w:t>
      </w:r>
      <w:r w:rsidRPr="002A5018">
        <w:rPr>
          <w:snapToGrid/>
          <w:szCs w:val="22"/>
        </w:rPr>
        <w:t xml:space="preserve"> recommended a finding of “no effect on historic property” and the Massachusetts Historical Commission concurred, stating “it has been determined that this project is unlikely to affect significant historic or archaeological resources.”</w:t>
      </w:r>
      <w:r w:rsidRPr="00525CFC">
        <w:rPr>
          <w:rStyle w:val="FootnoteReference"/>
          <w:snapToGrid/>
          <w:szCs w:val="22"/>
        </w:rPr>
        <w:footnoteReference w:id="32"/>
      </w:r>
      <w:r w:rsidRPr="002A5018">
        <w:rPr>
          <w:snapToGrid/>
          <w:szCs w:val="22"/>
        </w:rPr>
        <w:t xml:space="preserve">  Accordingly, Lighthouse need not file an EA as part of the historic preservation review process</w:t>
      </w:r>
      <w:r>
        <w:rPr>
          <w:snapToGrid/>
          <w:szCs w:val="22"/>
        </w:rPr>
        <w:t xml:space="preserve">. </w:t>
      </w:r>
    </w:p>
    <w:p w14:paraId="246E1234" w14:textId="30A5A01C" w:rsidR="002A5018" w:rsidRPr="002A5018" w:rsidRDefault="002A5018" w:rsidP="002477D8">
      <w:pPr>
        <w:pStyle w:val="ParaNum"/>
        <w:tabs>
          <w:tab w:val="clear" w:pos="1080"/>
        </w:tabs>
      </w:pPr>
      <w:r w:rsidRPr="002A5018">
        <w:rPr>
          <w:szCs w:val="22"/>
        </w:rPr>
        <w:t>Likewise, no EA is required despite the presence of two threatened species and seventeen migratory birds in the Station’s community of license.  The Commission generally excludes antennas mounted on existing buildings or antenna towers from environmental review “even if an environmentally sensitive circumstance identified in Section 1.1307(a) is present.”</w:t>
      </w:r>
      <w:r>
        <w:rPr>
          <w:rStyle w:val="FootnoteReference"/>
          <w:szCs w:val="22"/>
        </w:rPr>
        <w:footnoteReference w:id="33"/>
      </w:r>
      <w:r w:rsidRPr="002A5018">
        <w:rPr>
          <w:szCs w:val="22"/>
        </w:rPr>
        <w:t xml:space="preserve">  While the facilities here involve both a tower which is attached to an existing building and an antenna mounted on that tower, we </w:t>
      </w:r>
      <w:r w:rsidR="004A52D9">
        <w:rPr>
          <w:szCs w:val="22"/>
        </w:rPr>
        <w:t xml:space="preserve">find </w:t>
      </w:r>
      <w:r w:rsidRPr="002A5018">
        <w:rPr>
          <w:szCs w:val="22"/>
        </w:rPr>
        <w:t xml:space="preserve">they are excluded from environmental review under Note 1 to Section 1.1306 of the Rules.  This </w:t>
      </w:r>
      <w:r w:rsidR="004A52D9">
        <w:rPr>
          <w:szCs w:val="22"/>
        </w:rPr>
        <w:t xml:space="preserve">view </w:t>
      </w:r>
      <w:r w:rsidRPr="002A5018">
        <w:rPr>
          <w:szCs w:val="22"/>
        </w:rPr>
        <w:t>is consistent with the Commission’s statement that “the mounting of antennas on existing buildings or antenna towers generally is environmentally preferable to the construction of a new facility, a preference which is reflected in [Note 1 to Section 1.1306 of the Rules].”</w:t>
      </w:r>
      <w:r>
        <w:rPr>
          <w:rStyle w:val="FootnoteReference"/>
          <w:szCs w:val="22"/>
        </w:rPr>
        <w:footnoteReference w:id="34"/>
      </w:r>
      <w:r w:rsidRPr="002A5018">
        <w:rPr>
          <w:szCs w:val="22"/>
        </w:rPr>
        <w:t xml:space="preserve">  </w:t>
      </w:r>
    </w:p>
    <w:p w14:paraId="2DBD0944" w14:textId="2A9E2DDF" w:rsidR="002A5018" w:rsidRPr="002A5018" w:rsidRDefault="002A5018" w:rsidP="002477D8">
      <w:pPr>
        <w:pStyle w:val="ParaNum"/>
        <w:tabs>
          <w:tab w:val="clear" w:pos="1080"/>
        </w:tabs>
      </w:pPr>
      <w:r w:rsidRPr="002A5018">
        <w:rPr>
          <w:i/>
          <w:szCs w:val="22"/>
        </w:rPr>
        <w:t>STA Request</w:t>
      </w:r>
      <w:r w:rsidRPr="002A5018">
        <w:rPr>
          <w:szCs w:val="22"/>
        </w:rPr>
        <w:t>.  Saga argues that Lighthouse falsely certified in the STA Request that the proposed facilities are excluded from environmental and historic preservation review.</w:t>
      </w:r>
      <w:r w:rsidRPr="00B37436">
        <w:rPr>
          <w:rStyle w:val="FootnoteReference"/>
          <w:szCs w:val="22"/>
        </w:rPr>
        <w:footnoteReference w:id="35"/>
      </w:r>
      <w:r w:rsidRPr="002A5018">
        <w:rPr>
          <w:szCs w:val="22"/>
        </w:rPr>
        <w:t xml:space="preserve">  According to Saga, if Lighthouse indicated that the proposed facilities were not excluded in the 2015 Permit Application, it should have reached the same conclusion with respect to the STA Request.</w:t>
      </w:r>
      <w:r w:rsidRPr="00B37436">
        <w:rPr>
          <w:rStyle w:val="FootnoteReference"/>
          <w:szCs w:val="22"/>
        </w:rPr>
        <w:footnoteReference w:id="36"/>
      </w:r>
      <w:r w:rsidRPr="002A5018">
        <w:rPr>
          <w:szCs w:val="22"/>
        </w:rPr>
        <w:t xml:space="preserve">  Saga</w:t>
      </w:r>
      <w:r w:rsidR="00716720">
        <w:rPr>
          <w:szCs w:val="22"/>
        </w:rPr>
        <w:t>, however,</w:t>
      </w:r>
      <w:r w:rsidRPr="002A5018">
        <w:rPr>
          <w:szCs w:val="22"/>
        </w:rPr>
        <w:t xml:space="preserve"> </w:t>
      </w:r>
      <w:r w:rsidR="00716720">
        <w:rPr>
          <w:szCs w:val="22"/>
        </w:rPr>
        <w:t>ignores</w:t>
      </w:r>
      <w:r w:rsidRPr="002A5018">
        <w:rPr>
          <w:szCs w:val="22"/>
        </w:rPr>
        <w:t xml:space="preserve"> a key difference between the facilities proposed in the STA Request and those proposed in the 2015 Permit Application.  While the facilities proposed in both are technically identical, the facilities proposed in the STA Request are temporary in nature and those proposed in the 2015 Permit Application are permanent.  Lighthouse correctly certified that the facilities proposed in the STA Request are excluded from environmental and historic preservation review.  As discussed, these facilities—whether temporary or permanent in nature—are excluded from environmental processing pursuant to Note 1</w:t>
      </w:r>
      <w:r w:rsidR="000E2108">
        <w:rPr>
          <w:szCs w:val="22"/>
        </w:rPr>
        <w:t xml:space="preserve"> of Section 1.1306.  Further</w:t>
      </w:r>
      <w:r w:rsidRPr="002A5018">
        <w:rPr>
          <w:szCs w:val="22"/>
        </w:rPr>
        <w:t>, the NPA specifically excludes the temporary facilities proposed in the STA Request from historic preservation review.</w:t>
      </w:r>
      <w:r w:rsidRPr="00B37436">
        <w:rPr>
          <w:rStyle w:val="FootnoteReference"/>
          <w:szCs w:val="22"/>
        </w:rPr>
        <w:footnoteReference w:id="37"/>
      </w:r>
    </w:p>
    <w:p w14:paraId="6C105CE7" w14:textId="713EC62B" w:rsidR="00AC51E4" w:rsidRPr="00AC51E4" w:rsidRDefault="002A5018" w:rsidP="00AC51E4">
      <w:pPr>
        <w:pStyle w:val="Heading2"/>
      </w:pPr>
      <w:r w:rsidRPr="002A5018">
        <w:t xml:space="preserve">Misrepresentations </w:t>
      </w:r>
    </w:p>
    <w:p w14:paraId="48194E45" w14:textId="75229241" w:rsidR="002A5018" w:rsidRPr="00E46B96" w:rsidRDefault="002A5018" w:rsidP="002477D8">
      <w:pPr>
        <w:pStyle w:val="ParaNum"/>
        <w:tabs>
          <w:tab w:val="clear" w:pos="1080"/>
        </w:tabs>
      </w:pPr>
      <w:r w:rsidRPr="002A5018">
        <w:rPr>
          <w:szCs w:val="22"/>
        </w:rPr>
        <w:t>A misrepresentation is a false statement of fact</w:t>
      </w:r>
      <w:r w:rsidR="00682DB2" w:rsidRPr="0005603A">
        <w:rPr>
          <w:rStyle w:val="FootnoteReference"/>
          <w:szCs w:val="22"/>
        </w:rPr>
        <w:footnoteReference w:id="38"/>
      </w:r>
      <w:r w:rsidRPr="002A5018">
        <w:rPr>
          <w:szCs w:val="22"/>
        </w:rPr>
        <w:t xml:space="preserve"> or false certification</w:t>
      </w:r>
      <w:r w:rsidRPr="0005603A">
        <w:rPr>
          <w:rStyle w:val="FootnoteReference"/>
          <w:szCs w:val="22"/>
        </w:rPr>
        <w:footnoteReference w:id="39"/>
      </w:r>
      <w:r w:rsidRPr="002A5018">
        <w:rPr>
          <w:szCs w:val="22"/>
        </w:rPr>
        <w:t xml:space="preserve"> made with intent to deceive the Commission.  Intent to deceive is established if a licensee or applicant knowingly makes a </w:t>
      </w:r>
      <w:r w:rsidRPr="002A5018">
        <w:rPr>
          <w:rStyle w:val="term"/>
          <w:szCs w:val="22"/>
        </w:rPr>
        <w:t>false statement</w:t>
      </w:r>
      <w:r w:rsidR="00682DB2">
        <w:rPr>
          <w:rStyle w:val="term"/>
          <w:szCs w:val="22"/>
        </w:rPr>
        <w:t xml:space="preserve"> (or false certification)</w:t>
      </w:r>
      <w:r w:rsidRPr="0005603A">
        <w:rPr>
          <w:rStyle w:val="FootnoteReference"/>
          <w:szCs w:val="22"/>
        </w:rPr>
        <w:footnoteReference w:id="40"/>
      </w:r>
      <w:r w:rsidRPr="002A5018">
        <w:rPr>
          <w:szCs w:val="22"/>
        </w:rPr>
        <w:t xml:space="preserve"> and can also be inferred when the surrounding circumstances clearly show the existence of intent to deceive.</w:t>
      </w:r>
      <w:r w:rsidRPr="0005603A">
        <w:rPr>
          <w:rStyle w:val="FootnoteReference"/>
          <w:szCs w:val="22"/>
        </w:rPr>
        <w:footnoteReference w:id="41"/>
      </w:r>
      <w:r w:rsidRPr="002A5018">
        <w:rPr>
          <w:szCs w:val="22"/>
        </w:rPr>
        <w:t xml:space="preserve">  The Commission may disqualify an applicant who deliberately makes misrepresentations.</w:t>
      </w:r>
      <w:r w:rsidRPr="0005603A">
        <w:rPr>
          <w:rStyle w:val="FootnoteReference"/>
          <w:szCs w:val="22"/>
        </w:rPr>
        <w:footnoteReference w:id="42"/>
      </w:r>
      <w:r w:rsidRPr="002A5018">
        <w:rPr>
          <w:szCs w:val="22"/>
        </w:rPr>
        <w:t xml:space="preserve">  </w:t>
      </w:r>
      <w:r w:rsidR="00682DB2" w:rsidRPr="00E46B96">
        <w:rPr>
          <w:szCs w:val="22"/>
        </w:rPr>
        <w:t>In addition</w:t>
      </w:r>
      <w:r w:rsidRPr="00E46B96">
        <w:rPr>
          <w:szCs w:val="22"/>
        </w:rPr>
        <w:t>, Section 1.17(a)(2) of the Rules provides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E46B96">
        <w:rPr>
          <w:rStyle w:val="FootnoteReference"/>
          <w:szCs w:val="22"/>
        </w:rPr>
        <w:footnoteReference w:id="43"/>
      </w:r>
      <w:r w:rsidRPr="00E46B96">
        <w:rPr>
          <w:szCs w:val="22"/>
        </w:rPr>
        <w:t xml:space="preserve">  Thus, even absent an intent to deceive, a </w:t>
      </w:r>
      <w:r w:rsidRPr="00E46B96">
        <w:rPr>
          <w:rStyle w:val="term"/>
          <w:szCs w:val="22"/>
        </w:rPr>
        <w:t>false statement</w:t>
      </w:r>
      <w:r w:rsidRPr="00E46B96">
        <w:rPr>
          <w:szCs w:val="22"/>
        </w:rPr>
        <w:t xml:space="preserve"> </w:t>
      </w:r>
      <w:r w:rsidR="00952B94" w:rsidRPr="00E46B96">
        <w:rPr>
          <w:szCs w:val="22"/>
        </w:rPr>
        <w:t xml:space="preserve">of fact or false certification </w:t>
      </w:r>
      <w:r w:rsidRPr="00E46B96">
        <w:rPr>
          <w:szCs w:val="22"/>
        </w:rPr>
        <w:t>may constitute an actionable violation of Section 1.17 of the Rules if it is provided without a reasonable basis for believing that the statement</w:t>
      </w:r>
      <w:r w:rsidR="00952B94" w:rsidRPr="00E46B96">
        <w:rPr>
          <w:szCs w:val="22"/>
        </w:rPr>
        <w:t xml:space="preserve"> or certification</w:t>
      </w:r>
      <w:r w:rsidRPr="00E46B96">
        <w:rPr>
          <w:szCs w:val="22"/>
        </w:rPr>
        <w:t xml:space="preserve"> is correct and not misleading.</w:t>
      </w:r>
      <w:r w:rsidRPr="00E46B96">
        <w:rPr>
          <w:rStyle w:val="FootnoteReference"/>
          <w:szCs w:val="22"/>
        </w:rPr>
        <w:footnoteReference w:id="44"/>
      </w:r>
    </w:p>
    <w:p w14:paraId="0DDC7B5F" w14:textId="5B31606D" w:rsidR="002A5018" w:rsidRPr="002A5018" w:rsidRDefault="002A5018" w:rsidP="002477D8">
      <w:pPr>
        <w:pStyle w:val="ParaNum"/>
        <w:tabs>
          <w:tab w:val="clear" w:pos="1080"/>
        </w:tabs>
      </w:pPr>
      <w:r w:rsidRPr="00E46B96">
        <w:rPr>
          <w:szCs w:val="22"/>
        </w:rPr>
        <w:t>S</w:t>
      </w:r>
      <w:r w:rsidRPr="002A5018">
        <w:rPr>
          <w:szCs w:val="22"/>
        </w:rPr>
        <w:t xml:space="preserve">aga argues that Lighthouse made false certifications in </w:t>
      </w:r>
      <w:r w:rsidR="003C5D8F">
        <w:rPr>
          <w:szCs w:val="22"/>
        </w:rPr>
        <w:t>the</w:t>
      </w:r>
      <w:r w:rsidRPr="002A5018">
        <w:rPr>
          <w:szCs w:val="22"/>
        </w:rPr>
        <w:t xml:space="preserve"> 2001 Permit Application, </w:t>
      </w:r>
      <w:r w:rsidR="003C5D8F">
        <w:rPr>
          <w:szCs w:val="22"/>
        </w:rPr>
        <w:t>the License Application</w:t>
      </w:r>
      <w:r w:rsidRPr="002A5018">
        <w:rPr>
          <w:szCs w:val="22"/>
        </w:rPr>
        <w:t>, and the STA Request.</w:t>
      </w:r>
      <w:r>
        <w:rPr>
          <w:rStyle w:val="FootnoteReference"/>
          <w:szCs w:val="22"/>
        </w:rPr>
        <w:footnoteReference w:id="45"/>
      </w:r>
      <w:r w:rsidRPr="002A5018">
        <w:rPr>
          <w:szCs w:val="22"/>
        </w:rPr>
        <w:t xml:space="preserve">  While we </w:t>
      </w:r>
      <w:r w:rsidR="00E46B96">
        <w:rPr>
          <w:szCs w:val="22"/>
        </w:rPr>
        <w:t>herein dismiss</w:t>
      </w:r>
      <w:r w:rsidRPr="002A5018">
        <w:rPr>
          <w:szCs w:val="22"/>
        </w:rPr>
        <w:t xml:space="preserve"> Saga’s other claims regarding the 2001 Permit Application, we must consider the allegations that Lighthouse made false certifications in these applications.  This is so because Lighthouse’s character is relevant to our consideration of the 2015 Permit Application and the STA Request.</w:t>
      </w:r>
      <w:r>
        <w:rPr>
          <w:rStyle w:val="FootnoteReference"/>
          <w:szCs w:val="22"/>
        </w:rPr>
        <w:footnoteReference w:id="46"/>
      </w:r>
      <w:r w:rsidRPr="002A5018">
        <w:rPr>
          <w:szCs w:val="22"/>
        </w:rPr>
        <w:t xml:space="preserve">  For the reasons set forth below, we find that Saga has not raised a substantial and material question of fact related to Lighthouse’s character qualifications.  </w:t>
      </w:r>
    </w:p>
    <w:p w14:paraId="5E7597DE" w14:textId="5E0CBB00" w:rsidR="002A5018" w:rsidRPr="002A5018" w:rsidRDefault="002A5018" w:rsidP="006E6E45">
      <w:pPr>
        <w:pStyle w:val="ParaNum"/>
        <w:widowControl/>
        <w:tabs>
          <w:tab w:val="clear" w:pos="1080"/>
        </w:tabs>
      </w:pPr>
      <w:r w:rsidRPr="002A5018">
        <w:rPr>
          <w:szCs w:val="22"/>
        </w:rPr>
        <w:t xml:space="preserve">To start, we reject Saga’s assertion that Lighthouse made a false environmental certification in the STA Request.  As discussed above, the </w:t>
      </w:r>
      <w:r w:rsidR="007E363D">
        <w:rPr>
          <w:szCs w:val="22"/>
        </w:rPr>
        <w:t xml:space="preserve">temporary </w:t>
      </w:r>
      <w:r w:rsidRPr="002A5018">
        <w:rPr>
          <w:szCs w:val="22"/>
        </w:rPr>
        <w:t xml:space="preserve">facilities proposed therein are excluded both from environmental and historic preservation review.  </w:t>
      </w:r>
      <w:r w:rsidR="00B67146">
        <w:rPr>
          <w:szCs w:val="22"/>
        </w:rPr>
        <w:t>Lighthouse</w:t>
      </w:r>
      <w:r w:rsidRPr="002A5018">
        <w:rPr>
          <w:szCs w:val="22"/>
        </w:rPr>
        <w:t xml:space="preserve"> correctly certified that this </w:t>
      </w:r>
      <w:r w:rsidR="004A52D9">
        <w:rPr>
          <w:szCs w:val="22"/>
        </w:rPr>
        <w:t xml:space="preserve">exclusion </w:t>
      </w:r>
      <w:r w:rsidRPr="002A5018">
        <w:rPr>
          <w:szCs w:val="22"/>
        </w:rPr>
        <w:t xml:space="preserve">was </w:t>
      </w:r>
      <w:r w:rsidR="004A52D9">
        <w:rPr>
          <w:szCs w:val="22"/>
        </w:rPr>
        <w:t>applicable to its</w:t>
      </w:r>
      <w:r w:rsidR="004A52D9" w:rsidRPr="002A5018">
        <w:rPr>
          <w:szCs w:val="22"/>
        </w:rPr>
        <w:t xml:space="preserve"> </w:t>
      </w:r>
      <w:r w:rsidRPr="002A5018">
        <w:rPr>
          <w:szCs w:val="22"/>
        </w:rPr>
        <w:t xml:space="preserve">case.  </w:t>
      </w:r>
    </w:p>
    <w:p w14:paraId="60500DDE" w14:textId="42EBCD17" w:rsidR="002A5018" w:rsidRPr="002A5018" w:rsidRDefault="002A5018" w:rsidP="002477D8">
      <w:pPr>
        <w:pStyle w:val="ParaNum"/>
        <w:tabs>
          <w:tab w:val="clear" w:pos="1080"/>
        </w:tabs>
      </w:pPr>
      <w:r w:rsidRPr="002A5018">
        <w:rPr>
          <w:szCs w:val="22"/>
        </w:rPr>
        <w:t xml:space="preserve">We </w:t>
      </w:r>
      <w:r w:rsidR="00E46B96">
        <w:rPr>
          <w:szCs w:val="22"/>
        </w:rPr>
        <w:t xml:space="preserve">next </w:t>
      </w:r>
      <w:r w:rsidRPr="002A5018">
        <w:rPr>
          <w:szCs w:val="22"/>
        </w:rPr>
        <w:t>find that Lighthouse did not make a misrepresentation when it certified</w:t>
      </w:r>
      <w:r w:rsidR="00E46B96">
        <w:rPr>
          <w:szCs w:val="22"/>
        </w:rPr>
        <w:t xml:space="preserve"> </w:t>
      </w:r>
      <w:r w:rsidR="0098707A">
        <w:rPr>
          <w:szCs w:val="22"/>
        </w:rPr>
        <w:t xml:space="preserve">in the License Application that </w:t>
      </w:r>
      <w:r w:rsidR="00E46B96" w:rsidRPr="002A5018">
        <w:rPr>
          <w:szCs w:val="22"/>
        </w:rPr>
        <w:t>the Station was constructed as authorized</w:t>
      </w:r>
      <w:r w:rsidRPr="002A5018">
        <w:rPr>
          <w:szCs w:val="22"/>
        </w:rPr>
        <w:t xml:space="preserve">.  Not only was the Station operating with the antenna specified in its construction permit </w:t>
      </w:r>
      <w:r w:rsidR="003C5D8F">
        <w:rPr>
          <w:szCs w:val="22"/>
        </w:rPr>
        <w:t>at that time</w:t>
      </w:r>
      <w:r w:rsidRPr="002A5018">
        <w:rPr>
          <w:szCs w:val="22"/>
        </w:rPr>
        <w:t xml:space="preserve"> but Lighthouse believed the Station had been constructed at the location specified in that permit.</w:t>
      </w:r>
      <w:r>
        <w:rPr>
          <w:rStyle w:val="FootnoteReference"/>
          <w:szCs w:val="22"/>
        </w:rPr>
        <w:footnoteReference w:id="47"/>
      </w:r>
      <w:r w:rsidRPr="002A5018">
        <w:rPr>
          <w:szCs w:val="22"/>
        </w:rPr>
        <w:t xml:space="preserve">  Saga has offered no evidence suggesting that Lighthouse intended to deceive the Commission about the location of the Station’s transmitter.  Indeed, it would be hard to demonstrate such intent when, as Lighthouse notes, the location </w:t>
      </w:r>
      <w:r w:rsidR="00233FA8">
        <w:rPr>
          <w:szCs w:val="22"/>
        </w:rPr>
        <w:t>at which the Station has been operating—and from which it proposes to continue to operate—</w:t>
      </w:r>
      <w:r w:rsidRPr="002A5018">
        <w:rPr>
          <w:szCs w:val="22"/>
        </w:rPr>
        <w:t>“meets all LPFM allocation criteria.”</w:t>
      </w:r>
      <w:r>
        <w:rPr>
          <w:rStyle w:val="FootnoteReference"/>
          <w:szCs w:val="22"/>
        </w:rPr>
        <w:footnoteReference w:id="48"/>
      </w:r>
      <w:r w:rsidRPr="002A5018">
        <w:rPr>
          <w:szCs w:val="22"/>
        </w:rPr>
        <w:t xml:space="preserve">  We further determine Lighthouse did not violate Section 1.17 of the Rules in the context of the License Application because it had a reasonable basis—the representations of its engineering consultant</w:t>
      </w:r>
      <w:r>
        <w:rPr>
          <w:rStyle w:val="FootnoteReference"/>
          <w:szCs w:val="22"/>
        </w:rPr>
        <w:footnoteReference w:id="49"/>
      </w:r>
      <w:r w:rsidRPr="002A5018">
        <w:rPr>
          <w:szCs w:val="22"/>
        </w:rPr>
        <w:t xml:space="preserve">—for believing that it had constructed the Station at the location specified in the construction permit.  </w:t>
      </w:r>
    </w:p>
    <w:p w14:paraId="7A30DEE7" w14:textId="73EB8BD4" w:rsidR="002A5018" w:rsidRPr="00421F77" w:rsidRDefault="002A5018" w:rsidP="002477D8">
      <w:pPr>
        <w:pStyle w:val="ParaNum"/>
        <w:tabs>
          <w:tab w:val="clear" w:pos="1080"/>
        </w:tabs>
        <w:rPr>
          <w:snapToGrid/>
          <w:kern w:val="0"/>
        </w:rPr>
      </w:pPr>
      <w:r w:rsidRPr="002A5018">
        <w:t xml:space="preserve">Finally, </w:t>
      </w:r>
      <w:r w:rsidR="00233FA8">
        <w:t xml:space="preserve">we find Saga has not </w:t>
      </w:r>
      <w:r w:rsidR="0096693E">
        <w:t xml:space="preserve">raised a substantial and material question of fact regarding </w:t>
      </w:r>
      <w:r w:rsidR="0096693E" w:rsidRPr="00122601">
        <w:t xml:space="preserve">Lighthouse’s certification </w:t>
      </w:r>
      <w:r w:rsidRPr="00122601">
        <w:t xml:space="preserve">that the facilities proposed in the 2001 Permit Application were excluded from </w:t>
      </w:r>
      <w:r w:rsidR="0048715C">
        <w:t xml:space="preserve">both environmental and </w:t>
      </w:r>
      <w:r w:rsidRPr="00122601">
        <w:t>historic p</w:t>
      </w:r>
      <w:r w:rsidR="00233FA8" w:rsidRPr="00122601">
        <w:t>reservation review.</w:t>
      </w:r>
      <w:r w:rsidR="00412045">
        <w:t xml:space="preserve"> </w:t>
      </w:r>
      <w:r w:rsidR="00233FA8" w:rsidRPr="00122601">
        <w:t xml:space="preserve"> </w:t>
      </w:r>
      <w:r w:rsidR="0048715C" w:rsidRPr="00412045">
        <w:rPr>
          <w:szCs w:val="22"/>
        </w:rPr>
        <w:t>Like the 2015 Permit Application, the 2001 Permit Application was excluded from environmental review under Note 1 to Section 1.1306 of the Rules.</w:t>
      </w:r>
      <w:r w:rsidR="0048715C" w:rsidRPr="00412045">
        <w:rPr>
          <w:rStyle w:val="FootnoteReference"/>
          <w:sz w:val="22"/>
          <w:szCs w:val="22"/>
        </w:rPr>
        <w:footnoteReference w:id="50"/>
      </w:r>
      <w:r w:rsidR="0048715C" w:rsidRPr="00412045">
        <w:rPr>
          <w:szCs w:val="22"/>
        </w:rPr>
        <w:t xml:space="preserve">  Thus, Lighthouse correctly certified the 2001 Permit Application was exempt from environmental review.  In terms of historic preservation review, a</w:t>
      </w:r>
      <w:r w:rsidR="00233FA8" w:rsidRPr="00412045">
        <w:rPr>
          <w:szCs w:val="22"/>
        </w:rPr>
        <w:t xml:space="preserve">t the time Lighthouse filed the 2001 Permit Application, </w:t>
      </w:r>
      <w:r w:rsidR="00122601" w:rsidRPr="00412045">
        <w:rPr>
          <w:szCs w:val="22"/>
        </w:rPr>
        <w:t>the Collocation Agreement did not apply</w:t>
      </w:r>
      <w:r w:rsidR="0048715C" w:rsidRPr="00412045">
        <w:rPr>
          <w:rStyle w:val="FootnoteReference"/>
          <w:sz w:val="22"/>
          <w:szCs w:val="22"/>
        </w:rPr>
        <w:footnoteReference w:id="51"/>
      </w:r>
      <w:r w:rsidR="00122601" w:rsidRPr="00412045">
        <w:rPr>
          <w:szCs w:val="22"/>
        </w:rPr>
        <w:t xml:space="preserve"> and the </w:t>
      </w:r>
      <w:r w:rsidR="00E46B96">
        <w:rPr>
          <w:szCs w:val="22"/>
        </w:rPr>
        <w:t>NPA</w:t>
      </w:r>
      <w:r w:rsidR="00122601" w:rsidRPr="00412045">
        <w:rPr>
          <w:szCs w:val="22"/>
        </w:rPr>
        <w:t xml:space="preserve"> did not exist</w:t>
      </w:r>
      <w:r w:rsidR="00876C4B">
        <w:rPr>
          <w:szCs w:val="22"/>
        </w:rPr>
        <w:t>.</w:t>
      </w:r>
      <w:r w:rsidR="00122601" w:rsidRPr="00412045">
        <w:rPr>
          <w:rStyle w:val="FootnoteReference"/>
          <w:sz w:val="22"/>
          <w:szCs w:val="22"/>
        </w:rPr>
        <w:footnoteReference w:id="52"/>
      </w:r>
      <w:r w:rsidR="00876C4B">
        <w:rPr>
          <w:szCs w:val="22"/>
        </w:rPr>
        <w:t xml:space="preserve">  Thus, Lighthouse was tasked with evaluating</w:t>
      </w:r>
      <w:r w:rsidR="00461AE9" w:rsidRPr="00412045">
        <w:rPr>
          <w:szCs w:val="22"/>
        </w:rPr>
        <w:t xml:space="preserve"> whether</w:t>
      </w:r>
      <w:r w:rsidR="00461AE9" w:rsidRPr="00122601">
        <w:t xml:space="preserve"> the facilities proposed in the 2001 Permit Application </w:t>
      </w:r>
      <w:r w:rsidR="00E46B96">
        <w:t xml:space="preserve">might </w:t>
      </w:r>
      <w:r w:rsidR="00461AE9" w:rsidRPr="00122601">
        <w:t>“affect districts, sites, buildings, structures or objects</w:t>
      </w:r>
      <w:r w:rsidR="00461AE9">
        <w:t>, significant in American history, architecture, archeology, engineering or culture, that are listed, or are eligible for listing, in the National Register of Historic Places.”</w:t>
      </w:r>
      <w:r w:rsidR="0096693E">
        <w:rPr>
          <w:rStyle w:val="FootnoteReference"/>
        </w:rPr>
        <w:footnoteReference w:id="53"/>
      </w:r>
      <w:r w:rsidR="00461AE9">
        <w:t xml:space="preserve">  </w:t>
      </w:r>
      <w:r w:rsidR="00122601">
        <w:t xml:space="preserve">Saga has not alleged that </w:t>
      </w:r>
      <w:r w:rsidR="002303AA">
        <w:t>Lighthouse failed to undertake this evaluation</w:t>
      </w:r>
      <w:r w:rsidR="00421F77">
        <w:t>.</w:t>
      </w:r>
      <w:r w:rsidR="00421F77">
        <w:rPr>
          <w:rStyle w:val="FootnoteReference"/>
        </w:rPr>
        <w:footnoteReference w:id="54"/>
      </w:r>
      <w:r w:rsidR="002303AA">
        <w:t xml:space="preserve">  Further, as discussed herein, the most recent historic preservation review related to the </w:t>
      </w:r>
      <w:r w:rsidR="00876C4B">
        <w:t>same location found</w:t>
      </w:r>
      <w:r w:rsidR="002303AA">
        <w:t xml:space="preserve"> the Station’s facilities have </w:t>
      </w:r>
      <w:r w:rsidR="002303AA">
        <w:rPr>
          <w:szCs w:val="22"/>
        </w:rPr>
        <w:t>no</w:t>
      </w:r>
      <w:r w:rsidR="002303AA" w:rsidRPr="002A5018">
        <w:rPr>
          <w:szCs w:val="22"/>
        </w:rPr>
        <w:t xml:space="preserve"> </w:t>
      </w:r>
      <w:r w:rsidR="00F54937">
        <w:rPr>
          <w:szCs w:val="22"/>
        </w:rPr>
        <w:t>adverse</w:t>
      </w:r>
      <w:r w:rsidR="00F54937" w:rsidRPr="002A5018">
        <w:rPr>
          <w:szCs w:val="22"/>
        </w:rPr>
        <w:t xml:space="preserve"> effect</w:t>
      </w:r>
      <w:r w:rsidR="002303AA" w:rsidRPr="002A5018">
        <w:rPr>
          <w:szCs w:val="22"/>
        </w:rPr>
        <w:t xml:space="preserve"> </w:t>
      </w:r>
      <w:r w:rsidR="002303AA">
        <w:rPr>
          <w:szCs w:val="22"/>
        </w:rPr>
        <w:t xml:space="preserve">on </w:t>
      </w:r>
      <w:r w:rsidR="002303AA" w:rsidRPr="002A5018">
        <w:rPr>
          <w:szCs w:val="22"/>
        </w:rPr>
        <w:t>properties listed or eligible for listing in the National Register</w:t>
      </w:r>
      <w:r w:rsidR="002303AA">
        <w:rPr>
          <w:szCs w:val="22"/>
        </w:rPr>
        <w:t xml:space="preserve"> of Historic Places.</w:t>
      </w:r>
      <w:r w:rsidR="002303AA">
        <w:rPr>
          <w:rStyle w:val="FootnoteReference"/>
          <w:szCs w:val="22"/>
        </w:rPr>
        <w:footnoteReference w:id="55"/>
      </w:r>
      <w:r w:rsidR="002303AA">
        <w:rPr>
          <w:szCs w:val="22"/>
        </w:rPr>
        <w:t xml:space="preserve">  </w:t>
      </w:r>
      <w:r w:rsidR="00122601">
        <w:t xml:space="preserve">Given this, </w:t>
      </w:r>
      <w:r w:rsidR="00F54937">
        <w:t xml:space="preserve">we find </w:t>
      </w:r>
      <w:r w:rsidR="00421F77">
        <w:t xml:space="preserve">Saga has not raised a substantial and material question regarding the accuracy of </w:t>
      </w:r>
      <w:r w:rsidR="00421F77" w:rsidRPr="00122601">
        <w:t>Lighthouse’s certification that the facilities proposed in the 2001 Permit Application were excluded from historic preservation review.</w:t>
      </w:r>
      <w:r w:rsidR="00421F77">
        <w:t xml:space="preserve"> </w:t>
      </w:r>
      <w:r w:rsidR="00122601">
        <w:t xml:space="preserve"> This, in turn, means </w:t>
      </w:r>
      <w:r w:rsidR="00421F77">
        <w:rPr>
          <w:szCs w:val="22"/>
        </w:rPr>
        <w:t>Saga has not raised a substantial and material question regarding whether Lighthouse falsely made this certification</w:t>
      </w:r>
      <w:r w:rsidR="0048715C">
        <w:rPr>
          <w:szCs w:val="22"/>
        </w:rPr>
        <w:t xml:space="preserve"> or lacked a reasonable basis for making it</w:t>
      </w:r>
      <w:r w:rsidRPr="00421F77">
        <w:rPr>
          <w:szCs w:val="22"/>
        </w:rPr>
        <w:t xml:space="preserve">. </w:t>
      </w:r>
    </w:p>
    <w:p w14:paraId="7761FE97" w14:textId="3091630D" w:rsidR="008F5D8D" w:rsidRDefault="008F5D8D" w:rsidP="00742577">
      <w:pPr>
        <w:pStyle w:val="Heading2"/>
      </w:pPr>
      <w:r>
        <w:t>Antenna and TPO Information</w:t>
      </w:r>
    </w:p>
    <w:p w14:paraId="755748D1" w14:textId="1DAA462F" w:rsidR="008F5D8D" w:rsidRPr="008F5D8D" w:rsidRDefault="008F5D8D" w:rsidP="002477D8">
      <w:pPr>
        <w:pStyle w:val="ParaNum"/>
        <w:tabs>
          <w:tab w:val="clear" w:pos="1080"/>
        </w:tabs>
      </w:pPr>
      <w:r w:rsidRPr="002A5018">
        <w:t>Saga asserts that, in the STA Request, Lighthouse should have specified both the antenna being used and the proposed transmitter power output (TPO) but failed to include that information.</w:t>
      </w:r>
      <w:r>
        <w:t xml:space="preserve">  However, as Lighthouse notes, the Commission’s Engineering STA form does not require the disclosure of such information.  We decline to require the submission of this additional information.</w:t>
      </w:r>
    </w:p>
    <w:p w14:paraId="6EE97BF0" w14:textId="296ED6B4" w:rsidR="00742577" w:rsidRDefault="00742577" w:rsidP="00742577">
      <w:pPr>
        <w:pStyle w:val="Heading2"/>
      </w:pPr>
      <w:r>
        <w:t>Consent Decree</w:t>
      </w:r>
    </w:p>
    <w:p w14:paraId="26C85F37" w14:textId="76023B5A" w:rsidR="00742577" w:rsidRPr="00826467" w:rsidRDefault="00742577" w:rsidP="002477D8">
      <w:pPr>
        <w:pStyle w:val="ParaNum"/>
        <w:tabs>
          <w:tab w:val="clear" w:pos="1080"/>
        </w:tabs>
        <w:rPr>
          <w:rFonts w:ascii="TimesNewRoman" w:hAnsi="TimesNewRoman" w:cs="TimesNewRoman"/>
          <w:snapToGrid/>
          <w:kern w:val="0"/>
          <w:sz w:val="20"/>
        </w:rPr>
      </w:pPr>
      <w:r>
        <w:t xml:space="preserve">  As part of this Order, we are adopting a Consent Decree entered into by the Media Bureau (Bureau) and Lighthouse.  The Consent Decree resolves issues related to </w:t>
      </w:r>
      <w:r w:rsidR="00D063F8">
        <w:t>Lighthouse’s</w:t>
      </w:r>
      <w:r>
        <w:t xml:space="preserve"> violation of the law and rules governing underwriting </w:t>
      </w:r>
      <w:r w:rsidRPr="00742577">
        <w:t>announcements</w:t>
      </w:r>
      <w:r>
        <w:t>, its construction of the Station at an unauthorized location, and its operation of the Station with an unauthorized two-bay antenna.  The Consent Decree stipulates that Lighthouse violated Section</w:t>
      </w:r>
      <w:r w:rsidR="00826467">
        <w:t>s 301 and</w:t>
      </w:r>
      <w:r>
        <w:t xml:space="preserve"> 399B of the Act and Sections 73.503(d)</w:t>
      </w:r>
      <w:r w:rsidR="00826467">
        <w:t>, 73</w:t>
      </w:r>
      <w:r w:rsidR="00B67146">
        <w:t>.</w:t>
      </w:r>
      <w:r w:rsidR="00826467">
        <w:t xml:space="preserve">845 and 73.875 </w:t>
      </w:r>
      <w:r>
        <w:t xml:space="preserve">of the Rules.  For these violations, </w:t>
      </w:r>
      <w:r w:rsidR="00D063F8">
        <w:t>Lighthouse</w:t>
      </w:r>
      <w:r>
        <w:t xml:space="preserve"> will pay a civil penalty to the United States Treasury </w:t>
      </w:r>
      <w:r w:rsidR="00826467">
        <w:t xml:space="preserve">of eight thousand eight hundred </w:t>
      </w:r>
      <w:r>
        <w:t>dollars ($</w:t>
      </w:r>
      <w:r w:rsidR="00826467">
        <w:t>8,800</w:t>
      </w:r>
      <w:r>
        <w:t xml:space="preserve">).  </w:t>
      </w:r>
      <w:r w:rsidR="00826467" w:rsidRPr="00826467">
        <w:rPr>
          <w:rFonts w:ascii="TimesNewRoman" w:hAnsi="TimesNewRoman" w:cs="TimesNewRoman"/>
          <w:snapToGrid/>
          <w:kern w:val="0"/>
          <w:szCs w:val="22"/>
        </w:rPr>
        <w:t xml:space="preserve">Lighthouse will also implement a three-year compliance plan to avoid future violations of the </w:t>
      </w:r>
      <w:r w:rsidR="0022703C">
        <w:rPr>
          <w:rFonts w:ascii="TimesNewRoman" w:hAnsi="TimesNewRoman" w:cs="TimesNewRoman"/>
          <w:snapToGrid/>
          <w:kern w:val="0"/>
          <w:szCs w:val="22"/>
        </w:rPr>
        <w:t>law and rules governing underwriting announcements</w:t>
      </w:r>
      <w:r w:rsidR="00826467" w:rsidRPr="00826467">
        <w:rPr>
          <w:rFonts w:ascii="TimesNewRoman" w:hAnsi="TimesNewRoman" w:cs="TimesNewRoman"/>
          <w:snapToGrid/>
          <w:kern w:val="0"/>
          <w:szCs w:val="22"/>
        </w:rPr>
        <w:t>.</w:t>
      </w:r>
    </w:p>
    <w:p w14:paraId="297D6594" w14:textId="588531E4" w:rsidR="00742577" w:rsidRPr="00742577" w:rsidRDefault="00742577" w:rsidP="002477D8">
      <w:pPr>
        <w:pStyle w:val="ParaNum"/>
        <w:tabs>
          <w:tab w:val="clear" w:pos="1080"/>
        </w:tabs>
      </w:pPr>
      <w:r>
        <w:rPr>
          <w:szCs w:val="22"/>
        </w:rPr>
        <w:t>We conclude that nothing in the</w:t>
      </w:r>
      <w:r w:rsidRPr="00475C79">
        <w:rPr>
          <w:szCs w:val="22"/>
        </w:rPr>
        <w:t xml:space="preserve"> record </w:t>
      </w:r>
      <w:r>
        <w:rPr>
          <w:szCs w:val="22"/>
        </w:rPr>
        <w:t xml:space="preserve">before us </w:t>
      </w:r>
      <w:r w:rsidRPr="00475C79">
        <w:rPr>
          <w:szCs w:val="22"/>
        </w:rPr>
        <w:t xml:space="preserve">creates a substantial or material question of fact whether </w:t>
      </w:r>
      <w:r w:rsidR="00D063F8">
        <w:rPr>
          <w:szCs w:val="22"/>
        </w:rPr>
        <w:t>Lighthouse</w:t>
      </w:r>
      <w:r w:rsidRPr="00475C79">
        <w:rPr>
          <w:szCs w:val="22"/>
        </w:rPr>
        <w:t xml:space="preserve"> possesses the basic qualifications to be a Commission licensee.  After reviewing the terms of the Consent Decree, we find that the public interest would be served by its approval and by terminating the Bureau’s investigation of </w:t>
      </w:r>
      <w:r w:rsidR="00D063F8">
        <w:rPr>
          <w:szCs w:val="22"/>
        </w:rPr>
        <w:t>Lighthouse’s</w:t>
      </w:r>
      <w:r w:rsidRPr="00475C79">
        <w:rPr>
          <w:szCs w:val="22"/>
        </w:rPr>
        <w:t xml:space="preserve"> violations of the Act </w:t>
      </w:r>
      <w:r w:rsidR="00D063F8">
        <w:rPr>
          <w:szCs w:val="22"/>
        </w:rPr>
        <w:t>and Rules in connection with Saga’s Petition, the Permit Application and the STA Request</w:t>
      </w:r>
      <w:r w:rsidRPr="00475C79">
        <w:rPr>
          <w:szCs w:val="22"/>
        </w:rPr>
        <w:t xml:space="preserve">, subject to the terms of the Consent Decree.  </w:t>
      </w:r>
      <w:r>
        <w:rPr>
          <w:szCs w:val="22"/>
        </w:rPr>
        <w:t>We note that, g</w:t>
      </w:r>
      <w:r w:rsidRPr="00475C79">
        <w:rPr>
          <w:szCs w:val="22"/>
        </w:rPr>
        <w:t xml:space="preserve">iven </w:t>
      </w:r>
      <w:r>
        <w:rPr>
          <w:szCs w:val="22"/>
        </w:rPr>
        <w:t>Lighthouse’s</w:t>
      </w:r>
      <w:r w:rsidRPr="00475C79">
        <w:rPr>
          <w:szCs w:val="22"/>
        </w:rPr>
        <w:t xml:space="preserve"> acknowledgment that it did – as </w:t>
      </w:r>
      <w:r>
        <w:rPr>
          <w:szCs w:val="22"/>
        </w:rPr>
        <w:t>Saga</w:t>
      </w:r>
      <w:r w:rsidRPr="00475C79">
        <w:rPr>
          <w:szCs w:val="22"/>
        </w:rPr>
        <w:t xml:space="preserve"> alleges – violate the law and rules governing underwriting announcements</w:t>
      </w:r>
      <w:r>
        <w:rPr>
          <w:szCs w:val="22"/>
        </w:rPr>
        <w:t>, and operate the Station from an unauthorized location and with unauthorized equipment</w:t>
      </w:r>
      <w:r w:rsidRPr="00475C79">
        <w:rPr>
          <w:szCs w:val="22"/>
        </w:rPr>
        <w:t>, we grant the Petition in part.  As provided in the Consent Decree,</w:t>
      </w:r>
      <w:r>
        <w:rPr>
          <w:rStyle w:val="FootnoteReference"/>
          <w:szCs w:val="22"/>
        </w:rPr>
        <w:footnoteReference w:id="56"/>
      </w:r>
      <w:r w:rsidRPr="00475C79">
        <w:rPr>
          <w:szCs w:val="22"/>
        </w:rPr>
        <w:t xml:space="preserve"> </w:t>
      </w:r>
      <w:r>
        <w:rPr>
          <w:szCs w:val="22"/>
        </w:rPr>
        <w:t xml:space="preserve">however, </w:t>
      </w:r>
      <w:r w:rsidRPr="00475C79">
        <w:rPr>
          <w:szCs w:val="22"/>
        </w:rPr>
        <w:t xml:space="preserve">we otherwise deny the Petition.  </w:t>
      </w:r>
    </w:p>
    <w:p w14:paraId="31C2FA45" w14:textId="08D7D6C4" w:rsidR="002A5018" w:rsidRPr="002A5018" w:rsidRDefault="002A5018" w:rsidP="002A5018">
      <w:pPr>
        <w:pStyle w:val="Heading1"/>
      </w:pPr>
      <w:r w:rsidRPr="002A5018">
        <w:rPr>
          <w:spacing w:val="-2"/>
        </w:rPr>
        <w:t xml:space="preserve">Conclusion/Actions  </w:t>
      </w:r>
    </w:p>
    <w:p w14:paraId="2007FCFD" w14:textId="79CD1D49" w:rsidR="002A5018" w:rsidRDefault="002A5018" w:rsidP="002477D8">
      <w:pPr>
        <w:pStyle w:val="ParaNum"/>
        <w:tabs>
          <w:tab w:val="clear" w:pos="1080"/>
        </w:tabs>
      </w:pPr>
      <w:r w:rsidRPr="002A5018">
        <w:t xml:space="preserve">Section 312(a) </w:t>
      </w:r>
      <w:r w:rsidR="00E67691">
        <w:t xml:space="preserve">permits the Commission to revoke a station’s license or construction permit for, among other things, false statements knowingly made either in the application or in any statement of fact; conditions coming to the attention of the Commission which would warrant it in refusing to grant a license or permit; willful or repeated failure to operate substantially as set forth in the license; and willful or repeated violation of, or willful or repeated failure to observe any provision of the Act or any of the Commission’s rules.  </w:t>
      </w:r>
      <w:r w:rsidRPr="002A5018">
        <w:t xml:space="preserve">Lighthouse </w:t>
      </w:r>
      <w:r w:rsidR="00E67691">
        <w:t xml:space="preserve">has stipulated that it </w:t>
      </w:r>
      <w:r w:rsidR="00FF66D3">
        <w:t>violated the law</w:t>
      </w:r>
      <w:r w:rsidRPr="002A5018">
        <w:t xml:space="preserve"> and rules governing underwriting announcements, </w:t>
      </w:r>
      <w:r w:rsidR="00E67691">
        <w:t xml:space="preserve">and </w:t>
      </w:r>
      <w:r w:rsidRPr="002A5018">
        <w:t xml:space="preserve">operated the Station at a variance from its authorized parameters in violation of Section </w:t>
      </w:r>
      <w:r w:rsidR="002A362E">
        <w:t>301 of the Act and Sections 73.845 and 73.875</w:t>
      </w:r>
      <w:r w:rsidR="00E67691">
        <w:t xml:space="preserve"> of the Rules.  However, despite these violations of the Act and the Rules, </w:t>
      </w:r>
      <w:r w:rsidRPr="002A5018">
        <w:t>we do not believe revocation of the Station’s license is appropriate.</w:t>
      </w:r>
      <w:r w:rsidRPr="00FF6DEA">
        <w:rPr>
          <w:rStyle w:val="FootnoteReference"/>
          <w:szCs w:val="22"/>
        </w:rPr>
        <w:footnoteReference w:id="57"/>
      </w:r>
      <w:r w:rsidRPr="002A5018">
        <w:t xml:space="preserve">  Accordingly, the Petition to Revoke License filed by Saga Communications of New England, LLC, on October 7, 2015</w:t>
      </w:r>
      <w:r w:rsidR="00E67691">
        <w:t xml:space="preserve">, IS </w:t>
      </w:r>
      <w:r w:rsidR="00E67691" w:rsidRPr="00E67691">
        <w:rPr>
          <w:caps/>
        </w:rPr>
        <w:t>grant</w:t>
      </w:r>
      <w:r w:rsidR="00E67691">
        <w:rPr>
          <w:caps/>
        </w:rPr>
        <w:t>ED</w:t>
      </w:r>
      <w:r w:rsidR="00E67691" w:rsidRPr="00E67691">
        <w:rPr>
          <w:caps/>
        </w:rPr>
        <w:t xml:space="preserve"> in part, dismiss</w:t>
      </w:r>
      <w:r w:rsidR="00E67691">
        <w:rPr>
          <w:caps/>
        </w:rPr>
        <w:t>ED</w:t>
      </w:r>
      <w:r w:rsidR="00E67691" w:rsidRPr="00E67691">
        <w:rPr>
          <w:caps/>
        </w:rPr>
        <w:t xml:space="preserve"> in part and otherwise den</w:t>
      </w:r>
      <w:r w:rsidR="00E67691">
        <w:rPr>
          <w:caps/>
        </w:rPr>
        <w:t>IED</w:t>
      </w:r>
      <w:r w:rsidRPr="002A5018">
        <w:t>.</w:t>
      </w:r>
    </w:p>
    <w:p w14:paraId="69F42F6C" w14:textId="071ED843" w:rsidR="0045730E" w:rsidRPr="0045730E" w:rsidRDefault="002A5018" w:rsidP="002477D8">
      <w:pPr>
        <w:pStyle w:val="ParaNum"/>
        <w:tabs>
          <w:tab w:val="clear" w:pos="1080"/>
        </w:tabs>
      </w:pPr>
      <w:r w:rsidRPr="002A5018">
        <w:rPr>
          <w:spacing w:val="-2"/>
          <w:szCs w:val="22"/>
        </w:rPr>
        <w:t xml:space="preserve">In addition, for the reasons set forth above, IT IS ORDERED that the Informal Objection filed by Saga Communications of New England, LLC, </w:t>
      </w:r>
      <w:r w:rsidR="00C57328">
        <w:rPr>
          <w:spacing w:val="-2"/>
          <w:szCs w:val="22"/>
        </w:rPr>
        <w:t>on May 11, 2016</w:t>
      </w:r>
      <w:r w:rsidRPr="002A5018">
        <w:rPr>
          <w:spacing w:val="-2"/>
          <w:szCs w:val="22"/>
        </w:rPr>
        <w:t xml:space="preserve">, </w:t>
      </w:r>
      <w:r w:rsidR="00C57328">
        <w:rPr>
          <w:spacing w:val="-2"/>
          <w:szCs w:val="22"/>
        </w:rPr>
        <w:t>IS</w:t>
      </w:r>
      <w:r w:rsidRPr="002A5018">
        <w:rPr>
          <w:spacing w:val="-2"/>
          <w:szCs w:val="22"/>
        </w:rPr>
        <w:t xml:space="preserve"> </w:t>
      </w:r>
      <w:r w:rsidRPr="00E16AC3">
        <w:rPr>
          <w:caps/>
          <w:spacing w:val="-2"/>
          <w:szCs w:val="22"/>
        </w:rPr>
        <w:t>granted in part and otherwise denied</w:t>
      </w:r>
      <w:r w:rsidRPr="002A5018">
        <w:rPr>
          <w:spacing w:val="-2"/>
          <w:szCs w:val="22"/>
        </w:rPr>
        <w:t xml:space="preserve">.  </w:t>
      </w:r>
    </w:p>
    <w:p w14:paraId="2144FA1D" w14:textId="6BCDECF7" w:rsidR="00C57328" w:rsidRDefault="00C57328" w:rsidP="002477D8">
      <w:pPr>
        <w:pStyle w:val="ParaNum"/>
        <w:tabs>
          <w:tab w:val="clear" w:pos="1080"/>
        </w:tabs>
      </w:pPr>
      <w:r>
        <w:t xml:space="preserve">IT IS FURTHER ORDERED that </w:t>
      </w:r>
      <w:r w:rsidRPr="002A5018">
        <w:rPr>
          <w:spacing w:val="-2"/>
          <w:szCs w:val="22"/>
        </w:rPr>
        <w:t xml:space="preserve">the Opposition to </w:t>
      </w:r>
      <w:r w:rsidR="00B44DF5">
        <w:rPr>
          <w:spacing w:val="-2"/>
          <w:szCs w:val="22"/>
        </w:rPr>
        <w:t>Request for Special Temporary Authority</w:t>
      </w:r>
      <w:r w:rsidRPr="002A5018">
        <w:rPr>
          <w:spacing w:val="-2"/>
          <w:szCs w:val="22"/>
        </w:rPr>
        <w:t xml:space="preserve"> filed by Saga Communications of New England, LLC, on November 5, 2015, </w:t>
      </w:r>
      <w:r>
        <w:rPr>
          <w:spacing w:val="-2"/>
          <w:szCs w:val="22"/>
        </w:rPr>
        <w:t xml:space="preserve">IS </w:t>
      </w:r>
      <w:r w:rsidRPr="00E16AC3">
        <w:rPr>
          <w:caps/>
          <w:spacing w:val="-2"/>
          <w:szCs w:val="22"/>
        </w:rPr>
        <w:t>granted in part and otherwise denied</w:t>
      </w:r>
      <w:r>
        <w:rPr>
          <w:spacing w:val="-2"/>
          <w:szCs w:val="22"/>
        </w:rPr>
        <w:t xml:space="preserve">, AND </w:t>
      </w:r>
      <w:r>
        <w:t>the request for special temporary authority (BSTA-</w:t>
      </w:r>
      <w:r w:rsidRPr="00C57328">
        <w:rPr>
          <w:szCs w:val="22"/>
        </w:rPr>
        <w:t>20151102AHI)</w:t>
      </w:r>
      <w:r>
        <w:t xml:space="preserve"> filed by Lighthouse Christian Center on November 2, 2015, IS GRANTED.</w:t>
      </w:r>
    </w:p>
    <w:p w14:paraId="0534323E" w14:textId="77777777" w:rsidR="0045730E" w:rsidRPr="005B1540" w:rsidRDefault="0045730E" w:rsidP="002477D8">
      <w:pPr>
        <w:pStyle w:val="ParaNum"/>
        <w:tabs>
          <w:tab w:val="clear" w:pos="1080"/>
        </w:tabs>
      </w:pPr>
      <w:r w:rsidRPr="005B1540">
        <w:t>IT IS FURTHER ORDERED that, pursuant to Section 4(i) of the Communications Act of 1934, as amended,</w:t>
      </w:r>
      <w:r w:rsidRPr="005B1540">
        <w:rPr>
          <w:rStyle w:val="FootnoteReference"/>
          <w:sz w:val="22"/>
        </w:rPr>
        <w:footnoteReference w:id="58"/>
      </w:r>
      <w:r w:rsidRPr="005B1540">
        <w:t xml:space="preserve"> and by the authority delegated by Sections 0.</w:t>
      </w:r>
      <w:r>
        <w:t>61</w:t>
      </w:r>
      <w:r w:rsidRPr="005B1540">
        <w:t xml:space="preserve"> and 0.283 of the Commission’s rules,</w:t>
      </w:r>
      <w:r w:rsidRPr="005B1540">
        <w:rPr>
          <w:rStyle w:val="FootnoteReference"/>
          <w:sz w:val="22"/>
        </w:rPr>
        <w:footnoteReference w:id="59"/>
      </w:r>
      <w:r w:rsidRPr="005B1540">
        <w:t xml:space="preserve"> the Consent Decree attached hereto IS ADOPTED.</w:t>
      </w:r>
    </w:p>
    <w:p w14:paraId="3E782899" w14:textId="77777777" w:rsidR="0045730E" w:rsidRPr="005B1540" w:rsidRDefault="0045730E" w:rsidP="002477D8">
      <w:pPr>
        <w:pStyle w:val="ParaNum"/>
        <w:tabs>
          <w:tab w:val="clear" w:pos="1080"/>
        </w:tabs>
      </w:pPr>
      <w:r w:rsidRPr="005B1540">
        <w:t>IT IS FURTHER ORDERED that the investigation by the Media Bureau of the matters noted above IS TERMINATED.</w:t>
      </w:r>
    </w:p>
    <w:p w14:paraId="22BA58A4" w14:textId="0A03F292" w:rsidR="0045730E" w:rsidRPr="0058223B" w:rsidRDefault="0045730E" w:rsidP="002477D8">
      <w:pPr>
        <w:pStyle w:val="ParaNum"/>
        <w:tabs>
          <w:tab w:val="clear" w:pos="1080"/>
        </w:tabs>
      </w:pPr>
      <w:r w:rsidRPr="005B1540">
        <w:t xml:space="preserve">IT IS FURTHER ORDERED that copies of this Order shall be sent by First Class and Certified Mail, Return Receipt Requested, to </w:t>
      </w:r>
      <w:r w:rsidR="00086C40">
        <w:t>Lighthouse Christian Center</w:t>
      </w:r>
      <w:r w:rsidRPr="005B1540">
        <w:t>,</w:t>
      </w:r>
      <w:r>
        <w:t xml:space="preserve"> </w:t>
      </w:r>
      <w:r w:rsidR="00086C40">
        <w:t>522 Springfield Street, Feeding Hills, MA 01030</w:t>
      </w:r>
      <w:r w:rsidRPr="005B1540">
        <w:t>, its counsel,</w:t>
      </w:r>
      <w:r>
        <w:t xml:space="preserve"> </w:t>
      </w:r>
      <w:r w:rsidR="00086C40">
        <w:t>Matthew H. McCormick, Esq., Fletcher, Heald &amp; Hildreth, P.L.C., 1300 North 17</w:t>
      </w:r>
      <w:r w:rsidR="00086C40" w:rsidRPr="00086C40">
        <w:rPr>
          <w:vertAlign w:val="superscript"/>
        </w:rPr>
        <w:t>th</w:t>
      </w:r>
      <w:r w:rsidR="00086C40">
        <w:t xml:space="preserve"> Street, 11</w:t>
      </w:r>
      <w:r w:rsidR="00086C40" w:rsidRPr="00086C40">
        <w:rPr>
          <w:vertAlign w:val="superscript"/>
        </w:rPr>
        <w:t>th</w:t>
      </w:r>
      <w:r w:rsidR="00086C40">
        <w:t xml:space="preserve"> Floor, Arlington, VA 22209</w:t>
      </w:r>
      <w:r w:rsidRPr="005B1540">
        <w:t>, and counsel</w:t>
      </w:r>
      <w:r>
        <w:t xml:space="preserve"> for </w:t>
      </w:r>
      <w:r w:rsidR="008F61F4" w:rsidRPr="008F61F4">
        <w:t>Saga Communicat</w:t>
      </w:r>
      <w:r w:rsidR="008F61F4">
        <w:t>ions of New England, LL</w:t>
      </w:r>
      <w:r w:rsidR="008F61F4" w:rsidRPr="008F61F4">
        <w:t>C</w:t>
      </w:r>
      <w:r w:rsidRPr="008F61F4">
        <w:t>,</w:t>
      </w:r>
      <w:r w:rsidR="008F61F4" w:rsidRPr="008F61F4">
        <w:t xml:space="preserve"> Gary S. Smithwick</w:t>
      </w:r>
      <w:r w:rsidRPr="008F61F4">
        <w:t xml:space="preserve">, </w:t>
      </w:r>
      <w:r w:rsidR="008F61F4" w:rsidRPr="008F61F4">
        <w:t>Smithwick &amp; Belendiuk, P.C.</w:t>
      </w:r>
      <w:r w:rsidRPr="008F61F4">
        <w:t xml:space="preserve">, </w:t>
      </w:r>
      <w:r w:rsidR="008F61F4" w:rsidRPr="008F61F4">
        <w:t>5028 Wisconsin Avenue, Suite 301, Washington, DC 2001</w:t>
      </w:r>
      <w:r w:rsidRPr="008F61F4">
        <w:t xml:space="preserve">6.  </w:t>
      </w:r>
    </w:p>
    <w:p w14:paraId="11A16FAC" w14:textId="77777777" w:rsidR="002A5018" w:rsidRDefault="002A5018" w:rsidP="0017296B">
      <w:r>
        <w:tab/>
      </w:r>
      <w:r>
        <w:tab/>
      </w:r>
      <w:r>
        <w:tab/>
      </w:r>
      <w:r>
        <w:tab/>
      </w:r>
      <w:r>
        <w:tab/>
      </w:r>
      <w:r>
        <w:tab/>
        <w:t>FEDERAL COMMUNICATIONS COMMISSION</w:t>
      </w:r>
    </w:p>
    <w:p w14:paraId="7945CA42" w14:textId="77777777" w:rsidR="002A5018" w:rsidRDefault="002A5018" w:rsidP="0017296B"/>
    <w:p w14:paraId="056D4FB3" w14:textId="77777777" w:rsidR="002A5018" w:rsidRDefault="002A5018" w:rsidP="0017296B"/>
    <w:p w14:paraId="4D97341C" w14:textId="77777777" w:rsidR="002A5018" w:rsidRDefault="002A5018" w:rsidP="0017296B"/>
    <w:p w14:paraId="3CB6E4D9" w14:textId="77777777" w:rsidR="002A5018" w:rsidRDefault="002A5018" w:rsidP="0017296B"/>
    <w:p w14:paraId="4F762808" w14:textId="0882AF13" w:rsidR="002A5018" w:rsidRDefault="002A5018" w:rsidP="0017296B">
      <w:r>
        <w:tab/>
      </w:r>
      <w:r>
        <w:tab/>
      </w:r>
      <w:r>
        <w:tab/>
      </w:r>
      <w:r>
        <w:tab/>
      </w:r>
      <w:r>
        <w:tab/>
      </w:r>
      <w:r>
        <w:tab/>
      </w:r>
      <w:r w:rsidR="00FF66D3">
        <w:t>Michelle</w:t>
      </w:r>
      <w:r w:rsidR="00B67146">
        <w:t xml:space="preserve"> M.</w:t>
      </w:r>
      <w:r w:rsidR="00FF66D3">
        <w:t xml:space="preserve"> Carey</w:t>
      </w:r>
    </w:p>
    <w:p w14:paraId="5CEDAC6B" w14:textId="2B3485A7" w:rsidR="00D43417" w:rsidRPr="00D43417" w:rsidRDefault="002A5018" w:rsidP="006817A4">
      <w:r>
        <w:tab/>
      </w:r>
      <w:r>
        <w:tab/>
      </w:r>
      <w:r>
        <w:tab/>
      </w:r>
      <w:r>
        <w:tab/>
      </w:r>
      <w:r>
        <w:tab/>
      </w:r>
      <w:r>
        <w:tab/>
      </w:r>
      <w:r w:rsidR="0045730E">
        <w:t>Chief</w:t>
      </w:r>
      <w:r w:rsidR="00B67146">
        <w:t xml:space="preserve">, </w:t>
      </w:r>
      <w:r w:rsidR="0045730E">
        <w:t>Media Bureau</w:t>
      </w:r>
    </w:p>
    <w:sectPr w:rsidR="00D43417" w:rsidRPr="00D43417" w:rsidSect="0055614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57C8" w14:textId="77777777" w:rsidR="002A5018" w:rsidRDefault="002A5018">
      <w:pPr>
        <w:spacing w:line="20" w:lineRule="exact"/>
      </w:pPr>
    </w:p>
  </w:endnote>
  <w:endnote w:type="continuationSeparator" w:id="0">
    <w:p w14:paraId="40D4327E" w14:textId="77777777" w:rsidR="002A5018" w:rsidRDefault="002A5018">
      <w:r>
        <w:t xml:space="preserve"> </w:t>
      </w:r>
    </w:p>
  </w:endnote>
  <w:endnote w:type="continuationNotice" w:id="1">
    <w:p w14:paraId="0AB5D568" w14:textId="77777777" w:rsidR="002A5018" w:rsidRDefault="002A50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CD36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2C769C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D559" w14:textId="1EE484E2" w:rsidR="00D25FB5" w:rsidRDefault="00D25FB5" w:rsidP="0055614C">
    <w:pPr>
      <w:pStyle w:val="Footer"/>
      <w:framePr w:wrap="around" w:vAnchor="text" w:hAnchor="margin" w:xAlign="center" w:y="1"/>
    </w:pPr>
    <w:r>
      <w:fldChar w:fldCharType="begin"/>
    </w:r>
    <w:r>
      <w:instrText xml:space="preserve">PAGE  </w:instrText>
    </w:r>
    <w:r>
      <w:fldChar w:fldCharType="separate"/>
    </w:r>
    <w:r w:rsidR="002C2D21">
      <w:rPr>
        <w:noProof/>
      </w:rPr>
      <w:t>2</w:t>
    </w:r>
    <w:r>
      <w:fldChar w:fldCharType="end"/>
    </w:r>
  </w:p>
  <w:p w14:paraId="13ADA5D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B977"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A52CF" w14:textId="77777777" w:rsidR="002A5018" w:rsidRDefault="002A5018">
      <w:r>
        <w:separator/>
      </w:r>
    </w:p>
  </w:footnote>
  <w:footnote w:type="continuationSeparator" w:id="0">
    <w:p w14:paraId="5D72DD9E" w14:textId="77777777" w:rsidR="002A5018" w:rsidRDefault="002A5018" w:rsidP="00C721AC">
      <w:pPr>
        <w:spacing w:before="120"/>
        <w:rPr>
          <w:sz w:val="20"/>
        </w:rPr>
      </w:pPr>
      <w:r>
        <w:rPr>
          <w:sz w:val="20"/>
        </w:rPr>
        <w:t xml:space="preserve">(Continued from previous page)  </w:t>
      </w:r>
      <w:r>
        <w:rPr>
          <w:sz w:val="20"/>
        </w:rPr>
        <w:separator/>
      </w:r>
    </w:p>
  </w:footnote>
  <w:footnote w:type="continuationNotice" w:id="1">
    <w:p w14:paraId="76721B27" w14:textId="77777777" w:rsidR="002A5018" w:rsidRDefault="002A5018" w:rsidP="00C721AC">
      <w:pPr>
        <w:jc w:val="right"/>
        <w:rPr>
          <w:sz w:val="20"/>
        </w:rPr>
      </w:pPr>
      <w:r>
        <w:rPr>
          <w:sz w:val="20"/>
        </w:rPr>
        <w:t>(continued….)</w:t>
      </w:r>
    </w:p>
  </w:footnote>
  <w:footnote w:id="2">
    <w:p w14:paraId="59333443" w14:textId="77777777" w:rsidR="002A5018" w:rsidRDefault="002A5018" w:rsidP="002A5018">
      <w:pPr>
        <w:pStyle w:val="FootnoteText"/>
      </w:pPr>
      <w:r>
        <w:rPr>
          <w:rStyle w:val="FootnoteReference"/>
        </w:rPr>
        <w:footnoteRef/>
      </w:r>
      <w:r>
        <w:t xml:space="preserve"> File No. BLL-20061106AAA.</w:t>
      </w:r>
    </w:p>
  </w:footnote>
  <w:footnote w:id="3">
    <w:p w14:paraId="1C68DFC9" w14:textId="77777777" w:rsidR="002A5018" w:rsidRDefault="002A5018" w:rsidP="002A5018">
      <w:pPr>
        <w:pStyle w:val="FootnoteText"/>
      </w:pPr>
      <w:r>
        <w:rPr>
          <w:rStyle w:val="FootnoteReference"/>
        </w:rPr>
        <w:footnoteRef/>
      </w:r>
      <w:r>
        <w:t xml:space="preserve"> </w:t>
      </w:r>
      <w:r w:rsidRPr="008A4DD1">
        <w:rPr>
          <w:i/>
        </w:rPr>
        <w:t>Broadcast Actions</w:t>
      </w:r>
      <w:r>
        <w:t>, Public Notice, Report No. 46369 (MB Nov. 27, 2006).</w:t>
      </w:r>
    </w:p>
  </w:footnote>
  <w:footnote w:id="4">
    <w:p w14:paraId="7BAC72E7" w14:textId="0502745F" w:rsidR="00146D8C" w:rsidRDefault="00146D8C">
      <w:pPr>
        <w:pStyle w:val="FootnoteText"/>
      </w:pPr>
      <w:r>
        <w:rPr>
          <w:rStyle w:val="FootnoteReference"/>
        </w:rPr>
        <w:footnoteRef/>
      </w:r>
      <w:r>
        <w:t xml:space="preserve"> S</w:t>
      </w:r>
      <w:r w:rsidR="0000006A">
        <w:t>pecifically, Lighthouse filed a Reply to Opposition to STA Request and an Opposition to Informal Objection.  Saga filed a Reply to Opposition to Informal Objection, to which Lighthouse responded with a Statement for the Record.</w:t>
      </w:r>
    </w:p>
  </w:footnote>
  <w:footnote w:id="5">
    <w:p w14:paraId="09A5EAF4" w14:textId="77777777" w:rsidR="002A5018" w:rsidRPr="00CD4A1B" w:rsidRDefault="002A5018" w:rsidP="002A5018">
      <w:pPr>
        <w:pStyle w:val="FootnoteText"/>
      </w:pPr>
      <w:r w:rsidRPr="00CD4A1B">
        <w:rPr>
          <w:rStyle w:val="FootnoteReference"/>
        </w:rPr>
        <w:footnoteRef/>
      </w:r>
      <w:r w:rsidRPr="00CD4A1B">
        <w:t xml:space="preserve"> Petition at 2-3.</w:t>
      </w:r>
    </w:p>
  </w:footnote>
  <w:footnote w:id="6">
    <w:p w14:paraId="3D33381B" w14:textId="5284122E" w:rsidR="002A5018" w:rsidRDefault="002A5018" w:rsidP="002A5018">
      <w:pPr>
        <w:pStyle w:val="FootnoteText"/>
      </w:pPr>
      <w:r>
        <w:rPr>
          <w:rStyle w:val="FootnoteReference"/>
        </w:rPr>
        <w:footnoteRef/>
      </w:r>
      <w:r>
        <w:t xml:space="preserve"> For ins</w:t>
      </w:r>
      <w:r w:rsidR="00EE1595">
        <w:t xml:space="preserve">tance, Saga claims </w:t>
      </w:r>
      <w:r w:rsidR="00DF450F">
        <w:t>that “personnel</w:t>
      </w:r>
      <w:r>
        <w:t xml:space="preserve"> have been receiving reports from listeners of WLZX … that they are receiving interference to reception of that station due to the presence of WLCQ-LP …,” Petition at 2, but does not include any actual listener complaints of interference.  </w:t>
      </w:r>
    </w:p>
  </w:footnote>
  <w:footnote w:id="7">
    <w:p w14:paraId="70FC36C0" w14:textId="77777777" w:rsidR="002A5018" w:rsidRPr="00CD4A1B" w:rsidRDefault="002A5018" w:rsidP="002A5018">
      <w:pPr>
        <w:pStyle w:val="FootnoteText"/>
      </w:pPr>
      <w:r w:rsidRPr="00CD4A1B">
        <w:rPr>
          <w:rStyle w:val="FootnoteReference"/>
        </w:rPr>
        <w:footnoteRef/>
      </w:r>
      <w:r w:rsidRPr="00CD4A1B">
        <w:t xml:space="preserve"> Petition, Attach. B at 2 (“WLCQ-LP remains fully spaced under § 73.807(a)(1) toward WLZX(FM) ….”).</w:t>
      </w:r>
    </w:p>
  </w:footnote>
  <w:footnote w:id="8">
    <w:p w14:paraId="16CD66E1" w14:textId="77777777" w:rsidR="002A5018" w:rsidRPr="00CD4A1B" w:rsidRDefault="002A5018" w:rsidP="002A5018">
      <w:pPr>
        <w:pStyle w:val="FootnoteText"/>
      </w:pPr>
      <w:r w:rsidRPr="00CD4A1B">
        <w:rPr>
          <w:rStyle w:val="FootnoteReference"/>
        </w:rPr>
        <w:footnoteRef/>
      </w:r>
      <w:r w:rsidRPr="00CD4A1B">
        <w:t xml:space="preserve"> </w:t>
      </w:r>
      <w:r w:rsidRPr="00CD4A1B">
        <w:rPr>
          <w:i/>
        </w:rPr>
        <w:t>Id</w:t>
      </w:r>
      <w:r w:rsidRPr="00CD4A1B">
        <w:t>.</w:t>
      </w:r>
    </w:p>
  </w:footnote>
  <w:footnote w:id="9">
    <w:p w14:paraId="55228BDD" w14:textId="77777777" w:rsidR="002A5018" w:rsidRPr="00D03945" w:rsidRDefault="002A5018" w:rsidP="002A5018">
      <w:pPr>
        <w:pStyle w:val="FootnoteText"/>
      </w:pPr>
      <w:r w:rsidRPr="00D03945">
        <w:rPr>
          <w:rStyle w:val="FootnoteReference"/>
        </w:rPr>
        <w:footnoteRef/>
      </w:r>
      <w:r w:rsidRPr="00D03945">
        <w:t xml:space="preserve"> 47 CFR 1.1307.</w:t>
      </w:r>
    </w:p>
  </w:footnote>
  <w:footnote w:id="10">
    <w:p w14:paraId="295C8A15" w14:textId="77777777" w:rsidR="002A5018" w:rsidRPr="00D03945" w:rsidRDefault="002A5018" w:rsidP="002A5018">
      <w:pPr>
        <w:pStyle w:val="FootnoteText"/>
      </w:pPr>
      <w:r w:rsidRPr="00D03945">
        <w:rPr>
          <w:rStyle w:val="FootnoteReference"/>
        </w:rPr>
        <w:footnoteRef/>
      </w:r>
      <w:r w:rsidRPr="00D03945">
        <w:t xml:space="preserve"> 47 CFR 1.1306.</w:t>
      </w:r>
    </w:p>
  </w:footnote>
  <w:footnote w:id="11">
    <w:p w14:paraId="5E2A1793" w14:textId="77777777" w:rsidR="002A5018" w:rsidRPr="00CD4A1B" w:rsidRDefault="002A5018" w:rsidP="002A5018">
      <w:pPr>
        <w:pStyle w:val="FootnoteText"/>
      </w:pPr>
      <w:r w:rsidRPr="00D03945">
        <w:rPr>
          <w:rStyle w:val="FootnoteReference"/>
        </w:rPr>
        <w:footnoteRef/>
      </w:r>
      <w:r w:rsidRPr="00D03945">
        <w:t xml:space="preserve"> 47 CFR 1.1307(a)(4).</w:t>
      </w:r>
    </w:p>
  </w:footnote>
  <w:footnote w:id="12">
    <w:p w14:paraId="0FD75B57" w14:textId="77777777" w:rsidR="002A5018" w:rsidRPr="00CD4A1B" w:rsidRDefault="002A5018" w:rsidP="002A5018">
      <w:pPr>
        <w:pStyle w:val="FootnoteText"/>
      </w:pPr>
      <w:r w:rsidRPr="00CD4A1B">
        <w:rPr>
          <w:rStyle w:val="FootnoteReference"/>
        </w:rPr>
        <w:footnoteRef/>
      </w:r>
      <w:r w:rsidRPr="00CD4A1B">
        <w:t xml:space="preserve"> 47 CFR 1.1306 Note 1.  </w:t>
      </w:r>
      <w:r w:rsidRPr="00C61182">
        <w:rPr>
          <w:i/>
        </w:rPr>
        <w:t>Acceleration of Broadband Deployment by Improving Wireless Facilities Siting Policies</w:t>
      </w:r>
      <w:r>
        <w:t xml:space="preserve">, Notice of Proposed Rulemaking, 28 FCC Rcd 14238, 14260 para. 58 (2013) (explaining that “Note 1 to Section 1.1306, which provides a categorical exclusion for collocations on an existing building or antenna tower for most purposes under NEPA, does not extend to review under Section 106” of the NHPA); </w:t>
      </w:r>
      <w:r w:rsidRPr="00575F1C">
        <w:rPr>
          <w:i/>
        </w:rPr>
        <w:t>Amendment of the Commission’s Rules with Regard to Commercial Operations in the 3550-3650 MHz Band</w:t>
      </w:r>
      <w:r>
        <w:t>, Notice of Proposed Rulemaking and Order, 27 FCC Rcd 15594, 15639 para. 140 (2012) (“Antennas mounted on an existing building or antenna tower are generally excluded from review for environmental effects other than RF exposure or, in some instances, effects on historic properties.”).</w:t>
      </w:r>
    </w:p>
  </w:footnote>
  <w:footnote w:id="13">
    <w:p w14:paraId="53D7D286" w14:textId="7650026B" w:rsidR="002A5018" w:rsidRPr="00CD4A1B" w:rsidRDefault="002A5018" w:rsidP="002A5018">
      <w:pPr>
        <w:pStyle w:val="FootnoteText"/>
      </w:pPr>
      <w:r w:rsidRPr="00CD4A1B">
        <w:rPr>
          <w:rStyle w:val="FootnoteReference"/>
        </w:rPr>
        <w:footnoteRef/>
      </w:r>
      <w:r w:rsidRPr="00CD4A1B">
        <w:t xml:space="preserve"> Petition at 4-6.  We note that, for purposes of this argument, Saga treats the 2001 Permit Application as proposing to install the Station’s tower and antenna on Lighthouse’s church building.  </w:t>
      </w:r>
      <w:r>
        <w:t>Petition at 5 (discussing “the 19</w:t>
      </w:r>
      <w:r w:rsidRPr="00FC6682">
        <w:rPr>
          <w:vertAlign w:val="superscript"/>
        </w:rPr>
        <w:t>th</w:t>
      </w:r>
      <w:r>
        <w:t xml:space="preserve"> century church building” and noting the building “on which the roof-mounted tower/antenna remains mounted was constructed in 1900”).  </w:t>
      </w:r>
      <w:r w:rsidRPr="00CD4A1B">
        <w:t xml:space="preserve">As </w:t>
      </w:r>
      <w:r>
        <w:t>discussed</w:t>
      </w:r>
      <w:r w:rsidR="00E9357D">
        <w:t xml:space="preserve"> later in this decision</w:t>
      </w:r>
      <w:r>
        <w:t>,</w:t>
      </w:r>
      <w:r w:rsidRPr="00CD4A1B">
        <w:t xml:space="preserve"> the </w:t>
      </w:r>
      <w:r>
        <w:t>2001 Permit Application</w:t>
      </w:r>
      <w:r w:rsidRPr="00CD4A1B">
        <w:t xml:space="preserve"> actually included the wrong coordinates, specifying a site </w:t>
      </w:r>
      <w:r w:rsidR="00B67146">
        <w:t>364 feet</w:t>
      </w:r>
      <w:r w:rsidRPr="00CD4A1B">
        <w:t xml:space="preserve"> from the church.  Given that Lighthouse has stated it always intended to locate the Station’s tower and antenna on the church building, </w:t>
      </w:r>
      <w:r>
        <w:t xml:space="preserve">Opposition to Petition to Revoke at 2-3 and Attach. A, </w:t>
      </w:r>
      <w:r w:rsidRPr="00CD4A1B">
        <w:t xml:space="preserve">for the purposes of our consideration of the environmental </w:t>
      </w:r>
      <w:r>
        <w:t>and historic preservation review</w:t>
      </w:r>
      <w:r w:rsidRPr="00CD4A1B">
        <w:t xml:space="preserve"> issues raised by Saga, we treat the location of the Station</w:t>
      </w:r>
      <w:r>
        <w:t>’s tower and antenna</w:t>
      </w:r>
      <w:r w:rsidRPr="00CD4A1B">
        <w:t xml:space="preserve"> as being </w:t>
      </w:r>
      <w:r>
        <w:t xml:space="preserve">on top of </w:t>
      </w:r>
      <w:r w:rsidRPr="00CD4A1B">
        <w:t xml:space="preserve">the church building.  </w:t>
      </w:r>
    </w:p>
  </w:footnote>
  <w:footnote w:id="14">
    <w:p w14:paraId="19B4482E" w14:textId="6FA7C986" w:rsidR="002A5018" w:rsidRPr="00CD4A1B" w:rsidRDefault="002A5018" w:rsidP="002A5018">
      <w:pPr>
        <w:pStyle w:val="FootnoteText"/>
        <w:spacing w:before="120"/>
      </w:pPr>
      <w:r w:rsidRPr="00CD4A1B">
        <w:rPr>
          <w:rStyle w:val="FootnoteReference"/>
        </w:rPr>
        <w:footnoteRef/>
      </w:r>
      <w:r w:rsidRPr="00CD4A1B">
        <w:t xml:space="preserve"> 47 U.S.C. § 405(a) (“A petition for reconsideration must be filed within thirty days from the date upon which public notice is given of the order, decision, re</w:t>
      </w:r>
      <w:r w:rsidR="00771F68">
        <w:t xml:space="preserve">port or action complained of.”); </w:t>
      </w:r>
      <w:r w:rsidR="00771F68" w:rsidRPr="00A72C9A">
        <w:rPr>
          <w:i/>
        </w:rPr>
        <w:t>Citylight Ministry Center</w:t>
      </w:r>
      <w:r w:rsidR="00771F68">
        <w:t xml:space="preserve">, </w:t>
      </w:r>
      <w:r w:rsidR="00DF450F">
        <w:t>Memorandum</w:t>
      </w:r>
      <w:r w:rsidR="00771F68">
        <w:t xml:space="preserve"> </w:t>
      </w:r>
      <w:r w:rsidR="00434946">
        <w:t>Opinion</w:t>
      </w:r>
      <w:r w:rsidR="00771F68">
        <w:t xml:space="preserve"> and Order, </w:t>
      </w:r>
      <w:r w:rsidR="00A72C9A">
        <w:t>20 FCC Rcd 10179</w:t>
      </w:r>
      <w:r w:rsidR="00771F68">
        <w:t xml:space="preserve"> (2005)</w:t>
      </w:r>
      <w:r w:rsidR="00A72C9A">
        <w:t>.</w:t>
      </w:r>
      <w:r w:rsidR="00771F68">
        <w:t xml:space="preserve"> </w:t>
      </w:r>
    </w:p>
  </w:footnote>
  <w:footnote w:id="15">
    <w:p w14:paraId="3441DCF6" w14:textId="764EC6C9" w:rsidR="002A5018" w:rsidRPr="00CD4A1B" w:rsidRDefault="002A5018" w:rsidP="002A5018">
      <w:pPr>
        <w:pStyle w:val="FootnoteText"/>
        <w:spacing w:before="120"/>
      </w:pPr>
      <w:r w:rsidRPr="00CD4A1B">
        <w:rPr>
          <w:rStyle w:val="FootnoteReference"/>
        </w:rPr>
        <w:footnoteRef/>
      </w:r>
      <w:r w:rsidRPr="00CD4A1B">
        <w:t xml:space="preserve"> </w:t>
      </w:r>
      <w:r w:rsidRPr="00CD4A1B">
        <w:rPr>
          <w:i/>
          <w:iCs/>
        </w:rPr>
        <w:t>See Reuters Ltd. v. FCC</w:t>
      </w:r>
      <w:r w:rsidR="00E9357D">
        <w:t>, 781 F.2d 946, 95</w:t>
      </w:r>
      <w:r w:rsidRPr="00CD4A1B">
        <w:t xml:space="preserve"> (D.C. Cir. 1986) (“[W]e conclude that the Commission acted beyond its lawful authority when it entertained the belated petition for reconsideration.”).  </w:t>
      </w:r>
      <w:r w:rsidRPr="00CD4A1B">
        <w:rPr>
          <w:i/>
          <w:iCs/>
        </w:rPr>
        <w:t>See also Metromedia Inc</w:t>
      </w:r>
      <w:r w:rsidRPr="00CD4A1B">
        <w:t>., Memorandum Opinion an</w:t>
      </w:r>
      <w:r w:rsidR="00E9357D">
        <w:t>d Order, 56 FCC 2d 909, 909-10 para.</w:t>
      </w:r>
      <w:r w:rsidRPr="00CD4A1B">
        <w:t xml:space="preserve"> 2 (1975) (Commission may not waive 30-day filing period to accept a petition for reconsideration filed one day late); </w:t>
      </w:r>
      <w:r w:rsidRPr="00CD4A1B">
        <w:rPr>
          <w:i/>
          <w:iCs/>
        </w:rPr>
        <w:t>Fortuna Systems Corp</w:t>
      </w:r>
      <w:r w:rsidRPr="00CD4A1B">
        <w:t>., Order on Reconsi</w:t>
      </w:r>
      <w:r w:rsidR="00EE1595">
        <w:t>deration, 3 FCC Rcd 5122, 5123 para.</w:t>
      </w:r>
      <w:r w:rsidRPr="00CD4A1B">
        <w:t xml:space="preserve"> 9 (CCB 1988).  Specifically, the courts have held that the Commission may not accept untimely reconsideration petitions in the absence of extremely unusual circumstances.  </w:t>
      </w:r>
      <w:r w:rsidRPr="00CD4A1B">
        <w:rPr>
          <w:i/>
          <w:iCs/>
        </w:rPr>
        <w:t>See, e.g., Virgin Islands Tel. Corp. v. FCC</w:t>
      </w:r>
      <w:r w:rsidRPr="00CD4A1B">
        <w:t>, 989 F.2d 1231, 1237 (D.C. Cir. 1993).</w:t>
      </w:r>
    </w:p>
  </w:footnote>
  <w:footnote w:id="16">
    <w:p w14:paraId="5DC69172" w14:textId="77777777" w:rsidR="002A5018" w:rsidRPr="00CD4A1B" w:rsidRDefault="002A5018" w:rsidP="002A5018">
      <w:pPr>
        <w:pStyle w:val="FootnoteText"/>
        <w:spacing w:before="120"/>
      </w:pPr>
      <w:r w:rsidRPr="00CD4A1B">
        <w:rPr>
          <w:rStyle w:val="FootnoteReference"/>
        </w:rPr>
        <w:footnoteRef/>
      </w:r>
      <w:r w:rsidRPr="00CD4A1B">
        <w:t xml:space="preserve"> </w:t>
      </w:r>
      <w:r w:rsidRPr="00CD4A1B">
        <w:rPr>
          <w:i/>
          <w:iCs/>
        </w:rPr>
        <w:t>See, e.g., MCI Telecommunications Corp. v. Pacific Northwest Bell Telephone Co</w:t>
      </w:r>
      <w:r w:rsidRPr="00CD4A1B">
        <w:t xml:space="preserve">., Memorandum Opinion and Order, 5 FCC Rcd 216, 228 n.38 (1990), </w:t>
      </w:r>
      <w:r w:rsidRPr="00CD4A1B">
        <w:rPr>
          <w:i/>
        </w:rPr>
        <w:t>recon. denied</w:t>
      </w:r>
      <w:r w:rsidRPr="00CD4A1B">
        <w:t xml:space="preserve">, 5 FCC Rcd 3463 (1990), </w:t>
      </w:r>
      <w:r w:rsidRPr="00CD4A1B">
        <w:rPr>
          <w:i/>
        </w:rPr>
        <w:t>appeal dismissed sub nom</w:t>
      </w:r>
      <w:r w:rsidRPr="00CD4A1B">
        <w:t xml:space="preserve">. </w:t>
      </w:r>
      <w:r w:rsidRPr="00CD4A1B">
        <w:rPr>
          <w:i/>
          <w:iCs/>
        </w:rPr>
        <w:t>Mountain States Tel. and Tel. Co. v. FCC</w:t>
      </w:r>
      <w:r w:rsidRPr="00CD4A1B">
        <w:t>, 951 F.2d 1259 (10th Cir. 1991) (</w:t>
      </w:r>
      <w:r w:rsidRPr="00CD4A1B">
        <w:rPr>
          <w:i/>
          <w:iCs/>
        </w:rPr>
        <w:t>per curiam</w:t>
      </w:r>
      <w:r w:rsidRPr="00CD4A1B">
        <w:t>).</w:t>
      </w:r>
    </w:p>
  </w:footnote>
  <w:footnote w:id="17">
    <w:p w14:paraId="25C6B894" w14:textId="77777777" w:rsidR="002A5018" w:rsidRPr="00CD4A1B" w:rsidRDefault="002A5018" w:rsidP="002A5018">
      <w:pPr>
        <w:pStyle w:val="FootnoteText"/>
      </w:pPr>
      <w:r w:rsidRPr="00CD4A1B">
        <w:rPr>
          <w:rStyle w:val="FootnoteReference"/>
        </w:rPr>
        <w:footnoteRef/>
      </w:r>
      <w:r w:rsidRPr="00CD4A1B">
        <w:t xml:space="preserve"> Opposition to Petition to Revoke at 4.</w:t>
      </w:r>
    </w:p>
  </w:footnote>
  <w:footnote w:id="18">
    <w:p w14:paraId="61DE4B05" w14:textId="1663AAAF" w:rsidR="008C2D2E" w:rsidRDefault="008C2D2E" w:rsidP="008C2D2E">
      <w:pPr>
        <w:pStyle w:val="FootnoteText"/>
      </w:pPr>
      <w:r>
        <w:rPr>
          <w:rStyle w:val="FootnoteReference"/>
        </w:rPr>
        <w:footnoteRef/>
      </w:r>
      <w:r>
        <w:t xml:space="preserve"> </w:t>
      </w:r>
      <w:r w:rsidR="005A2785" w:rsidRPr="00AE62CE">
        <w:t>File No. BPL-20151102AHI, Attach. 14</w:t>
      </w:r>
      <w:r w:rsidR="00AE62CE">
        <w:t xml:space="preserve"> (DEA Report)</w:t>
      </w:r>
      <w:r w:rsidR="00AE62CE" w:rsidRPr="00AE62CE">
        <w:t>.</w:t>
      </w:r>
      <w:r w:rsidRPr="00AE62CE">
        <w:t xml:space="preserve"> </w:t>
      </w:r>
      <w:r>
        <w:t xml:space="preserve"> </w:t>
      </w:r>
      <w:r w:rsidR="00E46831">
        <w:t xml:space="preserve">Saga criticized </w:t>
      </w:r>
      <w:r w:rsidR="000F2822">
        <w:t>the DEA Report, pointing out that</w:t>
      </w:r>
      <w:r w:rsidR="00E46831">
        <w:t xml:space="preserve"> Lighthouse and/or DEA had stated that the proposed facilities had not yet been constructed</w:t>
      </w:r>
      <w:r w:rsidR="000F2822">
        <w:t xml:space="preserve"> in communications with certain Native American Tribes, one municipality, one historical association, and the Massachusetts Historical Commission</w:t>
      </w:r>
      <w:r w:rsidR="00E46831">
        <w:t xml:space="preserve">.  Reply to Opposition to Informal Objection at 3-4.  </w:t>
      </w:r>
      <w:r w:rsidR="000F2822">
        <w:t xml:space="preserve">In response, </w:t>
      </w:r>
      <w:r>
        <w:t xml:space="preserve">Lighthouse submitted a revised version of the </w:t>
      </w:r>
      <w:r w:rsidR="000F2822">
        <w:t>report</w:t>
      </w:r>
      <w:r>
        <w:t xml:space="preserve">.  </w:t>
      </w:r>
      <w:r w:rsidR="00AE62CE">
        <w:t xml:space="preserve">Statement for the Record, Attach. A.  </w:t>
      </w:r>
      <w:r w:rsidR="000F2822">
        <w:t>The revised report documents</w:t>
      </w:r>
      <w:r>
        <w:t xml:space="preserve"> additional communications with </w:t>
      </w:r>
      <w:r w:rsidR="000F2822">
        <w:t>these</w:t>
      </w:r>
      <w:r>
        <w:t xml:space="preserve"> </w:t>
      </w:r>
      <w:r w:rsidR="000F2822">
        <w:t>parties</w:t>
      </w:r>
      <w:r>
        <w:t xml:space="preserve">.  These communications did not affect the conclusion </w:t>
      </w:r>
      <w:r w:rsidR="00E46831">
        <w:t xml:space="preserve">DEA </w:t>
      </w:r>
      <w:r>
        <w:t>reached in the study.</w:t>
      </w:r>
    </w:p>
  </w:footnote>
  <w:footnote w:id="19">
    <w:p w14:paraId="53A3CA66" w14:textId="526839BA" w:rsidR="002A5018" w:rsidRPr="009771D4" w:rsidRDefault="002A5018" w:rsidP="00077929">
      <w:pPr>
        <w:widowControl/>
        <w:autoSpaceDE w:val="0"/>
        <w:autoSpaceDN w:val="0"/>
        <w:adjustRightInd w:val="0"/>
        <w:spacing w:after="120"/>
        <w:rPr>
          <w:rFonts w:ascii="Verdana" w:hAnsi="Verdana" w:cs="Verdana"/>
          <w:snapToGrid/>
          <w:kern w:val="0"/>
          <w:sz w:val="20"/>
        </w:rPr>
      </w:pPr>
      <w:r>
        <w:rPr>
          <w:rStyle w:val="FootnoteReference"/>
        </w:rPr>
        <w:footnoteRef/>
      </w:r>
      <w:r>
        <w:t xml:space="preserve"> </w:t>
      </w:r>
      <w:r w:rsidR="00AE62CE" w:rsidRPr="00AE62CE">
        <w:rPr>
          <w:sz w:val="20"/>
        </w:rPr>
        <w:t>DEA Report, Appx. 1.</w:t>
      </w:r>
      <w:r w:rsidR="00AE62CE" w:rsidRPr="00AE62CE">
        <w:rPr>
          <w:b/>
          <w:sz w:val="20"/>
        </w:rPr>
        <w:t xml:space="preserve"> </w:t>
      </w:r>
      <w:r w:rsidR="009771D4" w:rsidRPr="00AE62CE">
        <w:rPr>
          <w:b/>
          <w:sz w:val="20"/>
        </w:rPr>
        <w:t xml:space="preserve"> </w:t>
      </w:r>
      <w:r w:rsidR="009771D4" w:rsidRPr="00AE62CE">
        <w:rPr>
          <w:sz w:val="20"/>
        </w:rPr>
        <w:t>DEA</w:t>
      </w:r>
      <w:r w:rsidR="009771D4" w:rsidRPr="009771D4">
        <w:rPr>
          <w:sz w:val="20"/>
        </w:rPr>
        <w:t xml:space="preserve"> </w:t>
      </w:r>
      <w:r w:rsidR="009771D4" w:rsidRPr="009771D4">
        <w:rPr>
          <w:snapToGrid/>
          <w:kern w:val="0"/>
          <w:sz w:val="20"/>
        </w:rPr>
        <w:t xml:space="preserve">submitted a follow up letter to the Massachusetts Historical Commission clarifying that the antenna at issue was an existing antenna, not a proposed installation. </w:t>
      </w:r>
      <w:r w:rsidR="009771D4">
        <w:rPr>
          <w:snapToGrid/>
          <w:kern w:val="0"/>
          <w:sz w:val="20"/>
        </w:rPr>
        <w:t>At</w:t>
      </w:r>
      <w:r w:rsidR="009771D4" w:rsidRPr="009771D4">
        <w:rPr>
          <w:snapToGrid/>
          <w:kern w:val="0"/>
          <w:sz w:val="20"/>
        </w:rPr>
        <w:t xml:space="preserve"> the time DEA </w:t>
      </w:r>
      <w:r w:rsidR="00077929">
        <w:rPr>
          <w:snapToGrid/>
          <w:kern w:val="0"/>
          <w:sz w:val="20"/>
        </w:rPr>
        <w:t>prepared</w:t>
      </w:r>
      <w:r w:rsidR="009771D4" w:rsidRPr="009771D4">
        <w:rPr>
          <w:snapToGrid/>
          <w:kern w:val="0"/>
          <w:sz w:val="20"/>
        </w:rPr>
        <w:t xml:space="preserve"> </w:t>
      </w:r>
      <w:r w:rsidR="00077929">
        <w:rPr>
          <w:snapToGrid/>
          <w:kern w:val="0"/>
          <w:sz w:val="20"/>
        </w:rPr>
        <w:t>its</w:t>
      </w:r>
      <w:r w:rsidR="009771D4" w:rsidRPr="009771D4">
        <w:rPr>
          <w:snapToGrid/>
          <w:kern w:val="0"/>
          <w:sz w:val="20"/>
        </w:rPr>
        <w:t xml:space="preserve"> revised study, the Massachusetts Historical Commission had not notified DEA (or Lighthouse) of any changes to its initial concurrence in DEA’s </w:t>
      </w:r>
      <w:r w:rsidR="009771D4">
        <w:rPr>
          <w:snapToGrid/>
          <w:kern w:val="0"/>
          <w:sz w:val="20"/>
        </w:rPr>
        <w:t>finding</w:t>
      </w:r>
      <w:r w:rsidR="009771D4" w:rsidRPr="009771D4">
        <w:rPr>
          <w:snapToGrid/>
          <w:kern w:val="0"/>
          <w:sz w:val="20"/>
        </w:rPr>
        <w:t>.</w:t>
      </w:r>
    </w:p>
  </w:footnote>
  <w:footnote w:id="20">
    <w:p w14:paraId="4D989394" w14:textId="77777777" w:rsidR="002A5018" w:rsidRPr="00CD4A1B" w:rsidRDefault="002A5018" w:rsidP="002A5018">
      <w:pPr>
        <w:pStyle w:val="FootnoteText"/>
      </w:pPr>
      <w:r w:rsidRPr="009771D4">
        <w:rPr>
          <w:rStyle w:val="FootnoteReference"/>
        </w:rPr>
        <w:footnoteRef/>
      </w:r>
      <w:r w:rsidRPr="009771D4">
        <w:t xml:space="preserve"> Petition at 6; Informal Objection at 2-3.</w:t>
      </w:r>
      <w:r w:rsidRPr="00CD4A1B">
        <w:t xml:space="preserve">  </w:t>
      </w:r>
    </w:p>
  </w:footnote>
  <w:footnote w:id="21">
    <w:p w14:paraId="232C4D11" w14:textId="6CFFCB7F" w:rsidR="00EE6D9F" w:rsidRDefault="00EE6D9F">
      <w:pPr>
        <w:pStyle w:val="FootnoteText"/>
      </w:pPr>
      <w:r>
        <w:rPr>
          <w:rStyle w:val="FootnoteReference"/>
        </w:rPr>
        <w:footnoteRef/>
      </w:r>
      <w:r>
        <w:t xml:space="preserve"> </w:t>
      </w:r>
      <w:r w:rsidRPr="005F32D7">
        <w:t xml:space="preserve">Petition at </w:t>
      </w:r>
      <w:r w:rsidR="005F32D7" w:rsidRPr="005F32D7">
        <w:t>5</w:t>
      </w:r>
      <w:r w:rsidRPr="005F32D7">
        <w:t>;</w:t>
      </w:r>
      <w:r>
        <w:rPr>
          <w:b/>
        </w:rPr>
        <w:t xml:space="preserve"> </w:t>
      </w:r>
      <w:r w:rsidRPr="00CD4A1B">
        <w:t>Informal Objection at 2</w:t>
      </w:r>
      <w:r>
        <w:t xml:space="preserve">.  </w:t>
      </w:r>
    </w:p>
  </w:footnote>
  <w:footnote w:id="22">
    <w:p w14:paraId="71627D83" w14:textId="41071BA4" w:rsidR="002A5018" w:rsidRPr="00CD4A1B" w:rsidRDefault="002A5018" w:rsidP="002A5018">
      <w:pPr>
        <w:pStyle w:val="FootnoteText"/>
      </w:pPr>
      <w:r w:rsidRPr="00CD4A1B">
        <w:rPr>
          <w:rStyle w:val="FootnoteReference"/>
        </w:rPr>
        <w:footnoteRef/>
      </w:r>
      <w:r w:rsidRPr="00CD4A1B">
        <w:t xml:space="preserve"> </w:t>
      </w:r>
      <w:r w:rsidR="00E47C07">
        <w:rPr>
          <w:snapToGrid w:val="0"/>
          <w:kern w:val="28"/>
        </w:rPr>
        <w:t xml:space="preserve">47 CFR pt. 1, App. B </w:t>
      </w:r>
      <w:r w:rsidR="00E47C07" w:rsidRPr="001208F8">
        <w:rPr>
          <w:snapToGrid w:val="0"/>
          <w:kern w:val="28"/>
        </w:rPr>
        <w:t>(Collocation Agreement).</w:t>
      </w:r>
      <w:r w:rsidR="00E47C07">
        <w:rPr>
          <w:snapToGrid w:val="0"/>
          <w:kern w:val="28"/>
        </w:rPr>
        <w:t xml:space="preserve">  </w:t>
      </w:r>
      <w:r w:rsidR="00E47C07">
        <w:rPr>
          <w:i/>
          <w:snapToGrid w:val="0"/>
          <w:kern w:val="28"/>
        </w:rPr>
        <w:t>S</w:t>
      </w:r>
      <w:r w:rsidR="00EE6D9F" w:rsidRPr="001208F8">
        <w:rPr>
          <w:i/>
          <w:snapToGrid w:val="0"/>
          <w:kern w:val="28"/>
        </w:rPr>
        <w:t>ee also</w:t>
      </w:r>
      <w:r w:rsidR="00EE6D9F" w:rsidRPr="001208F8">
        <w:rPr>
          <w:snapToGrid w:val="0"/>
          <w:kern w:val="28"/>
        </w:rPr>
        <w:t xml:space="preserve"> </w:t>
      </w:r>
      <w:r w:rsidR="00EE6D9F" w:rsidRPr="001208F8">
        <w:rPr>
          <w:i/>
          <w:snapToGrid w:val="0"/>
          <w:kern w:val="28"/>
        </w:rPr>
        <w:t xml:space="preserve">Wireless Telecommunications Bureau Announces Execution of Programmatic </w:t>
      </w:r>
      <w:bookmarkStart w:id="1" w:name="ctx11"/>
      <w:bookmarkEnd w:id="1"/>
      <w:r w:rsidR="00436480">
        <w:rPr>
          <w:i/>
          <w:noProof/>
        </w:rPr>
        <w:drawing>
          <wp:inline distT="0" distB="0" distL="0" distR="0" wp14:anchorId="635C39AC" wp14:editId="2F7BF231">
            <wp:extent cx="9525" cy="9525"/>
            <wp:effectExtent l="0" t="0" r="0" b="0"/>
            <wp:docPr id="3" name="Picture 2" descr="previous hit">
              <a:hlinkClick xmlns:a="http://schemas.openxmlformats.org/drawingml/2006/main"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hit">
                      <a:hlinkClick r:id="rId1"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2" w:name="a0j9j3t4r4"/>
      <w:r w:rsidR="00EE6D9F" w:rsidRPr="001208F8">
        <w:rPr>
          <w:i/>
          <w:snapToGrid w:val="0"/>
          <w:kern w:val="28"/>
        </w:rPr>
        <w:t>Agreement</w:t>
      </w:r>
      <w:r w:rsidR="00436480">
        <w:rPr>
          <w:i/>
          <w:noProof/>
        </w:rPr>
        <w:drawing>
          <wp:inline distT="0" distB="0" distL="0" distR="0" wp14:anchorId="641D5938" wp14:editId="44D1E0C6">
            <wp:extent cx="9525" cy="9525"/>
            <wp:effectExtent l="0" t="0" r="0" b="0"/>
            <wp:docPr id="4" name="Picture 4" descr="next hit">
              <a:hlinkClick xmlns:a="http://schemas.openxmlformats.org/drawingml/2006/main" r:id="rId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3"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r w:rsidR="00EE6D9F" w:rsidRPr="001208F8">
        <w:rPr>
          <w:i/>
          <w:snapToGrid w:val="0"/>
          <w:kern w:val="28"/>
        </w:rPr>
        <w:t xml:space="preserve"> with Respect to Collocating Wireless Antennas on Existing Structures, </w:t>
      </w:r>
      <w:r w:rsidR="00EE6D9F" w:rsidRPr="00E47C07">
        <w:rPr>
          <w:snapToGrid w:val="0"/>
          <w:kern w:val="28"/>
        </w:rPr>
        <w:t>Public Notice,</w:t>
      </w:r>
      <w:r w:rsidR="00EE6D9F" w:rsidRPr="001208F8">
        <w:rPr>
          <w:snapToGrid w:val="0"/>
          <w:kern w:val="28"/>
        </w:rPr>
        <w:t xml:space="preserve"> 16 FCC Rcd 5574 (WTB 2001)</w:t>
      </w:r>
      <w:r w:rsidR="00E47C07">
        <w:rPr>
          <w:snapToGrid w:val="0"/>
          <w:kern w:val="28"/>
        </w:rPr>
        <w:t>.</w:t>
      </w:r>
      <w:r w:rsidR="00667D69">
        <w:rPr>
          <w:snapToGrid w:val="0"/>
          <w:kern w:val="28"/>
        </w:rPr>
        <w:t xml:space="preserve">  </w:t>
      </w:r>
      <w:r w:rsidR="00667D69" w:rsidRPr="00CD4A1B">
        <w:t>Saga also relies on the Collocation Agreement in its Opposition to STA Request.  Oppo</w:t>
      </w:r>
      <w:r w:rsidR="00667D69">
        <w:t>sition to STA Request, Attach. at 3.</w:t>
      </w:r>
      <w:r w:rsidR="00667D69" w:rsidRPr="00CD4A1B">
        <w:t xml:space="preserve"> </w:t>
      </w:r>
      <w:r w:rsidR="00667D69">
        <w:t xml:space="preserve"> </w:t>
      </w:r>
    </w:p>
  </w:footnote>
  <w:footnote w:id="23">
    <w:p w14:paraId="6A76083E" w14:textId="4A3E054A" w:rsidR="002A5018" w:rsidRPr="00CD4A1B" w:rsidRDefault="002A5018" w:rsidP="002A5018">
      <w:pPr>
        <w:pStyle w:val="FootnoteText"/>
      </w:pPr>
      <w:r w:rsidRPr="00CD4A1B">
        <w:rPr>
          <w:rStyle w:val="FootnoteReference"/>
        </w:rPr>
        <w:footnoteRef/>
      </w:r>
      <w:r w:rsidRPr="00CD4A1B">
        <w:t xml:space="preserve"> Lighthouse itself also misreads the Collocation Agreement.  It asserts that the agreement </w:t>
      </w:r>
      <w:r>
        <w:t>did not and does</w:t>
      </w:r>
      <w:r w:rsidRPr="00CD4A1B">
        <w:t xml:space="preserve"> not apply to its construction of the tower on which the Station’s previous</w:t>
      </w:r>
      <w:r w:rsidR="000F2822">
        <w:t xml:space="preserve"> antenna was—</w:t>
      </w:r>
      <w:r w:rsidRPr="00CD4A1B">
        <w:t xml:space="preserve">and </w:t>
      </w:r>
      <w:r w:rsidR="000F2822">
        <w:t>its current antenna</w:t>
      </w:r>
      <w:r w:rsidRPr="00CD4A1B">
        <w:t xml:space="preserve"> </w:t>
      </w:r>
      <w:r w:rsidR="000F2822">
        <w:t>is—</w:t>
      </w:r>
      <w:r w:rsidRPr="00CD4A1B">
        <w:t xml:space="preserve">mounted.  Opposition to Petition to Revoke at 3.  According to Lighthouse, the Collocation Agreement applies to “co-location of wireless antennas, not broadcast facilities.”  </w:t>
      </w:r>
      <w:r w:rsidRPr="00131767">
        <w:rPr>
          <w:i/>
        </w:rPr>
        <w:t>Id</w:t>
      </w:r>
      <w:r w:rsidRPr="00CD4A1B">
        <w:t xml:space="preserve">.  Lighthouse is incorrect.  The Collocation Agreement “applies to wireless and broadcast facilities and is intended to streamline procedures for review of collocations of wireless and broadcast antennas and associated equipment </w:t>
      </w:r>
      <w:r>
        <w:t>…</w:t>
      </w:r>
      <w:r w:rsidRPr="00CD4A1B">
        <w:t xml:space="preserve"> on existing towers and other structures under the National </w:t>
      </w:r>
      <w:r w:rsidR="001208F8">
        <w:t>Historic Preservation Act</w:t>
      </w:r>
      <w:r w:rsidRPr="00CD4A1B">
        <w:t>.</w:t>
      </w:r>
      <w:r>
        <w:t>”</w:t>
      </w:r>
      <w:r w:rsidRPr="00CD4A1B">
        <w:t xml:space="preserve">  </w:t>
      </w:r>
      <w:r w:rsidR="00943EB5" w:rsidRPr="00412045">
        <w:rPr>
          <w:i/>
        </w:rPr>
        <w:t>Fact Sheet Regarding the Implementation of the Nationwide Programmatic Agreement with Respect to Collocating Wireless and Broadcast Facilities on Existing Towers and Structures</w:t>
      </w:r>
      <w:r w:rsidR="00943EB5" w:rsidRPr="00CD4A1B">
        <w:t xml:space="preserve">, </w:t>
      </w:r>
      <w:r w:rsidR="000A7E58">
        <w:t>67 Fed. Reg. 5282</w:t>
      </w:r>
      <w:r w:rsidR="000A7E58" w:rsidRPr="00CD4A1B">
        <w:t xml:space="preserve"> </w:t>
      </w:r>
      <w:r w:rsidR="00943EB5" w:rsidRPr="00CD4A1B">
        <w:t>(</w:t>
      </w:r>
      <w:r w:rsidR="004F5D74">
        <w:t xml:space="preserve">Feb. 5, </w:t>
      </w:r>
      <w:r w:rsidR="00943EB5" w:rsidRPr="00CD4A1B">
        <w:t>2002)</w:t>
      </w:r>
      <w:r w:rsidR="00EA556A">
        <w:t xml:space="preserve"> (</w:t>
      </w:r>
      <w:r w:rsidR="00EA556A" w:rsidRPr="000A7E58">
        <w:rPr>
          <w:i/>
        </w:rPr>
        <w:t>Fact Sheet</w:t>
      </w:r>
      <w:r w:rsidR="00EA556A">
        <w:t>)</w:t>
      </w:r>
      <w:r w:rsidR="00943EB5" w:rsidRPr="00CD4A1B">
        <w:t>.</w:t>
      </w:r>
    </w:p>
  </w:footnote>
  <w:footnote w:id="24">
    <w:p w14:paraId="4D2723E4" w14:textId="6496D1B6" w:rsidR="002A5018" w:rsidRPr="00CD4A1B" w:rsidRDefault="002A5018" w:rsidP="002A5018">
      <w:pPr>
        <w:pStyle w:val="FootnoteText"/>
      </w:pPr>
      <w:r w:rsidRPr="00CD4A1B">
        <w:rPr>
          <w:rStyle w:val="FootnoteReference"/>
        </w:rPr>
        <w:footnoteRef/>
      </w:r>
      <w:r w:rsidRPr="00CD4A1B">
        <w:t xml:space="preserve"> </w:t>
      </w:r>
      <w:r w:rsidRPr="00CD4A1B">
        <w:rPr>
          <w:bCs/>
        </w:rPr>
        <w:t xml:space="preserve">Collocation Agreement, Part IV.A.1.  </w:t>
      </w:r>
      <w:r w:rsidR="005F32D7" w:rsidRPr="005F32D7">
        <w:rPr>
          <w:bCs/>
          <w:i/>
        </w:rPr>
        <w:t>See also</w:t>
      </w:r>
      <w:r w:rsidR="005F32D7">
        <w:rPr>
          <w:bCs/>
        </w:rPr>
        <w:t xml:space="preserve"> </w:t>
      </w:r>
      <w:r w:rsidR="005F32D7" w:rsidRPr="002A5018">
        <w:rPr>
          <w:szCs w:val="22"/>
        </w:rPr>
        <w:t>Nationwide Programmatic Agreement</w:t>
      </w:r>
      <w:r w:rsidR="005F32D7">
        <w:rPr>
          <w:szCs w:val="22"/>
        </w:rPr>
        <w:t xml:space="preserve"> for Review of Effects on Historic Properties for Certain Undertakings Approved by the Federal Communications Commission, </w:t>
      </w:r>
      <w:r w:rsidR="005F32D7" w:rsidRPr="00943EB5">
        <w:t>47 CFR Part 1, App. C</w:t>
      </w:r>
      <w:r w:rsidR="005F32D7" w:rsidRPr="005F32D7">
        <w:t xml:space="preserve">. at </w:t>
      </w:r>
      <w:r w:rsidR="005F32D7">
        <w:t>Part I.A</w:t>
      </w:r>
      <w:r w:rsidR="005F32D7" w:rsidRPr="005F32D7">
        <w:t xml:space="preserve"> (NPA)</w:t>
      </w:r>
      <w:r w:rsidRPr="005F32D7">
        <w:t>.</w:t>
      </w:r>
      <w:r w:rsidRPr="00CD4A1B">
        <w:t xml:space="preserve">  </w:t>
      </w:r>
    </w:p>
  </w:footnote>
  <w:footnote w:id="25">
    <w:p w14:paraId="7198B4D9" w14:textId="3CBB0719" w:rsidR="002A5018" w:rsidRPr="001208F8" w:rsidRDefault="002A5018" w:rsidP="002A5018">
      <w:pPr>
        <w:pStyle w:val="FootnoteText"/>
        <w:rPr>
          <w:b/>
        </w:rPr>
      </w:pPr>
      <w:r w:rsidRPr="00CD4A1B">
        <w:rPr>
          <w:rStyle w:val="FootnoteReference"/>
        </w:rPr>
        <w:footnoteRef/>
      </w:r>
      <w:r w:rsidRPr="00CD4A1B">
        <w:t xml:space="preserve"> The Collocation Agreement defines a tower as “any structure built for the sole or primary purpose of supporting antennas and their associated facilities used to provide FCC-licensed service.”  </w:t>
      </w:r>
      <w:r w:rsidR="005F32D7" w:rsidRPr="005F32D7">
        <w:t>Collocation Agreement, Part I.A.</w:t>
      </w:r>
    </w:p>
  </w:footnote>
  <w:footnote w:id="26">
    <w:p w14:paraId="0A5ECC91" w14:textId="77777777" w:rsidR="002A5018" w:rsidRPr="00CD4A1B" w:rsidRDefault="002A5018" w:rsidP="002A5018">
      <w:pPr>
        <w:pStyle w:val="FootnoteText"/>
      </w:pPr>
      <w:r w:rsidRPr="00CD4A1B">
        <w:rPr>
          <w:rStyle w:val="FootnoteReference"/>
        </w:rPr>
        <w:footnoteRef/>
      </w:r>
      <w:r w:rsidRPr="00CD4A1B">
        <w:t xml:space="preserve"> The fact that the tower is built on top of a building does not change that fact.</w:t>
      </w:r>
    </w:p>
  </w:footnote>
  <w:footnote w:id="27">
    <w:p w14:paraId="71DA8128" w14:textId="29AAC5D3" w:rsidR="002A5018" w:rsidRDefault="002A5018" w:rsidP="002A5018">
      <w:pPr>
        <w:pStyle w:val="FootnoteText"/>
      </w:pPr>
      <w:r>
        <w:rPr>
          <w:rStyle w:val="FootnoteReference"/>
        </w:rPr>
        <w:footnoteRef/>
      </w:r>
      <w:r>
        <w:t xml:space="preserve"> Saga asserts that its Petition constitutes a complaint that triggers historic preservation review under Part V.A.4. of the Collocation Agreement.  As explained in the text, Part V of the Collocation Agreement is not applicable to the facilities proposed in the 2015 Permit Application.  A similar provision, though, is set forth at Part IV.A.4.  Because we find historic preservation review is required under Part IV.A.1., we do not herein determine whether Saga’s Petition constitutes a complaint under this provision.   </w:t>
      </w:r>
    </w:p>
  </w:footnote>
  <w:footnote w:id="28">
    <w:p w14:paraId="6699DB5B" w14:textId="71636940" w:rsidR="002A5018" w:rsidRPr="00CD4A1B" w:rsidRDefault="002A5018" w:rsidP="002A5018">
      <w:pPr>
        <w:widowControl/>
        <w:autoSpaceDE w:val="0"/>
        <w:autoSpaceDN w:val="0"/>
        <w:adjustRightInd w:val="0"/>
        <w:spacing w:after="120"/>
        <w:rPr>
          <w:snapToGrid/>
          <w:sz w:val="20"/>
        </w:rPr>
      </w:pPr>
      <w:r w:rsidRPr="00CD4A1B">
        <w:rPr>
          <w:rStyle w:val="FootnoteReference"/>
        </w:rPr>
        <w:footnoteRef/>
      </w:r>
      <w:r w:rsidRPr="00CD4A1B">
        <w:rPr>
          <w:sz w:val="20"/>
        </w:rPr>
        <w:t xml:space="preserve"> </w:t>
      </w:r>
      <w:r w:rsidRPr="00943EB5">
        <w:rPr>
          <w:i/>
          <w:sz w:val="20"/>
        </w:rPr>
        <w:t xml:space="preserve">See </w:t>
      </w:r>
      <w:r w:rsidR="00665043">
        <w:rPr>
          <w:sz w:val="20"/>
        </w:rPr>
        <w:t>NPA,</w:t>
      </w:r>
      <w:r w:rsidR="00EA556A" w:rsidRPr="00665043">
        <w:rPr>
          <w:sz w:val="20"/>
        </w:rPr>
        <w:t xml:space="preserve"> Part I.C</w:t>
      </w:r>
      <w:r w:rsidR="00EA556A">
        <w:rPr>
          <w:sz w:val="20"/>
        </w:rPr>
        <w:t>.</w:t>
      </w:r>
      <w:r w:rsidRPr="00CD4A1B">
        <w:rPr>
          <w:sz w:val="20"/>
        </w:rPr>
        <w:t xml:space="preserve"> (</w:t>
      </w:r>
      <w:r w:rsidRPr="00CD4A1B">
        <w:rPr>
          <w:snapToGrid/>
          <w:sz w:val="20"/>
        </w:rPr>
        <w:t>stating that NPA “does not apply to Antenna Collocations that are exempt from Section 106 review under the Collocation Agreement” but does “apply to collocations that are not exempt from Section 106 review under the Collocation Agreement”).</w:t>
      </w:r>
    </w:p>
  </w:footnote>
  <w:footnote w:id="29">
    <w:p w14:paraId="37812DC4" w14:textId="254D6A85" w:rsidR="002A5018" w:rsidRPr="00CD4A1B" w:rsidRDefault="002A5018" w:rsidP="002A5018">
      <w:pPr>
        <w:widowControl/>
        <w:spacing w:after="120"/>
        <w:rPr>
          <w:snapToGrid/>
          <w:sz w:val="20"/>
        </w:rPr>
      </w:pPr>
      <w:r w:rsidRPr="00CD4A1B">
        <w:rPr>
          <w:rStyle w:val="FootnoteReference"/>
        </w:rPr>
        <w:footnoteRef/>
      </w:r>
      <w:r w:rsidRPr="00CD4A1B">
        <w:rPr>
          <w:sz w:val="20"/>
        </w:rPr>
        <w:t xml:space="preserve"> </w:t>
      </w:r>
      <w:r w:rsidRPr="00412045">
        <w:rPr>
          <w:i/>
          <w:sz w:val="20"/>
        </w:rPr>
        <w:t>Fact Sheet</w:t>
      </w:r>
      <w:r w:rsidRPr="00CD4A1B">
        <w:rPr>
          <w:sz w:val="20"/>
        </w:rPr>
        <w:t xml:space="preserve">, 67 Fed. Reg. </w:t>
      </w:r>
      <w:r w:rsidR="000A7E58">
        <w:rPr>
          <w:sz w:val="20"/>
        </w:rPr>
        <w:t>at</w:t>
      </w:r>
      <w:r w:rsidRPr="00CD4A1B">
        <w:rPr>
          <w:sz w:val="20"/>
        </w:rPr>
        <w:t xml:space="preserve"> 5283. </w:t>
      </w:r>
    </w:p>
  </w:footnote>
  <w:footnote w:id="30">
    <w:p w14:paraId="71C58DC5" w14:textId="77777777" w:rsidR="002A5018" w:rsidRPr="00CD4A1B" w:rsidRDefault="002A5018" w:rsidP="002A5018">
      <w:pPr>
        <w:pStyle w:val="FootnoteText"/>
      </w:pPr>
      <w:r w:rsidRPr="00CD4A1B">
        <w:rPr>
          <w:rStyle w:val="FootnoteReference"/>
        </w:rPr>
        <w:footnoteRef/>
      </w:r>
      <w:r w:rsidRPr="00CD4A1B">
        <w:t xml:space="preserve"> </w:t>
      </w:r>
      <w:r w:rsidRPr="00412045">
        <w:rPr>
          <w:i/>
        </w:rPr>
        <w:t>Id</w:t>
      </w:r>
      <w:r w:rsidRPr="00CD4A1B">
        <w:t xml:space="preserve">. at 5283 n.4.  </w:t>
      </w:r>
    </w:p>
  </w:footnote>
  <w:footnote w:id="31">
    <w:p w14:paraId="42DCA90A" w14:textId="77777777" w:rsidR="002A5018" w:rsidRPr="00CD4A1B" w:rsidRDefault="002A5018" w:rsidP="002A5018">
      <w:pPr>
        <w:pStyle w:val="FootnoteText"/>
      </w:pPr>
      <w:r w:rsidRPr="00CD4A1B">
        <w:rPr>
          <w:rStyle w:val="FootnoteReference"/>
        </w:rPr>
        <w:footnoteRef/>
      </w:r>
      <w:r w:rsidRPr="00CD4A1B">
        <w:t xml:space="preserve"> Opposition to Informal Objection, Attach. A at 1.2 (stating that Lighthouse “has installed a Low Power FM (LPFM) broadcast antenna and support pole on an existing church building rooftop”).</w:t>
      </w:r>
    </w:p>
  </w:footnote>
  <w:footnote w:id="32">
    <w:p w14:paraId="264DC2D2" w14:textId="77777777" w:rsidR="002A5018" w:rsidRPr="00CD4A1B" w:rsidRDefault="002A5018" w:rsidP="002A5018">
      <w:pPr>
        <w:pStyle w:val="FootnoteText"/>
      </w:pPr>
      <w:r w:rsidRPr="00CD4A1B">
        <w:rPr>
          <w:rStyle w:val="FootnoteReference"/>
        </w:rPr>
        <w:footnoteRef/>
      </w:r>
      <w:r w:rsidRPr="00CD4A1B">
        <w:t xml:space="preserve"> Opposition to Informal Objection, Attach. A at 13.</w:t>
      </w:r>
    </w:p>
  </w:footnote>
  <w:footnote w:id="33">
    <w:p w14:paraId="1037B222" w14:textId="31FC09E9" w:rsidR="002A5018" w:rsidRPr="00CD4A1B" w:rsidRDefault="002A5018" w:rsidP="002A5018">
      <w:pPr>
        <w:pStyle w:val="FootnoteText"/>
      </w:pPr>
      <w:r w:rsidRPr="00CD4A1B">
        <w:rPr>
          <w:rStyle w:val="FootnoteReference"/>
        </w:rPr>
        <w:footnoteRef/>
      </w:r>
      <w:r w:rsidRPr="00CD4A1B">
        <w:t xml:space="preserve"> </w:t>
      </w:r>
      <w:r w:rsidR="003F4CA1" w:rsidRPr="003F4CA1">
        <w:rPr>
          <w:i/>
        </w:rPr>
        <w:t>Acceleration of Broadband Deployment by Improving Wireless Facilities Siting Policies</w:t>
      </w:r>
      <w:r w:rsidR="003F4CA1">
        <w:t>, Report and Order, 29 FCC Rcd 12865</w:t>
      </w:r>
      <w:r w:rsidRPr="00CD4A1B">
        <w:t xml:space="preserve">, </w:t>
      </w:r>
      <w:r w:rsidR="003F4CA1">
        <w:t xml:space="preserve">12883 </w:t>
      </w:r>
      <w:r w:rsidRPr="00CD4A1B">
        <w:t>para. 38</w:t>
      </w:r>
      <w:r w:rsidR="003F4CA1">
        <w:t xml:space="preserve"> (2014) (</w:t>
      </w:r>
      <w:r w:rsidR="003F4CA1" w:rsidRPr="003F4CA1">
        <w:rPr>
          <w:i/>
        </w:rPr>
        <w:t>Wireless Infrastructure Report and Order</w:t>
      </w:r>
      <w:r w:rsidR="003F4CA1">
        <w:t>)</w:t>
      </w:r>
      <w:r w:rsidRPr="00CD4A1B">
        <w:t>.</w:t>
      </w:r>
    </w:p>
  </w:footnote>
  <w:footnote w:id="34">
    <w:p w14:paraId="43B96C89" w14:textId="2967E61D" w:rsidR="002A5018" w:rsidRPr="00CD4A1B" w:rsidRDefault="002A5018" w:rsidP="002A5018">
      <w:pPr>
        <w:pStyle w:val="FootnoteText"/>
      </w:pPr>
      <w:r w:rsidRPr="00CD4A1B">
        <w:rPr>
          <w:rStyle w:val="FootnoteReference"/>
        </w:rPr>
        <w:footnoteRef/>
      </w:r>
      <w:r w:rsidRPr="00CD4A1B">
        <w:t xml:space="preserve"> </w:t>
      </w:r>
      <w:r w:rsidRPr="00CD4A1B">
        <w:rPr>
          <w:i/>
        </w:rPr>
        <w:t>Amendment of the Commission’s Environmental Rules</w:t>
      </w:r>
      <w:r w:rsidRPr="00CD4A1B">
        <w:t xml:space="preserve">, Order, 3 FCC Rcd 4986, 4986 para. 7 (1988).  </w:t>
      </w:r>
      <w:r w:rsidRPr="003C08E9">
        <w:rPr>
          <w:i/>
        </w:rPr>
        <w:t>See also</w:t>
      </w:r>
      <w:r w:rsidRPr="00CD4A1B">
        <w:t xml:space="preserve">, </w:t>
      </w:r>
      <w:r w:rsidR="003F4CA1" w:rsidRPr="003F4CA1">
        <w:rPr>
          <w:i/>
        </w:rPr>
        <w:t>Wireless Infrastructure Report and Order</w:t>
      </w:r>
      <w:r w:rsidR="003F4CA1">
        <w:rPr>
          <w:i/>
        </w:rPr>
        <w:t xml:space="preserve">, </w:t>
      </w:r>
      <w:r w:rsidR="003F4CA1" w:rsidRPr="003F4CA1">
        <w:t>29 FCC Rcd at 12883</w:t>
      </w:r>
      <w:r w:rsidRPr="003F4CA1">
        <w:t xml:space="preserve"> para. 38</w:t>
      </w:r>
      <w:r w:rsidRPr="00CD4A1B">
        <w:t xml:space="preserve"> (“Note 1 reflects a preference first articulated by the Commission in 1974, and codified into Note 1 in 1986, that ‘[t]he use of existing buildings, towers or corridors is an environmentally desirable alternative to the construction of new facilities and is encouraged.’”).</w:t>
      </w:r>
    </w:p>
  </w:footnote>
  <w:footnote w:id="35">
    <w:p w14:paraId="3B85A7B9" w14:textId="77777777" w:rsidR="002A5018" w:rsidRPr="00CD4A1B" w:rsidRDefault="002A5018" w:rsidP="002A5018">
      <w:pPr>
        <w:pStyle w:val="FootnoteText"/>
      </w:pPr>
      <w:r w:rsidRPr="00CD4A1B">
        <w:rPr>
          <w:rStyle w:val="FootnoteReference"/>
        </w:rPr>
        <w:footnoteRef/>
      </w:r>
      <w:r w:rsidRPr="00CD4A1B">
        <w:t xml:space="preserve"> Opposition to STA Request at 2-3.  </w:t>
      </w:r>
    </w:p>
  </w:footnote>
  <w:footnote w:id="36">
    <w:p w14:paraId="118049E3" w14:textId="1C7CD3D2" w:rsidR="002A5018" w:rsidRPr="00CD4A1B" w:rsidRDefault="002A5018" w:rsidP="002A5018">
      <w:pPr>
        <w:pStyle w:val="FootnoteText"/>
      </w:pPr>
      <w:r w:rsidRPr="00CD4A1B">
        <w:rPr>
          <w:rStyle w:val="FootnoteReference"/>
        </w:rPr>
        <w:footnoteRef/>
      </w:r>
      <w:r w:rsidRPr="00CD4A1B">
        <w:t xml:space="preserve"> </w:t>
      </w:r>
      <w:r w:rsidR="00682DB2" w:rsidRPr="00682DB2">
        <w:rPr>
          <w:i/>
        </w:rPr>
        <w:t>Id</w:t>
      </w:r>
      <w:r w:rsidRPr="00CD4A1B">
        <w:t xml:space="preserve">.  </w:t>
      </w:r>
    </w:p>
  </w:footnote>
  <w:footnote w:id="37">
    <w:p w14:paraId="019F4F9A" w14:textId="293B7702" w:rsidR="002A5018" w:rsidRPr="00CD4A1B" w:rsidRDefault="002A5018" w:rsidP="002A5018">
      <w:pPr>
        <w:pStyle w:val="FootnoteText"/>
      </w:pPr>
      <w:r w:rsidRPr="00CD4A1B">
        <w:rPr>
          <w:rStyle w:val="FootnoteReference"/>
        </w:rPr>
        <w:footnoteRef/>
      </w:r>
      <w:r w:rsidR="00996082">
        <w:t xml:space="preserve"> NPA, Part III.C.1</w:t>
      </w:r>
      <w:r>
        <w:t xml:space="preserve"> </w:t>
      </w:r>
      <w:r w:rsidRPr="00A85AD7">
        <w:t xml:space="preserve">(excluding “[a] Tower or Antenna authorized by the Commission for a temporary period, such as any Facility authorized by a Commission grant of Special Temporary Authority”).  </w:t>
      </w:r>
      <w:r w:rsidRPr="00CD4A1B">
        <w:t>The NPA defines “temporary” as “for no more than twenty-four months duration.”  NPA, Part III.C.</w:t>
      </w:r>
    </w:p>
  </w:footnote>
  <w:footnote w:id="38">
    <w:p w14:paraId="296EEEBA" w14:textId="77777777" w:rsidR="00682DB2" w:rsidRDefault="00682DB2" w:rsidP="00682DB2">
      <w:pPr>
        <w:pStyle w:val="FootnoteText"/>
      </w:pPr>
      <w:r>
        <w:rPr>
          <w:rStyle w:val="FootnoteReference"/>
        </w:rPr>
        <w:footnoteRef/>
      </w:r>
      <w:r>
        <w:t xml:space="preserve"> </w:t>
      </w:r>
      <w:r w:rsidRPr="008865A4">
        <w:rPr>
          <w:i/>
          <w:iCs/>
        </w:rPr>
        <w:t>Fox River Broadcasting, Inc.</w:t>
      </w:r>
      <w:r w:rsidRPr="008865A4">
        <w:t>, Order, 93 F.C.C.2d 127, 129 (1983).</w:t>
      </w:r>
      <w:r>
        <w:t xml:space="preserve"> </w:t>
      </w:r>
    </w:p>
  </w:footnote>
  <w:footnote w:id="39">
    <w:p w14:paraId="1B2551E0" w14:textId="77777777" w:rsidR="002A5018" w:rsidRDefault="002A5018" w:rsidP="002A5018">
      <w:pPr>
        <w:pStyle w:val="FootnoteText"/>
      </w:pPr>
      <w:r>
        <w:rPr>
          <w:rStyle w:val="FootnoteReference"/>
        </w:rPr>
        <w:footnoteRef/>
      </w:r>
      <w:r>
        <w:t xml:space="preserve"> </w:t>
      </w:r>
      <w:r w:rsidRPr="008865A4">
        <w:rPr>
          <w:i/>
          <w:iCs/>
        </w:rPr>
        <w:t>San Francisco Unified School District</w:t>
      </w:r>
      <w:r w:rsidRPr="008865A4">
        <w:t>, Hearing Designation Order and Notice of Apparent Liability for Forfeiture, 19 FCC Rcd 13326, 13334 nn.40-41 (2004)</w:t>
      </w:r>
      <w:r>
        <w:t xml:space="preserve"> (subsequent history omitted).</w:t>
      </w:r>
    </w:p>
  </w:footnote>
  <w:footnote w:id="40">
    <w:p w14:paraId="01C2C244" w14:textId="4599A171" w:rsidR="002A5018" w:rsidRDefault="002A5018" w:rsidP="002A5018">
      <w:pPr>
        <w:pStyle w:val="FootnoteText"/>
      </w:pPr>
      <w:r>
        <w:rPr>
          <w:rStyle w:val="FootnoteReference"/>
        </w:rPr>
        <w:footnoteRef/>
      </w:r>
      <w:r>
        <w:t xml:space="preserve"> </w:t>
      </w:r>
      <w:hyperlink r:id="rId4" w:tgtFrame="_top" w:history="1">
        <w:r w:rsidRPr="003B56BB">
          <w:rPr>
            <w:i/>
            <w:iCs/>
          </w:rPr>
          <w:t>Leflore Broadcasting, Co., Inc. v. FCC</w:t>
        </w:r>
        <w:r w:rsidRPr="003B56BB">
          <w:t>, 636 F.2d 454, 462 (D.C. Cir. 1980</w:t>
        </w:r>
      </w:hyperlink>
      <w:r w:rsidRPr="003B56BB">
        <w:t>)</w:t>
      </w:r>
      <w:r>
        <w:t>.</w:t>
      </w:r>
    </w:p>
  </w:footnote>
  <w:footnote w:id="41">
    <w:p w14:paraId="27A34D8C" w14:textId="0335C0D1" w:rsidR="002A5018" w:rsidRDefault="002A5018" w:rsidP="002A5018">
      <w:pPr>
        <w:pStyle w:val="FootnoteText"/>
      </w:pPr>
      <w:r>
        <w:rPr>
          <w:rStyle w:val="FootnoteReference"/>
        </w:rPr>
        <w:footnoteRef/>
      </w:r>
      <w:r>
        <w:t xml:space="preserve"> </w:t>
      </w:r>
      <w:r w:rsidRPr="003B56BB">
        <w:rPr>
          <w:i/>
        </w:rPr>
        <w:t xml:space="preserve">See </w:t>
      </w:r>
      <w:hyperlink r:id="rId5" w:tgtFrame="_top" w:history="1">
        <w:r w:rsidRPr="003B56BB">
          <w:rPr>
            <w:i/>
            <w:iCs/>
          </w:rPr>
          <w:t>American International Development, Inc.</w:t>
        </w:r>
        <w:r w:rsidRPr="003B56BB">
          <w:t>, Memorandum Opinion and Order, 86 FCC 2d 808, 816 n.39 (1981)</w:t>
        </w:r>
      </w:hyperlink>
      <w:r w:rsidRPr="003B56BB">
        <w:t xml:space="preserve">, </w:t>
      </w:r>
      <w:r w:rsidRPr="003B56BB">
        <w:rPr>
          <w:i/>
          <w:iCs/>
        </w:rPr>
        <w:t xml:space="preserve">aff'd sub nom. </w:t>
      </w:r>
      <w:hyperlink r:id="rId6" w:tgtFrame="_top" w:history="1">
        <w:r w:rsidRPr="003B56BB">
          <w:rPr>
            <w:i/>
            <w:iCs/>
          </w:rPr>
          <w:t>KXIV, Inc. v. FCC,</w:t>
        </w:r>
        <w:r w:rsidRPr="003B56BB">
          <w:t xml:space="preserve"> 704 F.2d 1294 (D.C. Cir. 1983</w:t>
        </w:r>
      </w:hyperlink>
      <w:r w:rsidRPr="003B56BB">
        <w:t>).</w:t>
      </w:r>
    </w:p>
  </w:footnote>
  <w:footnote w:id="42">
    <w:p w14:paraId="3EE2B919" w14:textId="7E0BE532" w:rsidR="002A5018" w:rsidRDefault="002A5018" w:rsidP="002A5018">
      <w:pPr>
        <w:pStyle w:val="FootnoteText"/>
      </w:pPr>
      <w:r>
        <w:rPr>
          <w:rStyle w:val="FootnoteReference"/>
        </w:rPr>
        <w:footnoteRef/>
      </w:r>
      <w:r>
        <w:t xml:space="preserve"> </w:t>
      </w:r>
      <w:hyperlink r:id="rId7" w:tgtFrame="_top" w:history="1">
        <w:r w:rsidRPr="003B56BB">
          <w:rPr>
            <w:i/>
            <w:iCs/>
          </w:rPr>
          <w:t>Contemporary Media, Inc., v. FCC,</w:t>
        </w:r>
        <w:r w:rsidRPr="003B56BB">
          <w:t xml:space="preserve"> 214 F.3d 187, 196 (D.C. Cir. 2000)</w:t>
        </w:r>
      </w:hyperlink>
      <w:r w:rsidRPr="003B56BB">
        <w:t xml:space="preserve">.  </w:t>
      </w:r>
    </w:p>
  </w:footnote>
  <w:footnote w:id="43">
    <w:p w14:paraId="1AE3B845" w14:textId="64A7F514" w:rsidR="002A5018" w:rsidRDefault="002A5018" w:rsidP="002A5018">
      <w:pPr>
        <w:pStyle w:val="FootnoteText"/>
      </w:pPr>
      <w:r>
        <w:rPr>
          <w:rStyle w:val="FootnoteReference"/>
        </w:rPr>
        <w:footnoteRef/>
      </w:r>
      <w:r>
        <w:t xml:space="preserve"> </w:t>
      </w:r>
      <w:hyperlink r:id="rId8" w:tgtFrame="_top" w:history="1">
        <w:r>
          <w:t>47 CFR</w:t>
        </w:r>
        <w:r w:rsidRPr="003B56BB">
          <w:t xml:space="preserve"> § 1.17(a)(2)</w:t>
        </w:r>
      </w:hyperlink>
      <w:r w:rsidRPr="003B56BB">
        <w:t>.</w:t>
      </w:r>
    </w:p>
  </w:footnote>
  <w:footnote w:id="44">
    <w:p w14:paraId="2D20EDC8" w14:textId="48E010FB" w:rsidR="002A5018" w:rsidRDefault="002A5018" w:rsidP="002A5018">
      <w:pPr>
        <w:pStyle w:val="FootnoteText"/>
      </w:pPr>
      <w:r>
        <w:rPr>
          <w:rStyle w:val="FootnoteReference"/>
        </w:rPr>
        <w:footnoteRef/>
      </w:r>
      <w:r>
        <w:t xml:space="preserve"> </w:t>
      </w:r>
      <w:r w:rsidRPr="003B56BB">
        <w:rPr>
          <w:i/>
          <w:iCs/>
        </w:rPr>
        <w:t xml:space="preserve">See </w:t>
      </w:r>
      <w:hyperlink r:id="rId9" w:tgtFrame="_top" w:history="1">
        <w:r w:rsidRPr="003B56BB">
          <w:rPr>
            <w:i/>
            <w:iCs/>
          </w:rPr>
          <w:t>Amendment of Section 1.17 of the Commission's Rules Concerning Truthful Statements to the Commission</w:t>
        </w:r>
        <w:r w:rsidRPr="003B56BB">
          <w:t>, 18 FCC Rcd at 4017</w:t>
        </w:r>
      </w:hyperlink>
      <w:r w:rsidRPr="003B56BB">
        <w:t xml:space="preserve"> (stating that the revision to </w:t>
      </w:r>
      <w:hyperlink r:id="rId10" w:tgtFrame="_top" w:history="1">
        <w:r w:rsidRPr="003B56BB">
          <w:t>Section 1.17</w:t>
        </w:r>
      </w:hyperlink>
      <w:r w:rsidRPr="003B56BB">
        <w:t xml:space="preserve"> is intended to “prohibit incorrect statements or omissions that are the result of negligence, as well as an intent to deceive”).</w:t>
      </w:r>
    </w:p>
  </w:footnote>
  <w:footnote w:id="45">
    <w:p w14:paraId="634EECC4" w14:textId="67AF3ACE" w:rsidR="002A5018" w:rsidRDefault="002A5018" w:rsidP="002A5018">
      <w:pPr>
        <w:pStyle w:val="FootnoteText"/>
      </w:pPr>
      <w:r>
        <w:rPr>
          <w:rStyle w:val="FootnoteReference"/>
        </w:rPr>
        <w:footnoteRef/>
      </w:r>
      <w:r>
        <w:t xml:space="preserve"> Petition at 8 (alleging false environmental certification in 2001 Permit Application and false certification that Station was constructed as authorized in License Application)</w:t>
      </w:r>
      <w:r w:rsidR="00996082">
        <w:t>; Informal Objection at 2</w:t>
      </w:r>
      <w:r>
        <w:t xml:space="preserve">.  </w:t>
      </w:r>
    </w:p>
  </w:footnote>
  <w:footnote w:id="46">
    <w:p w14:paraId="65DE169C" w14:textId="2E3AC5DA" w:rsidR="002A5018" w:rsidRPr="00133DD0" w:rsidRDefault="002A5018" w:rsidP="002A5018">
      <w:pPr>
        <w:pStyle w:val="FootnoteText"/>
      </w:pPr>
      <w:r>
        <w:rPr>
          <w:rStyle w:val="FootnoteReference"/>
        </w:rPr>
        <w:footnoteRef/>
      </w:r>
      <w:r>
        <w:t xml:space="preserve"> </w:t>
      </w:r>
      <w:r>
        <w:rPr>
          <w:i/>
        </w:rPr>
        <w:t xml:space="preserve">See, e.g., </w:t>
      </w:r>
      <w:r w:rsidR="008F7D59">
        <w:rPr>
          <w:i/>
        </w:rPr>
        <w:t>Lazer Licenses, LLC</w:t>
      </w:r>
      <w:r w:rsidR="008F7D59">
        <w:t>, Memorandum Opinion and Order, 30 FCC Rcd 6357, 6359 para. 5 (MB 2015) (considering character-related allegations related to earlier application in evaluating later-filed ones);</w:t>
      </w:r>
      <w:r w:rsidR="008F7D59">
        <w:rPr>
          <w:i/>
        </w:rPr>
        <w:t xml:space="preserve"> </w:t>
      </w:r>
      <w:r>
        <w:rPr>
          <w:i/>
        </w:rPr>
        <w:t>Applications for Consent to Transfer of Control from License Subsidiaries of Allbritton Communications Co. to Sinclair Television Group, Inc.</w:t>
      </w:r>
      <w:r>
        <w:t>, 29 FCC Rcd 9156 (MB 2014) (</w:t>
      </w:r>
      <w:r w:rsidR="008F7D59">
        <w:t>same</w:t>
      </w:r>
      <w:r>
        <w:t xml:space="preserve">); </w:t>
      </w:r>
      <w:r>
        <w:rPr>
          <w:i/>
        </w:rPr>
        <w:t xml:space="preserve"> </w:t>
      </w:r>
      <w:r w:rsidRPr="00CC160F">
        <w:rPr>
          <w:i/>
          <w:iCs/>
        </w:rPr>
        <w:t>Apple 107.1</w:t>
      </w:r>
      <w:r w:rsidRPr="00CC160F">
        <w:t>,</w:t>
      </w:r>
      <w:r w:rsidRPr="00CC160F">
        <w:rPr>
          <w:i/>
          <w:iCs/>
        </w:rPr>
        <w:t xml:space="preserve"> Inc.</w:t>
      </w:r>
      <w:r w:rsidRPr="00CC160F">
        <w:t>, Memorandum Opinion and Order and Notice of Apparent Liability for Forfeiture, 28 FCC Rcd 15722 (MB 2013) (considering allegations of misrepresentation or lack of candor with respect to an earlier application when evaluating a later-filed one).</w:t>
      </w:r>
    </w:p>
  </w:footnote>
  <w:footnote w:id="47">
    <w:p w14:paraId="14163EBC" w14:textId="77777777" w:rsidR="002A5018" w:rsidRDefault="002A5018" w:rsidP="002A5018">
      <w:pPr>
        <w:pStyle w:val="FootnoteText"/>
      </w:pPr>
      <w:r>
        <w:rPr>
          <w:rStyle w:val="FootnoteReference"/>
        </w:rPr>
        <w:footnoteRef/>
      </w:r>
      <w:r>
        <w:t xml:space="preserve"> Opposition to Petition to Revoke at 2 and Attach. A.</w:t>
      </w:r>
    </w:p>
  </w:footnote>
  <w:footnote w:id="48">
    <w:p w14:paraId="34716087" w14:textId="77777777" w:rsidR="002A5018" w:rsidRDefault="002A5018" w:rsidP="002A5018">
      <w:pPr>
        <w:pStyle w:val="FootnoteText"/>
      </w:pPr>
      <w:r>
        <w:rPr>
          <w:rStyle w:val="FootnoteReference"/>
        </w:rPr>
        <w:footnoteRef/>
      </w:r>
      <w:r>
        <w:t xml:space="preserve"> </w:t>
      </w:r>
      <w:r w:rsidRPr="00637684">
        <w:rPr>
          <w:i/>
        </w:rPr>
        <w:t>Id</w:t>
      </w:r>
      <w:r>
        <w:t>. at 2.</w:t>
      </w:r>
    </w:p>
  </w:footnote>
  <w:footnote w:id="49">
    <w:p w14:paraId="7C90F7A7" w14:textId="77777777" w:rsidR="002A5018" w:rsidRDefault="002A5018" w:rsidP="002A5018">
      <w:pPr>
        <w:pStyle w:val="FootnoteText"/>
      </w:pPr>
      <w:r>
        <w:rPr>
          <w:rStyle w:val="FootnoteReference"/>
        </w:rPr>
        <w:footnoteRef/>
      </w:r>
      <w:r>
        <w:t xml:space="preserve"> </w:t>
      </w:r>
      <w:r w:rsidRPr="00637684">
        <w:rPr>
          <w:i/>
        </w:rPr>
        <w:t>Id</w:t>
      </w:r>
      <w:r>
        <w:t>. at 2 and Attach. A.</w:t>
      </w:r>
    </w:p>
  </w:footnote>
  <w:footnote w:id="50">
    <w:p w14:paraId="15772947" w14:textId="47BFC7E8" w:rsidR="0048715C" w:rsidRDefault="0048715C">
      <w:pPr>
        <w:pStyle w:val="FootnoteText"/>
      </w:pPr>
      <w:r>
        <w:rPr>
          <w:rStyle w:val="FootnoteReference"/>
        </w:rPr>
        <w:footnoteRef/>
      </w:r>
      <w:r>
        <w:t xml:space="preserve"> </w:t>
      </w:r>
      <w:r w:rsidRPr="0048715C">
        <w:rPr>
          <w:i/>
        </w:rPr>
        <w:t>See</w:t>
      </w:r>
      <w:r w:rsidRPr="0048715C">
        <w:t xml:space="preserve">, </w:t>
      </w:r>
      <w:r w:rsidRPr="0048715C">
        <w:rPr>
          <w:i/>
        </w:rPr>
        <w:t>supra</w:t>
      </w:r>
      <w:r w:rsidRPr="0048715C">
        <w:t xml:space="preserve">, para. 12. </w:t>
      </w:r>
      <w:r>
        <w:rPr>
          <w:b/>
        </w:rPr>
        <w:t xml:space="preserve"> </w:t>
      </w:r>
    </w:p>
  </w:footnote>
  <w:footnote w:id="51">
    <w:p w14:paraId="61F90273" w14:textId="5DDA47C4" w:rsidR="0048715C" w:rsidRPr="0003628D" w:rsidRDefault="0048715C" w:rsidP="0003628D">
      <w:pPr>
        <w:widowControl/>
        <w:autoSpaceDE w:val="0"/>
        <w:autoSpaceDN w:val="0"/>
        <w:adjustRightInd w:val="0"/>
        <w:spacing w:after="120"/>
        <w:rPr>
          <w:rFonts w:ascii="TimesNewRoman" w:hAnsi="TimesNewRoman" w:cs="TimesNewRoman"/>
          <w:snapToGrid/>
          <w:kern w:val="0"/>
          <w:szCs w:val="22"/>
        </w:rPr>
      </w:pPr>
      <w:r>
        <w:rPr>
          <w:rStyle w:val="FootnoteReference"/>
        </w:rPr>
        <w:footnoteRef/>
      </w:r>
      <w:r>
        <w:t xml:space="preserve"> </w:t>
      </w:r>
      <w:r w:rsidRPr="0003628D">
        <w:rPr>
          <w:sz w:val="20"/>
        </w:rPr>
        <w:t xml:space="preserve">While the Collocation Agreement was </w:t>
      </w:r>
      <w:r w:rsidR="0003628D" w:rsidRPr="0003628D">
        <w:rPr>
          <w:sz w:val="20"/>
        </w:rPr>
        <w:t>effective in 2001</w:t>
      </w:r>
      <w:r w:rsidRPr="0003628D">
        <w:rPr>
          <w:sz w:val="20"/>
        </w:rPr>
        <w:t>,</w:t>
      </w:r>
      <w:r w:rsidR="0003628D" w:rsidRPr="0003628D">
        <w:rPr>
          <w:sz w:val="20"/>
        </w:rPr>
        <w:t xml:space="preserve"> it did not apply to the 2001 Permit Application.  The Collocation Agreement applies only to “collocations,” which it defines as “</w:t>
      </w:r>
      <w:r w:rsidR="0003628D" w:rsidRPr="0003628D">
        <w:rPr>
          <w:snapToGrid/>
          <w:kern w:val="0"/>
          <w:sz w:val="20"/>
        </w:rPr>
        <w:t>the mounting or installation of an antenna on an existing tower, building or structure for the purpose of transmitting and/or receiving radio frequency signals for communications purposes.  Collocation Agreement, I.A</w:t>
      </w:r>
      <w:r w:rsidR="00781106">
        <w:rPr>
          <w:snapToGrid/>
          <w:kern w:val="0"/>
          <w:sz w:val="20"/>
        </w:rPr>
        <w:t>. and II.A</w:t>
      </w:r>
      <w:r w:rsidR="0003628D" w:rsidRPr="0003628D">
        <w:rPr>
          <w:snapToGrid/>
          <w:kern w:val="0"/>
          <w:sz w:val="20"/>
        </w:rPr>
        <w:t>.  Because Lighthouse constructed the tower on which the Station’s antenna was mounted when it constructed the Station, the installation of the Station’s antenna on the tower could not be considered a “collocation” and thus was outside the provisions of the Collocation Agreement.</w:t>
      </w:r>
    </w:p>
  </w:footnote>
  <w:footnote w:id="52">
    <w:p w14:paraId="116D00ED" w14:textId="7DABDE05" w:rsidR="00122601" w:rsidRDefault="00122601">
      <w:pPr>
        <w:pStyle w:val="FootnoteText"/>
      </w:pPr>
      <w:r>
        <w:rPr>
          <w:rStyle w:val="FootnoteReference"/>
        </w:rPr>
        <w:footnoteRef/>
      </w:r>
      <w:r>
        <w:t xml:space="preserve"> </w:t>
      </w:r>
      <w:r w:rsidR="0003628D" w:rsidRPr="0003628D">
        <w:t>The NPA—which Saga asserts applied to the 2001 Permit Application and necessitated historic preservation review—</w:t>
      </w:r>
      <w:r w:rsidR="0003628D">
        <w:t xml:space="preserve">was not </w:t>
      </w:r>
      <w:r w:rsidR="005852E2">
        <w:t>effective until March 7, 2005</w:t>
      </w:r>
      <w:r w:rsidR="0003628D" w:rsidRPr="00CD56E8">
        <w:t>.</w:t>
      </w:r>
      <w:r w:rsidR="0003628D">
        <w:t xml:space="preserve">  </w:t>
      </w:r>
      <w:r w:rsidR="00781106" w:rsidRPr="0003628D">
        <w:t>Reply to Opposition to Petition to Revoke at 2-3</w:t>
      </w:r>
      <w:r w:rsidR="00781106" w:rsidRPr="004F5D74">
        <w:t xml:space="preserve">.  </w:t>
      </w:r>
      <w:r w:rsidR="004F5D74" w:rsidRPr="004F5D74">
        <w:rPr>
          <w:i/>
        </w:rPr>
        <w:t>Nationwide Programmatic Agreement for Review under the National Historic Preservation Ac</w:t>
      </w:r>
      <w:r w:rsidR="004F5D74" w:rsidRPr="004F5D74">
        <w:t>t,</w:t>
      </w:r>
      <w:r w:rsidR="004F5D74">
        <w:rPr>
          <w:b/>
        </w:rPr>
        <w:t xml:space="preserve"> </w:t>
      </w:r>
      <w:r w:rsidR="004F5D74" w:rsidRPr="004F5D74">
        <w:t>70 Fed. Reg. 556 (Jan. 7, 2005).</w:t>
      </w:r>
      <w:r w:rsidR="004F5D74">
        <w:rPr>
          <w:b/>
        </w:rPr>
        <w:t xml:space="preserve">  </w:t>
      </w:r>
      <w:r w:rsidR="0003628D">
        <w:t>Further, although,</w:t>
      </w:r>
      <w:r w:rsidR="0003628D" w:rsidRPr="0003628D">
        <w:t xml:space="preserve"> the 2001 Permit Application was pending at the time the NPA was adopted</w:t>
      </w:r>
      <w:r w:rsidR="00781106">
        <w:t xml:space="preserve">, the NPA applied “prospectively” only.  </w:t>
      </w:r>
      <w:r w:rsidR="0003628D" w:rsidRPr="0003628D">
        <w:t xml:space="preserve"> </w:t>
      </w:r>
      <w:r w:rsidR="0003628D" w:rsidRPr="0003628D">
        <w:rPr>
          <w:i/>
        </w:rPr>
        <w:t xml:space="preserve">See also </w:t>
      </w:r>
      <w:r w:rsidR="003345B6">
        <w:rPr>
          <w:i/>
        </w:rPr>
        <w:t>Nationwide Programmatic Agreement Regarding the Section 106 National Historic Preservation Review Process</w:t>
      </w:r>
      <w:r w:rsidR="003345B6">
        <w:t>, Report and Order, 20 FCC Rcd 1073, 1133-34</w:t>
      </w:r>
      <w:r w:rsidR="0003628D" w:rsidRPr="0003628D">
        <w:rPr>
          <w:i/>
        </w:rPr>
        <w:t xml:space="preserve"> </w:t>
      </w:r>
      <w:r w:rsidR="0003628D" w:rsidRPr="003345B6">
        <w:t>para. 167</w:t>
      </w:r>
      <w:r w:rsidR="003345B6" w:rsidRPr="003345B6">
        <w:t xml:space="preserve"> (2004)</w:t>
      </w:r>
      <w:r w:rsidR="0003628D" w:rsidRPr="0003628D">
        <w:rPr>
          <w:i/>
        </w:rPr>
        <w:t xml:space="preserve"> </w:t>
      </w:r>
      <w:r w:rsidR="0003628D" w:rsidRPr="0003628D">
        <w:t xml:space="preserve">(finding that NPA applied “prospectively” only and noting that applying the NPA “to all pending cases would cause confusion and potentially impose unreasonable burdens on SHPOs/THPOs.”).  </w:t>
      </w:r>
    </w:p>
  </w:footnote>
  <w:footnote w:id="53">
    <w:p w14:paraId="4FF570B1" w14:textId="5C7B70D1" w:rsidR="0096693E" w:rsidRDefault="0096693E">
      <w:pPr>
        <w:pStyle w:val="FootnoteText"/>
      </w:pPr>
      <w:r>
        <w:rPr>
          <w:rStyle w:val="FootnoteReference"/>
        </w:rPr>
        <w:footnoteRef/>
      </w:r>
      <w:r>
        <w:t xml:space="preserve"> </w:t>
      </w:r>
      <w:r w:rsidR="00461AE9">
        <w:t xml:space="preserve">47 CFR § 1.1307(a)(4) (2001).  While the Commission has modified Section 1.1307(a)(4), this </w:t>
      </w:r>
      <w:r w:rsidR="00DF450F">
        <w:t>portion remains</w:t>
      </w:r>
      <w:r w:rsidR="00461AE9">
        <w:t xml:space="preserve"> the same today.  47 CFR § 1.1307(a)(4).  </w:t>
      </w:r>
    </w:p>
  </w:footnote>
  <w:footnote w:id="54">
    <w:p w14:paraId="4D44F1CC" w14:textId="684EBBD6" w:rsidR="00421F77" w:rsidRDefault="00421F77">
      <w:pPr>
        <w:pStyle w:val="FootnoteText"/>
      </w:pPr>
      <w:r>
        <w:rPr>
          <w:rStyle w:val="FootnoteReference"/>
        </w:rPr>
        <w:footnoteRef/>
      </w:r>
      <w:r w:rsidR="0022703C">
        <w:t xml:space="preserve"> 36 CFR § 60.4 (2001). </w:t>
      </w:r>
      <w:r>
        <w:t xml:space="preserve"> Indeed, it is worth noting that the Advisory Council on Historic Preservation has stated that ordinarily properties owned by religious institutions “shall not be considered eligible for the National Register.” </w:t>
      </w:r>
      <w:r w:rsidR="0022703C">
        <w:t xml:space="preserve"> National Register Bulletin, How to Apply the National Register Criteria </w:t>
      </w:r>
      <w:r w:rsidR="004E6ECA">
        <w:t xml:space="preserve">for Evaluation </w:t>
      </w:r>
      <w:hyperlink r:id="rId11" w:history="1">
        <w:r w:rsidR="0022703C" w:rsidRPr="003B4D6E">
          <w:rPr>
            <w:rStyle w:val="Hyperlink"/>
          </w:rPr>
          <w:t>https://www.nps.gov/nr/publications/bulletins/nrb15/nrb15_2.htm</w:t>
        </w:r>
      </w:hyperlink>
      <w:r w:rsidR="004E6ECA">
        <w:t xml:space="preserve"> (last visited Feb. 27, 2017).</w:t>
      </w:r>
      <w:r w:rsidR="0022703C">
        <w:t xml:space="preserve"> </w:t>
      </w:r>
    </w:p>
  </w:footnote>
  <w:footnote w:id="55">
    <w:p w14:paraId="2473B029" w14:textId="4A7DAA28" w:rsidR="002303AA" w:rsidRDefault="002303AA">
      <w:pPr>
        <w:pStyle w:val="FootnoteText"/>
      </w:pPr>
      <w:r>
        <w:rPr>
          <w:rStyle w:val="FootnoteReference"/>
        </w:rPr>
        <w:footnoteRef/>
      </w:r>
      <w:r>
        <w:t xml:space="preserve"> </w:t>
      </w:r>
      <w:r w:rsidRPr="002303AA">
        <w:rPr>
          <w:i/>
        </w:rPr>
        <w:t>See</w:t>
      </w:r>
      <w:r>
        <w:t xml:space="preserve">, </w:t>
      </w:r>
      <w:r w:rsidRPr="002303AA">
        <w:rPr>
          <w:i/>
        </w:rPr>
        <w:t>supra</w:t>
      </w:r>
      <w:r>
        <w:t>, para. 9.</w:t>
      </w:r>
    </w:p>
  </w:footnote>
  <w:footnote w:id="56">
    <w:p w14:paraId="725E1363" w14:textId="77777777" w:rsidR="00742577" w:rsidRPr="00475C79" w:rsidRDefault="00742577" w:rsidP="00742577">
      <w:pPr>
        <w:pStyle w:val="FootnoteText"/>
      </w:pPr>
      <w:r>
        <w:rPr>
          <w:rStyle w:val="FootnoteReference"/>
        </w:rPr>
        <w:footnoteRef/>
      </w:r>
      <w:r>
        <w:t xml:space="preserve"> </w:t>
      </w:r>
      <w:r>
        <w:rPr>
          <w:i/>
        </w:rPr>
        <w:t xml:space="preserve">See </w:t>
      </w:r>
      <w:r>
        <w:t>Consent Decree at paras. 8 and 10.</w:t>
      </w:r>
    </w:p>
  </w:footnote>
  <w:footnote w:id="57">
    <w:p w14:paraId="373AFA59" w14:textId="2ACE15C1" w:rsidR="002A5018" w:rsidRDefault="002A5018" w:rsidP="002A5018">
      <w:pPr>
        <w:pStyle w:val="FootnoteText"/>
      </w:pPr>
      <w:r>
        <w:rPr>
          <w:rStyle w:val="FootnoteReference"/>
        </w:rPr>
        <w:footnoteRef/>
      </w:r>
      <w:r w:rsidR="00E4060D">
        <w:rPr>
          <w:i/>
          <w:szCs w:val="22"/>
        </w:rPr>
        <w:t xml:space="preserve"> </w:t>
      </w:r>
      <w:r w:rsidR="00E4060D" w:rsidRPr="00F4616F">
        <w:rPr>
          <w:szCs w:val="22"/>
        </w:rPr>
        <w:t>Indeed,</w:t>
      </w:r>
      <w:r w:rsidR="00E4060D">
        <w:rPr>
          <w:i/>
          <w:szCs w:val="22"/>
        </w:rPr>
        <w:t xml:space="preserve"> </w:t>
      </w:r>
      <w:r w:rsidR="00E4060D" w:rsidRPr="00FA5DA5">
        <w:rPr>
          <w:szCs w:val="22"/>
        </w:rPr>
        <w:t>an underwriting violation “typically results in the imposition of a fine or admonishment</w:t>
      </w:r>
      <w:r w:rsidR="00E4060D" w:rsidRPr="00E4060D">
        <w:rPr>
          <w:szCs w:val="22"/>
        </w:rPr>
        <w:t xml:space="preserve">.”  </w:t>
      </w:r>
      <w:r w:rsidR="00E4060D" w:rsidRPr="00FA5DA5">
        <w:rPr>
          <w:i/>
          <w:szCs w:val="22"/>
        </w:rPr>
        <w:t>WQED Pittsburgh</w:t>
      </w:r>
      <w:r w:rsidR="00E4060D" w:rsidRPr="00FA5DA5">
        <w:rPr>
          <w:szCs w:val="22"/>
        </w:rPr>
        <w:t xml:space="preserve">, Memorandum Opinion and Order, 15 FCC Rcd 202, 209 para. 12 (1999).  </w:t>
      </w:r>
      <w:r w:rsidR="00E4060D">
        <w:rPr>
          <w:szCs w:val="22"/>
        </w:rPr>
        <w:t xml:space="preserve">The same is true for the other violations at issue here.  </w:t>
      </w:r>
      <w:r w:rsidR="0083759A" w:rsidRPr="0083759A">
        <w:rPr>
          <w:i/>
          <w:szCs w:val="22"/>
        </w:rPr>
        <w:t>See, e.g</w:t>
      </w:r>
      <w:r w:rsidR="0083759A">
        <w:rPr>
          <w:szCs w:val="22"/>
        </w:rPr>
        <w:t xml:space="preserve">., </w:t>
      </w:r>
      <w:r w:rsidR="0083759A" w:rsidRPr="0083759A">
        <w:rPr>
          <w:i/>
          <w:szCs w:val="22"/>
        </w:rPr>
        <w:t>Power Radio Corp</w:t>
      </w:r>
      <w:r w:rsidR="0083759A">
        <w:rPr>
          <w:szCs w:val="22"/>
        </w:rPr>
        <w:t>., Forfeiture Order, 21 FCC 6940 (EB 2007) (imposing a forfeiture for violation of Section 73.875)</w:t>
      </w:r>
      <w:r w:rsidR="009D6411">
        <w:rPr>
          <w:szCs w:val="22"/>
        </w:rPr>
        <w:t xml:space="preserve">; </w:t>
      </w:r>
      <w:r w:rsidR="009D6411" w:rsidRPr="009D6411">
        <w:rPr>
          <w:i/>
          <w:szCs w:val="22"/>
        </w:rPr>
        <w:t>Enforcement Bureau Field Offices List of Notices of Apparent Liability Issued</w:t>
      </w:r>
      <w:r w:rsidR="009D6411">
        <w:rPr>
          <w:szCs w:val="22"/>
        </w:rPr>
        <w:t xml:space="preserve">, Public Notice, 18 FCC Rcd 1803 (EB 2003) (noting </w:t>
      </w:r>
      <w:r w:rsidR="0029519B">
        <w:rPr>
          <w:szCs w:val="22"/>
        </w:rPr>
        <w:t>issuance of a Notice of Apparent Liability for Forfeiture</w:t>
      </w:r>
      <w:r w:rsidR="009D6411">
        <w:rPr>
          <w:szCs w:val="22"/>
        </w:rPr>
        <w:t xml:space="preserve"> </w:t>
      </w:r>
      <w:r w:rsidR="0029519B">
        <w:rPr>
          <w:szCs w:val="22"/>
        </w:rPr>
        <w:t>related to</w:t>
      </w:r>
      <w:r w:rsidR="009D6411">
        <w:rPr>
          <w:szCs w:val="22"/>
        </w:rPr>
        <w:t xml:space="preserve"> violations of, among other things, Section 73.1350</w:t>
      </w:r>
      <w:r w:rsidR="009B7C41">
        <w:rPr>
          <w:szCs w:val="22"/>
        </w:rPr>
        <w:t>, which governs transmission system operation for full service radio stations just as Section 73.875 governs transmission system operation for LPFM stations)</w:t>
      </w:r>
      <w:r w:rsidR="009D6411">
        <w:rPr>
          <w:szCs w:val="22"/>
        </w:rPr>
        <w:t>.</w:t>
      </w:r>
      <w:r>
        <w:t xml:space="preserve"> </w:t>
      </w:r>
      <w:r w:rsidR="00F4616F">
        <w:t xml:space="preserve">We reject Saga’s attempt to analogize this case to </w:t>
      </w:r>
      <w:r w:rsidRPr="002D4BA4">
        <w:rPr>
          <w:i/>
        </w:rPr>
        <w:t>United Television Co</w:t>
      </w:r>
      <w:r w:rsidRPr="002D4BA4">
        <w:t>., 55 FCC 2d 416 (1975</w:t>
      </w:r>
      <w:r w:rsidR="00F4616F" w:rsidRPr="002D4BA4">
        <w:t>) (</w:t>
      </w:r>
      <w:r w:rsidR="00F4616F" w:rsidRPr="002D4BA4">
        <w:rPr>
          <w:i/>
        </w:rPr>
        <w:t>United Television</w:t>
      </w:r>
      <w:r w:rsidR="00F4616F" w:rsidRPr="002D4BA4">
        <w:t xml:space="preserve">), </w:t>
      </w:r>
      <w:r w:rsidRPr="002D4BA4">
        <w:t xml:space="preserve">and </w:t>
      </w:r>
      <w:r w:rsidRPr="002D4BA4">
        <w:rPr>
          <w:i/>
        </w:rPr>
        <w:t>United Broadcasting Co. of Florida, Inc</w:t>
      </w:r>
      <w:r w:rsidRPr="002D4BA4">
        <w:t xml:space="preserve">., </w:t>
      </w:r>
      <w:r w:rsidR="00F4616F" w:rsidRPr="002D4BA4">
        <w:t xml:space="preserve">Decision, </w:t>
      </w:r>
      <w:r w:rsidRPr="002D4BA4">
        <w:t>55 FCC 2d 832 (1975)</w:t>
      </w:r>
      <w:r w:rsidR="00F4616F" w:rsidRPr="002D4BA4">
        <w:t xml:space="preserve"> (</w:t>
      </w:r>
      <w:r w:rsidR="00F4616F" w:rsidRPr="002D4BA4">
        <w:rPr>
          <w:i/>
        </w:rPr>
        <w:t>United Broadcasting</w:t>
      </w:r>
      <w:r w:rsidR="00F4616F" w:rsidRPr="002D4BA4">
        <w:t>)</w:t>
      </w:r>
      <w:r w:rsidRPr="002D4BA4">
        <w:t>.  Reply to Opposition to Petition to Revoke at n.2.</w:t>
      </w:r>
      <w:r w:rsidR="00F4616F" w:rsidRPr="002D4BA4">
        <w:t xml:space="preserve">  Those cases involved findings of “a flagrant disregard of Commission policy,” “protracted misconduct” and repeated violations over “a prolonged period of time,”</w:t>
      </w:r>
      <w:r w:rsidR="00F4616F">
        <w:rPr>
          <w:b/>
        </w:rPr>
        <w:t xml:space="preserve"> </w:t>
      </w:r>
      <w:r w:rsidR="00F4616F" w:rsidRPr="002D4BA4">
        <w:t xml:space="preserve">which led the Commission to conclude that the licensee’s “past representations were of no value,” “no </w:t>
      </w:r>
      <w:r w:rsidR="002D4BA4">
        <w:t>reliance</w:t>
      </w:r>
      <w:r w:rsidR="00F4616F" w:rsidRPr="002D4BA4">
        <w:t xml:space="preserve"> can be placed on [licensee’s] present promises of future compliance,” and/or there was “little to indicate” that the licensee was “prepared to assume [its] obligation[ ] of responsible supervision.” </w:t>
      </w:r>
      <w:r w:rsidR="002D4BA4" w:rsidRPr="002D4BA4">
        <w:t xml:space="preserve"> </w:t>
      </w:r>
      <w:r w:rsidR="002D4BA4" w:rsidRPr="002D4BA4">
        <w:rPr>
          <w:i/>
        </w:rPr>
        <w:t>United Television</w:t>
      </w:r>
      <w:r w:rsidR="002D4BA4" w:rsidRPr="002D4BA4">
        <w:t xml:space="preserve">, 55 FCC 2d at 422 paras. 11 and 13, and 424-25 para. 16; </w:t>
      </w:r>
      <w:r w:rsidR="00F4616F" w:rsidRPr="002D4BA4">
        <w:rPr>
          <w:i/>
        </w:rPr>
        <w:t>United Broadcasting</w:t>
      </w:r>
      <w:r w:rsidR="00F4616F" w:rsidRPr="002D4BA4">
        <w:t>, 55 FCC 2d at 837 para. 12, 840 paras 17-18, and 841 para. 20</w:t>
      </w:r>
      <w:r w:rsidR="002D4BA4" w:rsidRPr="002D4BA4">
        <w:t>.</w:t>
      </w:r>
      <w:r w:rsidR="002D4BA4">
        <w:t xml:space="preserve">  We have not and, on the record before us, could not make such findings about Lighthouse and its operation of the Station.</w:t>
      </w:r>
    </w:p>
  </w:footnote>
  <w:footnote w:id="58">
    <w:p w14:paraId="61E743FF" w14:textId="77777777" w:rsidR="0045730E" w:rsidRPr="000D028E" w:rsidRDefault="0045730E" w:rsidP="0045730E">
      <w:pPr>
        <w:pStyle w:val="FootnoteText"/>
      </w:pPr>
      <w:r w:rsidRPr="000D028E">
        <w:rPr>
          <w:rStyle w:val="FootnoteReference"/>
        </w:rPr>
        <w:footnoteRef/>
      </w:r>
      <w:r w:rsidRPr="000D028E">
        <w:t xml:space="preserve"> 47 U.S.C. §§ 154(i).</w:t>
      </w:r>
    </w:p>
  </w:footnote>
  <w:footnote w:id="59">
    <w:p w14:paraId="0028853A" w14:textId="77777777" w:rsidR="0045730E" w:rsidRPr="000D028E" w:rsidRDefault="0045730E" w:rsidP="0045730E">
      <w:pPr>
        <w:pStyle w:val="FootnoteText"/>
      </w:pPr>
      <w:r w:rsidRPr="000D028E">
        <w:rPr>
          <w:rStyle w:val="FootnoteReference"/>
          <w:bCs/>
        </w:rPr>
        <w:footnoteRef/>
      </w:r>
      <w:r w:rsidRPr="000D028E">
        <w:t xml:space="preserve"> 47 CFR §§ 0.</w:t>
      </w:r>
      <w:r>
        <w:t>61</w:t>
      </w:r>
      <w:r w:rsidRPr="000D028E">
        <w:t>, 0.</w:t>
      </w:r>
      <w:r>
        <w:t>283</w:t>
      </w:r>
      <w:r w:rsidRPr="000D02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A714" w14:textId="77777777" w:rsidR="00F760F3" w:rsidRDefault="00F76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8F80" w14:textId="44222268" w:rsidR="00D25FB5" w:rsidRDefault="00D25FB5" w:rsidP="00810B6F">
    <w:pPr>
      <w:pStyle w:val="Header"/>
      <w:rPr>
        <w:b w:val="0"/>
      </w:rPr>
    </w:pPr>
    <w:r>
      <w:tab/>
      <w:t>Federal Communications Commission</w:t>
    </w:r>
    <w:r>
      <w:tab/>
    </w:r>
    <w:r w:rsidR="00E96053">
      <w:t>DA 17</w:t>
    </w:r>
    <w:r w:rsidR="005E0333">
      <w:t>-</w:t>
    </w:r>
    <w:r w:rsidR="00A21B4E">
      <w:t>720</w:t>
    </w:r>
  </w:p>
  <w:p w14:paraId="69A703E1" w14:textId="65A73150" w:rsidR="00D25FB5" w:rsidRDefault="0043648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5E018DF" wp14:editId="74A128CD">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EC76DE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74CBB89"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2E3E" w14:textId="09C5CFD5" w:rsidR="00D25FB5" w:rsidRDefault="00436480" w:rsidP="00810B6F">
    <w:pPr>
      <w:pStyle w:val="Header"/>
      <w:rPr>
        <w:b w:val="0"/>
      </w:rPr>
    </w:pPr>
    <w:r>
      <w:rPr>
        <w:noProof/>
      </w:rPr>
      <mc:AlternateContent>
        <mc:Choice Requires="wps">
          <w:drawing>
            <wp:anchor distT="0" distB="0" distL="114300" distR="114300" simplePos="0" relativeHeight="251658240" behindDoc="1" locked="0" layoutInCell="0" allowOverlap="1" wp14:anchorId="5126D12B" wp14:editId="463524E5">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1A1306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96053">
      <w:rPr>
        <w:spacing w:val="-2"/>
      </w:rPr>
      <w:t>DA 17</w:t>
    </w:r>
    <w:r w:rsidR="005E0333">
      <w:rPr>
        <w:spacing w:val="-2"/>
      </w:rPr>
      <w:t>-</w:t>
    </w:r>
    <w:r w:rsidR="00A21B4E">
      <w:rPr>
        <w:spacing w:val="-2"/>
      </w:rPr>
      <w:t>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7F2C"/>
    <w:multiLevelType w:val="hybridMultilevel"/>
    <w:tmpl w:val="A4D05422"/>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2434262C"/>
    <w:lvl w:ilvl="0">
      <w:start w:val="1"/>
      <w:numFmt w:val="decimal"/>
      <w:pStyle w:val="ParaNum"/>
      <w:lvlText w:val="%1."/>
      <w:lvlJc w:val="left"/>
      <w:pPr>
        <w:tabs>
          <w:tab w:val="num" w:pos="1080"/>
        </w:tabs>
        <w:ind w:left="0" w:firstLine="720"/>
      </w:pPr>
      <w:rPr>
        <w:b w:val="0"/>
      </w:rPr>
    </w:lvl>
  </w:abstractNum>
  <w:abstractNum w:abstractNumId="7">
    <w:nsid w:val="751C7F3B"/>
    <w:multiLevelType w:val="hybridMultilevel"/>
    <w:tmpl w:val="65D63FE6"/>
    <w:lvl w:ilvl="0" w:tplc="AAD8AAAC">
      <w:start w:val="1"/>
      <w:numFmt w:val="lowerLetter"/>
      <w:lvlText w:val="(%1)"/>
      <w:lvlJc w:val="left"/>
      <w:pPr>
        <w:tabs>
          <w:tab w:val="num" w:pos="1872"/>
        </w:tabs>
        <w:ind w:left="1872" w:hanging="432"/>
      </w:pPr>
      <w:rPr>
        <w:rFonts w:ascii="Times New Roman" w:hAnsi="Times New Roman" w:cs="Times New Roman" w:hint="default"/>
        <w:b w:val="0"/>
        <w:i w:val="0"/>
        <w:sz w:val="22"/>
        <w:szCs w:val="22"/>
      </w:rPr>
    </w:lvl>
    <w:lvl w:ilvl="1" w:tplc="FFFFFFFF">
      <w:start w:val="1"/>
      <w:numFmt w:val="lowerLetter"/>
      <w:lvlText w:val="%2."/>
      <w:lvlJc w:val="left"/>
      <w:pPr>
        <w:tabs>
          <w:tab w:val="num" w:pos="2088"/>
        </w:tabs>
        <w:ind w:left="2088" w:hanging="360"/>
      </w:pPr>
      <w:rPr>
        <w:rFonts w:cs="Times New Roman"/>
      </w:rPr>
    </w:lvl>
    <w:lvl w:ilvl="2" w:tplc="FFFFFFFF" w:tentative="1">
      <w:start w:val="1"/>
      <w:numFmt w:val="lowerRoman"/>
      <w:lvlText w:val="%3."/>
      <w:lvlJc w:val="right"/>
      <w:pPr>
        <w:tabs>
          <w:tab w:val="num" w:pos="2808"/>
        </w:tabs>
        <w:ind w:left="2808" w:hanging="180"/>
      </w:pPr>
      <w:rPr>
        <w:rFonts w:cs="Times New Roman"/>
      </w:rPr>
    </w:lvl>
    <w:lvl w:ilvl="3" w:tplc="FFFFFFFF" w:tentative="1">
      <w:start w:val="1"/>
      <w:numFmt w:val="decimal"/>
      <w:lvlText w:val="%4."/>
      <w:lvlJc w:val="left"/>
      <w:pPr>
        <w:tabs>
          <w:tab w:val="num" w:pos="3528"/>
        </w:tabs>
        <w:ind w:left="3528" w:hanging="360"/>
      </w:pPr>
      <w:rPr>
        <w:rFonts w:cs="Times New Roman"/>
      </w:rPr>
    </w:lvl>
    <w:lvl w:ilvl="4" w:tplc="FFFFFFFF" w:tentative="1">
      <w:start w:val="1"/>
      <w:numFmt w:val="lowerLetter"/>
      <w:lvlText w:val="%5."/>
      <w:lvlJc w:val="left"/>
      <w:pPr>
        <w:tabs>
          <w:tab w:val="num" w:pos="4248"/>
        </w:tabs>
        <w:ind w:left="4248" w:hanging="360"/>
      </w:pPr>
      <w:rPr>
        <w:rFonts w:cs="Times New Roman"/>
      </w:rPr>
    </w:lvl>
    <w:lvl w:ilvl="5" w:tplc="FFFFFFFF" w:tentative="1">
      <w:start w:val="1"/>
      <w:numFmt w:val="lowerRoman"/>
      <w:lvlText w:val="%6."/>
      <w:lvlJc w:val="right"/>
      <w:pPr>
        <w:tabs>
          <w:tab w:val="num" w:pos="4968"/>
        </w:tabs>
        <w:ind w:left="4968" w:hanging="180"/>
      </w:pPr>
      <w:rPr>
        <w:rFonts w:cs="Times New Roman"/>
      </w:rPr>
    </w:lvl>
    <w:lvl w:ilvl="6" w:tplc="FFFFFFFF" w:tentative="1">
      <w:start w:val="1"/>
      <w:numFmt w:val="decimal"/>
      <w:lvlText w:val="%7."/>
      <w:lvlJc w:val="left"/>
      <w:pPr>
        <w:tabs>
          <w:tab w:val="num" w:pos="5688"/>
        </w:tabs>
        <w:ind w:left="5688" w:hanging="360"/>
      </w:pPr>
      <w:rPr>
        <w:rFonts w:cs="Times New Roman"/>
      </w:rPr>
    </w:lvl>
    <w:lvl w:ilvl="7" w:tplc="FFFFFFFF" w:tentative="1">
      <w:start w:val="1"/>
      <w:numFmt w:val="lowerLetter"/>
      <w:lvlText w:val="%8."/>
      <w:lvlJc w:val="left"/>
      <w:pPr>
        <w:tabs>
          <w:tab w:val="num" w:pos="6408"/>
        </w:tabs>
        <w:ind w:left="6408" w:hanging="360"/>
      </w:pPr>
      <w:rPr>
        <w:rFonts w:cs="Times New Roman"/>
      </w:rPr>
    </w:lvl>
    <w:lvl w:ilvl="8" w:tplc="FFFFFFFF" w:tentative="1">
      <w:start w:val="1"/>
      <w:numFmt w:val="lowerRoman"/>
      <w:lvlText w:val="%9."/>
      <w:lvlJc w:val="right"/>
      <w:pPr>
        <w:tabs>
          <w:tab w:val="num" w:pos="7128"/>
        </w:tabs>
        <w:ind w:left="7128" w:hanging="180"/>
      </w:pPr>
      <w:rPr>
        <w:rFonts w:cs="Times New Roman"/>
      </w:rPr>
    </w:lvl>
  </w:abstractNum>
  <w:abstractNum w:abstractNumId="8">
    <w:nsid w:val="7C9A6077"/>
    <w:multiLevelType w:val="hybridMultilevel"/>
    <w:tmpl w:val="E4C279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6"/>
  </w:num>
  <w:num w:numId="9">
    <w:abstractNumId w:val="6"/>
    <w:lvlOverride w:ilvl="0">
      <w:startOverride w:val="1"/>
    </w:lvlOverride>
  </w:num>
  <w:num w:numId="10">
    <w:abstractNumId w:val="1"/>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18"/>
    <w:rsid w:val="0000006A"/>
    <w:rsid w:val="00000841"/>
    <w:rsid w:val="00036039"/>
    <w:rsid w:val="0003628D"/>
    <w:rsid w:val="00037F90"/>
    <w:rsid w:val="00077929"/>
    <w:rsid w:val="00086C40"/>
    <w:rsid w:val="000871F5"/>
    <w:rsid w:val="000875BF"/>
    <w:rsid w:val="0009114F"/>
    <w:rsid w:val="00096D8C"/>
    <w:rsid w:val="000A7E58"/>
    <w:rsid w:val="000B68C9"/>
    <w:rsid w:val="000C0B65"/>
    <w:rsid w:val="000E05FE"/>
    <w:rsid w:val="000E2108"/>
    <w:rsid w:val="000E3D42"/>
    <w:rsid w:val="000E4B97"/>
    <w:rsid w:val="000F2822"/>
    <w:rsid w:val="001208F8"/>
    <w:rsid w:val="00122601"/>
    <w:rsid w:val="00122BD5"/>
    <w:rsid w:val="00133F79"/>
    <w:rsid w:val="00146D8C"/>
    <w:rsid w:val="00151434"/>
    <w:rsid w:val="00162206"/>
    <w:rsid w:val="00194A66"/>
    <w:rsid w:val="001A60F5"/>
    <w:rsid w:val="001D6BCF"/>
    <w:rsid w:val="001D6FCF"/>
    <w:rsid w:val="001E01CA"/>
    <w:rsid w:val="00212720"/>
    <w:rsid w:val="00214937"/>
    <w:rsid w:val="0022703C"/>
    <w:rsid w:val="002303AA"/>
    <w:rsid w:val="00233FA8"/>
    <w:rsid w:val="00236BFE"/>
    <w:rsid w:val="00244484"/>
    <w:rsid w:val="002477D8"/>
    <w:rsid w:val="00265016"/>
    <w:rsid w:val="00275CF5"/>
    <w:rsid w:val="00276187"/>
    <w:rsid w:val="0028301F"/>
    <w:rsid w:val="00285017"/>
    <w:rsid w:val="0029519B"/>
    <w:rsid w:val="002A2D2E"/>
    <w:rsid w:val="002A362E"/>
    <w:rsid w:val="002A5018"/>
    <w:rsid w:val="002B6186"/>
    <w:rsid w:val="002C00E8"/>
    <w:rsid w:val="002C1136"/>
    <w:rsid w:val="002C2D21"/>
    <w:rsid w:val="002D4BA4"/>
    <w:rsid w:val="00321B5B"/>
    <w:rsid w:val="00325EC7"/>
    <w:rsid w:val="003345B6"/>
    <w:rsid w:val="00343749"/>
    <w:rsid w:val="003660ED"/>
    <w:rsid w:val="003A5D14"/>
    <w:rsid w:val="003B0550"/>
    <w:rsid w:val="003B694F"/>
    <w:rsid w:val="003C5D8F"/>
    <w:rsid w:val="003F171C"/>
    <w:rsid w:val="003F4CA1"/>
    <w:rsid w:val="00412045"/>
    <w:rsid w:val="00412FC5"/>
    <w:rsid w:val="00421F77"/>
    <w:rsid w:val="00422276"/>
    <w:rsid w:val="004242F1"/>
    <w:rsid w:val="00431AC7"/>
    <w:rsid w:val="00434946"/>
    <w:rsid w:val="00436480"/>
    <w:rsid w:val="00445A00"/>
    <w:rsid w:val="00451B0F"/>
    <w:rsid w:val="0045730E"/>
    <w:rsid w:val="00461AE9"/>
    <w:rsid w:val="004736F7"/>
    <w:rsid w:val="00485095"/>
    <w:rsid w:val="0048715C"/>
    <w:rsid w:val="004A52D9"/>
    <w:rsid w:val="004C2EE3"/>
    <w:rsid w:val="004D2D00"/>
    <w:rsid w:val="004E162B"/>
    <w:rsid w:val="004E4A22"/>
    <w:rsid w:val="004E6ECA"/>
    <w:rsid w:val="004F5D74"/>
    <w:rsid w:val="00507119"/>
    <w:rsid w:val="00511968"/>
    <w:rsid w:val="0055614C"/>
    <w:rsid w:val="00575F1C"/>
    <w:rsid w:val="005852E2"/>
    <w:rsid w:val="005A2785"/>
    <w:rsid w:val="005D08CA"/>
    <w:rsid w:val="005D6F50"/>
    <w:rsid w:val="005E0333"/>
    <w:rsid w:val="005E14C2"/>
    <w:rsid w:val="005F32D7"/>
    <w:rsid w:val="00603982"/>
    <w:rsid w:val="00607BA5"/>
    <w:rsid w:val="0061180A"/>
    <w:rsid w:val="00614DF9"/>
    <w:rsid w:val="00625F91"/>
    <w:rsid w:val="00626EB6"/>
    <w:rsid w:val="00651C67"/>
    <w:rsid w:val="00655D03"/>
    <w:rsid w:val="00665043"/>
    <w:rsid w:val="00667D69"/>
    <w:rsid w:val="00675110"/>
    <w:rsid w:val="006817A4"/>
    <w:rsid w:val="00682DB2"/>
    <w:rsid w:val="00683388"/>
    <w:rsid w:val="00683F84"/>
    <w:rsid w:val="006864DB"/>
    <w:rsid w:val="006A6A81"/>
    <w:rsid w:val="006E40BD"/>
    <w:rsid w:val="006E6E45"/>
    <w:rsid w:val="006F7393"/>
    <w:rsid w:val="0070224F"/>
    <w:rsid w:val="007115F7"/>
    <w:rsid w:val="00716720"/>
    <w:rsid w:val="00742577"/>
    <w:rsid w:val="00771F68"/>
    <w:rsid w:val="00781106"/>
    <w:rsid w:val="00785689"/>
    <w:rsid w:val="0079754B"/>
    <w:rsid w:val="007A1E6D"/>
    <w:rsid w:val="007B0EB2"/>
    <w:rsid w:val="007E363D"/>
    <w:rsid w:val="007F786A"/>
    <w:rsid w:val="00806642"/>
    <w:rsid w:val="00810B6F"/>
    <w:rsid w:val="00822CE0"/>
    <w:rsid w:val="00826467"/>
    <w:rsid w:val="0083759A"/>
    <w:rsid w:val="00841AB1"/>
    <w:rsid w:val="00870827"/>
    <w:rsid w:val="00876C4B"/>
    <w:rsid w:val="008C2D2E"/>
    <w:rsid w:val="008C68F1"/>
    <w:rsid w:val="008F5D8D"/>
    <w:rsid w:val="008F61F4"/>
    <w:rsid w:val="008F7D59"/>
    <w:rsid w:val="009178C3"/>
    <w:rsid w:val="00921803"/>
    <w:rsid w:val="00926503"/>
    <w:rsid w:val="00943EB5"/>
    <w:rsid w:val="00952B94"/>
    <w:rsid w:val="0096693E"/>
    <w:rsid w:val="0097238B"/>
    <w:rsid w:val="009726D8"/>
    <w:rsid w:val="00975C02"/>
    <w:rsid w:val="009771D4"/>
    <w:rsid w:val="0098707A"/>
    <w:rsid w:val="00996082"/>
    <w:rsid w:val="009B7209"/>
    <w:rsid w:val="009B7C41"/>
    <w:rsid w:val="009C6D14"/>
    <w:rsid w:val="009D6411"/>
    <w:rsid w:val="009F2C57"/>
    <w:rsid w:val="009F76DB"/>
    <w:rsid w:val="00A21B4E"/>
    <w:rsid w:val="00A32C3B"/>
    <w:rsid w:val="00A45F4F"/>
    <w:rsid w:val="00A600A9"/>
    <w:rsid w:val="00A72C9A"/>
    <w:rsid w:val="00A87589"/>
    <w:rsid w:val="00A969EA"/>
    <w:rsid w:val="00AA55B7"/>
    <w:rsid w:val="00AA5B9E"/>
    <w:rsid w:val="00AB2407"/>
    <w:rsid w:val="00AB53DF"/>
    <w:rsid w:val="00AC51E4"/>
    <w:rsid w:val="00AE62CE"/>
    <w:rsid w:val="00B07E5C"/>
    <w:rsid w:val="00B41DDB"/>
    <w:rsid w:val="00B44DF5"/>
    <w:rsid w:val="00B67146"/>
    <w:rsid w:val="00B811F7"/>
    <w:rsid w:val="00BA5DC6"/>
    <w:rsid w:val="00BA6196"/>
    <w:rsid w:val="00BB3D9B"/>
    <w:rsid w:val="00BC5870"/>
    <w:rsid w:val="00BC6D8C"/>
    <w:rsid w:val="00BF1A0A"/>
    <w:rsid w:val="00C32D81"/>
    <w:rsid w:val="00C34006"/>
    <w:rsid w:val="00C426B1"/>
    <w:rsid w:val="00C427AC"/>
    <w:rsid w:val="00C5647C"/>
    <w:rsid w:val="00C57328"/>
    <w:rsid w:val="00C66160"/>
    <w:rsid w:val="00C721AC"/>
    <w:rsid w:val="00C83129"/>
    <w:rsid w:val="00C90D6A"/>
    <w:rsid w:val="00CA247E"/>
    <w:rsid w:val="00CC72B6"/>
    <w:rsid w:val="00CD2205"/>
    <w:rsid w:val="00CD56E8"/>
    <w:rsid w:val="00CE3B96"/>
    <w:rsid w:val="00CE7239"/>
    <w:rsid w:val="00CF01DD"/>
    <w:rsid w:val="00CF16C2"/>
    <w:rsid w:val="00D0218D"/>
    <w:rsid w:val="00D063F8"/>
    <w:rsid w:val="00D15323"/>
    <w:rsid w:val="00D25FB5"/>
    <w:rsid w:val="00D43417"/>
    <w:rsid w:val="00D44223"/>
    <w:rsid w:val="00D56947"/>
    <w:rsid w:val="00D61B8B"/>
    <w:rsid w:val="00D91C5F"/>
    <w:rsid w:val="00DA2529"/>
    <w:rsid w:val="00DB130A"/>
    <w:rsid w:val="00DB2EBB"/>
    <w:rsid w:val="00DC10A1"/>
    <w:rsid w:val="00DC655F"/>
    <w:rsid w:val="00DD0B59"/>
    <w:rsid w:val="00DD7EBD"/>
    <w:rsid w:val="00DF450F"/>
    <w:rsid w:val="00DF62B6"/>
    <w:rsid w:val="00E07225"/>
    <w:rsid w:val="00E16AC3"/>
    <w:rsid w:val="00E4060D"/>
    <w:rsid w:val="00E460A7"/>
    <w:rsid w:val="00E46831"/>
    <w:rsid w:val="00E46B96"/>
    <w:rsid w:val="00E47C07"/>
    <w:rsid w:val="00E5409F"/>
    <w:rsid w:val="00E67691"/>
    <w:rsid w:val="00E72435"/>
    <w:rsid w:val="00E9357D"/>
    <w:rsid w:val="00E96053"/>
    <w:rsid w:val="00E9628D"/>
    <w:rsid w:val="00EA556A"/>
    <w:rsid w:val="00EC63B6"/>
    <w:rsid w:val="00EE1595"/>
    <w:rsid w:val="00EE498D"/>
    <w:rsid w:val="00EE6488"/>
    <w:rsid w:val="00EE6D9F"/>
    <w:rsid w:val="00F021FA"/>
    <w:rsid w:val="00F4616F"/>
    <w:rsid w:val="00F54937"/>
    <w:rsid w:val="00F62E97"/>
    <w:rsid w:val="00F638E9"/>
    <w:rsid w:val="00F64209"/>
    <w:rsid w:val="00F760F3"/>
    <w:rsid w:val="00F93BF5"/>
    <w:rsid w:val="00FF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270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2 Char Char Char,Footnote Text Char1 Char1 Char Char Char,Footnote Text Char Char Char Char Char Char,Footnote Text Char1,Footnote Text Char2,fn Cha"/>
    <w:link w:val="FootnoteTextChar"/>
    <w:rsid w:val="000E3D42"/>
    <w:pPr>
      <w:spacing w:after="120"/>
    </w:pPr>
  </w:style>
  <w:style w:type="character" w:styleId="FootnoteReference">
    <w:name w:val="footnote reference"/>
    <w:aliases w:val="Style 12,(NECG) Footnote Reference,Appel note de bas de p,Style 124,o,fr,Style 3,Style 4,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3">
    <w:name w:val="Body Text 3"/>
    <w:basedOn w:val="Normal"/>
    <w:link w:val="BodyText3Char"/>
    <w:rsid w:val="002A5018"/>
    <w:pPr>
      <w:widowControl/>
      <w:jc w:val="both"/>
    </w:pPr>
    <w:rPr>
      <w:snapToGrid/>
      <w:kern w:val="0"/>
      <w:sz w:val="24"/>
    </w:rPr>
  </w:style>
  <w:style w:type="character" w:customStyle="1" w:styleId="BodyText3Char">
    <w:name w:val="Body Text 3 Char"/>
    <w:link w:val="BodyText3"/>
    <w:rsid w:val="002A5018"/>
    <w:rPr>
      <w:sz w:val="24"/>
    </w:rPr>
  </w:style>
  <w:style w:type="character" w:customStyle="1" w:styleId="FootnoteTextChar">
    <w:name w:val="Footnote Text Char"/>
    <w:aliases w:val="Footnote Text Char1 Char Char,Footnote Text Char Char Char Char,Footnote Text Char2 Char Char Char Char,Footnote Text Char1 Char1 Char Char Char Char,Footnote Text Char Char Char Char Char Char Char,Footnote Text Char1 Char1"/>
    <w:link w:val="FootnoteText"/>
    <w:rsid w:val="002A5018"/>
  </w:style>
  <w:style w:type="character" w:styleId="CommentReference">
    <w:name w:val="annotation reference"/>
    <w:uiPriority w:val="99"/>
    <w:rsid w:val="002A5018"/>
    <w:rPr>
      <w:sz w:val="16"/>
      <w:szCs w:val="16"/>
    </w:rPr>
  </w:style>
  <w:style w:type="paragraph" w:styleId="CommentText">
    <w:name w:val="annotation text"/>
    <w:basedOn w:val="Normal"/>
    <w:link w:val="CommentTextChar"/>
    <w:rsid w:val="002A5018"/>
    <w:rPr>
      <w:kern w:val="0"/>
      <w:sz w:val="20"/>
    </w:rPr>
  </w:style>
  <w:style w:type="character" w:customStyle="1" w:styleId="CommentTextChar">
    <w:name w:val="Comment Text Char"/>
    <w:link w:val="CommentText"/>
    <w:rsid w:val="002A5018"/>
    <w:rPr>
      <w:snapToGrid w:val="0"/>
    </w:rPr>
  </w:style>
  <w:style w:type="character" w:customStyle="1" w:styleId="term">
    <w:name w:val="term"/>
    <w:rsid w:val="002A5018"/>
  </w:style>
  <w:style w:type="character" w:customStyle="1" w:styleId="ParaNumChar">
    <w:name w:val="ParaNum Char"/>
    <w:link w:val="ParaNum"/>
    <w:rsid w:val="002A5018"/>
    <w:rPr>
      <w:snapToGrid w:val="0"/>
      <w:kern w:val="28"/>
      <w:sz w:val="22"/>
    </w:rPr>
  </w:style>
  <w:style w:type="paragraph" w:styleId="BalloonText">
    <w:name w:val="Balloon Text"/>
    <w:basedOn w:val="Normal"/>
    <w:link w:val="BalloonTextChar"/>
    <w:rsid w:val="002A5018"/>
    <w:rPr>
      <w:rFonts w:ascii="Segoe UI" w:hAnsi="Segoe UI" w:cs="Segoe UI"/>
      <w:sz w:val="18"/>
      <w:szCs w:val="18"/>
    </w:rPr>
  </w:style>
  <w:style w:type="character" w:customStyle="1" w:styleId="BalloonTextChar">
    <w:name w:val="Balloon Text Char"/>
    <w:link w:val="BalloonText"/>
    <w:rsid w:val="002A5018"/>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0E4B97"/>
    <w:rPr>
      <w:b/>
      <w:bCs/>
      <w:kern w:val="28"/>
    </w:rPr>
  </w:style>
  <w:style w:type="character" w:customStyle="1" w:styleId="CommentSubjectChar">
    <w:name w:val="Comment Subject Char"/>
    <w:link w:val="CommentSubject"/>
    <w:rsid w:val="000E4B97"/>
    <w:rPr>
      <w:b/>
      <w:bCs/>
      <w:snapToGrid w:val="0"/>
      <w:kern w:val="28"/>
    </w:rPr>
  </w:style>
  <w:style w:type="character" w:customStyle="1" w:styleId="emphi">
    <w:name w:val="emphi"/>
    <w:rsid w:val="00EE6D9F"/>
  </w:style>
  <w:style w:type="character" w:customStyle="1" w:styleId="displayhltext">
    <w:name w:val="display_hl_text"/>
    <w:rsid w:val="00EE6D9F"/>
  </w:style>
  <w:style w:type="paragraph" w:styleId="Title">
    <w:name w:val="Title"/>
    <w:basedOn w:val="Normal"/>
    <w:link w:val="TitleChar"/>
    <w:qFormat/>
    <w:rsid w:val="00151434"/>
    <w:pPr>
      <w:widowControl/>
      <w:tabs>
        <w:tab w:val="center" w:pos="4770"/>
      </w:tabs>
      <w:spacing w:line="226" w:lineRule="auto"/>
      <w:jc w:val="center"/>
    </w:pPr>
    <w:rPr>
      <w:b/>
      <w:snapToGrid/>
      <w:kern w:val="0"/>
      <w:lang w:val="x-none" w:eastAsia="x-none"/>
    </w:rPr>
  </w:style>
  <w:style w:type="character" w:customStyle="1" w:styleId="TitleChar">
    <w:name w:val="Title Char"/>
    <w:link w:val="Title"/>
    <w:rsid w:val="00151434"/>
    <w:rPr>
      <w:b/>
      <w:sz w:val="22"/>
      <w:lang w:val="x-none" w:eastAsia="x-none"/>
    </w:rPr>
  </w:style>
  <w:style w:type="paragraph" w:customStyle="1" w:styleId="par1">
    <w:name w:val="par1"/>
    <w:basedOn w:val="Normal"/>
    <w:link w:val="par1Char"/>
    <w:uiPriority w:val="99"/>
    <w:rsid w:val="00D43417"/>
    <w:pPr>
      <w:tabs>
        <w:tab w:val="num" w:pos="1080"/>
      </w:tabs>
      <w:ind w:firstLine="720"/>
    </w:pPr>
    <w:rPr>
      <w:lang w:val="x-none" w:eastAsia="x-none"/>
    </w:rPr>
  </w:style>
  <w:style w:type="character" w:customStyle="1" w:styleId="par1Char">
    <w:name w:val="par1 Char"/>
    <w:link w:val="par1"/>
    <w:uiPriority w:val="99"/>
    <w:locked/>
    <w:rsid w:val="00D43417"/>
    <w:rPr>
      <w:snapToGrid w:val="0"/>
      <w:kern w:val="28"/>
      <w:sz w:val="22"/>
      <w:lang w:val="x-none" w:eastAsia="x-none"/>
    </w:rPr>
  </w:style>
  <w:style w:type="paragraph" w:customStyle="1" w:styleId="MediumGrid21">
    <w:name w:val="Medium Grid 21"/>
    <w:uiPriority w:val="99"/>
    <w:qFormat/>
    <w:rsid w:val="00D434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2 Char Char Char,Footnote Text Char1 Char1 Char Char Char,Footnote Text Char Char Char Char Char Char,Footnote Text Char1,Footnote Text Char2,fn Cha"/>
    <w:link w:val="FootnoteTextChar"/>
    <w:rsid w:val="000E3D42"/>
    <w:pPr>
      <w:spacing w:after="120"/>
    </w:pPr>
  </w:style>
  <w:style w:type="character" w:styleId="FootnoteReference">
    <w:name w:val="footnote reference"/>
    <w:aliases w:val="Style 12,(NECG) Footnote Reference,Appel note de bas de p,Style 124,o,fr,Style 3,Style 4,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3">
    <w:name w:val="Body Text 3"/>
    <w:basedOn w:val="Normal"/>
    <w:link w:val="BodyText3Char"/>
    <w:rsid w:val="002A5018"/>
    <w:pPr>
      <w:widowControl/>
      <w:jc w:val="both"/>
    </w:pPr>
    <w:rPr>
      <w:snapToGrid/>
      <w:kern w:val="0"/>
      <w:sz w:val="24"/>
    </w:rPr>
  </w:style>
  <w:style w:type="character" w:customStyle="1" w:styleId="BodyText3Char">
    <w:name w:val="Body Text 3 Char"/>
    <w:link w:val="BodyText3"/>
    <w:rsid w:val="002A5018"/>
    <w:rPr>
      <w:sz w:val="24"/>
    </w:rPr>
  </w:style>
  <w:style w:type="character" w:customStyle="1" w:styleId="FootnoteTextChar">
    <w:name w:val="Footnote Text Char"/>
    <w:aliases w:val="Footnote Text Char1 Char Char,Footnote Text Char Char Char Char,Footnote Text Char2 Char Char Char Char,Footnote Text Char1 Char1 Char Char Char Char,Footnote Text Char Char Char Char Char Char Char,Footnote Text Char1 Char1"/>
    <w:link w:val="FootnoteText"/>
    <w:rsid w:val="002A5018"/>
  </w:style>
  <w:style w:type="character" w:styleId="CommentReference">
    <w:name w:val="annotation reference"/>
    <w:uiPriority w:val="99"/>
    <w:rsid w:val="002A5018"/>
    <w:rPr>
      <w:sz w:val="16"/>
      <w:szCs w:val="16"/>
    </w:rPr>
  </w:style>
  <w:style w:type="paragraph" w:styleId="CommentText">
    <w:name w:val="annotation text"/>
    <w:basedOn w:val="Normal"/>
    <w:link w:val="CommentTextChar"/>
    <w:rsid w:val="002A5018"/>
    <w:rPr>
      <w:kern w:val="0"/>
      <w:sz w:val="20"/>
    </w:rPr>
  </w:style>
  <w:style w:type="character" w:customStyle="1" w:styleId="CommentTextChar">
    <w:name w:val="Comment Text Char"/>
    <w:link w:val="CommentText"/>
    <w:rsid w:val="002A5018"/>
    <w:rPr>
      <w:snapToGrid w:val="0"/>
    </w:rPr>
  </w:style>
  <w:style w:type="character" w:customStyle="1" w:styleId="term">
    <w:name w:val="term"/>
    <w:rsid w:val="002A5018"/>
  </w:style>
  <w:style w:type="character" w:customStyle="1" w:styleId="ParaNumChar">
    <w:name w:val="ParaNum Char"/>
    <w:link w:val="ParaNum"/>
    <w:rsid w:val="002A5018"/>
    <w:rPr>
      <w:snapToGrid w:val="0"/>
      <w:kern w:val="28"/>
      <w:sz w:val="22"/>
    </w:rPr>
  </w:style>
  <w:style w:type="paragraph" w:styleId="BalloonText">
    <w:name w:val="Balloon Text"/>
    <w:basedOn w:val="Normal"/>
    <w:link w:val="BalloonTextChar"/>
    <w:rsid w:val="002A5018"/>
    <w:rPr>
      <w:rFonts w:ascii="Segoe UI" w:hAnsi="Segoe UI" w:cs="Segoe UI"/>
      <w:sz w:val="18"/>
      <w:szCs w:val="18"/>
    </w:rPr>
  </w:style>
  <w:style w:type="character" w:customStyle="1" w:styleId="BalloonTextChar">
    <w:name w:val="Balloon Text Char"/>
    <w:link w:val="BalloonText"/>
    <w:rsid w:val="002A5018"/>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0E4B97"/>
    <w:rPr>
      <w:b/>
      <w:bCs/>
      <w:kern w:val="28"/>
    </w:rPr>
  </w:style>
  <w:style w:type="character" w:customStyle="1" w:styleId="CommentSubjectChar">
    <w:name w:val="Comment Subject Char"/>
    <w:link w:val="CommentSubject"/>
    <w:rsid w:val="000E4B97"/>
    <w:rPr>
      <w:b/>
      <w:bCs/>
      <w:snapToGrid w:val="0"/>
      <w:kern w:val="28"/>
    </w:rPr>
  </w:style>
  <w:style w:type="character" w:customStyle="1" w:styleId="emphi">
    <w:name w:val="emphi"/>
    <w:rsid w:val="00EE6D9F"/>
  </w:style>
  <w:style w:type="character" w:customStyle="1" w:styleId="displayhltext">
    <w:name w:val="display_hl_text"/>
    <w:rsid w:val="00EE6D9F"/>
  </w:style>
  <w:style w:type="paragraph" w:styleId="Title">
    <w:name w:val="Title"/>
    <w:basedOn w:val="Normal"/>
    <w:link w:val="TitleChar"/>
    <w:qFormat/>
    <w:rsid w:val="00151434"/>
    <w:pPr>
      <w:widowControl/>
      <w:tabs>
        <w:tab w:val="center" w:pos="4770"/>
      </w:tabs>
      <w:spacing w:line="226" w:lineRule="auto"/>
      <w:jc w:val="center"/>
    </w:pPr>
    <w:rPr>
      <w:b/>
      <w:snapToGrid/>
      <w:kern w:val="0"/>
      <w:lang w:val="x-none" w:eastAsia="x-none"/>
    </w:rPr>
  </w:style>
  <w:style w:type="character" w:customStyle="1" w:styleId="TitleChar">
    <w:name w:val="Title Char"/>
    <w:link w:val="Title"/>
    <w:rsid w:val="00151434"/>
    <w:rPr>
      <w:b/>
      <w:sz w:val="22"/>
      <w:lang w:val="x-none" w:eastAsia="x-none"/>
    </w:rPr>
  </w:style>
  <w:style w:type="paragraph" w:customStyle="1" w:styleId="par1">
    <w:name w:val="par1"/>
    <w:basedOn w:val="Normal"/>
    <w:link w:val="par1Char"/>
    <w:uiPriority w:val="99"/>
    <w:rsid w:val="00D43417"/>
    <w:pPr>
      <w:tabs>
        <w:tab w:val="num" w:pos="1080"/>
      </w:tabs>
      <w:ind w:firstLine="720"/>
    </w:pPr>
    <w:rPr>
      <w:lang w:val="x-none" w:eastAsia="x-none"/>
    </w:rPr>
  </w:style>
  <w:style w:type="character" w:customStyle="1" w:styleId="par1Char">
    <w:name w:val="par1 Char"/>
    <w:link w:val="par1"/>
    <w:uiPriority w:val="99"/>
    <w:locked/>
    <w:rsid w:val="00D43417"/>
    <w:rPr>
      <w:snapToGrid w:val="0"/>
      <w:kern w:val="28"/>
      <w:sz w:val="22"/>
      <w:lang w:val="x-none" w:eastAsia="x-none"/>
    </w:rPr>
  </w:style>
  <w:style w:type="paragraph" w:customStyle="1" w:styleId="MediumGrid21">
    <w:name w:val="Medium Grid 21"/>
    <w:uiPriority w:val="99"/>
    <w:qFormat/>
    <w:rsid w:val="00D43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0913">
      <w:bodyDiv w:val="1"/>
      <w:marLeft w:val="0"/>
      <w:marRight w:val="0"/>
      <w:marTop w:val="0"/>
      <w:marBottom w:val="0"/>
      <w:divBdr>
        <w:top w:val="none" w:sz="0" w:space="0" w:color="auto"/>
        <w:left w:val="none" w:sz="0" w:space="0" w:color="auto"/>
        <w:bottom w:val="none" w:sz="0" w:space="0" w:color="auto"/>
        <w:right w:val="none" w:sz="0" w:space="0" w:color="auto"/>
      </w:divBdr>
    </w:div>
    <w:div w:id="1501121651">
      <w:bodyDiv w:val="1"/>
      <w:marLeft w:val="0"/>
      <w:marRight w:val="0"/>
      <w:marTop w:val="0"/>
      <w:marBottom w:val="0"/>
      <w:divBdr>
        <w:top w:val="none" w:sz="0" w:space="0" w:color="auto"/>
        <w:left w:val="none" w:sz="0" w:space="0" w:color="auto"/>
        <w:bottom w:val="none" w:sz="0" w:space="0" w:color="auto"/>
        <w:right w:val="none" w:sz="0" w:space="0" w:color="auto"/>
      </w:divBdr>
      <w:divsChild>
        <w:div w:id="1741829563">
          <w:marLeft w:val="0"/>
          <w:marRight w:val="0"/>
          <w:marTop w:val="0"/>
          <w:marBottom w:val="0"/>
          <w:divBdr>
            <w:top w:val="none" w:sz="0" w:space="0" w:color="auto"/>
            <w:left w:val="none" w:sz="0" w:space="0" w:color="auto"/>
            <w:bottom w:val="none" w:sz="0" w:space="0" w:color="auto"/>
            <w:right w:val="none" w:sz="0" w:space="0" w:color="auto"/>
          </w:divBdr>
          <w:divsChild>
            <w:div w:id="49774063">
              <w:marLeft w:val="0"/>
              <w:marRight w:val="0"/>
              <w:marTop w:val="0"/>
              <w:marBottom w:val="0"/>
              <w:divBdr>
                <w:top w:val="none" w:sz="0" w:space="0" w:color="auto"/>
                <w:left w:val="none" w:sz="0" w:space="0" w:color="auto"/>
                <w:bottom w:val="none" w:sz="0" w:space="0" w:color="auto"/>
                <w:right w:val="none" w:sz="0" w:space="0" w:color="auto"/>
              </w:divBdr>
            </w:div>
          </w:divsChild>
        </w:div>
        <w:div w:id="384719575">
          <w:marLeft w:val="0"/>
          <w:marRight w:val="0"/>
          <w:marTop w:val="0"/>
          <w:marBottom w:val="0"/>
          <w:divBdr>
            <w:top w:val="none" w:sz="0" w:space="0" w:color="auto"/>
            <w:left w:val="none" w:sz="0" w:space="0" w:color="auto"/>
            <w:bottom w:val="none" w:sz="0" w:space="0" w:color="auto"/>
            <w:right w:val="none" w:sz="0" w:space="0" w:color="auto"/>
          </w:divBdr>
          <w:divsChild>
            <w:div w:id="1568804182">
              <w:marLeft w:val="0"/>
              <w:marRight w:val="0"/>
              <w:marTop w:val="0"/>
              <w:marBottom w:val="0"/>
              <w:divBdr>
                <w:top w:val="none" w:sz="0" w:space="0" w:color="auto"/>
                <w:left w:val="none" w:sz="0" w:space="0" w:color="auto"/>
                <w:bottom w:val="none" w:sz="0" w:space="0" w:color="auto"/>
                <w:right w:val="none" w:sz="0" w:space="0" w:color="auto"/>
              </w:divBdr>
            </w:div>
          </w:divsChild>
        </w:div>
        <w:div w:id="690686739">
          <w:marLeft w:val="0"/>
          <w:marRight w:val="0"/>
          <w:marTop w:val="0"/>
          <w:marBottom w:val="0"/>
          <w:divBdr>
            <w:top w:val="none" w:sz="0" w:space="0" w:color="auto"/>
            <w:left w:val="none" w:sz="0" w:space="0" w:color="auto"/>
            <w:bottom w:val="none" w:sz="0" w:space="0" w:color="auto"/>
            <w:right w:val="none" w:sz="0" w:space="0" w:color="auto"/>
          </w:divBdr>
          <w:divsChild>
            <w:div w:id="2111317883">
              <w:marLeft w:val="0"/>
              <w:marRight w:val="0"/>
              <w:marTop w:val="0"/>
              <w:marBottom w:val="0"/>
              <w:divBdr>
                <w:top w:val="none" w:sz="0" w:space="0" w:color="auto"/>
                <w:left w:val="none" w:sz="0" w:space="0" w:color="auto"/>
                <w:bottom w:val="none" w:sz="0" w:space="0" w:color="auto"/>
                <w:right w:val="none" w:sz="0" w:space="0" w:color="auto"/>
              </w:divBdr>
            </w:div>
          </w:divsChild>
        </w:div>
        <w:div w:id="509032220">
          <w:marLeft w:val="0"/>
          <w:marRight w:val="0"/>
          <w:marTop w:val="0"/>
          <w:marBottom w:val="0"/>
          <w:divBdr>
            <w:top w:val="none" w:sz="0" w:space="0" w:color="auto"/>
            <w:left w:val="none" w:sz="0" w:space="0" w:color="auto"/>
            <w:bottom w:val="none" w:sz="0" w:space="0" w:color="auto"/>
            <w:right w:val="none" w:sz="0" w:space="0" w:color="auto"/>
          </w:divBdr>
          <w:divsChild>
            <w:div w:id="1859150846">
              <w:marLeft w:val="0"/>
              <w:marRight w:val="0"/>
              <w:marTop w:val="0"/>
              <w:marBottom w:val="0"/>
              <w:divBdr>
                <w:top w:val="none" w:sz="0" w:space="0" w:color="auto"/>
                <w:left w:val="none" w:sz="0" w:space="0" w:color="auto"/>
                <w:bottom w:val="none" w:sz="0" w:space="0" w:color="auto"/>
                <w:right w:val="none" w:sz="0" w:space="0" w:color="auto"/>
              </w:divBdr>
            </w:div>
          </w:divsChild>
        </w:div>
        <w:div w:id="37635725">
          <w:marLeft w:val="0"/>
          <w:marRight w:val="0"/>
          <w:marTop w:val="0"/>
          <w:marBottom w:val="0"/>
          <w:divBdr>
            <w:top w:val="none" w:sz="0" w:space="0" w:color="auto"/>
            <w:left w:val="none" w:sz="0" w:space="0" w:color="auto"/>
            <w:bottom w:val="none" w:sz="0" w:space="0" w:color="auto"/>
            <w:right w:val="none" w:sz="0" w:space="0" w:color="auto"/>
          </w:divBdr>
          <w:divsChild>
            <w:div w:id="1294096911">
              <w:marLeft w:val="0"/>
              <w:marRight w:val="0"/>
              <w:marTop w:val="0"/>
              <w:marBottom w:val="0"/>
              <w:divBdr>
                <w:top w:val="none" w:sz="0" w:space="0" w:color="auto"/>
                <w:left w:val="none" w:sz="0" w:space="0" w:color="auto"/>
                <w:bottom w:val="none" w:sz="0" w:space="0" w:color="auto"/>
                <w:right w:val="none" w:sz="0" w:space="0" w:color="auto"/>
              </w:divBdr>
            </w:div>
          </w:divsChild>
        </w:div>
        <w:div w:id="542985586">
          <w:marLeft w:val="0"/>
          <w:marRight w:val="0"/>
          <w:marTop w:val="0"/>
          <w:marBottom w:val="0"/>
          <w:divBdr>
            <w:top w:val="none" w:sz="0" w:space="0" w:color="auto"/>
            <w:left w:val="none" w:sz="0" w:space="0" w:color="auto"/>
            <w:bottom w:val="none" w:sz="0" w:space="0" w:color="auto"/>
            <w:right w:val="none" w:sz="0" w:space="0" w:color="auto"/>
          </w:divBdr>
          <w:divsChild>
            <w:div w:id="595290490">
              <w:marLeft w:val="0"/>
              <w:marRight w:val="0"/>
              <w:marTop w:val="0"/>
              <w:marBottom w:val="0"/>
              <w:divBdr>
                <w:top w:val="none" w:sz="0" w:space="0" w:color="auto"/>
                <w:left w:val="none" w:sz="0" w:space="0" w:color="auto"/>
                <w:bottom w:val="none" w:sz="0" w:space="0" w:color="auto"/>
                <w:right w:val="none" w:sz="0" w:space="0" w:color="auto"/>
              </w:divBdr>
            </w:div>
          </w:divsChild>
        </w:div>
        <w:div w:id="1821116832">
          <w:marLeft w:val="0"/>
          <w:marRight w:val="0"/>
          <w:marTop w:val="0"/>
          <w:marBottom w:val="0"/>
          <w:divBdr>
            <w:top w:val="none" w:sz="0" w:space="0" w:color="auto"/>
            <w:left w:val="none" w:sz="0" w:space="0" w:color="auto"/>
            <w:bottom w:val="none" w:sz="0" w:space="0" w:color="auto"/>
            <w:right w:val="none" w:sz="0" w:space="0" w:color="auto"/>
          </w:divBdr>
          <w:divsChild>
            <w:div w:id="771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coresWeb/searchDetail.do?frn=001072270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referencepositiontype=T&amp;docname=47CFRS1.17&amp;rp=%2ffind%2fdefault.wl&amp;sv=Split&amp;rs=WLW11.01&amp;db=1000547&amp;tf=-1&amp;findtype=L&amp;fn=_top&amp;mt=Westlaw&amp;vr=2.0&amp;referenceposition=SP%3bd86d0000be040&amp;pbc=950A86A6&amp;tc=-1&amp;ordoc=2023247256" TargetMode="External"/><Relationship Id="rId3" Type="http://schemas.openxmlformats.org/officeDocument/2006/relationships/hyperlink" Target="javascript:top.docjs.next_hit(11)" TargetMode="External"/><Relationship Id="rId7" Type="http://schemas.openxmlformats.org/officeDocument/2006/relationships/hyperlink" Target="http://web2.westlaw.com/find/default.wl?referencepositiontype=S&amp;serialnum=2000372136&amp;referenceposition=193&amp;rp=%2ffind%2fdefault.wl&amp;sv=Split&amp;rs=WLW11.01&amp;db=506&amp;tf=-1&amp;findtype=Y&amp;fn=_top&amp;mt=Westlaw&amp;vr=2.0&amp;pbc=00D99F6C&amp;tc=-1&amp;ordoc=2023908922" TargetMode="External"/><Relationship Id="rId2" Type="http://schemas.openxmlformats.org/officeDocument/2006/relationships/image" Target="media/image1.gif"/><Relationship Id="rId1" Type="http://schemas.openxmlformats.org/officeDocument/2006/relationships/hyperlink" Target="javascript:top.docjs.prev_hit(11)" TargetMode="External"/><Relationship Id="rId6" Type="http://schemas.openxmlformats.org/officeDocument/2006/relationships/hyperlink" Target="http://web2.westlaw.com/find/default.wl?serialnum=1983212871&amp;tc=-1&amp;rp=%2ffind%2fdefault.wl&amp;sv=Split&amp;rs=WLW11.01&amp;db=350&amp;tf=-1&amp;findtype=Y&amp;fn=_top&amp;mt=Westlaw&amp;vr=2.0&amp;pbc=00D99F6C&amp;ordoc=2023908922" TargetMode="External"/><Relationship Id="rId11" Type="http://schemas.openxmlformats.org/officeDocument/2006/relationships/hyperlink" Target="https://www.nps.gov/nr/publications/bulletins/nrb15/nrb15_2.htm" TargetMode="External"/><Relationship Id="rId5" Type="http://schemas.openxmlformats.org/officeDocument/2006/relationships/hyperlink" Target="http://web2.westlaw.com/find/default.wl?referencepositiontype=S&amp;serialnum=1981034558&amp;referenceposition=816&amp;rp=%2ffind%2fdefault.wl&amp;sv=Split&amp;rs=WLW11.01&amp;db=0001017&amp;tf=-1&amp;findtype=Y&amp;fn=_top&amp;mt=Westlaw&amp;vr=2.0&amp;pbc=00D99F6C&amp;tc=-1&amp;ordoc=2023908922" TargetMode="External"/><Relationship Id="rId10" Type="http://schemas.openxmlformats.org/officeDocument/2006/relationships/hyperlink" Target="http://web2.westlaw.com/find/default.wl?tc=-1&amp;docname=47CFRS1.17&amp;rp=%2ffind%2fdefault.wl&amp;sv=Split&amp;rs=WLW11.01&amp;db=1000547&amp;tf=-1&amp;findtype=L&amp;fn=_top&amp;mt=Westlaw&amp;vr=2.0&amp;pbc=950A86A6&amp;ordoc=2023247256" TargetMode="External"/><Relationship Id="rId4" Type="http://schemas.openxmlformats.org/officeDocument/2006/relationships/hyperlink" Target="http://web2.westlaw.com/find/default.wl?referencepositiontype=S&amp;serialnum=1980125409&amp;referenceposition=462&amp;rp=%2ffind%2fdefault.wl&amp;sv=Split&amp;rs=WLW11.01&amp;db=350&amp;tf=-1&amp;findtype=Y&amp;fn=_top&amp;mt=Westlaw&amp;vr=2.0&amp;pbc=00D99F6C&amp;tc=-1&amp;ordoc=2023908922" TargetMode="External"/><Relationship Id="rId9" Type="http://schemas.openxmlformats.org/officeDocument/2006/relationships/hyperlink" Target="http://web2.westlaw.com/find/default.wl?referencepositiontype=S&amp;serialnum=2003205516&amp;referenceposition=4017&amp;rp=%2ffind%2fdefault.wl&amp;sv=Split&amp;rs=WLW11.01&amp;db=0004493&amp;tf=-1&amp;findtype=Y&amp;fn=_top&amp;mt=Westlaw&amp;vr=2.0&amp;pbc=950A86A6&amp;tc=-1&amp;ordoc=20232472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3234</Words>
  <Characters>18266</Characters>
  <Application>Microsoft Office Word</Application>
  <DocSecurity>0</DocSecurity>
  <Lines>268</Lines>
  <Paragraphs>59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21599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2017-08-24T12:39:00Z</dcterms:created>
  <dcterms:modified xsi:type="dcterms:W3CDTF">2017-08-24T12:39:00Z</dcterms:modified>
  <cp:category> </cp:category>
  <cp:contentStatus> </cp:contentStatus>
</cp:coreProperties>
</file>