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04" w:rsidRPr="00293C38" w:rsidRDefault="004D5504" w:rsidP="005C495A">
      <w:pPr>
        <w:ind w:firstLine="720"/>
        <w:contextualSpacing/>
        <w:rPr>
          <w:sz w:val="22"/>
          <w:szCs w:val="22"/>
        </w:rPr>
      </w:pPr>
      <w:bookmarkStart w:id="0" w:name="_GoBack"/>
      <w:bookmarkEnd w:id="0"/>
    </w:p>
    <w:p w:rsidR="00624D2A" w:rsidRPr="00293C38" w:rsidRDefault="00624D2A" w:rsidP="005C495A">
      <w:pPr>
        <w:ind w:firstLine="720"/>
        <w:contextualSpacing/>
        <w:rPr>
          <w:sz w:val="22"/>
          <w:szCs w:val="22"/>
        </w:rPr>
      </w:pPr>
    </w:p>
    <w:p w:rsidR="00624EA1" w:rsidRPr="00293C38" w:rsidRDefault="00924084" w:rsidP="005C495A">
      <w:pPr>
        <w:ind w:left="360" w:firstLine="720"/>
        <w:contextualSpacing/>
        <w:jc w:val="right"/>
        <w:rPr>
          <w:sz w:val="22"/>
          <w:szCs w:val="22"/>
        </w:rPr>
      </w:pPr>
      <w:r w:rsidRPr="00293C38">
        <w:rPr>
          <w:sz w:val="22"/>
          <w:szCs w:val="22"/>
        </w:rPr>
        <w:t>DA 1</w:t>
      </w:r>
      <w:r w:rsidR="001F228D" w:rsidRPr="00293C38">
        <w:rPr>
          <w:sz w:val="22"/>
          <w:szCs w:val="22"/>
        </w:rPr>
        <w:t>7</w:t>
      </w:r>
      <w:r w:rsidRPr="00293C38">
        <w:rPr>
          <w:sz w:val="22"/>
          <w:szCs w:val="22"/>
        </w:rPr>
        <w:t>-</w:t>
      </w:r>
      <w:r w:rsidR="000F576A">
        <w:rPr>
          <w:sz w:val="22"/>
          <w:szCs w:val="22"/>
        </w:rPr>
        <w:t>744</w:t>
      </w:r>
    </w:p>
    <w:p w:rsidR="00056F09" w:rsidRPr="00293C38" w:rsidRDefault="00056F09" w:rsidP="005C495A">
      <w:pPr>
        <w:pStyle w:val="Header"/>
        <w:tabs>
          <w:tab w:val="clear" w:pos="4320"/>
          <w:tab w:val="left" w:pos="720"/>
          <w:tab w:val="left" w:pos="1440"/>
        </w:tabs>
        <w:ind w:firstLine="720"/>
        <w:contextualSpacing/>
        <w:rPr>
          <w:b/>
          <w:sz w:val="22"/>
          <w:szCs w:val="22"/>
        </w:rPr>
      </w:pPr>
    </w:p>
    <w:p w:rsidR="006A46EA" w:rsidRPr="00293C38" w:rsidRDefault="001D3141" w:rsidP="005C495A">
      <w:pPr>
        <w:pStyle w:val="Header"/>
        <w:tabs>
          <w:tab w:val="left" w:pos="720"/>
          <w:tab w:val="left" w:pos="1440"/>
        </w:tabs>
        <w:contextualSpacing/>
        <w:rPr>
          <w:sz w:val="22"/>
          <w:szCs w:val="22"/>
        </w:rPr>
      </w:pPr>
      <w:r w:rsidRPr="00293C38">
        <w:rPr>
          <w:sz w:val="22"/>
          <w:szCs w:val="22"/>
        </w:rPr>
        <w:t xml:space="preserve">Mr. </w:t>
      </w:r>
      <w:r w:rsidR="006A46EA" w:rsidRPr="00293C38">
        <w:rPr>
          <w:sz w:val="22"/>
          <w:szCs w:val="22"/>
        </w:rPr>
        <w:t xml:space="preserve">Thomas K. Kurian </w:t>
      </w:r>
    </w:p>
    <w:p w:rsidR="006A46EA" w:rsidRPr="00293C38" w:rsidRDefault="00E50273" w:rsidP="005C495A">
      <w:pPr>
        <w:pStyle w:val="Header"/>
        <w:tabs>
          <w:tab w:val="left" w:pos="720"/>
          <w:tab w:val="left" w:pos="1440"/>
        </w:tabs>
        <w:contextualSpacing/>
        <w:rPr>
          <w:sz w:val="22"/>
          <w:szCs w:val="22"/>
        </w:rPr>
      </w:pPr>
      <w:r w:rsidRPr="00293C38">
        <w:rPr>
          <w:sz w:val="22"/>
          <w:szCs w:val="22"/>
        </w:rPr>
        <w:t>11392 Vernazza Ct.</w:t>
      </w:r>
      <w:r w:rsidR="006A46EA" w:rsidRPr="00293C38">
        <w:rPr>
          <w:sz w:val="22"/>
          <w:szCs w:val="22"/>
        </w:rPr>
        <w:t xml:space="preserve"> </w:t>
      </w:r>
    </w:p>
    <w:p w:rsidR="00EA439A" w:rsidRPr="00293C38" w:rsidRDefault="006A46EA" w:rsidP="005C495A">
      <w:pPr>
        <w:pStyle w:val="Header"/>
        <w:tabs>
          <w:tab w:val="left" w:pos="720"/>
          <w:tab w:val="left" w:pos="1440"/>
        </w:tabs>
        <w:contextualSpacing/>
        <w:rPr>
          <w:sz w:val="22"/>
          <w:szCs w:val="22"/>
        </w:rPr>
      </w:pPr>
      <w:r w:rsidRPr="00293C38">
        <w:rPr>
          <w:sz w:val="22"/>
          <w:szCs w:val="22"/>
        </w:rPr>
        <w:t>Las Vegas, NV 89138</w:t>
      </w:r>
      <w:r w:rsidR="001D3141" w:rsidRPr="00293C38">
        <w:rPr>
          <w:sz w:val="22"/>
          <w:szCs w:val="22"/>
        </w:rPr>
        <w:t xml:space="preserve"> </w:t>
      </w:r>
    </w:p>
    <w:p w:rsidR="001D3141" w:rsidRPr="00293C38" w:rsidRDefault="001D3141" w:rsidP="005C495A">
      <w:pPr>
        <w:pStyle w:val="Header"/>
        <w:tabs>
          <w:tab w:val="clear" w:pos="4320"/>
          <w:tab w:val="left" w:pos="720"/>
          <w:tab w:val="left" w:pos="1440"/>
        </w:tabs>
        <w:contextualSpacing/>
        <w:rPr>
          <w:b/>
          <w:sz w:val="22"/>
          <w:szCs w:val="22"/>
        </w:rPr>
      </w:pPr>
    </w:p>
    <w:p w:rsidR="00056F09" w:rsidRPr="00293C38" w:rsidRDefault="00F81BC1" w:rsidP="005C495A">
      <w:pPr>
        <w:pStyle w:val="Header"/>
        <w:tabs>
          <w:tab w:val="clear" w:pos="4320"/>
          <w:tab w:val="left" w:pos="720"/>
          <w:tab w:val="left" w:pos="1440"/>
        </w:tabs>
        <w:contextualSpacing/>
        <w:rPr>
          <w:b/>
          <w:sz w:val="22"/>
          <w:szCs w:val="22"/>
        </w:rPr>
      </w:pPr>
      <w:r w:rsidRPr="00293C38">
        <w:rPr>
          <w:b/>
          <w:sz w:val="22"/>
          <w:szCs w:val="22"/>
        </w:rPr>
        <w:t xml:space="preserve">RE:  </w:t>
      </w:r>
      <w:r w:rsidR="00056F09" w:rsidRPr="00293C38">
        <w:rPr>
          <w:b/>
          <w:sz w:val="22"/>
          <w:szCs w:val="22"/>
        </w:rPr>
        <w:t xml:space="preserve">Request </w:t>
      </w:r>
      <w:r w:rsidR="00D21344" w:rsidRPr="00293C38">
        <w:rPr>
          <w:b/>
          <w:sz w:val="22"/>
          <w:szCs w:val="22"/>
        </w:rPr>
        <w:t xml:space="preserve">for </w:t>
      </w:r>
      <w:r w:rsidR="004A2A1D" w:rsidRPr="00293C38">
        <w:rPr>
          <w:b/>
          <w:sz w:val="22"/>
          <w:szCs w:val="22"/>
        </w:rPr>
        <w:t>Waive</w:t>
      </w:r>
      <w:r w:rsidR="00D21344" w:rsidRPr="00293C38">
        <w:rPr>
          <w:b/>
          <w:sz w:val="22"/>
          <w:szCs w:val="22"/>
        </w:rPr>
        <w:t>r</w:t>
      </w:r>
      <w:r w:rsidR="004A2A1D" w:rsidRPr="00293C38">
        <w:rPr>
          <w:b/>
          <w:sz w:val="22"/>
          <w:szCs w:val="22"/>
        </w:rPr>
        <w:t xml:space="preserve"> </w:t>
      </w:r>
      <w:r w:rsidR="00D21344" w:rsidRPr="00293C38">
        <w:rPr>
          <w:b/>
          <w:sz w:val="22"/>
          <w:szCs w:val="22"/>
        </w:rPr>
        <w:t xml:space="preserve">of </w:t>
      </w:r>
      <w:r w:rsidR="00AA6F69" w:rsidRPr="00293C38">
        <w:rPr>
          <w:b/>
          <w:sz w:val="22"/>
          <w:szCs w:val="22"/>
        </w:rPr>
        <w:t>Section 27.14(g)</w:t>
      </w:r>
      <w:r w:rsidR="00B72EFF" w:rsidRPr="00293C38">
        <w:rPr>
          <w:b/>
          <w:sz w:val="22"/>
          <w:szCs w:val="22"/>
        </w:rPr>
        <w:t>, File No. 0007650703</w:t>
      </w:r>
    </w:p>
    <w:p w:rsidR="00056F09" w:rsidRPr="00293C38" w:rsidRDefault="00056F09" w:rsidP="005C495A">
      <w:pPr>
        <w:pStyle w:val="Header"/>
        <w:tabs>
          <w:tab w:val="clear" w:pos="4320"/>
          <w:tab w:val="left" w:pos="720"/>
          <w:tab w:val="left" w:pos="1440"/>
        </w:tabs>
        <w:contextualSpacing/>
        <w:rPr>
          <w:sz w:val="22"/>
          <w:szCs w:val="22"/>
        </w:rPr>
      </w:pPr>
    </w:p>
    <w:p w:rsidR="00056F09" w:rsidRPr="00293C38" w:rsidRDefault="00C548B9" w:rsidP="005C495A">
      <w:pPr>
        <w:contextualSpacing/>
        <w:rPr>
          <w:sz w:val="22"/>
          <w:szCs w:val="22"/>
        </w:rPr>
      </w:pPr>
      <w:r w:rsidRPr="00293C38">
        <w:rPr>
          <w:sz w:val="22"/>
          <w:szCs w:val="22"/>
        </w:rPr>
        <w:t>Dear</w:t>
      </w:r>
      <w:r w:rsidR="00A64D0C" w:rsidRPr="00293C38">
        <w:rPr>
          <w:sz w:val="22"/>
          <w:szCs w:val="22"/>
        </w:rPr>
        <w:t xml:space="preserve"> </w:t>
      </w:r>
      <w:r w:rsidR="005F4C06" w:rsidRPr="00293C38">
        <w:rPr>
          <w:sz w:val="22"/>
          <w:szCs w:val="22"/>
        </w:rPr>
        <w:t xml:space="preserve">Mr. </w:t>
      </w:r>
      <w:r w:rsidR="006A46EA" w:rsidRPr="00293C38">
        <w:rPr>
          <w:sz w:val="22"/>
          <w:szCs w:val="22"/>
        </w:rPr>
        <w:t>Kurian</w:t>
      </w:r>
      <w:r w:rsidR="00056F09" w:rsidRPr="00293C38">
        <w:rPr>
          <w:sz w:val="22"/>
          <w:szCs w:val="22"/>
        </w:rPr>
        <w:t>:</w:t>
      </w:r>
    </w:p>
    <w:p w:rsidR="008C36DE" w:rsidRPr="00293C38" w:rsidRDefault="008C36DE" w:rsidP="005C495A">
      <w:pPr>
        <w:ind w:firstLine="720"/>
        <w:contextualSpacing/>
        <w:rPr>
          <w:sz w:val="22"/>
          <w:szCs w:val="22"/>
        </w:rPr>
      </w:pPr>
    </w:p>
    <w:p w:rsidR="00A77695" w:rsidRPr="00293C38" w:rsidRDefault="00E53795" w:rsidP="00197B77">
      <w:pPr>
        <w:pStyle w:val="ParaNum"/>
      </w:pPr>
      <w:r w:rsidRPr="00293C38">
        <w:t xml:space="preserve">For the reasons stated below, the Mobility Division of the Wireless Telecommunications Bureau hereby </w:t>
      </w:r>
      <w:r w:rsidR="00440819" w:rsidRPr="00293C38">
        <w:t>denies</w:t>
      </w:r>
      <w:r w:rsidR="00B72EFF" w:rsidRPr="00293C38">
        <w:t xml:space="preserve"> the request of</w:t>
      </w:r>
      <w:r w:rsidR="00440819" w:rsidRPr="00293C38">
        <w:t xml:space="preserve"> Thomas K. Kurian (Kurian)</w:t>
      </w:r>
      <w:r w:rsidR="00864D9B" w:rsidRPr="00293C38">
        <w:t xml:space="preserve"> </w:t>
      </w:r>
      <w:r w:rsidR="00440819" w:rsidRPr="00293C38">
        <w:t xml:space="preserve">for </w:t>
      </w:r>
      <w:r w:rsidR="006D798A" w:rsidRPr="00293C38">
        <w:t xml:space="preserve">a waiver of, or </w:t>
      </w:r>
      <w:r w:rsidR="00B72EFF" w:rsidRPr="00293C38">
        <w:t>a</w:t>
      </w:r>
      <w:r w:rsidR="00036505" w:rsidRPr="00293C38">
        <w:t xml:space="preserve"> five-year </w:t>
      </w:r>
      <w:r w:rsidR="00440819" w:rsidRPr="00293C38">
        <w:t>ex</w:t>
      </w:r>
      <w:r w:rsidR="00AE25C1" w:rsidRPr="00293C38">
        <w:t>tension of time to comply with</w:t>
      </w:r>
      <w:r w:rsidR="00970F20" w:rsidRPr="00293C38">
        <w:t>,</w:t>
      </w:r>
      <w:r w:rsidR="00440819" w:rsidRPr="00293C38">
        <w:t xml:space="preserve"> the </w:t>
      </w:r>
      <w:r w:rsidR="00942AA0" w:rsidRPr="00293C38">
        <w:t>interim construction requirement of</w:t>
      </w:r>
      <w:r w:rsidR="00440819" w:rsidRPr="00293C38">
        <w:t xml:space="preserve"> </w:t>
      </w:r>
      <w:r w:rsidR="0020740A" w:rsidRPr="00293C38">
        <w:t>Section 27.14(g)</w:t>
      </w:r>
      <w:r w:rsidRPr="00293C38">
        <w:t xml:space="preserve"> of the Commission’s rules</w:t>
      </w:r>
      <w:r w:rsidR="005A03FB" w:rsidRPr="00293C38">
        <w:t xml:space="preserve"> for a Lower 700 MHz E Block license in </w:t>
      </w:r>
      <w:r w:rsidR="00970F20" w:rsidRPr="00293C38">
        <w:t xml:space="preserve">the U.S. Territory of </w:t>
      </w:r>
      <w:r w:rsidR="005A03FB" w:rsidRPr="00293C38">
        <w:t>Guam, Call Sign WQJQ677</w:t>
      </w:r>
      <w:r w:rsidR="00171A41" w:rsidRPr="00293C38">
        <w:t xml:space="preserve"> (BEA173)</w:t>
      </w:r>
      <w:r w:rsidR="00BF167B" w:rsidRPr="00293C38">
        <w:t xml:space="preserve"> (the License)</w:t>
      </w:r>
      <w:r w:rsidR="005A03FB" w:rsidRPr="00293C38">
        <w:t>.</w:t>
      </w:r>
      <w:r w:rsidR="00BF167B" w:rsidRPr="00293C38">
        <w:rPr>
          <w:vertAlign w:val="superscript"/>
        </w:rPr>
        <w:footnoteReference w:id="2"/>
      </w:r>
    </w:p>
    <w:p w:rsidR="00D4568E" w:rsidRPr="00293C38" w:rsidRDefault="00D4568E" w:rsidP="00197B77">
      <w:pPr>
        <w:pStyle w:val="ParaNum"/>
      </w:pPr>
    </w:p>
    <w:p w:rsidR="00E533A7" w:rsidRPr="00293C38" w:rsidRDefault="00E533A7" w:rsidP="005C495A">
      <w:pPr>
        <w:pStyle w:val="Heading1"/>
        <w:spacing w:after="0"/>
        <w:rPr>
          <w:rFonts w:ascii="Times New Roman" w:hAnsi="Times New Roman"/>
          <w:szCs w:val="22"/>
        </w:rPr>
      </w:pPr>
      <w:r w:rsidRPr="00293C38">
        <w:rPr>
          <w:rFonts w:ascii="Times New Roman" w:hAnsi="Times New Roman"/>
          <w:szCs w:val="22"/>
        </w:rPr>
        <w:t xml:space="preserve">Background    </w:t>
      </w:r>
    </w:p>
    <w:p w:rsidR="00036505" w:rsidRPr="00293C38" w:rsidRDefault="00036505" w:rsidP="00197B77">
      <w:pPr>
        <w:pStyle w:val="ParaNum"/>
      </w:pPr>
    </w:p>
    <w:p w:rsidR="00970F20" w:rsidRPr="00293C38" w:rsidRDefault="00E533A7" w:rsidP="00197B77">
      <w:pPr>
        <w:pStyle w:val="ParaNum"/>
      </w:pPr>
      <w:r w:rsidRPr="00293C38">
        <w:rPr>
          <w:i/>
        </w:rPr>
        <w:t>Construction Requirements</w:t>
      </w:r>
      <w:r w:rsidRPr="00293C38">
        <w:t xml:space="preserve">.  </w:t>
      </w:r>
      <w:r w:rsidR="0064702C" w:rsidRPr="00293C38">
        <w:t xml:space="preserve">In the </w:t>
      </w:r>
      <w:r w:rsidR="0064702C" w:rsidRPr="00293C38">
        <w:rPr>
          <w:i/>
        </w:rPr>
        <w:t>700 MHz Second Report and Order</w:t>
      </w:r>
      <w:r w:rsidR="0064702C" w:rsidRPr="00293C38">
        <w:t>,</w:t>
      </w:r>
      <w:r w:rsidR="0064702C" w:rsidRPr="00293C38">
        <w:rPr>
          <w:i/>
        </w:rPr>
        <w:t xml:space="preserve"> </w:t>
      </w:r>
      <w:r w:rsidR="0064702C" w:rsidRPr="00293C38">
        <w:t>the Commission adopted interim and end-of-license term construction benchmarks for certain 700 MHz band licensees.</w:t>
      </w:r>
      <w:r w:rsidR="0064702C" w:rsidRPr="00293C38">
        <w:rPr>
          <w:rStyle w:val="FootnoteReference"/>
          <w:color w:val="000000" w:themeColor="text1"/>
        </w:rPr>
        <w:footnoteReference w:id="3"/>
      </w:r>
      <w:r w:rsidR="0064702C" w:rsidRPr="00293C38">
        <w:t xml:space="preserve">  The Commission </w:t>
      </w:r>
      <w:r w:rsidR="00921B10" w:rsidRPr="00293C38">
        <w:t xml:space="preserve">initially </w:t>
      </w:r>
      <w:r w:rsidR="0064702C" w:rsidRPr="00293C38">
        <w:t xml:space="preserve">required Lower 700 MHz </w:t>
      </w:r>
      <w:r w:rsidR="007F72CE" w:rsidRPr="00293C38">
        <w:t>band E</w:t>
      </w:r>
      <w:r w:rsidR="0064702C" w:rsidRPr="00293C38">
        <w:t xml:space="preserve"> Block licensees to provide signal coverage and offer service over at least 35 percent of their license area by June 13, 2013</w:t>
      </w:r>
      <w:r w:rsidR="008A123D" w:rsidRPr="00293C38">
        <w:t>,</w:t>
      </w:r>
      <w:r w:rsidR="0064702C" w:rsidRPr="00293C38">
        <w:rPr>
          <w:rStyle w:val="FootnoteReference"/>
          <w:color w:val="000000" w:themeColor="text1"/>
        </w:rPr>
        <w:footnoteReference w:id="4"/>
      </w:r>
      <w:r w:rsidR="0064702C" w:rsidRPr="00293C38">
        <w:t xml:space="preserve"> and over at least 70 percent of </w:t>
      </w:r>
      <w:r w:rsidR="00036505" w:rsidRPr="00293C38">
        <w:t xml:space="preserve">their license </w:t>
      </w:r>
      <w:r w:rsidR="0064702C" w:rsidRPr="00293C38">
        <w:t>area by the end of their initial 10-year license term.</w:t>
      </w:r>
      <w:r w:rsidR="0064702C" w:rsidRPr="00293C38">
        <w:rPr>
          <w:rStyle w:val="FootnoteReference"/>
          <w:color w:val="000000" w:themeColor="text1"/>
        </w:rPr>
        <w:footnoteReference w:id="5"/>
      </w:r>
      <w:r w:rsidR="00CA429B">
        <w:t xml:space="preserve"> </w:t>
      </w:r>
      <w:r w:rsidR="009331D2" w:rsidRPr="009331D2">
        <w:t xml:space="preserve"> </w:t>
      </w:r>
      <w:r w:rsidR="009331D2" w:rsidRPr="00293C38">
        <w:t>Kurian obtained the L</w:t>
      </w:r>
      <w:r w:rsidR="00B8727B">
        <w:t>icense at A</w:t>
      </w:r>
      <w:r w:rsidR="009331D2" w:rsidRPr="00293C38">
        <w:t xml:space="preserve">uction </w:t>
      </w:r>
      <w:r w:rsidR="00CA429B">
        <w:t xml:space="preserve">73 </w:t>
      </w:r>
      <w:r w:rsidR="009331D2" w:rsidRPr="00293C38">
        <w:t>in 2008</w:t>
      </w:r>
      <w:r w:rsidR="00CA429B">
        <w:t xml:space="preserve"> when </w:t>
      </w:r>
      <w:r w:rsidR="00197B77">
        <w:t>t</w:t>
      </w:r>
      <w:r w:rsidR="009331D2">
        <w:t>he Commission auctioned licenses in the Lower 700 MHz A, B, and E Blocks</w:t>
      </w:r>
      <w:r w:rsidR="00CA429B">
        <w:t>.</w:t>
      </w:r>
      <w:r w:rsidR="00657F18" w:rsidRPr="00293C38">
        <w:rPr>
          <w:rStyle w:val="FootnoteReference"/>
        </w:rPr>
        <w:footnoteReference w:id="6"/>
      </w:r>
      <w:r w:rsidR="009331D2">
        <w:t xml:space="preserve"> </w:t>
      </w:r>
    </w:p>
    <w:p w:rsidR="00970F20" w:rsidRPr="00293C38" w:rsidRDefault="00970F20" w:rsidP="00197B77">
      <w:pPr>
        <w:pStyle w:val="ParaNum"/>
      </w:pPr>
    </w:p>
    <w:p w:rsidR="008967B3" w:rsidRPr="00293C38" w:rsidRDefault="00921B10" w:rsidP="00197B77">
      <w:pPr>
        <w:pStyle w:val="ParaNum"/>
      </w:pPr>
      <w:r w:rsidRPr="00293C38">
        <w:t>Subsequently, i</w:t>
      </w:r>
      <w:r w:rsidR="00B72EFF" w:rsidRPr="00293C38">
        <w:t xml:space="preserve">n the </w:t>
      </w:r>
      <w:r w:rsidR="000340D0" w:rsidRPr="00293C38">
        <w:t xml:space="preserve">2013 </w:t>
      </w:r>
      <w:r w:rsidR="00B72EFF" w:rsidRPr="00293C38">
        <w:rPr>
          <w:i/>
        </w:rPr>
        <w:t>Interoperability Report and Order</w:t>
      </w:r>
      <w:r w:rsidR="00B72EFF" w:rsidRPr="00293C38">
        <w:t>, t</w:t>
      </w:r>
      <w:r w:rsidR="008A123D" w:rsidRPr="00293C38">
        <w:t xml:space="preserve">he </w:t>
      </w:r>
      <w:r w:rsidR="007F72CE" w:rsidRPr="00293C38">
        <w:t xml:space="preserve">Commission extended the interim and </w:t>
      </w:r>
      <w:r w:rsidR="00EB57D3" w:rsidRPr="00293C38">
        <w:t>end-of-license term</w:t>
      </w:r>
      <w:r w:rsidR="007F72CE" w:rsidRPr="00293C38">
        <w:t xml:space="preserve"> </w:t>
      </w:r>
      <w:r w:rsidR="00856635" w:rsidRPr="00293C38">
        <w:t xml:space="preserve">construction </w:t>
      </w:r>
      <w:r w:rsidR="007F72CE" w:rsidRPr="00293C38">
        <w:t xml:space="preserve">deadlines for </w:t>
      </w:r>
      <w:r w:rsidR="00B72EFF" w:rsidRPr="00293C38">
        <w:t xml:space="preserve">all </w:t>
      </w:r>
      <w:r w:rsidR="00AB6FF2" w:rsidRPr="00293C38">
        <w:t xml:space="preserve">Lower 700 MHz </w:t>
      </w:r>
      <w:r w:rsidR="000B3A26" w:rsidRPr="00293C38">
        <w:t>E Block license</w:t>
      </w:r>
      <w:r w:rsidR="007F72CE" w:rsidRPr="00293C38">
        <w:t xml:space="preserve">s </w:t>
      </w:r>
      <w:r w:rsidR="005B65EA" w:rsidRPr="00293C38">
        <w:t xml:space="preserve">to March 7, 2017, and </w:t>
      </w:r>
      <w:r w:rsidR="00856635" w:rsidRPr="00293C38">
        <w:t xml:space="preserve">March </w:t>
      </w:r>
      <w:r w:rsidR="006230B4" w:rsidRPr="00293C38">
        <w:t>7</w:t>
      </w:r>
      <w:r w:rsidR="00B72EFF" w:rsidRPr="00293C38">
        <w:t xml:space="preserve">, </w:t>
      </w:r>
      <w:r w:rsidR="00856635" w:rsidRPr="00293C38">
        <w:t>2021, respectively</w:t>
      </w:r>
      <w:r w:rsidR="00841F12" w:rsidRPr="00293C38">
        <w:t>.</w:t>
      </w:r>
      <w:r w:rsidR="007F72CE" w:rsidRPr="00293C38">
        <w:rPr>
          <w:rStyle w:val="FootnoteReference"/>
          <w:color w:val="000000" w:themeColor="text1"/>
        </w:rPr>
        <w:footnoteReference w:id="7"/>
      </w:r>
      <w:r w:rsidR="00841F12" w:rsidRPr="00293C38">
        <w:t xml:space="preserve">  The Commission </w:t>
      </w:r>
      <w:r w:rsidR="00B72EFF" w:rsidRPr="00293C38">
        <w:t xml:space="preserve">provided </w:t>
      </w:r>
      <w:r w:rsidR="00EB57D3" w:rsidRPr="00293C38">
        <w:t>Lower 700 MHz E Block licensee</w:t>
      </w:r>
      <w:r w:rsidR="00126C33" w:rsidRPr="00293C38">
        <w:t>s</w:t>
      </w:r>
      <w:r w:rsidR="00EB57D3" w:rsidRPr="00293C38">
        <w:t xml:space="preserve"> </w:t>
      </w:r>
      <w:r w:rsidR="00B72EFF" w:rsidRPr="00293C38">
        <w:t xml:space="preserve">the option </w:t>
      </w:r>
      <w:r w:rsidR="008967B3" w:rsidRPr="00293C38">
        <w:t xml:space="preserve">to </w:t>
      </w:r>
      <w:r w:rsidR="00126C33" w:rsidRPr="00293C38">
        <w:t xml:space="preserve">meet their interim construction </w:t>
      </w:r>
      <w:r w:rsidR="00AC3B85" w:rsidRPr="00293C38">
        <w:t>requirement</w:t>
      </w:r>
      <w:r w:rsidR="00126C33" w:rsidRPr="00293C38">
        <w:t xml:space="preserve"> </w:t>
      </w:r>
      <w:r w:rsidR="00D505FC" w:rsidRPr="00293C38">
        <w:t xml:space="preserve">by </w:t>
      </w:r>
      <w:r w:rsidR="00126C33" w:rsidRPr="00293C38">
        <w:t>providing signal coverage and offering service to at least 40 percent of the</w:t>
      </w:r>
      <w:r w:rsidR="000340D0" w:rsidRPr="00293C38">
        <w:t xml:space="preserve"> </w:t>
      </w:r>
      <w:r w:rsidR="003D1647" w:rsidRPr="00293C38">
        <w:t xml:space="preserve">aggregated </w:t>
      </w:r>
      <w:r w:rsidR="000340D0" w:rsidRPr="00293C38">
        <w:t xml:space="preserve">population of </w:t>
      </w:r>
      <w:r w:rsidR="000340D0" w:rsidRPr="00293C38">
        <w:rPr>
          <w:i/>
        </w:rPr>
        <w:t>all</w:t>
      </w:r>
      <w:r w:rsidR="000340D0" w:rsidRPr="00293C38">
        <w:t xml:space="preserve"> their </w:t>
      </w:r>
      <w:r w:rsidR="00126C33" w:rsidRPr="00293C38">
        <w:t>E Block</w:t>
      </w:r>
      <w:r w:rsidR="000340D0" w:rsidRPr="00293C38">
        <w:t xml:space="preserve"> license </w:t>
      </w:r>
      <w:r w:rsidR="00D505FC" w:rsidRPr="00293C38">
        <w:t>areas</w:t>
      </w:r>
      <w:r w:rsidR="001C6C22" w:rsidRPr="00293C38">
        <w:t>.</w:t>
      </w:r>
      <w:r w:rsidR="001C6C22" w:rsidRPr="00293C38">
        <w:rPr>
          <w:rStyle w:val="FootnoteReference"/>
        </w:rPr>
        <w:footnoteReference w:id="8"/>
      </w:r>
      <w:r w:rsidR="001C6C22" w:rsidRPr="00293C38">
        <w:t xml:space="preserve">  The Commission further provided Lower 700 MHz E Block licensees the option </w:t>
      </w:r>
      <w:r w:rsidR="00126C33" w:rsidRPr="00293C38">
        <w:t xml:space="preserve">to meet their end-of-term construction </w:t>
      </w:r>
      <w:r w:rsidR="00AC3B85" w:rsidRPr="00293C38">
        <w:t>requirement</w:t>
      </w:r>
      <w:r w:rsidR="00126C33" w:rsidRPr="00293C38">
        <w:t xml:space="preserve"> by providing signal coverage</w:t>
      </w:r>
      <w:r w:rsidR="001C6C22" w:rsidRPr="00293C38">
        <w:t xml:space="preserve"> and</w:t>
      </w:r>
      <w:r w:rsidR="00126C33" w:rsidRPr="00293C38">
        <w:t xml:space="preserve"> </w:t>
      </w:r>
      <w:r w:rsidR="000340D0" w:rsidRPr="00293C38">
        <w:t xml:space="preserve">offering service </w:t>
      </w:r>
      <w:r w:rsidR="00126C33" w:rsidRPr="00293C38">
        <w:t xml:space="preserve">to at least 70 percent of </w:t>
      </w:r>
      <w:r w:rsidR="00821EE8" w:rsidRPr="00293C38">
        <w:t xml:space="preserve">the </w:t>
      </w:r>
      <w:r w:rsidR="00821EE8" w:rsidRPr="00293C38">
        <w:lastRenderedPageBreak/>
        <w:t xml:space="preserve">population of </w:t>
      </w:r>
      <w:r w:rsidR="000340D0" w:rsidRPr="00293C38">
        <w:rPr>
          <w:i/>
        </w:rPr>
        <w:t>each</w:t>
      </w:r>
      <w:r w:rsidR="000340D0" w:rsidRPr="00293C38">
        <w:t xml:space="preserve"> </w:t>
      </w:r>
      <w:r w:rsidR="003D1647" w:rsidRPr="00293C38">
        <w:t xml:space="preserve">of their </w:t>
      </w:r>
      <w:r w:rsidR="001C6C22" w:rsidRPr="00293C38">
        <w:t xml:space="preserve">E Block </w:t>
      </w:r>
      <w:r w:rsidR="00D505FC" w:rsidRPr="00293C38">
        <w:t>license area</w:t>
      </w:r>
      <w:r w:rsidR="003D1647" w:rsidRPr="00293C38">
        <w:t>s</w:t>
      </w:r>
      <w:r w:rsidR="00126C33" w:rsidRPr="00293C38">
        <w:t>.</w:t>
      </w:r>
      <w:r w:rsidR="00126C33" w:rsidRPr="00293C38">
        <w:rPr>
          <w:rStyle w:val="FootnoteReference"/>
        </w:rPr>
        <w:footnoteReference w:id="9"/>
      </w:r>
    </w:p>
    <w:p w:rsidR="00240526" w:rsidRPr="00293C38" w:rsidRDefault="00126C33" w:rsidP="00197B77">
      <w:pPr>
        <w:pStyle w:val="ParaNum"/>
      </w:pPr>
      <w:r w:rsidRPr="00293C38">
        <w:rPr>
          <w:rStyle w:val="FootnoteReference"/>
        </w:rPr>
        <w:t xml:space="preserve"> </w:t>
      </w:r>
      <w:r w:rsidRPr="00293C38">
        <w:t xml:space="preserve"> </w:t>
      </w:r>
    </w:p>
    <w:p w:rsidR="005A03FB" w:rsidRPr="00293C38" w:rsidRDefault="00240526" w:rsidP="00197B77">
      <w:pPr>
        <w:pStyle w:val="ParaNum"/>
      </w:pPr>
      <w:r w:rsidRPr="00293C38">
        <w:t xml:space="preserve">The Commission established that if a Lower 700 MHz E Block licensee fails to meet the </w:t>
      </w:r>
      <w:r w:rsidR="004C56B1" w:rsidRPr="00293C38">
        <w:t xml:space="preserve">extended </w:t>
      </w:r>
      <w:r w:rsidRPr="00293C38">
        <w:t xml:space="preserve">interim construction </w:t>
      </w:r>
      <w:r w:rsidR="004C56B1" w:rsidRPr="00293C38">
        <w:t>deadline</w:t>
      </w:r>
      <w:r w:rsidRPr="00293C38">
        <w:t>, the term of its license</w:t>
      </w:r>
      <w:r w:rsidR="000340D0" w:rsidRPr="00293C38">
        <w:t>(s)</w:t>
      </w:r>
      <w:r w:rsidRPr="00293C38">
        <w:t xml:space="preserve"> </w:t>
      </w:r>
      <w:r w:rsidR="008967B3" w:rsidRPr="00293C38">
        <w:t xml:space="preserve">would be </w:t>
      </w:r>
      <w:r w:rsidRPr="00293C38">
        <w:t>reduced by one year</w:t>
      </w:r>
      <w:r w:rsidR="00812C1D" w:rsidRPr="00293C38">
        <w:t xml:space="preserve"> (rather than </w:t>
      </w:r>
      <w:r w:rsidR="008967B3" w:rsidRPr="00293C38">
        <w:t xml:space="preserve">by </w:t>
      </w:r>
      <w:r w:rsidR="00812C1D" w:rsidRPr="00293C38">
        <w:t xml:space="preserve">two, </w:t>
      </w:r>
      <w:r w:rsidR="00D809B7" w:rsidRPr="00293C38">
        <w:t xml:space="preserve">as </w:t>
      </w:r>
      <w:r w:rsidR="008967B3" w:rsidRPr="00293C38">
        <w:t xml:space="preserve">under </w:t>
      </w:r>
      <w:r w:rsidR="00812C1D" w:rsidRPr="00293C38">
        <w:t>Section 27.14(g)(1))</w:t>
      </w:r>
      <w:r w:rsidRPr="00293C38">
        <w:t xml:space="preserve">, and the licensee therefore </w:t>
      </w:r>
      <w:r w:rsidR="004C56B1" w:rsidRPr="00293C38">
        <w:t xml:space="preserve">would have to </w:t>
      </w:r>
      <w:r w:rsidRPr="00293C38">
        <w:t xml:space="preserve">meet </w:t>
      </w:r>
      <w:r w:rsidR="00CB7168" w:rsidRPr="00293C38">
        <w:t>its</w:t>
      </w:r>
      <w:r w:rsidRPr="00293C38">
        <w:t xml:space="preserve"> end-of-license term construction requirement by March 7, 2020.</w:t>
      </w:r>
      <w:r w:rsidRPr="00293C38">
        <w:rPr>
          <w:rStyle w:val="FootnoteReference"/>
          <w:color w:val="000000" w:themeColor="text1"/>
        </w:rPr>
        <w:footnoteReference w:id="10"/>
      </w:r>
      <w:r w:rsidRPr="00293C38">
        <w:t xml:space="preserve">  </w:t>
      </w:r>
      <w:r w:rsidR="000340D0" w:rsidRPr="00293C38">
        <w:t>I</w:t>
      </w:r>
      <w:r w:rsidR="0064702C" w:rsidRPr="00293C38">
        <w:t xml:space="preserve">f a licensee does not meet its </w:t>
      </w:r>
      <w:r w:rsidR="00A5562E" w:rsidRPr="00293C38">
        <w:t>end-of-license term construction requirement</w:t>
      </w:r>
      <w:r w:rsidR="0064702C" w:rsidRPr="00293C38">
        <w:t xml:space="preserve">, </w:t>
      </w:r>
      <w:r w:rsidR="004C56B1" w:rsidRPr="00293C38">
        <w:t xml:space="preserve">Section 27.14(g)(2) provides that </w:t>
      </w:r>
      <w:r w:rsidR="0064702C" w:rsidRPr="00293C38">
        <w:rPr>
          <w:color w:val="auto"/>
        </w:rPr>
        <w:t>it will be subject to a “keep-what-you-</w:t>
      </w:r>
      <w:r w:rsidR="0064702C" w:rsidRPr="00293C38">
        <w:t>serve” rule, whereby its “authorization will terminate automatically without Commission action for those geographic portions of its license in which the licensee is not providing service, and those unserved areas will become available for reassignment by the Commission.”</w:t>
      </w:r>
      <w:r w:rsidR="0064702C" w:rsidRPr="00293C38">
        <w:rPr>
          <w:rStyle w:val="FootnoteReference"/>
        </w:rPr>
        <w:footnoteReference w:id="11"/>
      </w:r>
    </w:p>
    <w:p w:rsidR="005A03FB" w:rsidRPr="00293C38" w:rsidRDefault="005A03FB" w:rsidP="00197B77">
      <w:pPr>
        <w:pStyle w:val="ParaNum"/>
      </w:pPr>
    </w:p>
    <w:p w:rsidR="00970F20" w:rsidRDefault="00A64678" w:rsidP="00197B77">
      <w:pPr>
        <w:pStyle w:val="ParaNum"/>
      </w:pPr>
      <w:r>
        <w:rPr>
          <w:i/>
        </w:rPr>
        <w:t xml:space="preserve">Kurian’s 2013 </w:t>
      </w:r>
      <w:r w:rsidR="00CD6433">
        <w:rPr>
          <w:i/>
        </w:rPr>
        <w:t xml:space="preserve">Interoperability </w:t>
      </w:r>
      <w:r>
        <w:rPr>
          <w:i/>
        </w:rPr>
        <w:t>Extension Request</w:t>
      </w:r>
      <w:r w:rsidR="008856A3" w:rsidRPr="00293C38">
        <w:rPr>
          <w:i/>
        </w:rPr>
        <w:t xml:space="preserve"> and the Interoperability Proceeding</w:t>
      </w:r>
      <w:r w:rsidR="008856A3" w:rsidRPr="00293C38">
        <w:t xml:space="preserve">.  </w:t>
      </w:r>
      <w:r w:rsidR="0086557F" w:rsidRPr="00293C38">
        <w:t>In 2012, the Commission initiated a rulemaking to promote interoperability in the Lower 700 MHz band and to encourage the efficient use of spectrum.</w:t>
      </w:r>
      <w:r w:rsidR="0086557F" w:rsidRPr="00293C38">
        <w:rPr>
          <w:rStyle w:val="FootnoteReference"/>
        </w:rPr>
        <w:footnoteReference w:id="12"/>
      </w:r>
      <w:r w:rsidR="000417FE" w:rsidRPr="00293C38">
        <w:t xml:space="preserve">  In the </w:t>
      </w:r>
      <w:r w:rsidR="00641A2F" w:rsidRPr="00293C38">
        <w:rPr>
          <w:i/>
        </w:rPr>
        <w:t>Interoperability NPRM</w:t>
      </w:r>
      <w:r w:rsidR="00641A2F" w:rsidRPr="00293C38">
        <w:t>, the Commission sought comment on whether it should</w:t>
      </w:r>
      <w:r w:rsidR="004C56B1" w:rsidRPr="00293C38">
        <w:t xml:space="preserve"> modify</w:t>
      </w:r>
      <w:r w:rsidR="00641A2F" w:rsidRPr="00293C38">
        <w:t xml:space="preserve"> the </w:t>
      </w:r>
      <w:r w:rsidR="00970F20" w:rsidRPr="00293C38">
        <w:t xml:space="preserve">Lower </w:t>
      </w:r>
      <w:r w:rsidR="00641A2F" w:rsidRPr="00293C38">
        <w:t xml:space="preserve">700 MHz E Block </w:t>
      </w:r>
      <w:r w:rsidR="004C56B1" w:rsidRPr="00293C38">
        <w:t>rules “</w:t>
      </w:r>
      <w:r w:rsidR="00641A2F" w:rsidRPr="00293C38">
        <w:t>to permit power levels, out of band emissions and antenna heights that are no greater than those currently permitted in the 700 MHz Lower A and B blocks,</w:t>
      </w:r>
      <w:r w:rsidR="002F1297" w:rsidRPr="00293C38">
        <w:t xml:space="preserve"> [and]</w:t>
      </w:r>
      <w:r w:rsidR="00641A2F" w:rsidRPr="00293C38">
        <w:t xml:space="preserve"> to allow downlink only in the Lower E Block . . .</w:t>
      </w:r>
      <w:r w:rsidR="002F1297" w:rsidRPr="00293C38">
        <w:t xml:space="preserve"> </w:t>
      </w:r>
      <w:r w:rsidR="00641A2F" w:rsidRPr="00293C38">
        <w:t>.”</w:t>
      </w:r>
      <w:r w:rsidR="00641A2F" w:rsidRPr="00293C38">
        <w:rPr>
          <w:rStyle w:val="FootnoteReference"/>
        </w:rPr>
        <w:footnoteReference w:id="13"/>
      </w:r>
      <w:r w:rsidR="0086557F" w:rsidRPr="00293C38">
        <w:t xml:space="preserve"> </w:t>
      </w:r>
      <w:r w:rsidR="00A03301" w:rsidRPr="00293C38">
        <w:t xml:space="preserve"> The Commission also sought comment “on how such modifications would affect the operations and plans of Lower E Block licensees. . . .”</w:t>
      </w:r>
      <w:r w:rsidR="00A03301" w:rsidRPr="00293C38">
        <w:rPr>
          <w:rStyle w:val="FootnoteReference"/>
        </w:rPr>
        <w:footnoteReference w:id="14"/>
      </w:r>
      <w:r w:rsidR="00970F20" w:rsidRPr="00293C38">
        <w:t xml:space="preserve">  Kurian did not file comments regarding the </w:t>
      </w:r>
      <w:r w:rsidR="00970F20" w:rsidRPr="00293C38">
        <w:rPr>
          <w:i/>
        </w:rPr>
        <w:t>Interoperability NPRM</w:t>
      </w:r>
      <w:r w:rsidR="00970F20" w:rsidRPr="00293C38">
        <w:t>.</w:t>
      </w:r>
      <w:r w:rsidR="00970F20" w:rsidRPr="00293C38">
        <w:rPr>
          <w:rStyle w:val="FootnoteReference"/>
        </w:rPr>
        <w:footnoteReference w:id="15"/>
      </w:r>
    </w:p>
    <w:p w:rsidR="00A64678" w:rsidRPr="00293C38" w:rsidRDefault="00A64678" w:rsidP="00197B77">
      <w:pPr>
        <w:pStyle w:val="ParaNum"/>
      </w:pPr>
    </w:p>
    <w:p w:rsidR="00DD6BAC" w:rsidRDefault="00DD6BAC" w:rsidP="00197B77">
      <w:pPr>
        <w:pStyle w:val="ParaNum"/>
      </w:pPr>
      <w:r w:rsidRPr="00293C38">
        <w:t xml:space="preserve">On May 7, 2013, Kurian filed a request for an extension of </w:t>
      </w:r>
      <w:r w:rsidR="00970F20" w:rsidRPr="00293C38">
        <w:t xml:space="preserve">Section </w:t>
      </w:r>
      <w:r w:rsidRPr="00293C38">
        <w:t xml:space="preserve">27.14(g)’s interim construction deadline (then June 13, 2013) “for a period that is no less than two years after the availability of the 700 MHz E band </w:t>
      </w:r>
      <w:r w:rsidR="00CE2877" w:rsidRPr="00293C38">
        <w:t xml:space="preserve">[broadband] </w:t>
      </w:r>
      <w:r w:rsidRPr="00293C38">
        <w:t>devices and after the Commission renders a final ruling on interoperability in</w:t>
      </w:r>
      <w:r w:rsidR="008967B3" w:rsidRPr="00293C38">
        <w:t>”</w:t>
      </w:r>
      <w:r w:rsidRPr="00293C38">
        <w:t xml:space="preserve"> </w:t>
      </w:r>
      <w:r w:rsidR="00816E9B" w:rsidRPr="00293C38">
        <w:t xml:space="preserve">the </w:t>
      </w:r>
      <w:r w:rsidR="00816E9B" w:rsidRPr="00293C38">
        <w:rPr>
          <w:i/>
        </w:rPr>
        <w:t xml:space="preserve">Interoperability </w:t>
      </w:r>
      <w:r w:rsidR="00816E9B" w:rsidRPr="00293C38">
        <w:t>proceeding</w:t>
      </w:r>
      <w:r w:rsidRPr="00293C38">
        <w:t>.</w:t>
      </w:r>
      <w:r w:rsidRPr="00293C38">
        <w:rPr>
          <w:rStyle w:val="FootnoteReference"/>
        </w:rPr>
        <w:footnoteReference w:id="16"/>
      </w:r>
      <w:r w:rsidR="00816E9B" w:rsidRPr="00293C38">
        <w:t xml:space="preserve">  Kurian </w:t>
      </w:r>
      <w:r w:rsidR="003D1647" w:rsidRPr="00293C38">
        <w:t xml:space="preserve">argued </w:t>
      </w:r>
      <w:r w:rsidR="00816E9B" w:rsidRPr="00293C38">
        <w:t>that the additional two years would “allow [E Block] licensees adequate time to plan and develop their systems in light of the determination</w:t>
      </w:r>
      <w:r w:rsidR="004C56B1" w:rsidRPr="00293C38">
        <w:t>[s]</w:t>
      </w:r>
      <w:r w:rsidR="00816E9B" w:rsidRPr="00293C38">
        <w:t xml:space="preserve"> in that proceeding.”</w:t>
      </w:r>
      <w:r w:rsidR="006B3A2C" w:rsidRPr="00293C38">
        <w:rPr>
          <w:rStyle w:val="FootnoteReference"/>
        </w:rPr>
        <w:footnoteReference w:id="17"/>
      </w:r>
      <w:r w:rsidR="00D907CA" w:rsidRPr="00293C38">
        <w:t xml:space="preserve">  </w:t>
      </w:r>
    </w:p>
    <w:p w:rsidR="00245DE7" w:rsidRDefault="00245DE7" w:rsidP="00197B77">
      <w:pPr>
        <w:pStyle w:val="ParaNum"/>
      </w:pPr>
    </w:p>
    <w:p w:rsidR="00245DE7" w:rsidRPr="00245DE7" w:rsidRDefault="00245DE7" w:rsidP="00197B77">
      <w:pPr>
        <w:pStyle w:val="ParaNum"/>
      </w:pPr>
      <w:r>
        <w:t xml:space="preserve">On September 10, 2013, </w:t>
      </w:r>
      <w:r w:rsidR="00657429">
        <w:t xml:space="preserve">certain </w:t>
      </w:r>
      <w:r>
        <w:t xml:space="preserve">parties in the </w:t>
      </w:r>
      <w:r>
        <w:rPr>
          <w:i/>
        </w:rPr>
        <w:t xml:space="preserve">Interoperability NPRM </w:t>
      </w:r>
      <w:r>
        <w:t>proceeding filed with the Commission a voluntary industry consensus agreement to resolve the lack of interoperability in the Lower 700 MHz band.</w:t>
      </w:r>
      <w:r w:rsidR="00657429" w:rsidRPr="00293C38">
        <w:rPr>
          <w:rStyle w:val="FootnoteReference"/>
        </w:rPr>
        <w:footnoteReference w:id="18"/>
      </w:r>
      <w:r>
        <w:t xml:space="preserve">  This agreement included a range of Lower 700 MHz band licensees, </w:t>
      </w:r>
      <w:r w:rsidR="00A64678">
        <w:t xml:space="preserve">including </w:t>
      </w:r>
      <w:r w:rsidR="00657429">
        <w:t xml:space="preserve">the </w:t>
      </w:r>
      <w:r w:rsidR="00657429">
        <w:lastRenderedPageBreak/>
        <w:t>principal</w:t>
      </w:r>
      <w:r w:rsidR="00A64678">
        <w:t xml:space="preserve"> E Block licensee, DISH</w:t>
      </w:r>
      <w:r w:rsidR="00657429">
        <w:t xml:space="preserve"> </w:t>
      </w:r>
      <w:r w:rsidR="00657429" w:rsidRPr="00CA429B">
        <w:t>Network Corp.</w:t>
      </w:r>
      <w:r w:rsidR="00657429">
        <w:t xml:space="preserve"> (DISH)</w:t>
      </w:r>
      <w:r w:rsidR="00A64678">
        <w:t xml:space="preserve">, </w:t>
      </w:r>
      <w:r>
        <w:t>as well as the Competitive Carriers Association.</w:t>
      </w:r>
      <w:r w:rsidR="00CA429B">
        <w:rPr>
          <w:rStyle w:val="FootnoteReference"/>
        </w:rPr>
        <w:footnoteReference w:id="19"/>
      </w:r>
      <w:r>
        <w:t xml:space="preserve">  </w:t>
      </w:r>
    </w:p>
    <w:p w:rsidR="000D1C26" w:rsidRPr="00293C38" w:rsidRDefault="000D1C26" w:rsidP="00197B77">
      <w:pPr>
        <w:pStyle w:val="ParaNum"/>
      </w:pPr>
    </w:p>
    <w:p w:rsidR="00A92439" w:rsidRPr="00293C38" w:rsidRDefault="000D1C26" w:rsidP="00197B77">
      <w:pPr>
        <w:pStyle w:val="ParaNum"/>
      </w:pPr>
      <w:r w:rsidRPr="00293C38">
        <w:t xml:space="preserve">On October 29, </w:t>
      </w:r>
      <w:r w:rsidR="005A03FB" w:rsidRPr="00293C38">
        <w:t>2013</w:t>
      </w:r>
      <w:r w:rsidRPr="00293C38">
        <w:t>, the Commission released the</w:t>
      </w:r>
      <w:r w:rsidR="005A03FB" w:rsidRPr="00293C38">
        <w:t xml:space="preserve"> </w:t>
      </w:r>
      <w:r w:rsidR="0017063C" w:rsidRPr="00293C38">
        <w:rPr>
          <w:i/>
        </w:rPr>
        <w:t>Interoperability Report and Order</w:t>
      </w:r>
      <w:r w:rsidR="005A03FB" w:rsidRPr="00293C38">
        <w:t>,</w:t>
      </w:r>
      <w:r w:rsidR="00C74F4E" w:rsidRPr="00293C38">
        <w:t xml:space="preserve"> </w:t>
      </w:r>
      <w:r w:rsidRPr="00293C38">
        <w:t>implement</w:t>
      </w:r>
      <w:r w:rsidR="00AD0B13" w:rsidRPr="00293C38">
        <w:t xml:space="preserve">ing </w:t>
      </w:r>
      <w:r w:rsidR="00245DE7">
        <w:t>th</w:t>
      </w:r>
      <w:r w:rsidR="00657429">
        <w:t xml:space="preserve">e voluntary industry consensus agreement, </w:t>
      </w:r>
      <w:r w:rsidR="004C56B1" w:rsidRPr="00293C38">
        <w:t xml:space="preserve">whereby it </w:t>
      </w:r>
      <w:r w:rsidR="005A03FB" w:rsidRPr="00293C38">
        <w:t>limit</w:t>
      </w:r>
      <w:r w:rsidR="004C56B1" w:rsidRPr="00293C38">
        <w:t>ed</w:t>
      </w:r>
      <w:r w:rsidR="005A03FB" w:rsidRPr="00293C38">
        <w:t xml:space="preserve"> all Lower 700 MHz E Block </w:t>
      </w:r>
      <w:r w:rsidR="004C56B1" w:rsidRPr="00293C38">
        <w:t xml:space="preserve">operations </w:t>
      </w:r>
      <w:r w:rsidR="005A03FB" w:rsidRPr="00293C38">
        <w:t>to downlink only</w:t>
      </w:r>
      <w:r w:rsidR="00395CA6" w:rsidRPr="00293C38">
        <w:t xml:space="preserve"> and reduce</w:t>
      </w:r>
      <w:r w:rsidR="00D505FC" w:rsidRPr="00293C38">
        <w:t>d</w:t>
      </w:r>
      <w:r w:rsidR="006424D7" w:rsidRPr="00293C38">
        <w:t xml:space="preserve"> the maximum permissible power levels and antenna heights</w:t>
      </w:r>
      <w:r w:rsidR="005A03FB" w:rsidRPr="00293C38">
        <w:t>.</w:t>
      </w:r>
      <w:r w:rsidR="0086557F" w:rsidRPr="00293C38">
        <w:rPr>
          <w:rStyle w:val="FootnoteReference"/>
        </w:rPr>
        <w:footnoteReference w:id="20"/>
      </w:r>
      <w:r w:rsidR="006424D7" w:rsidRPr="00293C38">
        <w:t xml:space="preserve">  The Commission found “these changes to be in the public interest because they eliminate likely harmful interference, thereby promoting interoperable LTE operations in the Lower 700 MHz band.”</w:t>
      </w:r>
      <w:r w:rsidR="006424D7" w:rsidRPr="00293C38">
        <w:rPr>
          <w:rStyle w:val="FootnoteReference"/>
        </w:rPr>
        <w:footnoteReference w:id="21"/>
      </w:r>
    </w:p>
    <w:p w:rsidR="006424D7" w:rsidRPr="00293C38" w:rsidRDefault="006424D7" w:rsidP="00197B77">
      <w:pPr>
        <w:pStyle w:val="ParaNum"/>
      </w:pPr>
    </w:p>
    <w:p w:rsidR="005A03FB" w:rsidRPr="00293C38" w:rsidRDefault="00635C46" w:rsidP="00197B77">
      <w:pPr>
        <w:pStyle w:val="ParaNum"/>
      </w:pPr>
      <w:r>
        <w:t xml:space="preserve">In the </w:t>
      </w:r>
      <w:r w:rsidR="00F62282" w:rsidRPr="00293C38">
        <w:rPr>
          <w:i/>
        </w:rPr>
        <w:t>Interoperability Report and Order</w:t>
      </w:r>
      <w:r>
        <w:t>, t</w:t>
      </w:r>
      <w:r w:rsidR="005A03FB" w:rsidRPr="00293C38">
        <w:t xml:space="preserve">he Commission </w:t>
      </w:r>
      <w:r w:rsidR="00B579F7" w:rsidRPr="00293C38">
        <w:t xml:space="preserve">also </w:t>
      </w:r>
      <w:r w:rsidR="00E36E59">
        <w:t xml:space="preserve">addressed </w:t>
      </w:r>
      <w:r w:rsidR="006424D7" w:rsidRPr="00293C38">
        <w:t>Kurian</w:t>
      </w:r>
      <w:r w:rsidR="008967B3" w:rsidRPr="00293C38">
        <w:t xml:space="preserve">’s </w:t>
      </w:r>
      <w:r w:rsidR="006424D7" w:rsidRPr="00293C38">
        <w:t>Interoperability Extension Request</w:t>
      </w:r>
      <w:r w:rsidR="002C27EF">
        <w:t xml:space="preserve"> </w:t>
      </w:r>
      <w:r w:rsidR="00E36E59">
        <w:t xml:space="preserve">(and extension requests filed by other parties) </w:t>
      </w:r>
      <w:r w:rsidR="00F62282">
        <w:t xml:space="preserve">by </w:t>
      </w:r>
      <w:r w:rsidR="00A92439">
        <w:t xml:space="preserve">waiving and </w:t>
      </w:r>
      <w:r w:rsidR="005A03FB" w:rsidRPr="00293C38">
        <w:t xml:space="preserve">extending the interim </w:t>
      </w:r>
      <w:r w:rsidR="00D87C6D" w:rsidRPr="00293C38">
        <w:t xml:space="preserve">construction </w:t>
      </w:r>
      <w:r w:rsidR="005A03FB" w:rsidRPr="00293C38">
        <w:t xml:space="preserve">deadline for all Lower </w:t>
      </w:r>
      <w:r w:rsidR="00970F20" w:rsidRPr="00293C38">
        <w:t xml:space="preserve">700 MHz </w:t>
      </w:r>
      <w:r w:rsidR="005A03FB" w:rsidRPr="00293C38">
        <w:t xml:space="preserve">E Block licensees to March 7, 2017, and the </w:t>
      </w:r>
      <w:r w:rsidR="00395CA6" w:rsidRPr="00293C38">
        <w:t xml:space="preserve">end-of-term </w:t>
      </w:r>
      <w:r w:rsidR="005A03FB" w:rsidRPr="00293C38">
        <w:t xml:space="preserve">construction </w:t>
      </w:r>
      <w:r w:rsidR="00D87C6D" w:rsidRPr="00293C38">
        <w:t xml:space="preserve">deadline </w:t>
      </w:r>
      <w:r w:rsidR="005A03FB" w:rsidRPr="00293C38">
        <w:t>to March 7, 2021</w:t>
      </w:r>
      <w:r w:rsidR="0033378C">
        <w:t xml:space="preserve">, thereby </w:t>
      </w:r>
      <w:r w:rsidR="00F62282">
        <w:t xml:space="preserve">affording </w:t>
      </w:r>
      <w:r w:rsidR="0033378C">
        <w:t>Kurian more time than the two years he requested</w:t>
      </w:r>
      <w:r w:rsidR="003D1647" w:rsidRPr="00293C38">
        <w:t>.</w:t>
      </w:r>
      <w:r w:rsidR="000413C7" w:rsidRPr="00293C38">
        <w:rPr>
          <w:rStyle w:val="FootnoteReference"/>
        </w:rPr>
        <w:footnoteReference w:id="22"/>
      </w:r>
      <w:r w:rsidR="000413C7" w:rsidRPr="00293C38">
        <w:rPr>
          <w:rStyle w:val="FootnoteReference"/>
        </w:rPr>
        <w:t xml:space="preserve"> </w:t>
      </w:r>
      <w:r w:rsidR="000413C7" w:rsidRPr="00F5348C">
        <w:t xml:space="preserve"> </w:t>
      </w:r>
      <w:r w:rsidR="00A64678">
        <w:t xml:space="preserve"> </w:t>
      </w:r>
      <w:r w:rsidR="003D1647" w:rsidRPr="00293C38">
        <w:t xml:space="preserve">The Commission explained </w:t>
      </w:r>
      <w:r w:rsidR="005A03FB" w:rsidRPr="00293C38">
        <w:t>that “[t]his additional time will afford licensees a sufficient opportunity to adjust their business plans in light of the technical changes to the band and also provide valuable services to the public in the near term.”</w:t>
      </w:r>
      <w:r w:rsidR="00CD45A7" w:rsidRPr="00293C38">
        <w:rPr>
          <w:rStyle w:val="FootnoteReference"/>
        </w:rPr>
        <w:footnoteReference w:id="23"/>
      </w:r>
      <w:r w:rsidR="00CD45A7" w:rsidRPr="00293C38">
        <w:t xml:space="preserve">  </w:t>
      </w:r>
      <w:r w:rsidR="00C74F4E" w:rsidRPr="00293C38">
        <w:t xml:space="preserve">The Commission </w:t>
      </w:r>
      <w:r w:rsidR="002C27EF">
        <w:t xml:space="preserve">also </w:t>
      </w:r>
      <w:r w:rsidR="00C74F4E" w:rsidRPr="00293C38">
        <w:t xml:space="preserve">provided additional </w:t>
      </w:r>
      <w:r w:rsidR="009D267A" w:rsidRPr="00293C38">
        <w:t xml:space="preserve">waiver </w:t>
      </w:r>
      <w:r w:rsidR="00C74F4E" w:rsidRPr="00293C38">
        <w:t xml:space="preserve">relief on its own motion to all active Lower </w:t>
      </w:r>
      <w:r w:rsidR="009C4742" w:rsidRPr="00293C38">
        <w:t xml:space="preserve">700 MHz </w:t>
      </w:r>
      <w:r w:rsidR="00C74F4E" w:rsidRPr="00293C38">
        <w:t xml:space="preserve">E Block licensees “to facilitate implementation of the [rule changes </w:t>
      </w:r>
      <w:r w:rsidR="0024472C" w:rsidRPr="00293C38">
        <w:t>based on the] industry solution</w:t>
      </w:r>
      <w:r w:rsidR="00C74F4E" w:rsidRPr="00293C38">
        <w:t>”</w:t>
      </w:r>
      <w:r w:rsidR="00AE5F9E" w:rsidRPr="00293C38">
        <w:rPr>
          <w:rStyle w:val="FootnoteReference"/>
        </w:rPr>
        <w:footnoteReference w:id="24"/>
      </w:r>
      <w:r w:rsidR="0024472C" w:rsidRPr="00293C38">
        <w:t xml:space="preserve"> by (1) providing</w:t>
      </w:r>
      <w:r w:rsidR="00C74F4E" w:rsidRPr="00293C38">
        <w:t xml:space="preserve"> </w:t>
      </w:r>
      <w:r w:rsidR="0078453E" w:rsidRPr="00293C38">
        <w:t xml:space="preserve">licensees </w:t>
      </w:r>
      <w:r w:rsidR="00C74F4E" w:rsidRPr="00293C38">
        <w:t xml:space="preserve">the </w:t>
      </w:r>
      <w:r w:rsidR="0078453E" w:rsidRPr="00293C38">
        <w:t xml:space="preserve">option to use </w:t>
      </w:r>
      <w:r w:rsidR="00C74F4E" w:rsidRPr="00293C38">
        <w:t>population-</w:t>
      </w:r>
      <w:r w:rsidR="0078453E" w:rsidRPr="00293C38">
        <w:t xml:space="preserve"> rather than geographic-</w:t>
      </w:r>
      <w:r w:rsidR="00C74F4E" w:rsidRPr="00293C38">
        <w:t>based benchmarks</w:t>
      </w:r>
      <w:r w:rsidR="00485F00" w:rsidRPr="00293C38">
        <w:t xml:space="preserve"> </w:t>
      </w:r>
      <w:r w:rsidR="00E64D2E" w:rsidRPr="00293C38">
        <w:t xml:space="preserve">to meet their </w:t>
      </w:r>
      <w:r w:rsidR="00485F00" w:rsidRPr="00293C38">
        <w:t xml:space="preserve">interim and end-of-term </w:t>
      </w:r>
      <w:r w:rsidR="0078453E" w:rsidRPr="00293C38">
        <w:t xml:space="preserve">coverage </w:t>
      </w:r>
      <w:r w:rsidR="00485F00" w:rsidRPr="00293C38">
        <w:t>requirements</w:t>
      </w:r>
      <w:r w:rsidR="00E64D2E" w:rsidRPr="00293C38">
        <w:t xml:space="preserve"> as described above</w:t>
      </w:r>
      <w:r w:rsidR="0024472C" w:rsidRPr="00293C38">
        <w:t xml:space="preserve">, and (2) </w:t>
      </w:r>
      <w:r w:rsidR="00C74F4E" w:rsidRPr="00293C38">
        <w:t>re</w:t>
      </w:r>
      <w:r w:rsidR="0024472C" w:rsidRPr="00293C38">
        <w:t>ducing</w:t>
      </w:r>
      <w:r w:rsidR="00C74F4E" w:rsidRPr="00293C38">
        <w:t xml:space="preserve"> </w:t>
      </w:r>
      <w:r w:rsidR="009C4742" w:rsidRPr="00293C38">
        <w:t xml:space="preserve">the two-year </w:t>
      </w:r>
      <w:r w:rsidR="00C74F4E" w:rsidRPr="00293C38">
        <w:t xml:space="preserve">acceleration of the end-of-term </w:t>
      </w:r>
      <w:r w:rsidR="009C4742" w:rsidRPr="00293C38">
        <w:t xml:space="preserve">construction </w:t>
      </w:r>
      <w:r w:rsidR="00C74F4E" w:rsidRPr="00293C38">
        <w:t>requirement for failure to meet the interim construction requirement</w:t>
      </w:r>
      <w:r w:rsidR="009C4742" w:rsidRPr="00293C38">
        <w:t xml:space="preserve"> to one year</w:t>
      </w:r>
      <w:r w:rsidR="00C74F4E" w:rsidRPr="00293C38">
        <w:t>.</w:t>
      </w:r>
      <w:r w:rsidR="00C74F4E" w:rsidRPr="00293C38">
        <w:rPr>
          <w:rStyle w:val="FootnoteReference"/>
        </w:rPr>
        <w:footnoteReference w:id="25"/>
      </w:r>
      <w:r w:rsidR="00825C6E" w:rsidRPr="00293C38">
        <w:t xml:space="preserve">  </w:t>
      </w:r>
      <w:r w:rsidR="005A03FB" w:rsidRPr="00293C38">
        <w:t>Kurian did not file a petition for reconsideration</w:t>
      </w:r>
      <w:r w:rsidR="00825C6E" w:rsidRPr="00293C38">
        <w:t xml:space="preserve"> of any of the rule changes</w:t>
      </w:r>
      <w:r w:rsidR="0078453E" w:rsidRPr="00293C38">
        <w:t xml:space="preserve"> or relief</w:t>
      </w:r>
      <w:r w:rsidR="00825C6E" w:rsidRPr="00293C38">
        <w:t xml:space="preserve"> adopted in the </w:t>
      </w:r>
      <w:r w:rsidR="00825C6E" w:rsidRPr="00293C38">
        <w:rPr>
          <w:i/>
        </w:rPr>
        <w:t>Interoperability Report and Order</w:t>
      </w:r>
      <w:r w:rsidR="005A03FB" w:rsidRPr="00293C38">
        <w:t>.</w:t>
      </w:r>
    </w:p>
    <w:p w:rsidR="00A5562E" w:rsidRPr="00293C38" w:rsidRDefault="00A5562E" w:rsidP="00197B77">
      <w:pPr>
        <w:pStyle w:val="ParaNum"/>
      </w:pPr>
    </w:p>
    <w:p w:rsidR="009C4742" w:rsidRPr="00293C38" w:rsidRDefault="00F70878" w:rsidP="00197B77">
      <w:pPr>
        <w:pStyle w:val="ParaNum"/>
      </w:pPr>
      <w:r w:rsidRPr="00293C38">
        <w:rPr>
          <w:i/>
        </w:rPr>
        <w:t>Request for Waiver and/or Extension</w:t>
      </w:r>
      <w:r w:rsidRPr="00293C38">
        <w:t xml:space="preserve">.  </w:t>
      </w:r>
      <w:r w:rsidR="00485F00" w:rsidRPr="00293C38">
        <w:t xml:space="preserve">On February 6, 2017, </w:t>
      </w:r>
      <w:r w:rsidR="005B65EA" w:rsidRPr="00293C38">
        <w:t xml:space="preserve">Kurian </w:t>
      </w:r>
      <w:r w:rsidR="00A5562E" w:rsidRPr="00293C38">
        <w:t xml:space="preserve">filed the Request, </w:t>
      </w:r>
      <w:r w:rsidR="0078453E" w:rsidRPr="00293C38">
        <w:t xml:space="preserve">asking </w:t>
      </w:r>
      <w:r w:rsidR="005B65EA" w:rsidRPr="00293C38">
        <w:t>that we either</w:t>
      </w:r>
      <w:r w:rsidR="00FD42B2">
        <w:t>:</w:t>
      </w:r>
      <w:r w:rsidR="005B65EA" w:rsidRPr="00293C38">
        <w:t xml:space="preserve"> </w:t>
      </w:r>
      <w:r w:rsidR="00A5562E" w:rsidRPr="00293C38">
        <w:t xml:space="preserve">(1) </w:t>
      </w:r>
      <w:r w:rsidR="005B65EA" w:rsidRPr="00293C38">
        <w:t>waive the</w:t>
      </w:r>
      <w:r w:rsidR="00A5562E" w:rsidRPr="00293C38">
        <w:t xml:space="preserve"> March 7, 2017</w:t>
      </w:r>
      <w:r w:rsidR="005B65EA" w:rsidRPr="00293C38">
        <w:t xml:space="preserve"> interim construction </w:t>
      </w:r>
      <w:r w:rsidR="00A5562E" w:rsidRPr="00293C38">
        <w:t>deadline</w:t>
      </w:r>
      <w:r w:rsidR="00A41F5E">
        <w:t xml:space="preserve"> under Section 1.3 or Section 1.925(b)</w:t>
      </w:r>
      <w:r w:rsidR="00F37608">
        <w:t>(3)</w:t>
      </w:r>
      <w:r w:rsidR="00A41F5E">
        <w:t xml:space="preserve"> of the Commission’s rules</w:t>
      </w:r>
      <w:r w:rsidR="005B65EA" w:rsidRPr="00293C38">
        <w:t>,</w:t>
      </w:r>
      <w:r w:rsidR="00A41F5E">
        <w:rPr>
          <w:rStyle w:val="FootnoteReference"/>
        </w:rPr>
        <w:footnoteReference w:id="26"/>
      </w:r>
      <w:r w:rsidR="005B65EA" w:rsidRPr="00293C38">
        <w:t xml:space="preserve"> or </w:t>
      </w:r>
      <w:r w:rsidR="002E67B7" w:rsidRPr="00293C38">
        <w:t>(2)</w:t>
      </w:r>
      <w:r w:rsidR="005B65EA" w:rsidRPr="00293C38">
        <w:t xml:space="preserve"> grant </w:t>
      </w:r>
      <w:r w:rsidR="00BC4DE7" w:rsidRPr="00293C38">
        <w:t xml:space="preserve">him </w:t>
      </w:r>
      <w:r w:rsidR="005B65EA" w:rsidRPr="00293C38">
        <w:t>a five-year extension of th</w:t>
      </w:r>
      <w:r w:rsidR="006A0D38" w:rsidRPr="00293C38">
        <w:t>at</w:t>
      </w:r>
      <w:r w:rsidR="005B65EA" w:rsidRPr="00293C38">
        <w:t xml:space="preserve"> deadline (</w:t>
      </w:r>
      <w:r w:rsidR="00A5562E" w:rsidRPr="00293C38">
        <w:t xml:space="preserve">that is, to March 7, 2022, </w:t>
      </w:r>
      <w:r w:rsidR="00987A9C" w:rsidRPr="00293C38">
        <w:t>making</w:t>
      </w:r>
      <w:r w:rsidR="005B65EA" w:rsidRPr="00293C38">
        <w:t xml:space="preserve"> the interim </w:t>
      </w:r>
      <w:r w:rsidR="006A0D38" w:rsidRPr="00293C38">
        <w:t xml:space="preserve">construction </w:t>
      </w:r>
      <w:r w:rsidR="005B65EA" w:rsidRPr="00293C38">
        <w:t xml:space="preserve">deadline </w:t>
      </w:r>
      <w:r w:rsidR="009C4742" w:rsidRPr="00293C38">
        <w:t xml:space="preserve">fall </w:t>
      </w:r>
      <w:r w:rsidR="005B65EA" w:rsidRPr="00293C38">
        <w:t xml:space="preserve">a year </w:t>
      </w:r>
      <w:r w:rsidR="006A0D38" w:rsidRPr="00293C38">
        <w:t xml:space="preserve">after </w:t>
      </w:r>
      <w:r w:rsidR="005B65EA" w:rsidRPr="00293C38">
        <w:t xml:space="preserve">the </w:t>
      </w:r>
      <w:r w:rsidR="00A5562E" w:rsidRPr="00293C38">
        <w:t>March 7, 202</w:t>
      </w:r>
      <w:r w:rsidR="006E03E8" w:rsidRPr="00293C38">
        <w:t>1</w:t>
      </w:r>
      <w:r w:rsidR="00A5562E" w:rsidRPr="00293C38">
        <w:t xml:space="preserve">, end-of-license term construction </w:t>
      </w:r>
      <w:r w:rsidR="00AF66B3" w:rsidRPr="00293C38">
        <w:t>deadline</w:t>
      </w:r>
      <w:r w:rsidR="005B65EA" w:rsidRPr="00293C38">
        <w:t>)</w:t>
      </w:r>
      <w:r w:rsidR="00A41F5E">
        <w:t xml:space="preserve"> under Section 1.946(e)</w:t>
      </w:r>
      <w:r w:rsidR="005B65EA" w:rsidRPr="00293C38">
        <w:t>.</w:t>
      </w:r>
      <w:r w:rsidR="005B65EA" w:rsidRPr="00293C38">
        <w:rPr>
          <w:rStyle w:val="FootnoteReference"/>
        </w:rPr>
        <w:footnoteReference w:id="27"/>
      </w:r>
      <w:r w:rsidR="006A5BB6" w:rsidRPr="00293C38">
        <w:t xml:space="preserve">  Kurian states that</w:t>
      </w:r>
      <w:r w:rsidR="001B6361" w:rsidRPr="00293C38">
        <w:t>,</w:t>
      </w:r>
      <w:r w:rsidR="006A5BB6" w:rsidRPr="00293C38">
        <w:t xml:space="preserve"> </w:t>
      </w:r>
      <w:r w:rsidR="001B6361" w:rsidRPr="00293C38">
        <w:t xml:space="preserve">because the </w:t>
      </w:r>
      <w:r w:rsidR="001B6361" w:rsidRPr="00293C38">
        <w:rPr>
          <w:i/>
        </w:rPr>
        <w:t>Interoperability Report and Order</w:t>
      </w:r>
      <w:r w:rsidR="001B6361" w:rsidRPr="00293C38">
        <w:t xml:space="preserve"> changed the Lower </w:t>
      </w:r>
      <w:r w:rsidR="009C4742" w:rsidRPr="00293C38">
        <w:t xml:space="preserve">700 MHz </w:t>
      </w:r>
      <w:r w:rsidR="001B6361" w:rsidRPr="00293C38">
        <w:t xml:space="preserve">E Block licenses to downlink only, </w:t>
      </w:r>
      <w:r w:rsidR="006A5BB6" w:rsidRPr="00293C38">
        <w:t xml:space="preserve">his spectrum is effectively unusable </w:t>
      </w:r>
      <w:r w:rsidR="001B6361" w:rsidRPr="00293C38">
        <w:t>unless he can acquire uplink spectrum or find a partner with uplink spectrum</w:t>
      </w:r>
      <w:r w:rsidR="00316703" w:rsidRPr="00293C38">
        <w:t>,</w:t>
      </w:r>
      <w:r w:rsidR="00316703" w:rsidRPr="00293C38">
        <w:rPr>
          <w:rStyle w:val="FootnoteReference"/>
        </w:rPr>
        <w:footnoteReference w:id="28"/>
      </w:r>
      <w:r w:rsidR="00316703" w:rsidRPr="00293C38">
        <w:t xml:space="preserve"> and </w:t>
      </w:r>
      <w:r w:rsidR="009C21EF" w:rsidRPr="00293C38">
        <w:t xml:space="preserve">he </w:t>
      </w:r>
      <w:r w:rsidR="00E64D2E" w:rsidRPr="00293C38">
        <w:t xml:space="preserve">claims </w:t>
      </w:r>
      <w:r w:rsidR="00316703" w:rsidRPr="00293C38">
        <w:t>that this rule change was a “circumstance beyond [his] control</w:t>
      </w:r>
      <w:r w:rsidR="006A5BB6" w:rsidRPr="00293C38">
        <w:t>.</w:t>
      </w:r>
      <w:r w:rsidR="00316703" w:rsidRPr="00293C38">
        <w:t>”</w:t>
      </w:r>
      <w:r w:rsidR="001B6361" w:rsidRPr="00293C38">
        <w:rPr>
          <w:rStyle w:val="FootnoteReference"/>
        </w:rPr>
        <w:footnoteReference w:id="29"/>
      </w:r>
    </w:p>
    <w:p w:rsidR="009C4742" w:rsidRPr="00293C38" w:rsidRDefault="009C4742" w:rsidP="00197B77">
      <w:pPr>
        <w:pStyle w:val="ParaNum"/>
      </w:pPr>
    </w:p>
    <w:p w:rsidR="006F39B6" w:rsidRPr="00293C38" w:rsidRDefault="001B6361" w:rsidP="00197B77">
      <w:pPr>
        <w:pStyle w:val="ParaNum"/>
        <w:rPr>
          <w:color w:val="000000" w:themeColor="text1"/>
        </w:rPr>
      </w:pPr>
      <w:r w:rsidRPr="00293C38">
        <w:t xml:space="preserve">Kurian </w:t>
      </w:r>
      <w:r w:rsidR="006A0D38" w:rsidRPr="00293C38">
        <w:t xml:space="preserve">asserts </w:t>
      </w:r>
      <w:r w:rsidRPr="00293C38">
        <w:t xml:space="preserve">that he has made efforts to find a partner with uplink spectrum but has been unsuccessful, and that he needs an additional five years so he </w:t>
      </w:r>
      <w:r w:rsidR="00C070C6" w:rsidRPr="00293C38">
        <w:t>can</w:t>
      </w:r>
      <w:r w:rsidRPr="00293C38">
        <w:t xml:space="preserve"> acquire spectrum </w:t>
      </w:r>
      <w:r w:rsidR="00C070C6" w:rsidRPr="00293C38">
        <w:t>that c</w:t>
      </w:r>
      <w:r w:rsidRPr="00293C38">
        <w:t xml:space="preserve">an be used for uplink through </w:t>
      </w:r>
      <w:r w:rsidR="00C070C6" w:rsidRPr="00293C38">
        <w:t>an FCC auction</w:t>
      </w:r>
      <w:r w:rsidRPr="00293C38">
        <w:t xml:space="preserve"> or </w:t>
      </w:r>
      <w:r w:rsidR="00C070C6" w:rsidRPr="00293C38">
        <w:t>the secondary market.</w:t>
      </w:r>
      <w:r w:rsidR="00C070C6" w:rsidRPr="00293C38">
        <w:rPr>
          <w:rStyle w:val="FootnoteReference"/>
        </w:rPr>
        <w:footnoteReference w:id="30"/>
      </w:r>
      <w:r w:rsidR="00C070C6" w:rsidRPr="00293C38">
        <w:t xml:space="preserve">  Kurian contends that </w:t>
      </w:r>
      <w:r w:rsidR="009C7642" w:rsidRPr="00293C38">
        <w:t>a waiver or extension</w:t>
      </w:r>
      <w:r w:rsidRPr="00293C38">
        <w:t xml:space="preserve"> </w:t>
      </w:r>
      <w:r w:rsidR="009C7642" w:rsidRPr="00293C38">
        <w:t>“</w:t>
      </w:r>
      <w:r w:rsidRPr="00293C38">
        <w:t>would allow</w:t>
      </w:r>
      <w:r w:rsidR="00C070C6" w:rsidRPr="00293C38">
        <w:t xml:space="preserve"> [</w:t>
      </w:r>
      <w:r w:rsidR="00E64D2E" w:rsidRPr="00293C38">
        <w:t>him</w:t>
      </w:r>
      <w:r w:rsidR="00C070C6" w:rsidRPr="00293C38">
        <w:t>]</w:t>
      </w:r>
      <w:r w:rsidRPr="00293C38">
        <w:t xml:space="preserve"> to conserve capital that otherwise would be devoted to sub-optimal build-out efforts, thereby preserving those resources for robust build-out once </w:t>
      </w:r>
      <w:r w:rsidR="00C070C6" w:rsidRPr="00293C38">
        <w:t>[Kurian]</w:t>
      </w:r>
      <w:r w:rsidRPr="00293C38">
        <w:t xml:space="preserve"> can find spectrum which is suitable for uplink.</w:t>
      </w:r>
      <w:r w:rsidR="00C070C6" w:rsidRPr="00293C38">
        <w:t>”</w:t>
      </w:r>
      <w:r w:rsidR="00C070C6" w:rsidRPr="00293C38">
        <w:rPr>
          <w:rStyle w:val="FootnoteReference"/>
        </w:rPr>
        <w:footnoteReference w:id="31"/>
      </w:r>
    </w:p>
    <w:p w:rsidR="00F70878" w:rsidRPr="00293C38" w:rsidRDefault="00F70878" w:rsidP="00197B77">
      <w:pPr>
        <w:pStyle w:val="ParaNum"/>
      </w:pPr>
    </w:p>
    <w:p w:rsidR="00F70878" w:rsidRPr="00293C38" w:rsidRDefault="00F70878" w:rsidP="005C495A">
      <w:pPr>
        <w:pStyle w:val="Heading1"/>
        <w:spacing w:after="0"/>
        <w:rPr>
          <w:rFonts w:ascii="Times New Roman" w:hAnsi="Times New Roman"/>
          <w:szCs w:val="22"/>
        </w:rPr>
      </w:pPr>
      <w:r w:rsidRPr="00293C38">
        <w:rPr>
          <w:rFonts w:ascii="Times New Roman" w:hAnsi="Times New Roman"/>
          <w:szCs w:val="22"/>
        </w:rPr>
        <w:t>Discussion</w:t>
      </w:r>
    </w:p>
    <w:p w:rsidR="005C495A" w:rsidRPr="00293C38" w:rsidRDefault="005C495A" w:rsidP="00197B77">
      <w:pPr>
        <w:pStyle w:val="ParaNum"/>
      </w:pPr>
    </w:p>
    <w:p w:rsidR="005C495A" w:rsidRPr="00293C38" w:rsidRDefault="006A0D38" w:rsidP="00197B77">
      <w:pPr>
        <w:pStyle w:val="ParaNum"/>
      </w:pPr>
      <w:r w:rsidRPr="00293C38">
        <w:rPr>
          <w:i/>
        </w:rPr>
        <w:t xml:space="preserve">Waiver and Extension </w:t>
      </w:r>
      <w:r w:rsidR="00AC7D4F" w:rsidRPr="00293C38">
        <w:rPr>
          <w:i/>
        </w:rPr>
        <w:t>Standard</w:t>
      </w:r>
      <w:r w:rsidRPr="00293C38">
        <w:rPr>
          <w:i/>
        </w:rPr>
        <w:t>s</w:t>
      </w:r>
      <w:r w:rsidR="00AC7D4F" w:rsidRPr="00293C38">
        <w:rPr>
          <w:i/>
        </w:rPr>
        <w:t>.</w:t>
      </w:r>
      <w:r w:rsidR="00AC7D4F" w:rsidRPr="00293C38">
        <w:t xml:space="preserve">  Licensees may </w:t>
      </w:r>
      <w:r w:rsidR="004A6DF4" w:rsidRPr="00293C38">
        <w:t xml:space="preserve">seek a waiver of </w:t>
      </w:r>
      <w:r w:rsidR="00BC4DE7" w:rsidRPr="00293C38">
        <w:t xml:space="preserve">a </w:t>
      </w:r>
      <w:r w:rsidR="004A6DF4" w:rsidRPr="00293C38">
        <w:t xml:space="preserve">construction requirement under Sections 1.3 </w:t>
      </w:r>
      <w:r w:rsidRPr="00293C38">
        <w:t>or</w:t>
      </w:r>
      <w:r w:rsidR="004A6DF4" w:rsidRPr="00293C38">
        <w:t xml:space="preserve"> 1.925</w:t>
      </w:r>
      <w:r w:rsidRPr="00293C38">
        <w:t>,</w:t>
      </w:r>
      <w:r w:rsidR="004A6DF4" w:rsidRPr="00293C38">
        <w:rPr>
          <w:rStyle w:val="FootnoteReference"/>
        </w:rPr>
        <w:footnoteReference w:id="32"/>
      </w:r>
      <w:r w:rsidR="004A6DF4" w:rsidRPr="00293C38">
        <w:t xml:space="preserve"> or </w:t>
      </w:r>
      <w:r w:rsidRPr="00293C38">
        <w:t xml:space="preserve">they may </w:t>
      </w:r>
      <w:r w:rsidR="00AC7D4F" w:rsidRPr="00293C38">
        <w:t xml:space="preserve">request an extension of time to construct </w:t>
      </w:r>
      <w:r w:rsidR="0078453E" w:rsidRPr="00293C38">
        <w:t xml:space="preserve">under </w:t>
      </w:r>
      <w:r w:rsidR="00AC7D4F" w:rsidRPr="00293C38">
        <w:t>Section 1.946(e)</w:t>
      </w:r>
      <w:r w:rsidR="00AB0C9F" w:rsidRPr="00293C38">
        <w:t>.</w:t>
      </w:r>
      <w:r w:rsidR="00AC7D4F" w:rsidRPr="00293C38">
        <w:rPr>
          <w:rStyle w:val="FootnoteReference"/>
        </w:rPr>
        <w:footnoteReference w:id="33"/>
      </w:r>
      <w:r w:rsidR="00AB0C9F" w:rsidRPr="00293C38">
        <w:t xml:space="preserve">  </w:t>
      </w:r>
      <w:r w:rsidRPr="00293C38">
        <w:t>Under Section 1.925(b)</w:t>
      </w:r>
      <w:r w:rsidR="006E01E8" w:rsidRPr="00293C38">
        <w:t>(</w:t>
      </w:r>
      <w:r w:rsidRPr="00293C38">
        <w:t>3), t</w:t>
      </w:r>
      <w:r w:rsidR="00AC7D4F" w:rsidRPr="00293C38">
        <w:t>he Commission may gran</w:t>
      </w:r>
      <w:r w:rsidR="008B0922" w:rsidRPr="00293C38">
        <w:t xml:space="preserve">t a request for a waiver when: </w:t>
      </w:r>
      <w:r w:rsidR="00AC7D4F" w:rsidRPr="00293C38">
        <w:t>(i) the underlying purpose of the rules(s)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sidR="00AC7D4F" w:rsidRPr="00293C38">
        <w:rPr>
          <w:rStyle w:val="FootnoteReference"/>
        </w:rPr>
        <w:footnoteReference w:id="34"/>
      </w:r>
      <w:r w:rsidR="00AC7D4F" w:rsidRPr="00293C38">
        <w:t xml:space="preserve">  Under Section 1.3, the Commission </w:t>
      </w:r>
      <w:r w:rsidR="00531E23" w:rsidRPr="00293C38">
        <w:t xml:space="preserve">may </w:t>
      </w:r>
      <w:r w:rsidR="00AC7D4F" w:rsidRPr="00293C38">
        <w:t xml:space="preserve">grant </w:t>
      </w:r>
      <w:r w:rsidR="009C4742" w:rsidRPr="00293C38">
        <w:t xml:space="preserve">a </w:t>
      </w:r>
      <w:r w:rsidR="00AC7D4F" w:rsidRPr="00293C38">
        <w:t>waiver where good cause is shown.</w:t>
      </w:r>
      <w:r w:rsidR="00AC7D4F" w:rsidRPr="00293C38">
        <w:rPr>
          <w:rStyle w:val="FootnoteReference"/>
        </w:rPr>
        <w:footnoteReference w:id="35"/>
      </w:r>
      <w:r w:rsidR="00AB0C9F" w:rsidRPr="00293C38">
        <w:t xml:space="preserve">  </w:t>
      </w:r>
      <w:r w:rsidR="0078453E" w:rsidRPr="00293C38">
        <w:t>Separately, under Section 1.946(e), t</w:t>
      </w:r>
      <w:r w:rsidR="00AB0C9F" w:rsidRPr="00293C38">
        <w:t xml:space="preserve">he Commission may grant an extension of time where </w:t>
      </w:r>
      <w:r w:rsidR="009C4742" w:rsidRPr="00293C38">
        <w:t xml:space="preserve">a </w:t>
      </w:r>
      <w:r w:rsidR="00AB0C9F" w:rsidRPr="00293C38">
        <w:t>licensee demonstrates that the failure to complete construction is due to causes beyond its control.</w:t>
      </w:r>
      <w:r w:rsidR="00AB0C9F" w:rsidRPr="00293C38">
        <w:rPr>
          <w:rStyle w:val="FootnoteReference"/>
        </w:rPr>
        <w:footnoteReference w:id="36"/>
      </w:r>
      <w:r w:rsidR="005C495A" w:rsidRPr="00293C38">
        <w:t xml:space="preserve">  </w:t>
      </w:r>
      <w:r w:rsidR="001F2746">
        <w:t xml:space="preserve">Although Kurian requests relief under </w:t>
      </w:r>
      <w:r w:rsidR="009F17D3">
        <w:t>Sections 1.3, 1.925, and 1.946(e)</w:t>
      </w:r>
      <w:r w:rsidR="001F2746">
        <w:t>, recit</w:t>
      </w:r>
      <w:r w:rsidR="009F17D3">
        <w:t>ing</w:t>
      </w:r>
      <w:r w:rsidR="001F2746">
        <w:t xml:space="preserve"> the </w:t>
      </w:r>
      <w:r w:rsidR="009F17D3">
        <w:t xml:space="preserve">text </w:t>
      </w:r>
      <w:r w:rsidR="001F2746">
        <w:t xml:space="preserve">of each, he </w:t>
      </w:r>
      <w:r w:rsidR="009F17D3">
        <w:t xml:space="preserve">does not </w:t>
      </w:r>
      <w:r w:rsidR="00A41F5E">
        <w:t>demonstrate factually</w:t>
      </w:r>
      <w:r w:rsidR="009F17D3">
        <w:t xml:space="preserve"> how relief </w:t>
      </w:r>
      <w:r w:rsidR="00A41F5E">
        <w:t xml:space="preserve">is warranted under </w:t>
      </w:r>
      <w:r w:rsidR="001F2746">
        <w:t>any of the</w:t>
      </w:r>
      <w:r w:rsidR="00A41F5E">
        <w:t>se rules.</w:t>
      </w:r>
      <w:r w:rsidR="001F2746">
        <w:t xml:space="preserve">  </w:t>
      </w:r>
      <w:r w:rsidR="001F03C3">
        <w:t>Accordingly, f</w:t>
      </w:r>
      <w:r w:rsidR="00CD244F" w:rsidRPr="00293C38">
        <w:t>or the reasons discussed below,</w:t>
      </w:r>
      <w:r w:rsidR="001F03C3">
        <w:t xml:space="preserve"> we</w:t>
      </w:r>
      <w:r w:rsidR="00CD244F" w:rsidRPr="00293C38">
        <w:t xml:space="preserve"> deny the Request, and Kurian’s final construction deadline </w:t>
      </w:r>
      <w:r w:rsidR="00CD6433">
        <w:t xml:space="preserve">is </w:t>
      </w:r>
      <w:r w:rsidR="00CD244F" w:rsidRPr="00293C38">
        <w:t xml:space="preserve">accelerated by rule </w:t>
      </w:r>
      <w:r w:rsidR="00B403C5">
        <w:t xml:space="preserve">one year </w:t>
      </w:r>
      <w:r w:rsidR="00CD244F" w:rsidRPr="00293C38">
        <w:t>to March 7, 2020.</w:t>
      </w:r>
    </w:p>
    <w:p w:rsidR="000B3CED" w:rsidRPr="00293C38" w:rsidRDefault="000B3CED" w:rsidP="00197B77">
      <w:pPr>
        <w:pStyle w:val="ParaNum"/>
      </w:pPr>
    </w:p>
    <w:p w:rsidR="00556856" w:rsidRDefault="001B1CD8" w:rsidP="00197B77">
      <w:pPr>
        <w:pStyle w:val="ParaNum"/>
      </w:pPr>
      <w:r w:rsidRPr="00293C38">
        <w:t>At the outset, we emphasize that</w:t>
      </w:r>
      <w:r w:rsidR="0078453E" w:rsidRPr="00293C38">
        <w:t xml:space="preserve"> </w:t>
      </w:r>
      <w:r w:rsidR="006E4FE0" w:rsidRPr="00293C38">
        <w:t xml:space="preserve">the Commission </w:t>
      </w:r>
      <w:r w:rsidR="0078453E" w:rsidRPr="00293C38">
        <w:t>extend</w:t>
      </w:r>
      <w:r w:rsidR="006E4FE0" w:rsidRPr="00293C38">
        <w:t>ed</w:t>
      </w:r>
      <w:r w:rsidR="0078453E" w:rsidRPr="00293C38">
        <w:t xml:space="preserve"> the interim construction deadline</w:t>
      </w:r>
      <w:r w:rsidR="0020162F" w:rsidRPr="00293C38">
        <w:t xml:space="preserve"> to March 7, 2017</w:t>
      </w:r>
      <w:r w:rsidR="00905705" w:rsidRPr="00293C38">
        <w:t>,</w:t>
      </w:r>
      <w:r w:rsidR="0020162F" w:rsidRPr="00293C38">
        <w:t xml:space="preserve"> in the </w:t>
      </w:r>
      <w:r w:rsidR="0020162F" w:rsidRPr="00293C38">
        <w:rPr>
          <w:i/>
        </w:rPr>
        <w:t>Interoperability</w:t>
      </w:r>
      <w:r w:rsidR="0020162F" w:rsidRPr="00293C38">
        <w:t xml:space="preserve"> proceeding,</w:t>
      </w:r>
      <w:r w:rsidRPr="00293C38">
        <w:t xml:space="preserve"> </w:t>
      </w:r>
      <w:r w:rsidR="000B3CED" w:rsidRPr="00293C38">
        <w:t>provid</w:t>
      </w:r>
      <w:r w:rsidR="006E4FE0" w:rsidRPr="00293C38">
        <w:t xml:space="preserve">ing </w:t>
      </w:r>
      <w:r w:rsidR="000B3CED" w:rsidRPr="00293C38">
        <w:t>Ku</w:t>
      </w:r>
      <w:r w:rsidRPr="00293C38">
        <w:t xml:space="preserve">rian </w:t>
      </w:r>
      <w:r w:rsidR="006E4FE0" w:rsidRPr="00293C38">
        <w:t>and similarly situated licens</w:t>
      </w:r>
      <w:r w:rsidR="009C4742" w:rsidRPr="00293C38">
        <w:t>e</w:t>
      </w:r>
      <w:r w:rsidR="006E4FE0" w:rsidRPr="00293C38">
        <w:t xml:space="preserve">es </w:t>
      </w:r>
      <w:r w:rsidRPr="00293C38">
        <w:t>relief</w:t>
      </w:r>
      <w:r w:rsidR="0078453E" w:rsidRPr="00293C38">
        <w:t xml:space="preserve"> to account </w:t>
      </w:r>
      <w:r w:rsidRPr="00293C38">
        <w:t>for the rule change</w:t>
      </w:r>
      <w:r w:rsidR="0078453E" w:rsidRPr="00293C38">
        <w:t>s</w:t>
      </w:r>
      <w:r w:rsidRPr="00293C38">
        <w:t xml:space="preserve"> </w:t>
      </w:r>
      <w:r w:rsidR="006E4FE0" w:rsidRPr="00293C38">
        <w:t xml:space="preserve">Kurian </w:t>
      </w:r>
      <w:r w:rsidR="0078453E" w:rsidRPr="00293C38">
        <w:t xml:space="preserve">now </w:t>
      </w:r>
      <w:r w:rsidRPr="00293C38">
        <w:t xml:space="preserve">cites as </w:t>
      </w:r>
      <w:r w:rsidR="0078453E" w:rsidRPr="00293C38">
        <w:t xml:space="preserve">necessitating </w:t>
      </w:r>
      <w:r w:rsidR="0020162F" w:rsidRPr="00293C38">
        <w:t xml:space="preserve">a </w:t>
      </w:r>
      <w:r w:rsidRPr="00293C38">
        <w:t xml:space="preserve">waiver </w:t>
      </w:r>
      <w:r w:rsidR="0020162F" w:rsidRPr="00293C38">
        <w:t xml:space="preserve">of </w:t>
      </w:r>
      <w:r w:rsidR="006E4FE0" w:rsidRPr="00293C38">
        <w:t xml:space="preserve">the interim </w:t>
      </w:r>
      <w:r w:rsidR="009C4742" w:rsidRPr="00293C38">
        <w:t xml:space="preserve">construction </w:t>
      </w:r>
      <w:r w:rsidR="0020162F" w:rsidRPr="00293C38">
        <w:t xml:space="preserve">deadline or a five-year </w:t>
      </w:r>
      <w:r w:rsidRPr="00293C38">
        <w:t xml:space="preserve">extension </w:t>
      </w:r>
      <w:r w:rsidR="00F70F73" w:rsidRPr="00293C38">
        <w:t>of it</w:t>
      </w:r>
      <w:r w:rsidR="000B3CED" w:rsidRPr="00293C38">
        <w:t>.</w:t>
      </w:r>
      <w:r w:rsidRPr="00293C38">
        <w:t xml:space="preserve">  </w:t>
      </w:r>
      <w:r w:rsidR="00D91DDD" w:rsidRPr="00293C38">
        <w:t xml:space="preserve">As </w:t>
      </w:r>
      <w:r w:rsidR="0020162F" w:rsidRPr="00293C38">
        <w:t xml:space="preserve">explained </w:t>
      </w:r>
      <w:r w:rsidR="00D91DDD" w:rsidRPr="00293C38">
        <w:t>above,</w:t>
      </w:r>
      <w:r w:rsidR="00664B76" w:rsidRPr="00293C38">
        <w:t xml:space="preserve"> </w:t>
      </w:r>
      <w:r w:rsidR="00C34D8C">
        <w:t>Kurian filed his Interoperability Extension Request a</w:t>
      </w:r>
      <w:r w:rsidR="00C34D8C" w:rsidRPr="00293C38">
        <w:t xml:space="preserve">fter </w:t>
      </w:r>
      <w:r w:rsidR="00E478CD" w:rsidRPr="00293C38">
        <w:t xml:space="preserve">the Commission proposed </w:t>
      </w:r>
      <w:r w:rsidR="006E4FE0" w:rsidRPr="00293C38">
        <w:t xml:space="preserve">limiting </w:t>
      </w:r>
      <w:r w:rsidR="00E478CD" w:rsidRPr="00293C38">
        <w:t xml:space="preserve">the </w:t>
      </w:r>
      <w:r w:rsidR="006E4FE0" w:rsidRPr="00293C38">
        <w:t xml:space="preserve">Lower 700 MHz E Block </w:t>
      </w:r>
      <w:r w:rsidR="00E478CD" w:rsidRPr="00293C38">
        <w:t>spectrum to downlink only</w:t>
      </w:r>
      <w:r w:rsidR="00A06F48">
        <w:t xml:space="preserve">.  </w:t>
      </w:r>
      <w:r w:rsidR="00FD42B2">
        <w:t>Citing the lack of interoperable equipment in the E Block, h</w:t>
      </w:r>
      <w:r w:rsidR="00A06F48">
        <w:t xml:space="preserve">e </w:t>
      </w:r>
      <w:r w:rsidR="00E478CD" w:rsidRPr="00293C38">
        <w:t>request</w:t>
      </w:r>
      <w:r w:rsidR="00A06F48">
        <w:t>ed</w:t>
      </w:r>
      <w:r w:rsidR="006E4FE0" w:rsidRPr="00293C38">
        <w:t xml:space="preserve"> </w:t>
      </w:r>
      <w:r w:rsidR="00E478CD" w:rsidRPr="00293C38">
        <w:t xml:space="preserve">an additional two years </w:t>
      </w:r>
      <w:r w:rsidR="00E64D2E" w:rsidRPr="00293C38">
        <w:t xml:space="preserve">to meet the interim construction requirement </w:t>
      </w:r>
      <w:r w:rsidR="00E478CD" w:rsidRPr="00293C38">
        <w:t xml:space="preserve">after the conclusion of the </w:t>
      </w:r>
      <w:r w:rsidR="00E478CD" w:rsidRPr="00293C38">
        <w:rPr>
          <w:i/>
        </w:rPr>
        <w:t xml:space="preserve">Interoperability </w:t>
      </w:r>
      <w:r w:rsidR="00E478CD" w:rsidRPr="00293C38">
        <w:t>proceeding</w:t>
      </w:r>
      <w:r w:rsidR="008362E9" w:rsidRPr="00293C38">
        <w:t>;</w:t>
      </w:r>
      <w:r w:rsidR="00C34D8C">
        <w:rPr>
          <w:rStyle w:val="FootnoteReference"/>
        </w:rPr>
        <w:footnoteReference w:id="37"/>
      </w:r>
      <w:r w:rsidR="008362E9" w:rsidRPr="00293C38">
        <w:t xml:space="preserve"> he did not </w:t>
      </w:r>
      <w:r w:rsidR="006E4FE0" w:rsidRPr="00293C38">
        <w:t xml:space="preserve">oppose or otherwise </w:t>
      </w:r>
      <w:r w:rsidR="008362E9" w:rsidRPr="00293C38">
        <w:t xml:space="preserve">address the </w:t>
      </w:r>
      <w:r w:rsidR="006E4FE0" w:rsidRPr="00293C38">
        <w:t xml:space="preserve">Commission’s </w:t>
      </w:r>
      <w:r w:rsidR="008362E9" w:rsidRPr="00293C38">
        <w:t>proposed rule changes</w:t>
      </w:r>
      <w:r w:rsidR="008C67A6" w:rsidRPr="00293C38">
        <w:t>.</w:t>
      </w:r>
      <w:r w:rsidR="008362E9" w:rsidRPr="00293C38">
        <w:rPr>
          <w:rStyle w:val="FootnoteReference"/>
        </w:rPr>
        <w:footnoteReference w:id="38"/>
      </w:r>
      <w:r w:rsidR="008C67A6" w:rsidRPr="00293C38">
        <w:t xml:space="preserve">  </w:t>
      </w:r>
      <w:r w:rsidR="002D3ACA" w:rsidRPr="00293C38">
        <w:t xml:space="preserve">The Commission in the </w:t>
      </w:r>
      <w:r w:rsidR="002D3ACA" w:rsidRPr="00293C38">
        <w:rPr>
          <w:i/>
        </w:rPr>
        <w:t>Interoperability Report and Order</w:t>
      </w:r>
      <w:r w:rsidR="002D3ACA" w:rsidRPr="00293C38">
        <w:t xml:space="preserve"> recognized the potential challenges that Lower 700 MHz E Block licensees might face because of the rule changes and provided several forms of relief, including granting Kurian</w:t>
      </w:r>
      <w:r w:rsidR="00C728AC" w:rsidRPr="00293C38">
        <w:t>’s</w:t>
      </w:r>
      <w:r w:rsidR="002D3ACA" w:rsidRPr="00293C38">
        <w:t xml:space="preserve"> Interoperability Extension Request and extending the interim constr</w:t>
      </w:r>
      <w:r w:rsidR="00C728AC" w:rsidRPr="00293C38">
        <w:t>u</w:t>
      </w:r>
      <w:r w:rsidR="002D3ACA" w:rsidRPr="00293C38">
        <w:t>ction deadline by almost four years.</w:t>
      </w:r>
      <w:r w:rsidR="002D3ACA" w:rsidRPr="00293C38">
        <w:rPr>
          <w:rStyle w:val="FootnoteReference"/>
        </w:rPr>
        <w:footnoteReference w:id="39"/>
      </w:r>
    </w:p>
    <w:p w:rsidR="00556856" w:rsidRDefault="00556856" w:rsidP="00197B77">
      <w:pPr>
        <w:pStyle w:val="ParaNum"/>
      </w:pPr>
    </w:p>
    <w:p w:rsidR="008C67A6" w:rsidRPr="00293C38" w:rsidRDefault="002D3ACA" w:rsidP="00197B77">
      <w:pPr>
        <w:pStyle w:val="ParaNum"/>
      </w:pPr>
      <w:r w:rsidRPr="00293C38">
        <w:t>In addition</w:t>
      </w:r>
      <w:r w:rsidR="00C40EA1" w:rsidRPr="00293C38">
        <w:t xml:space="preserve">, while </w:t>
      </w:r>
      <w:r w:rsidR="008C67A6" w:rsidRPr="00293C38">
        <w:t>Kurian</w:t>
      </w:r>
      <w:r w:rsidR="00C40EA1" w:rsidRPr="00293C38">
        <w:t xml:space="preserve"> </w:t>
      </w:r>
      <w:r w:rsidR="009C4742" w:rsidRPr="00293C38">
        <w:t>states</w:t>
      </w:r>
      <w:r w:rsidR="00C40EA1" w:rsidRPr="00293C38">
        <w:t xml:space="preserve"> that he “never would have bid</w:t>
      </w:r>
      <w:r w:rsidRPr="00293C38">
        <w:t>[]</w:t>
      </w:r>
      <w:r w:rsidR="00C40EA1" w:rsidRPr="00293C38">
        <w:t xml:space="preserve"> on the 700 MHz E block if the said spectrum could only be used for downlink only,”</w:t>
      </w:r>
      <w:r w:rsidR="00C40EA1" w:rsidRPr="00293C38">
        <w:rPr>
          <w:rStyle w:val="FootnoteReference"/>
        </w:rPr>
        <w:footnoteReference w:id="40"/>
      </w:r>
      <w:r w:rsidR="00C40EA1" w:rsidRPr="00293C38">
        <w:t xml:space="preserve"> </w:t>
      </w:r>
      <w:r w:rsidR="002C27EF">
        <w:t xml:space="preserve">the Commission </w:t>
      </w:r>
      <w:r w:rsidR="008F6E4F">
        <w:t>recognized i</w:t>
      </w:r>
      <w:r w:rsidR="002C27EF">
        <w:t xml:space="preserve">n the </w:t>
      </w:r>
      <w:r w:rsidR="002C27EF">
        <w:rPr>
          <w:i/>
        </w:rPr>
        <w:t>Interoperability Report and Order</w:t>
      </w:r>
      <w:r w:rsidR="008F6E4F">
        <w:rPr>
          <w:i/>
        </w:rPr>
        <w:t xml:space="preserve"> </w:t>
      </w:r>
      <w:r w:rsidR="008F6E4F">
        <w:t>that “Congress specifically applied to licenses acquired by auction [a] ‘long tradition of Commission authority to change rules governing already-issued licenses.’”</w:t>
      </w:r>
      <w:r w:rsidR="008F6E4F">
        <w:rPr>
          <w:rStyle w:val="FootnoteReference"/>
        </w:rPr>
        <w:footnoteReference w:id="41"/>
      </w:r>
      <w:r w:rsidR="008F6E4F">
        <w:t xml:space="preserve">  We also note that Kurian</w:t>
      </w:r>
      <w:r w:rsidR="00EF18B8" w:rsidRPr="00293C38">
        <w:t xml:space="preserve"> did not file comments </w:t>
      </w:r>
      <w:r w:rsidR="00A05CDD" w:rsidRPr="00293C38">
        <w:t xml:space="preserve">on </w:t>
      </w:r>
      <w:r w:rsidR="00EF18B8" w:rsidRPr="00293C38">
        <w:t xml:space="preserve">the </w:t>
      </w:r>
      <w:r w:rsidR="004C2B9B" w:rsidRPr="00293C38">
        <w:t xml:space="preserve">proposed </w:t>
      </w:r>
      <w:r w:rsidR="00EF18B8" w:rsidRPr="00293C38">
        <w:t xml:space="preserve">rule changes in the </w:t>
      </w:r>
      <w:r w:rsidR="00EF18B8" w:rsidRPr="00293C38">
        <w:rPr>
          <w:i/>
        </w:rPr>
        <w:t>Interoperability NPRM</w:t>
      </w:r>
      <w:r w:rsidR="008C67A6" w:rsidRPr="00293C38">
        <w:t xml:space="preserve">, nor did he file a petition for reconsideration of the </w:t>
      </w:r>
      <w:r w:rsidR="006E4FE0" w:rsidRPr="00293C38">
        <w:t xml:space="preserve">rule changes adopted in the </w:t>
      </w:r>
      <w:r w:rsidR="004C2B9B" w:rsidRPr="00293C38">
        <w:rPr>
          <w:i/>
        </w:rPr>
        <w:t xml:space="preserve">Interoperability </w:t>
      </w:r>
      <w:r w:rsidR="008C67A6" w:rsidRPr="00293C38">
        <w:rPr>
          <w:i/>
        </w:rPr>
        <w:t>Report and Order</w:t>
      </w:r>
      <w:r w:rsidR="004E65D0" w:rsidRPr="00293C38">
        <w:rPr>
          <w:i/>
        </w:rPr>
        <w:t xml:space="preserve"> </w:t>
      </w:r>
      <w:r w:rsidR="004E65D0" w:rsidRPr="00293C38">
        <w:t>or make any other objection</w:t>
      </w:r>
      <w:r w:rsidR="008C67A6" w:rsidRPr="00293C38">
        <w:t>.</w:t>
      </w:r>
      <w:r w:rsidR="00E478CD" w:rsidRPr="00293C38">
        <w:rPr>
          <w:rStyle w:val="FootnoteReference"/>
        </w:rPr>
        <w:footnoteReference w:id="42"/>
      </w:r>
      <w:r w:rsidR="008F6E4F">
        <w:t xml:space="preserve">  Instead, </w:t>
      </w:r>
      <w:r w:rsidR="00FD42B2">
        <w:t xml:space="preserve">Kurian waited, until </w:t>
      </w:r>
      <w:r w:rsidR="008F6E4F">
        <w:t xml:space="preserve">over three years after that </w:t>
      </w:r>
      <w:r w:rsidR="008641C5">
        <w:t>O</w:t>
      </w:r>
      <w:r w:rsidR="008F6E4F">
        <w:t>rder adopted a</w:t>
      </w:r>
      <w:r w:rsidR="008F5C38">
        <w:t>n</w:t>
      </w:r>
      <w:r w:rsidR="008F6E4F">
        <w:t xml:space="preserve"> industry consensus amending the rules for this band</w:t>
      </w:r>
      <w:r w:rsidR="008641C5">
        <w:t>, including the E Block,</w:t>
      </w:r>
      <w:r w:rsidR="008F6E4F">
        <w:t xml:space="preserve"> and extending </w:t>
      </w:r>
      <w:r w:rsidR="00CD6433">
        <w:t>from 2013 to 2017</w:t>
      </w:r>
      <w:r w:rsidR="008F6E4F">
        <w:t xml:space="preserve"> the interim construction deadline applicable to 700 MHz E Block licensees, </w:t>
      </w:r>
      <w:r w:rsidR="00FD42B2">
        <w:t xml:space="preserve">to </w:t>
      </w:r>
      <w:r w:rsidR="008F6E4F">
        <w:t xml:space="preserve">request a further waiver or extension of that new deadline, for five additional years.  </w:t>
      </w:r>
      <w:r w:rsidR="00C07674" w:rsidRPr="00293C38">
        <w:t xml:space="preserve">  </w:t>
      </w:r>
    </w:p>
    <w:p w:rsidR="001B1CD8" w:rsidRPr="00293C38" w:rsidRDefault="001B1CD8" w:rsidP="00197B77">
      <w:pPr>
        <w:pStyle w:val="ParaNum"/>
      </w:pPr>
    </w:p>
    <w:p w:rsidR="002A1BE6" w:rsidRPr="00293C38" w:rsidRDefault="00216560" w:rsidP="00197B77">
      <w:pPr>
        <w:pStyle w:val="ParaNum"/>
      </w:pPr>
      <w:r w:rsidRPr="00293C38">
        <w:rPr>
          <w:i/>
          <w:snapToGrid/>
          <w:kern w:val="0"/>
        </w:rPr>
        <w:t>Waiver Request</w:t>
      </w:r>
      <w:r w:rsidRPr="00293C38">
        <w:rPr>
          <w:snapToGrid/>
          <w:kern w:val="0"/>
        </w:rPr>
        <w:t>.</w:t>
      </w:r>
      <w:r w:rsidRPr="00293C38">
        <w:rPr>
          <w:i/>
          <w:snapToGrid/>
          <w:kern w:val="0"/>
        </w:rPr>
        <w:t xml:space="preserve">  </w:t>
      </w:r>
      <w:r w:rsidR="00B86267" w:rsidRPr="00293C38">
        <w:t xml:space="preserve">The Commission’s construction obligations serve the important purpose of ensuring that scarce spectrum resources are put to use and deployed </w:t>
      </w:r>
      <w:r w:rsidR="004C2B9B" w:rsidRPr="00293C38">
        <w:t xml:space="preserve">to </w:t>
      </w:r>
      <w:r w:rsidR="00B86267" w:rsidRPr="00293C38">
        <w:t>serve all communities</w:t>
      </w:r>
      <w:r w:rsidR="00B86267" w:rsidRPr="00293C38">
        <w:rPr>
          <w:rStyle w:val="FootnoteReference"/>
          <w:spacing w:val="-3"/>
        </w:rPr>
        <w:footnoteReference w:id="43"/>
      </w:r>
      <w:r w:rsidR="002743BA" w:rsidRPr="00293C38">
        <w:t xml:space="preserve"> and</w:t>
      </w:r>
      <w:r w:rsidR="00B86267" w:rsidRPr="00293C38">
        <w:t xml:space="preserve"> promote the Commission’s </w:t>
      </w:r>
      <w:r w:rsidR="004C2B9B" w:rsidRPr="00293C38">
        <w:t xml:space="preserve">mandate to </w:t>
      </w:r>
      <w:r w:rsidR="00B86267" w:rsidRPr="00293C38">
        <w:t>mak</w:t>
      </w:r>
      <w:r w:rsidR="004C2B9B" w:rsidRPr="00293C38">
        <w:t>e</w:t>
      </w:r>
      <w:r w:rsidR="00B86267" w:rsidRPr="00293C38">
        <w:t xml:space="preserve"> spectrum “available, so far as possible, to all the people of the United States” where</w:t>
      </w:r>
      <w:r w:rsidR="004C2B9B" w:rsidRPr="00293C38">
        <w:t>ver</w:t>
      </w:r>
      <w:r w:rsidR="00B86267" w:rsidRPr="00293C38">
        <w:t xml:space="preserve"> they live.</w:t>
      </w:r>
      <w:r w:rsidR="00B86267" w:rsidRPr="00293C38">
        <w:rPr>
          <w:rStyle w:val="FootnoteReference"/>
          <w:spacing w:val="-3"/>
        </w:rPr>
        <w:footnoteReference w:id="44"/>
      </w:r>
      <w:r w:rsidR="00EC55E0" w:rsidRPr="00293C38">
        <w:t xml:space="preserve"> </w:t>
      </w:r>
      <w:r w:rsidR="00B86267" w:rsidRPr="00293C38">
        <w:t xml:space="preserve"> </w:t>
      </w:r>
      <w:r w:rsidR="00F441E5" w:rsidRPr="00293C38">
        <w:rPr>
          <w:snapToGrid/>
          <w:kern w:val="0"/>
        </w:rPr>
        <w:t>As with other Commission rules, requests to waive the requirements of the wireless construction rules must “meet a high hurdle even at the starting gate.”</w:t>
      </w:r>
      <w:r w:rsidR="00F441E5" w:rsidRPr="00293C38">
        <w:rPr>
          <w:snapToGrid/>
          <w:kern w:val="0"/>
          <w:vertAlign w:val="superscript"/>
        </w:rPr>
        <w:footnoteReference w:id="45"/>
      </w:r>
      <w:r w:rsidR="00E6268B" w:rsidRPr="00293C38">
        <w:rPr>
          <w:snapToGrid/>
          <w:kern w:val="0"/>
        </w:rPr>
        <w:t xml:space="preserve">  </w:t>
      </w:r>
      <w:r w:rsidR="00EF5791" w:rsidRPr="00293C38">
        <w:rPr>
          <w:color w:val="000000" w:themeColor="text1"/>
        </w:rPr>
        <w:t xml:space="preserve">While </w:t>
      </w:r>
      <w:r w:rsidR="002A1BE6" w:rsidRPr="00293C38">
        <w:t xml:space="preserve">we must evaluate each case based on the specific circumstances that it presents, </w:t>
      </w:r>
      <w:r w:rsidR="00EF5791" w:rsidRPr="00293C38">
        <w:t>the Commission’s construction requirements are intended to ensure intensive use of valuable spectrum</w:t>
      </w:r>
      <w:r w:rsidR="00F441E5" w:rsidRPr="00293C38">
        <w:t>,</w:t>
      </w:r>
      <w:r w:rsidR="00EF5791" w:rsidRPr="00293C38">
        <w:rPr>
          <w:rStyle w:val="FootnoteReference"/>
        </w:rPr>
        <w:footnoteReference w:id="46"/>
      </w:r>
      <w:r w:rsidR="00F441E5" w:rsidRPr="00293C38">
        <w:t xml:space="preserve"> and w</w:t>
      </w:r>
      <w:r w:rsidR="00EF5791" w:rsidRPr="00293C38">
        <w:t>aiver of t</w:t>
      </w:r>
      <w:r w:rsidR="00DD0420" w:rsidRPr="00293C38">
        <w:t>hose requirements is infrequent</w:t>
      </w:r>
      <w:r w:rsidR="00EF5791" w:rsidRPr="00293C38">
        <w:t xml:space="preserve"> and only appropriate when consistent with that goal and the public interest.</w:t>
      </w:r>
      <w:r w:rsidR="00EF5791" w:rsidRPr="00293C38">
        <w:rPr>
          <w:rStyle w:val="FootnoteReference"/>
        </w:rPr>
        <w:footnoteReference w:id="47"/>
      </w:r>
      <w:r w:rsidR="00EF5791" w:rsidRPr="00293C38">
        <w:t xml:space="preserve">  </w:t>
      </w:r>
      <w:r w:rsidR="008F5C38">
        <w:rPr>
          <w:color w:val="000000" w:themeColor="text1"/>
        </w:rPr>
        <w:t>I</w:t>
      </w:r>
      <w:r w:rsidR="00E90AD2" w:rsidRPr="00B54FC7">
        <w:rPr>
          <w:color w:val="000000" w:themeColor="text1"/>
        </w:rPr>
        <w:t xml:space="preserve">t is a licensee’s responsibility to confirm that it can satisfy construction and service requirements </w:t>
      </w:r>
      <w:r w:rsidR="008F5C38">
        <w:rPr>
          <w:color w:val="000000" w:themeColor="text1"/>
        </w:rPr>
        <w:t xml:space="preserve">before </w:t>
      </w:r>
      <w:r w:rsidR="00E90AD2" w:rsidRPr="00B54FC7">
        <w:rPr>
          <w:color w:val="000000" w:themeColor="text1"/>
        </w:rPr>
        <w:t>acquiring spectrum</w:t>
      </w:r>
      <w:r w:rsidR="004A79CD">
        <w:rPr>
          <w:color w:val="000000" w:themeColor="text1"/>
        </w:rPr>
        <w:t>.</w:t>
      </w:r>
      <w:r w:rsidR="00E90AD2" w:rsidRPr="00B54FC7">
        <w:rPr>
          <w:rStyle w:val="FootnoteReference"/>
          <w:color w:val="000000" w:themeColor="text1"/>
        </w:rPr>
        <w:footnoteReference w:id="48"/>
      </w:r>
      <w:r w:rsidR="004A79CD">
        <w:rPr>
          <w:color w:val="000000" w:themeColor="text1"/>
        </w:rPr>
        <w:t xml:space="preserve">  </w:t>
      </w:r>
      <w:r w:rsidR="008641C5">
        <w:rPr>
          <w:color w:val="000000" w:themeColor="text1"/>
        </w:rPr>
        <w:t>Here</w:t>
      </w:r>
      <w:r w:rsidR="0039106D">
        <w:rPr>
          <w:color w:val="000000" w:themeColor="text1"/>
        </w:rPr>
        <w:t>,</w:t>
      </w:r>
      <w:r w:rsidR="004A79CD">
        <w:rPr>
          <w:color w:val="000000" w:themeColor="text1"/>
        </w:rPr>
        <w:t xml:space="preserve"> as described above, the Commission modified its rules and </w:t>
      </w:r>
      <w:r w:rsidR="008F5C38">
        <w:rPr>
          <w:color w:val="000000" w:themeColor="text1"/>
        </w:rPr>
        <w:t xml:space="preserve">granted </w:t>
      </w:r>
      <w:r w:rsidR="004A79CD">
        <w:rPr>
          <w:color w:val="000000" w:themeColor="text1"/>
        </w:rPr>
        <w:t>all affected licensees (including Kurian)</w:t>
      </w:r>
      <w:r w:rsidR="008F5C38">
        <w:rPr>
          <w:color w:val="000000" w:themeColor="text1"/>
        </w:rPr>
        <w:t xml:space="preserve"> </w:t>
      </w:r>
      <w:r w:rsidR="001D7465">
        <w:rPr>
          <w:color w:val="000000" w:themeColor="text1"/>
        </w:rPr>
        <w:t>additional</w:t>
      </w:r>
      <w:r w:rsidR="008F5C38">
        <w:rPr>
          <w:color w:val="000000" w:themeColor="text1"/>
        </w:rPr>
        <w:t xml:space="preserve"> time to </w:t>
      </w:r>
      <w:r w:rsidR="008F5C38" w:rsidRPr="00B54FC7">
        <w:rPr>
          <w:color w:val="000000" w:themeColor="text1"/>
        </w:rPr>
        <w:t xml:space="preserve">satisfy </w:t>
      </w:r>
      <w:r w:rsidR="008F5C38">
        <w:rPr>
          <w:color w:val="000000" w:themeColor="text1"/>
        </w:rPr>
        <w:t xml:space="preserve">their </w:t>
      </w:r>
      <w:r w:rsidR="008F5C38" w:rsidRPr="00B54FC7">
        <w:rPr>
          <w:color w:val="000000" w:themeColor="text1"/>
        </w:rPr>
        <w:t>construction and service requirements</w:t>
      </w:r>
      <w:r w:rsidR="008641C5">
        <w:rPr>
          <w:color w:val="000000" w:themeColor="text1"/>
        </w:rPr>
        <w:t>.</w:t>
      </w:r>
      <w:r w:rsidR="004A79CD">
        <w:rPr>
          <w:color w:val="000000" w:themeColor="text1"/>
        </w:rPr>
        <w:t xml:space="preserve"> </w:t>
      </w:r>
      <w:r w:rsidR="002B75F6">
        <w:rPr>
          <w:color w:val="000000" w:themeColor="text1"/>
        </w:rPr>
        <w:t xml:space="preserve"> </w:t>
      </w:r>
      <w:r w:rsidR="008641C5">
        <w:rPr>
          <w:color w:val="000000" w:themeColor="text1"/>
        </w:rPr>
        <w:t xml:space="preserve">Kurian has not demonstrated that </w:t>
      </w:r>
      <w:r w:rsidR="008F5C38">
        <w:rPr>
          <w:color w:val="000000" w:themeColor="text1"/>
        </w:rPr>
        <w:t xml:space="preserve">granting him </w:t>
      </w:r>
      <w:r w:rsidR="008641C5">
        <w:rPr>
          <w:color w:val="000000" w:themeColor="text1"/>
        </w:rPr>
        <w:t xml:space="preserve">further relief </w:t>
      </w:r>
      <w:r w:rsidR="008F5C38">
        <w:rPr>
          <w:color w:val="000000" w:themeColor="text1"/>
        </w:rPr>
        <w:t xml:space="preserve">here </w:t>
      </w:r>
      <w:r w:rsidR="008641C5">
        <w:rPr>
          <w:color w:val="000000" w:themeColor="text1"/>
        </w:rPr>
        <w:t xml:space="preserve">will ensure </w:t>
      </w:r>
      <w:r w:rsidR="00065F96">
        <w:rPr>
          <w:color w:val="000000" w:themeColor="text1"/>
        </w:rPr>
        <w:t xml:space="preserve">any </w:t>
      </w:r>
      <w:r w:rsidR="008641C5">
        <w:rPr>
          <w:color w:val="000000" w:themeColor="text1"/>
        </w:rPr>
        <w:t>us</w:t>
      </w:r>
      <w:r w:rsidR="008F5C38">
        <w:rPr>
          <w:color w:val="000000" w:themeColor="text1"/>
        </w:rPr>
        <w:t>e</w:t>
      </w:r>
      <w:r w:rsidR="008641C5">
        <w:rPr>
          <w:color w:val="000000" w:themeColor="text1"/>
        </w:rPr>
        <w:t xml:space="preserve"> of valuable spectrum or is in the public interest.  </w:t>
      </w:r>
    </w:p>
    <w:p w:rsidR="002A1BE6" w:rsidRPr="00293C38" w:rsidRDefault="002A1BE6" w:rsidP="00197B77">
      <w:pPr>
        <w:pStyle w:val="ParaNum"/>
      </w:pPr>
    </w:p>
    <w:p w:rsidR="009A227C" w:rsidRPr="00293C38" w:rsidRDefault="008641C5" w:rsidP="00197B77">
      <w:pPr>
        <w:pStyle w:val="ParaNum"/>
      </w:pPr>
      <w:r>
        <w:t xml:space="preserve">Kurian fails to </w:t>
      </w:r>
      <w:r w:rsidR="00C04E72">
        <w:t>demonstrate</w:t>
      </w:r>
      <w:r>
        <w:t xml:space="preserve"> that he is entitled to relief under either prong of Section 1.925(b)(3).  </w:t>
      </w:r>
      <w:r w:rsidR="009A227C" w:rsidRPr="00293C38">
        <w:t xml:space="preserve">To meet the first </w:t>
      </w:r>
      <w:r w:rsidR="006E4FE0" w:rsidRPr="00293C38">
        <w:t xml:space="preserve">prong </w:t>
      </w:r>
      <w:r w:rsidR="009A227C" w:rsidRPr="00293C38">
        <w:t>of 1.925</w:t>
      </w:r>
      <w:r w:rsidR="006E4FE0" w:rsidRPr="00293C38">
        <w:t>(b)(3)</w:t>
      </w:r>
      <w:r w:rsidR="004C2B9B" w:rsidRPr="00293C38">
        <w:t>,</w:t>
      </w:r>
      <w:r w:rsidR="009A227C" w:rsidRPr="00293C38">
        <w:rPr>
          <w:rStyle w:val="FootnoteReference"/>
        </w:rPr>
        <w:footnoteReference w:id="49"/>
      </w:r>
      <w:r w:rsidR="005315D8" w:rsidRPr="00293C38">
        <w:t xml:space="preserve"> Kurian must </w:t>
      </w:r>
      <w:r w:rsidR="002E6E12" w:rsidRPr="00293C38">
        <w:t>demonstrate that</w:t>
      </w:r>
      <w:r w:rsidR="00C04E72">
        <w:t>:</w:t>
      </w:r>
      <w:r w:rsidR="005315D8" w:rsidRPr="00293C38">
        <w:t xml:space="preserve"> (1) </w:t>
      </w:r>
      <w:r w:rsidR="00EC43A8" w:rsidRPr="00293C38">
        <w:t>the underly</w:t>
      </w:r>
      <w:r w:rsidR="00A74073" w:rsidRPr="00293C38">
        <w:t>ing purpose of Section 27.14(g)</w:t>
      </w:r>
      <w:r w:rsidR="002E6E12" w:rsidRPr="00463DCB">
        <w:t>—</w:t>
      </w:r>
      <w:r w:rsidR="002E6E12" w:rsidRPr="00293C38">
        <w:t xml:space="preserve"> “</w:t>
      </w:r>
      <w:r w:rsidR="00EC43A8" w:rsidRPr="00293C38">
        <w:t>to better promote access to spectrum and the provision of service, especially in rural areas”</w:t>
      </w:r>
      <w:r w:rsidR="00EC43A8" w:rsidRPr="00293C38">
        <w:rPr>
          <w:rStyle w:val="FootnoteReference"/>
        </w:rPr>
        <w:footnoteReference w:id="50"/>
      </w:r>
      <w:r w:rsidR="00EC43A8" w:rsidRPr="00293C38">
        <w:t>— would be frustrated by application of the rule here</w:t>
      </w:r>
      <w:r w:rsidR="00C04E72">
        <w:t>;</w:t>
      </w:r>
      <w:r w:rsidR="00EC43A8" w:rsidRPr="00293C38">
        <w:t xml:space="preserve"> and </w:t>
      </w:r>
      <w:r w:rsidR="009A227C" w:rsidRPr="00293C38">
        <w:t xml:space="preserve">(2) </w:t>
      </w:r>
      <w:r w:rsidR="00EC43A8" w:rsidRPr="00293C38">
        <w:t>that grant of the requested waiver will serve the public interest</w:t>
      </w:r>
      <w:r w:rsidR="009A227C" w:rsidRPr="00293C38">
        <w:t xml:space="preserve">.  While Kurian </w:t>
      </w:r>
      <w:r w:rsidR="00462D76" w:rsidRPr="00293C38">
        <w:t>re</w:t>
      </w:r>
      <w:r w:rsidR="004C2B9B" w:rsidRPr="00293C38">
        <w:t xml:space="preserve">cites </w:t>
      </w:r>
      <w:r w:rsidR="009A227C" w:rsidRPr="00293C38">
        <w:t xml:space="preserve">the rule’s text, he </w:t>
      </w:r>
      <w:r w:rsidR="00462D76" w:rsidRPr="00293C38">
        <w:t xml:space="preserve">does not explain </w:t>
      </w:r>
      <w:r w:rsidR="009A227C" w:rsidRPr="00293C38">
        <w:t>how Section 27.14(g)’s underlying purpose would be frustrated by its enforcement here</w:t>
      </w:r>
      <w:r w:rsidR="00462D76" w:rsidRPr="00293C38">
        <w:t>.  Kurian also</w:t>
      </w:r>
      <w:r w:rsidR="00744D9A" w:rsidRPr="00293C38">
        <w:t xml:space="preserve"> </w:t>
      </w:r>
      <w:r w:rsidR="00C234DD" w:rsidRPr="00293C38">
        <w:t>fails to</w:t>
      </w:r>
      <w:r w:rsidR="00F002E0" w:rsidRPr="00293C38">
        <w:t xml:space="preserve"> </w:t>
      </w:r>
      <w:r w:rsidR="00CF073E" w:rsidRPr="00293C38">
        <w:t>ex</w:t>
      </w:r>
      <w:r w:rsidR="00A74073" w:rsidRPr="00293C38">
        <w:t>pl</w:t>
      </w:r>
      <w:r w:rsidR="00CF073E" w:rsidRPr="00293C38">
        <w:t>a</w:t>
      </w:r>
      <w:r w:rsidR="00A74073" w:rsidRPr="00293C38">
        <w:t>i</w:t>
      </w:r>
      <w:r w:rsidR="00CF073E" w:rsidRPr="00293C38">
        <w:t>n</w:t>
      </w:r>
      <w:r w:rsidR="00F002E0" w:rsidRPr="00293C38">
        <w:t xml:space="preserve"> </w:t>
      </w:r>
      <w:r w:rsidR="0019228F" w:rsidRPr="00293C38">
        <w:t>how waiver relief would lead to the provision of service to the public, particularly those in rural areas</w:t>
      </w:r>
      <w:r w:rsidR="00462D76" w:rsidRPr="00293C38">
        <w:t>,</w:t>
      </w:r>
      <w:r w:rsidR="00FE20E4">
        <w:t xml:space="preserve"> </w:t>
      </w:r>
      <w:r w:rsidR="00C04E72">
        <w:t xml:space="preserve">since he provides no </w:t>
      </w:r>
      <w:r w:rsidR="00FE20E4">
        <w:t>concrete plan for using the spectrum</w:t>
      </w:r>
      <w:r w:rsidR="002B75F6">
        <w:t xml:space="preserve"> and</w:t>
      </w:r>
      <w:r w:rsidR="00462D76" w:rsidRPr="00293C38">
        <w:t xml:space="preserve"> </w:t>
      </w:r>
      <w:r w:rsidR="00FE20E4" w:rsidRPr="00293C38">
        <w:t>offers no basis upon which we can conclude that he would provide service to the public in the future.</w:t>
      </w:r>
      <w:r w:rsidR="00FE20E4" w:rsidRPr="00293C38">
        <w:rPr>
          <w:rStyle w:val="FootnoteReference"/>
        </w:rPr>
        <w:footnoteReference w:id="51"/>
      </w:r>
      <w:r w:rsidR="00FE20E4">
        <w:t xml:space="preserve">  Further,</w:t>
      </w:r>
      <w:r w:rsidR="002B75F6">
        <w:t xml:space="preserve"> </w:t>
      </w:r>
      <w:r w:rsidR="0019228F" w:rsidRPr="00293C38">
        <w:t>he offers no argument</w:t>
      </w:r>
      <w:r w:rsidR="00462D76" w:rsidRPr="00293C38">
        <w:t>s</w:t>
      </w:r>
      <w:r w:rsidR="0019228F" w:rsidRPr="00293C38">
        <w:t xml:space="preserve"> </w:t>
      </w:r>
      <w:r w:rsidR="00C04E72">
        <w:t>as to</w:t>
      </w:r>
      <w:r w:rsidR="0019228F" w:rsidRPr="00293C38">
        <w:t xml:space="preserve"> how a</w:t>
      </w:r>
      <w:r w:rsidR="009A227C" w:rsidRPr="00293C38">
        <w:t xml:space="preserve"> waiver would serve the public interest.</w:t>
      </w:r>
      <w:r w:rsidR="000E64B4" w:rsidRPr="00293C38">
        <w:rPr>
          <w:rStyle w:val="FootnoteReference"/>
        </w:rPr>
        <w:footnoteReference w:id="52"/>
      </w:r>
      <w:r w:rsidR="009A227C" w:rsidRPr="00293C38">
        <w:t xml:space="preserve"> </w:t>
      </w:r>
      <w:r w:rsidR="00FE20E4" w:rsidRPr="00293C38">
        <w:t xml:space="preserve"> </w:t>
      </w:r>
      <w:r w:rsidR="009A227C" w:rsidRPr="00293C38">
        <w:t xml:space="preserve">We therefore </w:t>
      </w:r>
      <w:r w:rsidR="00E07BA6" w:rsidRPr="00293C38">
        <w:t xml:space="preserve">conclude </w:t>
      </w:r>
      <w:r w:rsidR="004C2B9B" w:rsidRPr="00293C38">
        <w:t>that</w:t>
      </w:r>
      <w:r w:rsidR="00C34766" w:rsidRPr="00293C38">
        <w:t xml:space="preserve"> </w:t>
      </w:r>
      <w:r w:rsidR="00FA57A4" w:rsidRPr="00293C38">
        <w:t>Kurian has</w:t>
      </w:r>
      <w:r w:rsidR="005A6704" w:rsidRPr="00293C38">
        <w:t xml:space="preserve"> fail</w:t>
      </w:r>
      <w:r w:rsidR="00FA57A4" w:rsidRPr="00293C38">
        <w:t>ed</w:t>
      </w:r>
      <w:r w:rsidR="005A6704" w:rsidRPr="00293C38">
        <w:t xml:space="preserve"> to </w:t>
      </w:r>
      <w:r w:rsidR="00E07BA6" w:rsidRPr="00293C38">
        <w:t xml:space="preserve">justify </w:t>
      </w:r>
      <w:r w:rsidR="00462D76" w:rsidRPr="00293C38">
        <w:t>wa</w:t>
      </w:r>
      <w:r w:rsidR="00374049">
        <w:t>iver</w:t>
      </w:r>
      <w:r w:rsidR="00462D76" w:rsidRPr="00293C38">
        <w:t xml:space="preserve"> </w:t>
      </w:r>
      <w:r w:rsidR="00E07BA6" w:rsidRPr="00293C38">
        <w:t xml:space="preserve">relief under </w:t>
      </w:r>
      <w:r w:rsidR="00FA57A4" w:rsidRPr="00293C38">
        <w:t>Section 1.925(b)</w:t>
      </w:r>
      <w:r w:rsidR="00294D62" w:rsidRPr="00293C38">
        <w:t>(3)</w:t>
      </w:r>
      <w:r w:rsidR="00FA57A4" w:rsidRPr="00293C38">
        <w:t>(i)</w:t>
      </w:r>
      <w:r w:rsidR="005A6704" w:rsidRPr="00293C38">
        <w:t>.</w:t>
      </w:r>
    </w:p>
    <w:p w:rsidR="009A227C" w:rsidRPr="00293C38" w:rsidRDefault="009A227C" w:rsidP="00197B77">
      <w:pPr>
        <w:pStyle w:val="ParaNum"/>
      </w:pPr>
    </w:p>
    <w:p w:rsidR="009107DE" w:rsidRPr="00293C38" w:rsidRDefault="009A227C" w:rsidP="00197B77">
      <w:pPr>
        <w:pStyle w:val="ParaNum"/>
      </w:pPr>
      <w:r w:rsidRPr="00293C38">
        <w:t xml:space="preserve">In his Request, Kurian states that he </w:t>
      </w:r>
      <w:r w:rsidR="00C04E72">
        <w:t>deserves</w:t>
      </w:r>
      <w:r w:rsidRPr="00293C38">
        <w:t xml:space="preserve"> waiver relief from meeting the already-extended interim construction deadline because </w:t>
      </w:r>
      <w:r w:rsidR="00D45D34" w:rsidRPr="00293C38">
        <w:t>“the challenges faced by [Kurian] are unique,”</w:t>
      </w:r>
      <w:r w:rsidR="00972F1E" w:rsidRPr="00293C38">
        <w:t xml:space="preserve"> and</w:t>
      </w:r>
      <w:r w:rsidR="00025345" w:rsidRPr="00293C38">
        <w:t xml:space="preserve"> he “</w:t>
      </w:r>
      <w:r w:rsidRPr="00293C38">
        <w:t>has no reasonable alternative</w:t>
      </w:r>
      <w:r w:rsidR="00C04E72">
        <w:t>.</w:t>
      </w:r>
      <w:r w:rsidRPr="00293C38">
        <w:t>”</w:t>
      </w:r>
      <w:r w:rsidR="0089174C" w:rsidRPr="0089174C">
        <w:rPr>
          <w:rStyle w:val="FootnoteReference"/>
        </w:rPr>
        <w:t xml:space="preserve"> </w:t>
      </w:r>
      <w:r w:rsidR="0089174C" w:rsidRPr="00293C38">
        <w:rPr>
          <w:rStyle w:val="FootnoteReference"/>
        </w:rPr>
        <w:footnoteReference w:id="53"/>
      </w:r>
      <w:r w:rsidR="0089174C">
        <w:t xml:space="preserve">  </w:t>
      </w:r>
      <w:r w:rsidR="00C04E72">
        <w:t>H</w:t>
      </w:r>
      <w:r w:rsidR="00462D76" w:rsidRPr="00293C38">
        <w:t>e</w:t>
      </w:r>
      <w:r w:rsidR="00025345" w:rsidRPr="00293C38">
        <w:t xml:space="preserve"> provides no </w:t>
      </w:r>
      <w:r w:rsidR="00AA3286" w:rsidRPr="00293C38">
        <w:t xml:space="preserve">factual </w:t>
      </w:r>
      <w:r w:rsidR="00025345" w:rsidRPr="00293C38">
        <w:t>support for these</w:t>
      </w:r>
      <w:r w:rsidRPr="00293C38">
        <w:t xml:space="preserve"> </w:t>
      </w:r>
      <w:r w:rsidR="00AA3286" w:rsidRPr="00293C38">
        <w:t>allegations</w:t>
      </w:r>
      <w:r w:rsidR="00C04E72">
        <w:t>, however</w:t>
      </w:r>
      <w:r w:rsidRPr="00293C38">
        <w:t>.</w:t>
      </w:r>
      <w:r w:rsidR="00FE20E4">
        <w:t xml:space="preserve">  </w:t>
      </w:r>
      <w:r w:rsidR="00925D72">
        <w:t xml:space="preserve">Under </w:t>
      </w:r>
      <w:r w:rsidR="00925D72" w:rsidRPr="00293C38">
        <w:t>Section 1.925</w:t>
      </w:r>
      <w:r w:rsidR="00142AA0">
        <w:t xml:space="preserve"> of our rules</w:t>
      </w:r>
      <w:r w:rsidR="00925D72">
        <w:t>,</w:t>
      </w:r>
      <w:r w:rsidR="00925D72" w:rsidRPr="00293C38">
        <w:t xml:space="preserve"> </w:t>
      </w:r>
      <w:r w:rsidR="00925D72">
        <w:t>Kurian must demonstrate</w:t>
      </w:r>
      <w:r w:rsidR="00925D72" w:rsidRPr="00293C38">
        <w:t xml:space="preserve"> that</w:t>
      </w:r>
      <w:r w:rsidR="00C04E72">
        <w:t>,</w:t>
      </w:r>
      <w:r w:rsidR="00925D72" w:rsidRPr="00293C38">
        <w:t xml:space="preserve"> in view of unique or unusual factual circumstances, application of Section 27.14(g) would be inequitable, unduly burdensome, or contrary to the public interest, or that he has no reasonable alternative.</w:t>
      </w:r>
      <w:r w:rsidR="00142AA0">
        <w:rPr>
          <w:rStyle w:val="FootnoteReference"/>
        </w:rPr>
        <w:footnoteReference w:id="54"/>
      </w:r>
      <w:r w:rsidR="00925D72" w:rsidRPr="00293C38">
        <w:t xml:space="preserve">  </w:t>
      </w:r>
      <w:r w:rsidR="00FE20E4" w:rsidRPr="00293C38">
        <w:t xml:space="preserve">Kurian does not explain how his circumstances </w:t>
      </w:r>
      <w:r w:rsidR="00514A7F">
        <w:t xml:space="preserve">are </w:t>
      </w:r>
      <w:r w:rsidR="00142AA0" w:rsidRPr="00142AA0">
        <w:t>unique or unusual</w:t>
      </w:r>
      <w:r w:rsidR="00514A7F">
        <w:t>,</w:t>
      </w:r>
      <w:r w:rsidR="00142AA0" w:rsidRPr="00142AA0">
        <w:t xml:space="preserve"> </w:t>
      </w:r>
      <w:r w:rsidR="00142AA0">
        <w:t xml:space="preserve">or </w:t>
      </w:r>
      <w:r w:rsidR="00514A7F">
        <w:t xml:space="preserve">how they </w:t>
      </w:r>
      <w:r w:rsidR="00FE20E4" w:rsidRPr="00293C38">
        <w:t>differ from those of any other Lower 700 MHz E Block licensee.</w:t>
      </w:r>
      <w:r w:rsidR="00FE20E4">
        <w:rPr>
          <w:rStyle w:val="FootnoteReference"/>
        </w:rPr>
        <w:footnoteReference w:id="55"/>
      </w:r>
      <w:r w:rsidR="00FE20E4" w:rsidRPr="00293C38">
        <w:t xml:space="preserve">  </w:t>
      </w:r>
      <w:r w:rsidR="004A3D15" w:rsidRPr="00293C38">
        <w:t xml:space="preserve">Kurian also </w:t>
      </w:r>
      <w:r w:rsidR="00C04E72">
        <w:t xml:space="preserve">fails to provide </w:t>
      </w:r>
      <w:r w:rsidR="00AA3286" w:rsidRPr="00293C38">
        <w:t xml:space="preserve">factual support </w:t>
      </w:r>
      <w:r w:rsidR="00C04E72">
        <w:t xml:space="preserve">for </w:t>
      </w:r>
      <w:r w:rsidR="004A3D15" w:rsidRPr="00293C38">
        <w:t xml:space="preserve">his </w:t>
      </w:r>
      <w:r w:rsidR="00C04E72">
        <w:t xml:space="preserve">claim </w:t>
      </w:r>
      <w:r w:rsidR="004A3D15" w:rsidRPr="00293C38">
        <w:t>that he has no reasonable alternative</w:t>
      </w:r>
      <w:r w:rsidR="008242AD" w:rsidRPr="00293C38">
        <w:t xml:space="preserve"> to a waiver here, nor does he </w:t>
      </w:r>
      <w:r w:rsidR="00D739B3" w:rsidRPr="00293C38">
        <w:t>specify</w:t>
      </w:r>
      <w:r w:rsidR="008242AD" w:rsidRPr="00293C38">
        <w:t xml:space="preserve"> how application of Section 27.14(g) would be inequitable, unduly burdensome, or contrary</w:t>
      </w:r>
      <w:r w:rsidR="00041426" w:rsidRPr="00293C38">
        <w:t xml:space="preserve"> to the public interest</w:t>
      </w:r>
      <w:r w:rsidR="00AA3286" w:rsidRPr="00293C38">
        <w:t xml:space="preserve">.  Instead, </w:t>
      </w:r>
      <w:r w:rsidR="008242AD" w:rsidRPr="00293C38">
        <w:t xml:space="preserve">Kurian </w:t>
      </w:r>
      <w:r w:rsidR="00C04E72">
        <w:t xml:space="preserve">merely </w:t>
      </w:r>
      <w:r w:rsidR="00490E91" w:rsidRPr="00293C38">
        <w:t>mentions</w:t>
      </w:r>
      <w:r w:rsidR="008242AD" w:rsidRPr="00293C38">
        <w:t xml:space="preserve"> efforts to partner with another provider for, or acquire his own, uplink spectrum</w:t>
      </w:r>
      <w:r w:rsidR="00C04E72">
        <w:t>.  H</w:t>
      </w:r>
      <w:r w:rsidR="008242AD" w:rsidRPr="00293C38">
        <w:t xml:space="preserve">e provides no </w:t>
      </w:r>
      <w:r w:rsidR="00C04E72">
        <w:t xml:space="preserve">specific </w:t>
      </w:r>
      <w:r w:rsidR="008242AD" w:rsidRPr="00293C38">
        <w:t xml:space="preserve">details of </w:t>
      </w:r>
      <w:r w:rsidR="00C04E72">
        <w:t>the</w:t>
      </w:r>
      <w:r w:rsidR="008242AD" w:rsidRPr="00293C38">
        <w:t xml:space="preserve"> </w:t>
      </w:r>
      <w:r w:rsidR="00AA3286" w:rsidRPr="00293C38">
        <w:t xml:space="preserve">actual efforts </w:t>
      </w:r>
      <w:r w:rsidR="008242AD" w:rsidRPr="00293C38">
        <w:t xml:space="preserve">he </w:t>
      </w:r>
      <w:r w:rsidR="00AA3286" w:rsidRPr="00293C38">
        <w:t xml:space="preserve">made </w:t>
      </w:r>
      <w:r w:rsidR="008242AD" w:rsidRPr="00293C38">
        <w:t>to put the spectrum to use</w:t>
      </w:r>
      <w:r w:rsidR="00BA7681" w:rsidRPr="00293C38">
        <w:t xml:space="preserve">, </w:t>
      </w:r>
      <w:r w:rsidR="00C04E72">
        <w:t xml:space="preserve">however, </w:t>
      </w:r>
      <w:r w:rsidR="00BA7681" w:rsidRPr="00293C38">
        <w:t xml:space="preserve">nor does he describe how the public interest would </w:t>
      </w:r>
      <w:r w:rsidR="00531ACD">
        <w:t>not be served</w:t>
      </w:r>
      <w:r w:rsidR="00BA7681" w:rsidRPr="00293C38">
        <w:t xml:space="preserve"> if we </w:t>
      </w:r>
      <w:r w:rsidR="00531ACD">
        <w:t>deny</w:t>
      </w:r>
      <w:r w:rsidR="00BA7681" w:rsidRPr="00293C38">
        <w:t xml:space="preserve"> the requested relief</w:t>
      </w:r>
      <w:r w:rsidR="008242AD" w:rsidRPr="00293C38">
        <w:t>.</w:t>
      </w:r>
      <w:r w:rsidR="00BA7681" w:rsidRPr="00293C38">
        <w:rPr>
          <w:rStyle w:val="FootnoteReference"/>
        </w:rPr>
        <w:footnoteReference w:id="56"/>
      </w:r>
      <w:r w:rsidR="00BA7681" w:rsidRPr="00293C38">
        <w:t xml:space="preserve"> </w:t>
      </w:r>
      <w:r w:rsidR="007E7F45" w:rsidRPr="00293C38">
        <w:t xml:space="preserve"> </w:t>
      </w:r>
      <w:r w:rsidR="00967386" w:rsidRPr="00293C38">
        <w:t>We therefore find that Kurian has failed t</w:t>
      </w:r>
      <w:r w:rsidR="00690DC3" w:rsidRPr="00293C38">
        <w:t xml:space="preserve">o </w:t>
      </w:r>
      <w:r w:rsidR="00AA3286" w:rsidRPr="00293C38">
        <w:t xml:space="preserve">show that </w:t>
      </w:r>
      <w:r w:rsidR="00531ACD">
        <w:t>grant of his request</w:t>
      </w:r>
      <w:r w:rsidR="00690DC3" w:rsidRPr="00293C38">
        <w:t xml:space="preserve"> </w:t>
      </w:r>
      <w:r w:rsidR="00AA3286" w:rsidRPr="00293C38">
        <w:t xml:space="preserve">is warranted </w:t>
      </w:r>
      <w:r w:rsidR="00967386" w:rsidRPr="00293C38">
        <w:t>under Section 1.925(b)(ii).</w:t>
      </w:r>
      <w:r w:rsidR="00690DC3" w:rsidRPr="00293C38">
        <w:t xml:space="preserve">  </w:t>
      </w:r>
    </w:p>
    <w:p w:rsidR="009107DE" w:rsidRPr="00293C38" w:rsidRDefault="009107DE" w:rsidP="00197B77">
      <w:pPr>
        <w:pStyle w:val="ParaNum"/>
      </w:pPr>
    </w:p>
    <w:p w:rsidR="005315D8" w:rsidRPr="00293C38" w:rsidRDefault="00967386" w:rsidP="00197B77">
      <w:pPr>
        <w:pStyle w:val="ParaNum"/>
      </w:pPr>
      <w:r w:rsidRPr="00293C38">
        <w:t xml:space="preserve">Finally, for the same reasons as described above, </w:t>
      </w:r>
      <w:r w:rsidR="00AA3286" w:rsidRPr="00293C38">
        <w:t>the record d</w:t>
      </w:r>
      <w:r w:rsidR="00AB4C98" w:rsidRPr="00293C38">
        <w:t xml:space="preserve">oes not support a finding that </w:t>
      </w:r>
      <w:r w:rsidRPr="00293C38">
        <w:t>Kurian has show</w:t>
      </w:r>
      <w:r w:rsidR="00AA3286" w:rsidRPr="00293C38">
        <w:t>n</w:t>
      </w:r>
      <w:r w:rsidRPr="00293C38">
        <w:t xml:space="preserve"> good cause </w:t>
      </w:r>
      <w:r w:rsidR="0025773A" w:rsidRPr="00293C38">
        <w:t xml:space="preserve">for </w:t>
      </w:r>
      <w:r w:rsidRPr="00293C38">
        <w:t xml:space="preserve">waiver </w:t>
      </w:r>
      <w:r w:rsidR="00AA3286" w:rsidRPr="00293C38">
        <w:t xml:space="preserve">relief </w:t>
      </w:r>
      <w:r w:rsidRPr="00293C38">
        <w:t>u</w:t>
      </w:r>
      <w:r w:rsidR="005315D8" w:rsidRPr="00293C38">
        <w:t>nder Section 1.3</w:t>
      </w:r>
      <w:r w:rsidR="00AB4C98" w:rsidRPr="00293C38">
        <w:t>.</w:t>
      </w:r>
    </w:p>
    <w:p w:rsidR="00707D30" w:rsidRPr="00293C38" w:rsidRDefault="00707D30" w:rsidP="00197B77">
      <w:pPr>
        <w:pStyle w:val="ParaNum"/>
      </w:pPr>
    </w:p>
    <w:p w:rsidR="00D6129B" w:rsidRPr="00293C38" w:rsidRDefault="00F145F2" w:rsidP="00197B77">
      <w:pPr>
        <w:pStyle w:val="ParaNum"/>
      </w:pPr>
      <w:r w:rsidRPr="00293C38">
        <w:rPr>
          <w:i/>
        </w:rPr>
        <w:t xml:space="preserve">Extension Request.  </w:t>
      </w:r>
      <w:r w:rsidR="00BA2295" w:rsidRPr="00293C38">
        <w:t>Kurian</w:t>
      </w:r>
      <w:r w:rsidR="00707D30" w:rsidRPr="00293C38">
        <w:t xml:space="preserve"> </w:t>
      </w:r>
      <w:r w:rsidR="00D505FC" w:rsidRPr="00293C38">
        <w:t xml:space="preserve">also </w:t>
      </w:r>
      <w:r w:rsidR="00707D30" w:rsidRPr="00293C38">
        <w:t xml:space="preserve">fails to justify why </w:t>
      </w:r>
      <w:r w:rsidR="00D505FC" w:rsidRPr="00293C38">
        <w:t xml:space="preserve">an </w:t>
      </w:r>
      <w:r w:rsidR="00707D30" w:rsidRPr="00293C38">
        <w:t xml:space="preserve">extension of time </w:t>
      </w:r>
      <w:r w:rsidR="00D505FC" w:rsidRPr="00293C38">
        <w:t xml:space="preserve">under </w:t>
      </w:r>
      <w:r w:rsidR="00CF0DED" w:rsidRPr="00293C38">
        <w:t xml:space="preserve">the separate legal standard of </w:t>
      </w:r>
      <w:r w:rsidR="00707D30" w:rsidRPr="00293C38">
        <w:t>Section 1.946</w:t>
      </w:r>
      <w:r w:rsidR="00D505FC" w:rsidRPr="00293C38">
        <w:t xml:space="preserve"> is warranted</w:t>
      </w:r>
      <w:r w:rsidR="00BA2295" w:rsidRPr="00293C38">
        <w:t>.</w:t>
      </w:r>
      <w:r w:rsidR="00D505FC" w:rsidRPr="00293C38">
        <w:t xml:space="preserve">  </w:t>
      </w:r>
      <w:r w:rsidR="0095358E" w:rsidRPr="00293C38">
        <w:t>Section 1.946(e) provides that the Commission may grant an extension of time where the licensee demonstrates that the failure to complete construction is due to causes beyond its control.</w:t>
      </w:r>
      <w:r w:rsidR="0095358E" w:rsidRPr="00293C38">
        <w:rPr>
          <w:rStyle w:val="FootnoteReference"/>
        </w:rPr>
        <w:footnoteReference w:id="57"/>
      </w:r>
      <w:r w:rsidR="0095358E" w:rsidRPr="00293C38">
        <w:t xml:space="preserve"> </w:t>
      </w:r>
      <w:r w:rsidR="00F94ACA" w:rsidRPr="00293C38">
        <w:t xml:space="preserve"> </w:t>
      </w:r>
      <w:r w:rsidR="00CF0DED" w:rsidRPr="00293C38">
        <w:t xml:space="preserve">We apply this </w:t>
      </w:r>
      <w:r w:rsidR="00F94ACA" w:rsidRPr="00293C38">
        <w:t xml:space="preserve">standard </w:t>
      </w:r>
      <w:r w:rsidR="00CF0DED" w:rsidRPr="00293C38">
        <w:t xml:space="preserve">in light of </w:t>
      </w:r>
      <w:r w:rsidR="0041005A">
        <w:t xml:space="preserve">the mandate of </w:t>
      </w:r>
      <w:r w:rsidR="00CF0DED" w:rsidRPr="00293C38">
        <w:t>S</w:t>
      </w:r>
      <w:r w:rsidR="00F94ACA" w:rsidRPr="00293C38">
        <w:t>ection 309(j) of the Communications Act,</w:t>
      </w:r>
      <w:r w:rsidR="00E82549" w:rsidRPr="00293C38">
        <w:rPr>
          <w:rStyle w:val="FootnoteReference"/>
        </w:rPr>
        <w:footnoteReference w:id="58"/>
      </w:r>
      <w:r w:rsidR="00F94ACA" w:rsidRPr="00293C38">
        <w:t xml:space="preserve"> which states that the Commission shall include performance requirements to ensure prompt delivery of services, to prevent stockpiling and warehousing of spectrum by licensees, and to promote investment and deployment of new technologies and services.</w:t>
      </w:r>
      <w:r w:rsidR="00F94ACA" w:rsidRPr="00293C38">
        <w:rPr>
          <w:vertAlign w:val="superscript"/>
        </w:rPr>
        <w:footnoteReference w:id="59"/>
      </w:r>
    </w:p>
    <w:p w:rsidR="00CE17F8" w:rsidRPr="00293C38" w:rsidRDefault="00F94ACA" w:rsidP="00197B77">
      <w:pPr>
        <w:pStyle w:val="ParaNum"/>
      </w:pPr>
      <w:r w:rsidRPr="00293C38">
        <w:t xml:space="preserve"> </w:t>
      </w:r>
      <w:r w:rsidR="0095358E" w:rsidRPr="00293C38">
        <w:t xml:space="preserve"> </w:t>
      </w:r>
    </w:p>
    <w:p w:rsidR="00EC7E40" w:rsidRPr="00293C38" w:rsidRDefault="003332A7" w:rsidP="00197B77">
      <w:pPr>
        <w:pStyle w:val="ParaNum"/>
      </w:pPr>
      <w:r w:rsidRPr="00293C38">
        <w:t xml:space="preserve">Kurian </w:t>
      </w:r>
      <w:r w:rsidR="00BA2295" w:rsidRPr="00293C38">
        <w:t xml:space="preserve">asserts that “[t]he change of rules by </w:t>
      </w:r>
      <w:r w:rsidR="002B75F6">
        <w:t xml:space="preserve">[the] </w:t>
      </w:r>
      <w:r w:rsidR="00BA2295" w:rsidRPr="00293C38">
        <w:t>FCC turning [his] Spectrum only for downlink use is certainly a circumstance beyond [his] control</w:t>
      </w:r>
      <w:r w:rsidR="00860FB8" w:rsidRPr="00293C38">
        <w:t>,” which circumstance</w:t>
      </w:r>
      <w:r w:rsidR="00BA2295" w:rsidRPr="00293C38">
        <w:t xml:space="preserve"> “</w:t>
      </w:r>
      <w:r w:rsidR="00860FB8" w:rsidRPr="00293C38">
        <w:t>ha[s]</w:t>
      </w:r>
      <w:r w:rsidR="00BA2295" w:rsidRPr="00293C38">
        <w:t xml:space="preserve"> made it impossible for [him] to meet the interim construction benchmark in the licensed areas in a manner that would provide an attractive, high-quality, affordable service to its customers.”</w:t>
      </w:r>
      <w:r w:rsidR="00BA2295" w:rsidRPr="00293C38">
        <w:rPr>
          <w:rStyle w:val="FootnoteReference"/>
        </w:rPr>
        <w:footnoteReference w:id="60"/>
      </w:r>
      <w:r w:rsidR="00BA2295" w:rsidRPr="00293C38">
        <w:t xml:space="preserve">  </w:t>
      </w:r>
      <w:r w:rsidRPr="00293C38">
        <w:t>O</w:t>
      </w:r>
      <w:r w:rsidR="00BA2295" w:rsidRPr="00293C38">
        <w:t xml:space="preserve">ther than </w:t>
      </w:r>
      <w:r w:rsidR="00C535CF" w:rsidRPr="00293C38">
        <w:t xml:space="preserve">generally </w:t>
      </w:r>
      <w:r w:rsidR="00BA2295" w:rsidRPr="00293C38">
        <w:t xml:space="preserve">claiming that he has attempted to partner with another provider, </w:t>
      </w:r>
      <w:r w:rsidR="00FA47AE">
        <w:t>Kurian</w:t>
      </w:r>
      <w:r w:rsidR="00490E91" w:rsidRPr="00293C38">
        <w:t xml:space="preserve"> </w:t>
      </w:r>
      <w:r w:rsidR="008E244E" w:rsidRPr="00293C38">
        <w:t>provide</w:t>
      </w:r>
      <w:r w:rsidR="00C04E72">
        <w:t>s no</w:t>
      </w:r>
      <w:r w:rsidR="008E244E" w:rsidRPr="00293C38">
        <w:t xml:space="preserve"> examples of </w:t>
      </w:r>
      <w:r w:rsidR="00CF0DED" w:rsidRPr="00293C38">
        <w:t xml:space="preserve">concrete actions </w:t>
      </w:r>
      <w:r w:rsidR="00C04E72">
        <w:t xml:space="preserve">he undertook </w:t>
      </w:r>
      <w:r w:rsidR="00CF0DED" w:rsidRPr="00293C38">
        <w:t xml:space="preserve">to put </w:t>
      </w:r>
      <w:r w:rsidR="00490E91" w:rsidRPr="00293C38">
        <w:t xml:space="preserve">the </w:t>
      </w:r>
      <w:r w:rsidR="008E244E" w:rsidRPr="00293C38">
        <w:t>spectrum to use</w:t>
      </w:r>
      <w:r w:rsidR="00C76597">
        <w:t xml:space="preserve">.  Nor does Kurian </w:t>
      </w:r>
      <w:r w:rsidR="0041005A">
        <w:t>demonstrate why</w:t>
      </w:r>
      <w:r w:rsidR="00F17917">
        <w:t xml:space="preserve"> the</w:t>
      </w:r>
      <w:r w:rsidR="0041005A">
        <w:t xml:space="preserve"> </w:t>
      </w:r>
      <w:r w:rsidR="00307BC8">
        <w:t xml:space="preserve">Commission’s </w:t>
      </w:r>
      <w:r w:rsidR="00FE20E4">
        <w:t xml:space="preserve">2013 waiver, granting </w:t>
      </w:r>
      <w:r w:rsidR="00C76597">
        <w:t xml:space="preserve">him </w:t>
      </w:r>
      <w:r w:rsidR="0041005A">
        <w:t xml:space="preserve">almost four </w:t>
      </w:r>
      <w:r w:rsidR="00C76597">
        <w:t xml:space="preserve">additional </w:t>
      </w:r>
      <w:r w:rsidR="0041005A">
        <w:t xml:space="preserve">years to </w:t>
      </w:r>
      <w:r w:rsidR="00C76597">
        <w:t xml:space="preserve">meet the interim benchmark to </w:t>
      </w:r>
      <w:r w:rsidR="0041005A">
        <w:t>a</w:t>
      </w:r>
      <w:r w:rsidR="00C76597">
        <w:t xml:space="preserve">ccount for </w:t>
      </w:r>
      <w:r w:rsidR="0041005A">
        <w:t>the Commission’s change in rules</w:t>
      </w:r>
      <w:r w:rsidR="00F17917">
        <w:t>,</w:t>
      </w:r>
      <w:r w:rsidR="0041005A">
        <w:t xml:space="preserve"> was inadequate to permit him to do so</w:t>
      </w:r>
      <w:r w:rsidR="003743AD" w:rsidRPr="00293C38">
        <w:t>.</w:t>
      </w:r>
      <w:r w:rsidR="00E02FD5" w:rsidRPr="00293C38">
        <w:rPr>
          <w:rStyle w:val="FootnoteReference"/>
        </w:rPr>
        <w:footnoteReference w:id="61"/>
      </w:r>
      <w:r w:rsidR="00E02FD5" w:rsidRPr="00293C38">
        <w:t xml:space="preserve"> </w:t>
      </w:r>
      <w:r w:rsidR="003743AD" w:rsidRPr="00293C38">
        <w:t xml:space="preserve"> </w:t>
      </w:r>
      <w:r w:rsidR="00490E91" w:rsidRPr="00293C38">
        <w:t xml:space="preserve">At bottom, </w:t>
      </w:r>
      <w:r w:rsidRPr="00293C38">
        <w:t xml:space="preserve">Kurian’s </w:t>
      </w:r>
      <w:r w:rsidR="007243CB" w:rsidRPr="00293C38">
        <w:t>justification for</w:t>
      </w:r>
      <w:r w:rsidR="00CF0DED" w:rsidRPr="00293C38">
        <w:t xml:space="preserve"> </w:t>
      </w:r>
      <w:r w:rsidR="00490E91" w:rsidRPr="00293C38">
        <w:t xml:space="preserve">seeking </w:t>
      </w:r>
      <w:r w:rsidR="0041005A">
        <w:t xml:space="preserve">even </w:t>
      </w:r>
      <w:r w:rsidR="00490E91" w:rsidRPr="00293C38">
        <w:t>more time to meet the interim construction deadline</w:t>
      </w:r>
      <w:r w:rsidR="00C76597">
        <w:t>—</w:t>
      </w:r>
      <w:r w:rsidR="0041005A">
        <w:t>an additional five years</w:t>
      </w:r>
      <w:r w:rsidR="00C76597">
        <w:t>—</w:t>
      </w:r>
      <w:r w:rsidR="00EC7E40" w:rsidRPr="00293C38">
        <w:t>rest</w:t>
      </w:r>
      <w:r w:rsidR="00C76597">
        <w:t>s</w:t>
      </w:r>
      <w:r w:rsidR="00EC7E40" w:rsidRPr="00293C38">
        <w:t xml:space="preserve"> on </w:t>
      </w:r>
      <w:r w:rsidR="00CF0DED" w:rsidRPr="00293C38">
        <w:t xml:space="preserve">his </w:t>
      </w:r>
      <w:r w:rsidR="0041005A">
        <w:t xml:space="preserve">own </w:t>
      </w:r>
      <w:r w:rsidR="00EC7E40" w:rsidRPr="00293C38">
        <w:t>business decision</w:t>
      </w:r>
      <w:r w:rsidR="00604EFE" w:rsidRPr="00293C38">
        <w:t xml:space="preserve"> </w:t>
      </w:r>
      <w:r w:rsidR="008C6F74" w:rsidRPr="00293C38">
        <w:t xml:space="preserve">not </w:t>
      </w:r>
      <w:r w:rsidR="00604EFE" w:rsidRPr="00293C38">
        <w:t>to construct</w:t>
      </w:r>
      <w:r w:rsidR="00490E91" w:rsidRPr="00293C38">
        <w:t xml:space="preserve"> while he </w:t>
      </w:r>
      <w:r w:rsidR="00604EFE" w:rsidRPr="00293C38">
        <w:t>see</w:t>
      </w:r>
      <w:r w:rsidR="00490E91" w:rsidRPr="00293C38">
        <w:t>ks</w:t>
      </w:r>
      <w:r w:rsidR="00604EFE" w:rsidRPr="00293C38">
        <w:t xml:space="preserve"> </w:t>
      </w:r>
      <w:r w:rsidR="00490E91" w:rsidRPr="00293C38">
        <w:t xml:space="preserve">to </w:t>
      </w:r>
      <w:r w:rsidR="00604EFE" w:rsidRPr="00293C38">
        <w:t xml:space="preserve">acquire </w:t>
      </w:r>
      <w:r w:rsidR="00490E91" w:rsidRPr="00293C38">
        <w:t xml:space="preserve">uplink </w:t>
      </w:r>
      <w:r w:rsidR="00604EFE" w:rsidRPr="00293C38">
        <w:t>spectrum</w:t>
      </w:r>
      <w:r w:rsidR="00796308">
        <w:t>,</w:t>
      </w:r>
      <w:r w:rsidR="00FE20E4" w:rsidRPr="00FE20E4">
        <w:t xml:space="preserve"> </w:t>
      </w:r>
      <w:r w:rsidR="00C04E72">
        <w:t xml:space="preserve">in order </w:t>
      </w:r>
      <w:r w:rsidR="00FE20E4">
        <w:t xml:space="preserve">to </w:t>
      </w:r>
      <w:r w:rsidR="00FE20E4" w:rsidRPr="00293C38">
        <w:t>“allow him to conserve capital that otherwise would be devoted to sub-optimal build-out efforts, thereby preserving those resources for robust build-out once [he] can find spectrum which is suitable for uplink.”</w:t>
      </w:r>
      <w:r w:rsidR="00EC7E40" w:rsidRPr="00293C38">
        <w:rPr>
          <w:rStyle w:val="FootnoteReference"/>
        </w:rPr>
        <w:footnoteReference w:id="62"/>
      </w:r>
      <w:r w:rsidR="00FE14E4" w:rsidRPr="00293C38">
        <w:t xml:space="preserve"> </w:t>
      </w:r>
      <w:r w:rsidR="00604EFE" w:rsidRPr="00293C38">
        <w:t xml:space="preserve"> </w:t>
      </w:r>
      <w:r w:rsidR="008C4C4B">
        <w:t xml:space="preserve">WTB has </w:t>
      </w:r>
      <w:r w:rsidR="00604EFE" w:rsidRPr="00293C38">
        <w:t xml:space="preserve">consistently found that </w:t>
      </w:r>
      <w:r w:rsidR="00796308">
        <w:t xml:space="preserve">considerations such as these constitute </w:t>
      </w:r>
      <w:r w:rsidR="00604EFE" w:rsidRPr="00293C38">
        <w:t xml:space="preserve">voluntary business decisions are not circumstances beyond </w:t>
      </w:r>
      <w:r w:rsidR="00CF0DED" w:rsidRPr="00293C38">
        <w:t>a</w:t>
      </w:r>
      <w:r w:rsidR="00604EFE" w:rsidRPr="00293C38">
        <w:t xml:space="preserve"> licensee’s control within the meaning of Section 1.946 and, as such, do not </w:t>
      </w:r>
      <w:r w:rsidR="00CF0DED" w:rsidRPr="00293C38">
        <w:t xml:space="preserve">warrant </w:t>
      </w:r>
      <w:r w:rsidR="00604EFE" w:rsidRPr="00293C38">
        <w:t>relief</w:t>
      </w:r>
      <w:r w:rsidRPr="00293C38">
        <w:t xml:space="preserve"> under that rule</w:t>
      </w:r>
      <w:r w:rsidR="00604EFE" w:rsidRPr="00293C38">
        <w:t>.</w:t>
      </w:r>
      <w:r w:rsidR="00604EFE" w:rsidRPr="00293C38">
        <w:rPr>
          <w:rStyle w:val="FootnoteReference"/>
        </w:rPr>
        <w:footnoteReference w:id="63"/>
      </w:r>
    </w:p>
    <w:p w:rsidR="00F70F73" w:rsidRPr="00293C38" w:rsidRDefault="00F70F73" w:rsidP="00197B77">
      <w:pPr>
        <w:pStyle w:val="ParaNum"/>
      </w:pPr>
    </w:p>
    <w:p w:rsidR="00E86B20" w:rsidRPr="00293C38" w:rsidRDefault="00E86B20" w:rsidP="00197B77">
      <w:pPr>
        <w:pStyle w:val="ParaNum"/>
      </w:pPr>
      <w:r w:rsidRPr="00293C38">
        <w:t xml:space="preserve">Moreover, in addition to extending the interim construction deadline, the Commission in </w:t>
      </w:r>
      <w:r w:rsidR="00860FB8" w:rsidRPr="00293C38">
        <w:t xml:space="preserve">the </w:t>
      </w:r>
      <w:r w:rsidR="0017063C" w:rsidRPr="00293C38">
        <w:rPr>
          <w:i/>
        </w:rPr>
        <w:t>Interoperability Report and Order</w:t>
      </w:r>
      <w:r w:rsidR="0017063C" w:rsidRPr="00293C38">
        <w:t xml:space="preserve"> </w:t>
      </w:r>
      <w:r w:rsidRPr="00293C38">
        <w:t xml:space="preserve">also extended the </w:t>
      </w:r>
      <w:r w:rsidR="007D17F4" w:rsidRPr="00293C38">
        <w:t xml:space="preserve">license term and </w:t>
      </w:r>
      <w:r w:rsidRPr="00293C38">
        <w:t xml:space="preserve">end-of-term construction deadline to </w:t>
      </w:r>
      <w:r w:rsidR="007565C1" w:rsidRPr="00293C38">
        <w:t xml:space="preserve">March 7, </w:t>
      </w:r>
      <w:r w:rsidRPr="00293C38">
        <w:t xml:space="preserve">2021, or </w:t>
      </w:r>
      <w:r w:rsidR="007565C1" w:rsidRPr="00293C38">
        <w:t xml:space="preserve">March 7, </w:t>
      </w:r>
      <w:r w:rsidRPr="00293C38">
        <w:t>2020</w:t>
      </w:r>
      <w:r w:rsidR="007565C1" w:rsidRPr="00293C38">
        <w:t>,</w:t>
      </w:r>
      <w:r w:rsidRPr="00293C38">
        <w:t xml:space="preserve"> if </w:t>
      </w:r>
      <w:r w:rsidR="004A77B4" w:rsidRPr="00293C38">
        <w:t xml:space="preserve">a Lower </w:t>
      </w:r>
      <w:r w:rsidR="00490E91" w:rsidRPr="00293C38">
        <w:t>700 MH</w:t>
      </w:r>
      <w:r w:rsidR="00FA47AE">
        <w:t>z</w:t>
      </w:r>
      <w:r w:rsidR="00490E91" w:rsidRPr="00293C38">
        <w:t xml:space="preserve"> </w:t>
      </w:r>
      <w:r w:rsidR="004A77B4" w:rsidRPr="00293C38">
        <w:t>E Block</w:t>
      </w:r>
      <w:r w:rsidRPr="00293C38">
        <w:t xml:space="preserve"> licensee fail</w:t>
      </w:r>
      <w:r w:rsidR="00D87BA4">
        <w:t>s</w:t>
      </w:r>
      <w:r w:rsidRPr="00293C38">
        <w:t xml:space="preserve"> to meet its interim construction requirement</w:t>
      </w:r>
      <w:r w:rsidR="00AF0018" w:rsidRPr="00293C38">
        <w:t xml:space="preserve"> as here</w:t>
      </w:r>
      <w:r w:rsidRPr="00293C38">
        <w:t>.</w:t>
      </w:r>
      <w:r w:rsidR="007565C1" w:rsidRPr="00293C38">
        <w:rPr>
          <w:rStyle w:val="FootnoteReference"/>
        </w:rPr>
        <w:footnoteReference w:id="64"/>
      </w:r>
      <w:r w:rsidR="007565C1" w:rsidRPr="00293C38">
        <w:t xml:space="preserve">  </w:t>
      </w:r>
      <w:r w:rsidR="00D05B68" w:rsidRPr="00293C38">
        <w:t>A</w:t>
      </w:r>
      <w:r w:rsidR="007D17F4" w:rsidRPr="00293C38">
        <w:t xml:space="preserve">lthough </w:t>
      </w:r>
      <w:r w:rsidR="00D05B68" w:rsidRPr="00293C38">
        <w:t>Kurian fail</w:t>
      </w:r>
      <w:r w:rsidR="001F6DD7" w:rsidRPr="00293C38">
        <w:t>ed</w:t>
      </w:r>
      <w:r w:rsidR="00D05B68" w:rsidRPr="00293C38">
        <w:t xml:space="preserve"> the interim construction requirement, he</w:t>
      </w:r>
      <w:r w:rsidR="00B2459A" w:rsidRPr="00293C38">
        <w:t xml:space="preserve"> still has </w:t>
      </w:r>
      <w:r w:rsidR="007D17F4" w:rsidRPr="00293C38">
        <w:t>nearly</w:t>
      </w:r>
      <w:r w:rsidR="00B2459A" w:rsidRPr="00293C38">
        <w:t xml:space="preserve"> three</w:t>
      </w:r>
      <w:r w:rsidR="007D17F4" w:rsidRPr="00293C38">
        <w:t xml:space="preserve"> </w:t>
      </w:r>
      <w:r w:rsidR="007565C1" w:rsidRPr="00293C38">
        <w:t xml:space="preserve">years to </w:t>
      </w:r>
      <w:r w:rsidR="00E02FD5">
        <w:t>satisfy his build-out obligations</w:t>
      </w:r>
      <w:r w:rsidR="00E60A13" w:rsidRPr="00293C38">
        <w:t xml:space="preserve">.  </w:t>
      </w:r>
      <w:r w:rsidR="007565C1" w:rsidRPr="00293C38">
        <w:t xml:space="preserve">Kurian has not </w:t>
      </w:r>
      <w:r w:rsidR="007D17F4" w:rsidRPr="00293C38">
        <w:t xml:space="preserve">explained </w:t>
      </w:r>
      <w:r w:rsidR="007565C1" w:rsidRPr="00293C38">
        <w:t xml:space="preserve">why </w:t>
      </w:r>
      <w:r w:rsidR="007D17F4" w:rsidRPr="00293C38">
        <w:t xml:space="preserve">this period </w:t>
      </w:r>
      <w:r w:rsidR="007565C1" w:rsidRPr="00293C38">
        <w:t>would be insufficient to meet the end-of-term construction requirement</w:t>
      </w:r>
      <w:r w:rsidR="00E60A13" w:rsidRPr="00293C38">
        <w:t xml:space="preserve">.  Kurian </w:t>
      </w:r>
      <w:r w:rsidR="00471F9F" w:rsidRPr="00293C38">
        <w:t xml:space="preserve">may pair his Lower 700 MHz E Block spectrum with </w:t>
      </w:r>
      <w:r w:rsidR="00E60A13" w:rsidRPr="00293C38">
        <w:t xml:space="preserve">various </w:t>
      </w:r>
      <w:r w:rsidR="00C63049" w:rsidRPr="00293C38">
        <w:t>spectrum bands</w:t>
      </w:r>
      <w:r w:rsidR="007760C4" w:rsidRPr="00293C38">
        <w:t>,</w:t>
      </w:r>
      <w:r w:rsidR="000B3CED" w:rsidRPr="00293C38">
        <w:rPr>
          <w:rStyle w:val="FootnoteReference"/>
        </w:rPr>
        <w:footnoteReference w:id="65"/>
      </w:r>
      <w:r w:rsidR="00C63049" w:rsidRPr="00293C38">
        <w:t xml:space="preserve"> and</w:t>
      </w:r>
      <w:r w:rsidR="007565C1" w:rsidRPr="00293C38">
        <w:t xml:space="preserve"> </w:t>
      </w:r>
      <w:r w:rsidR="007D17F4" w:rsidRPr="00293C38">
        <w:t xml:space="preserve">he </w:t>
      </w:r>
      <w:r w:rsidR="007565C1" w:rsidRPr="00293C38">
        <w:t xml:space="preserve">has the option </w:t>
      </w:r>
      <w:r w:rsidR="0026443F" w:rsidRPr="00293C38">
        <w:t xml:space="preserve">to </w:t>
      </w:r>
      <w:r w:rsidR="007565C1" w:rsidRPr="00293C38">
        <w:t>mak</w:t>
      </w:r>
      <w:r w:rsidR="0026443F" w:rsidRPr="00293C38">
        <w:t>e</w:t>
      </w:r>
      <w:r w:rsidR="007565C1" w:rsidRPr="00293C38">
        <w:t xml:space="preserve"> a population- rather than geographic</w:t>
      </w:r>
      <w:r w:rsidR="007D17F4" w:rsidRPr="00293C38">
        <w:t>-</w:t>
      </w:r>
      <w:r w:rsidR="007565C1" w:rsidRPr="00293C38">
        <w:t xml:space="preserve">based </w:t>
      </w:r>
      <w:r w:rsidR="007D17F4" w:rsidRPr="00293C38">
        <w:t xml:space="preserve">coverage </w:t>
      </w:r>
      <w:r w:rsidR="007565C1" w:rsidRPr="00293C38">
        <w:t xml:space="preserve">showing.  Further, even if Kurian </w:t>
      </w:r>
      <w:r w:rsidR="00E60A13" w:rsidRPr="00293C38">
        <w:t xml:space="preserve">were to </w:t>
      </w:r>
      <w:r w:rsidR="007565C1" w:rsidRPr="00293C38">
        <w:t xml:space="preserve">fail to meet the end-of-term construction requirement, under Section 27.14(g)(2)’s “keep-what-you-serve” rule, he </w:t>
      </w:r>
      <w:r w:rsidR="00E60A13" w:rsidRPr="00293C38">
        <w:t xml:space="preserve">could </w:t>
      </w:r>
      <w:r w:rsidR="007565C1" w:rsidRPr="00293C38">
        <w:t>retain any portion of the License area to which he is providing service by March 7, 2020.</w:t>
      </w:r>
    </w:p>
    <w:p w:rsidR="0089197E" w:rsidRPr="00293C38" w:rsidRDefault="0089197E" w:rsidP="00197B77">
      <w:pPr>
        <w:pStyle w:val="ParaNum"/>
      </w:pPr>
    </w:p>
    <w:p w:rsidR="00AE0132" w:rsidRPr="00293C38" w:rsidRDefault="009E20F7" w:rsidP="0089197E">
      <w:pPr>
        <w:pStyle w:val="Heading1"/>
        <w:spacing w:after="0"/>
        <w:rPr>
          <w:rFonts w:ascii="Times New Roman" w:hAnsi="Times New Roman"/>
          <w:szCs w:val="22"/>
        </w:rPr>
      </w:pPr>
      <w:r w:rsidRPr="00293C38">
        <w:rPr>
          <w:rFonts w:ascii="Times New Roman" w:hAnsi="Times New Roman"/>
          <w:szCs w:val="22"/>
        </w:rPr>
        <w:t>Conclusion and ordering clause</w:t>
      </w:r>
    </w:p>
    <w:p w:rsidR="0089197E" w:rsidRPr="00293C38" w:rsidRDefault="0089197E" w:rsidP="00197B77">
      <w:pPr>
        <w:pStyle w:val="ParaNum"/>
      </w:pPr>
    </w:p>
    <w:p w:rsidR="002A62D0" w:rsidRPr="00293C38" w:rsidRDefault="005B65EA" w:rsidP="00197B77">
      <w:pPr>
        <w:pStyle w:val="ParaNum"/>
      </w:pPr>
      <w:r w:rsidRPr="00293C38">
        <w:t xml:space="preserve">Because we reject </w:t>
      </w:r>
      <w:r w:rsidR="00AE0132" w:rsidRPr="00293C38">
        <w:t>Kurian’s R</w:t>
      </w:r>
      <w:r w:rsidR="00AC6182" w:rsidRPr="00293C38">
        <w:t xml:space="preserve">equest, </w:t>
      </w:r>
      <w:r w:rsidR="003C6C97" w:rsidRPr="00293C38">
        <w:t xml:space="preserve">and </w:t>
      </w:r>
      <w:r w:rsidR="0026443F" w:rsidRPr="00293C38">
        <w:t xml:space="preserve">because Kurian </w:t>
      </w:r>
      <w:r w:rsidR="00C04E72">
        <w:t>admits</w:t>
      </w:r>
      <w:r w:rsidR="004F54A0" w:rsidRPr="00293C38">
        <w:t xml:space="preserve"> </w:t>
      </w:r>
      <w:r w:rsidR="003C6C97" w:rsidRPr="00293C38">
        <w:t>that he has not constructed any facilities and is not providing any service,</w:t>
      </w:r>
      <w:r w:rsidR="007A619A" w:rsidRPr="00293C38">
        <w:rPr>
          <w:rStyle w:val="FootnoteReference"/>
        </w:rPr>
        <w:footnoteReference w:id="66"/>
      </w:r>
      <w:r w:rsidR="003C6C97" w:rsidRPr="00293C38">
        <w:t xml:space="preserve"> </w:t>
      </w:r>
      <w:r w:rsidR="00AC6182" w:rsidRPr="00293C38">
        <w:t>he</w:t>
      </w:r>
      <w:r w:rsidRPr="00293C38">
        <w:t xml:space="preserve"> has failed to meet </w:t>
      </w:r>
      <w:r w:rsidR="004F54A0" w:rsidRPr="00293C38">
        <w:t xml:space="preserve">the </w:t>
      </w:r>
      <w:r w:rsidR="00C73D24" w:rsidRPr="00293C38">
        <w:t>i</w:t>
      </w:r>
      <w:r w:rsidRPr="00293C38">
        <w:t xml:space="preserve">nterim </w:t>
      </w:r>
      <w:r w:rsidR="00C73D24" w:rsidRPr="00293C38">
        <w:t>c</w:t>
      </w:r>
      <w:r w:rsidRPr="00293C38">
        <w:t xml:space="preserve">onstruction </w:t>
      </w:r>
      <w:r w:rsidR="00C73D24" w:rsidRPr="00293C38">
        <w:t>r</w:t>
      </w:r>
      <w:r w:rsidRPr="00293C38">
        <w:t xml:space="preserve">equirement, </w:t>
      </w:r>
      <w:r w:rsidR="003C6C97" w:rsidRPr="00293C38">
        <w:t xml:space="preserve">and </w:t>
      </w:r>
      <w:r w:rsidR="002474E0" w:rsidRPr="00293C38">
        <w:t>his</w:t>
      </w:r>
      <w:r w:rsidR="001C4AFD">
        <w:t xml:space="preserve"> end-of-license</w:t>
      </w:r>
      <w:r w:rsidR="00C04E72">
        <w:t>-</w:t>
      </w:r>
      <w:r w:rsidR="001C4AFD">
        <w:t xml:space="preserve">term </w:t>
      </w:r>
      <w:r w:rsidR="00F17917">
        <w:t>is</w:t>
      </w:r>
      <w:r w:rsidRPr="00293C38">
        <w:t xml:space="preserve"> accelerated by rule </w:t>
      </w:r>
      <w:r w:rsidR="00E96553" w:rsidRPr="00293C38">
        <w:t xml:space="preserve">one year </w:t>
      </w:r>
      <w:r w:rsidRPr="00293C38">
        <w:t xml:space="preserve">to </w:t>
      </w:r>
      <w:r w:rsidR="00D46913" w:rsidRPr="00293C38">
        <w:t>March 7, 2020</w:t>
      </w:r>
      <w:r w:rsidR="004F2080" w:rsidRPr="00293C38">
        <w:t>,</w:t>
      </w:r>
      <w:r w:rsidR="0026443F" w:rsidRPr="00293C38">
        <w:t xml:space="preserve"> without further Commission action</w:t>
      </w:r>
      <w:r w:rsidRPr="00293C38">
        <w:t>.</w:t>
      </w:r>
      <w:r w:rsidRPr="00293C38">
        <w:rPr>
          <w:rStyle w:val="FootnoteReference"/>
        </w:rPr>
        <w:footnoteReference w:id="67"/>
      </w:r>
      <w:r w:rsidRPr="00293C38">
        <w:t xml:space="preserve">  We will update the Commission’s Universal Licensing System database </w:t>
      </w:r>
      <w:r w:rsidR="0026443F" w:rsidRPr="00293C38">
        <w:t>accordingly</w:t>
      </w:r>
      <w:r w:rsidRPr="00293C38">
        <w:t xml:space="preserve">.  We </w:t>
      </w:r>
      <w:r w:rsidR="00CF5239" w:rsidRPr="00293C38">
        <w:t xml:space="preserve">also direct Kurian to file an interim construction notification </w:t>
      </w:r>
      <w:r w:rsidR="00996BD4" w:rsidRPr="00293C38">
        <w:t xml:space="preserve">within </w:t>
      </w:r>
      <w:r w:rsidR="002A62D0" w:rsidRPr="00293C38">
        <w:t xml:space="preserve">15 </w:t>
      </w:r>
      <w:r w:rsidR="00996BD4" w:rsidRPr="00293C38">
        <w:t xml:space="preserve">days </w:t>
      </w:r>
      <w:r w:rsidR="001D48AB" w:rsidRPr="00293C38">
        <w:t xml:space="preserve">of this </w:t>
      </w:r>
      <w:r w:rsidR="002A62D0" w:rsidRPr="00293C38">
        <w:t>L</w:t>
      </w:r>
      <w:r w:rsidR="00F42D51" w:rsidRPr="00293C38">
        <w:t>etter</w:t>
      </w:r>
      <w:r w:rsidR="001D48AB" w:rsidRPr="00293C38">
        <w:t xml:space="preserve"> </w:t>
      </w:r>
      <w:r w:rsidR="002A62D0" w:rsidRPr="00293C38">
        <w:t xml:space="preserve">Order’s release date </w:t>
      </w:r>
      <w:r w:rsidR="00CF5239" w:rsidRPr="00293C38">
        <w:t xml:space="preserve">certifying that he has failed to meet the </w:t>
      </w:r>
      <w:r w:rsidR="009C4C88" w:rsidRPr="00293C38">
        <w:t>i</w:t>
      </w:r>
      <w:r w:rsidR="00CF5239" w:rsidRPr="00293C38">
        <w:t xml:space="preserve">nterim </w:t>
      </w:r>
      <w:r w:rsidR="009C4C88" w:rsidRPr="00293C38">
        <w:t>c</w:t>
      </w:r>
      <w:r w:rsidR="00CF5239" w:rsidRPr="00293C38">
        <w:t xml:space="preserve">onstruction </w:t>
      </w:r>
      <w:r w:rsidR="009C4C88" w:rsidRPr="00293C38">
        <w:t>r</w:t>
      </w:r>
      <w:r w:rsidR="00CF5239" w:rsidRPr="00293C38">
        <w:t xml:space="preserve">equirement and </w:t>
      </w:r>
      <w:r w:rsidR="00F820B1" w:rsidRPr="00293C38">
        <w:t>“includ</w:t>
      </w:r>
      <w:r w:rsidR="00996BD4" w:rsidRPr="00293C38">
        <w:t>[ing]</w:t>
      </w:r>
      <w:r w:rsidR="00CF5239" w:rsidRPr="00293C38">
        <w:t xml:space="preserve"> information detailing meaningful efforts undertaken to put the spectrum to use.”</w:t>
      </w:r>
      <w:r w:rsidR="00996BD4" w:rsidRPr="00293C38">
        <w:rPr>
          <w:rStyle w:val="FootnoteReference"/>
        </w:rPr>
        <w:footnoteReference w:id="68"/>
      </w:r>
    </w:p>
    <w:p w:rsidR="00FB7786" w:rsidRPr="00293C38" w:rsidRDefault="00FB7786" w:rsidP="00197B77">
      <w:pPr>
        <w:pStyle w:val="ParaNum"/>
      </w:pPr>
    </w:p>
    <w:p w:rsidR="001C2F65" w:rsidRDefault="00FB7786" w:rsidP="00197B77">
      <w:pPr>
        <w:pStyle w:val="ParaNum"/>
      </w:pPr>
      <w:r w:rsidRPr="00293C38">
        <w:t>Accordingly, IT IS ORDERED that, pursuant to Section 4(i) of the Communications Act of 1934, as amended, 47 U.S.C. § 154(i)</w:t>
      </w:r>
      <w:r w:rsidR="00974CF3" w:rsidRPr="00293C38">
        <w:t xml:space="preserve"> </w:t>
      </w:r>
      <w:r w:rsidRPr="00293C38">
        <w:t>and Sections 1.3, 1.925(b)(3), and 1.946</w:t>
      </w:r>
      <w:r w:rsidR="00320327" w:rsidRPr="00293C38">
        <w:t>(e)</w:t>
      </w:r>
      <w:r w:rsidRPr="00293C38">
        <w:t xml:space="preserve"> of the Commission’s rules, 47 C.F.R. §§ 1.3, 1.925(b)(3), 1.946(e), the </w:t>
      </w:r>
      <w:r w:rsidR="0026443F" w:rsidRPr="00293C38">
        <w:t>R</w:t>
      </w:r>
      <w:r w:rsidRPr="00293C38">
        <w:t xml:space="preserve">equest </w:t>
      </w:r>
      <w:r w:rsidR="0026443F" w:rsidRPr="00293C38">
        <w:t xml:space="preserve">for Waiver and/or Extension Interim Construction Benchmark </w:t>
      </w:r>
      <w:r w:rsidRPr="00293C38">
        <w:t>of Thomas K. Kurian, filed on February 6, 2017, ULS File No. 0007650703, IS DENIED.</w:t>
      </w:r>
    </w:p>
    <w:p w:rsidR="008C4C4B" w:rsidRDefault="008C4C4B" w:rsidP="00197B77">
      <w:pPr>
        <w:pStyle w:val="ParaNum"/>
      </w:pPr>
    </w:p>
    <w:p w:rsidR="008C4C4B" w:rsidRPr="00293C38" w:rsidRDefault="008C4C4B" w:rsidP="00197B77">
      <w:pPr>
        <w:pStyle w:val="ParaNum"/>
      </w:pPr>
      <w:r>
        <w:t xml:space="preserve">And, IT IS FURTHER ORDERED that, </w:t>
      </w:r>
      <w:r w:rsidRPr="00293C38">
        <w:t>pursuant to Section 4(i) of the Communications Act of 1934, as amended, 47 U.S.C. § 154(i)</w:t>
      </w:r>
      <w:r>
        <w:t xml:space="preserve">, and </w:t>
      </w:r>
      <w:r w:rsidR="001E6D48">
        <w:t xml:space="preserve">Sections </w:t>
      </w:r>
      <w:r w:rsidR="00514A7F">
        <w:t xml:space="preserve">1.946(d), </w:t>
      </w:r>
      <w:r w:rsidR="001E6D48">
        <w:t>27.14(k) and (g)</w:t>
      </w:r>
      <w:r>
        <w:t xml:space="preserve"> of the Commission’</w:t>
      </w:r>
      <w:r w:rsidR="001E6D48">
        <w:t xml:space="preserve">s rules, 47 C.F.R. §§ </w:t>
      </w:r>
      <w:r w:rsidR="00514A7F">
        <w:t xml:space="preserve">1.946(d), </w:t>
      </w:r>
      <w:r w:rsidR="001E6D48">
        <w:t>27.14(k) and (g)</w:t>
      </w:r>
      <w:r>
        <w:t>, Thomas K. Kurian must file an interim construction notification within 15 days of the release date</w:t>
      </w:r>
      <w:r w:rsidR="00C76597">
        <w:t xml:space="preserve"> of this Letter Order </w:t>
      </w:r>
      <w:r>
        <w:t>as described above</w:t>
      </w:r>
      <w:r w:rsidR="00693DA9">
        <w:t>.</w:t>
      </w:r>
    </w:p>
    <w:p w:rsidR="00207BD8" w:rsidRPr="00293C38" w:rsidRDefault="00207BD8" w:rsidP="00197B77">
      <w:pPr>
        <w:pStyle w:val="ParaNum"/>
      </w:pPr>
    </w:p>
    <w:p w:rsidR="007E009B" w:rsidRPr="00293C38" w:rsidRDefault="0026443F" w:rsidP="00197B77">
      <w:pPr>
        <w:pStyle w:val="ParaNum"/>
      </w:pPr>
      <w:r w:rsidRPr="00293C38">
        <w:t>A</w:t>
      </w:r>
      <w:r w:rsidR="007E009B" w:rsidRPr="00293C38">
        <w:t xml:space="preserve">ction taken under delegated authority pursuant to Sections 0.131 and 0.331 </w:t>
      </w:r>
      <w:r w:rsidR="002F7497" w:rsidRPr="00293C38">
        <w:t>of the Commission’s rules, 47 CFR</w:t>
      </w:r>
      <w:r w:rsidR="007E009B" w:rsidRPr="00293C38">
        <w:t xml:space="preserve"> §§ 0.131, 0.331.</w:t>
      </w:r>
    </w:p>
    <w:p w:rsidR="00E235BC" w:rsidRPr="00293C38" w:rsidRDefault="00E235BC" w:rsidP="00197B77">
      <w:pPr>
        <w:pStyle w:val="ParaNum"/>
      </w:pPr>
    </w:p>
    <w:p w:rsidR="007E009B" w:rsidRPr="00293C38" w:rsidRDefault="007E009B" w:rsidP="00A635A9">
      <w:pPr>
        <w:pStyle w:val="ParaNum"/>
        <w:ind w:left="2880"/>
      </w:pPr>
      <w:r w:rsidRPr="00293C38">
        <w:t>Sincerely,</w:t>
      </w:r>
    </w:p>
    <w:p w:rsidR="007E009B" w:rsidRPr="00293C38" w:rsidRDefault="007E009B" w:rsidP="00197B77">
      <w:pPr>
        <w:pStyle w:val="ParaNum"/>
      </w:pPr>
    </w:p>
    <w:p w:rsidR="007E009B" w:rsidRDefault="007E009B" w:rsidP="00197B77">
      <w:pPr>
        <w:pStyle w:val="ParaNum"/>
      </w:pPr>
    </w:p>
    <w:p w:rsidR="00E40423" w:rsidRDefault="00E40423" w:rsidP="00197B77">
      <w:pPr>
        <w:pStyle w:val="ParaNum"/>
      </w:pPr>
    </w:p>
    <w:p w:rsidR="00E40423" w:rsidRPr="00293C38" w:rsidRDefault="00E40423" w:rsidP="00197B77">
      <w:pPr>
        <w:pStyle w:val="ParaNum"/>
      </w:pPr>
    </w:p>
    <w:p w:rsidR="007E009B" w:rsidRPr="00293C38" w:rsidRDefault="007E009B" w:rsidP="00A635A9">
      <w:pPr>
        <w:pStyle w:val="ParaNum"/>
        <w:ind w:left="2880"/>
      </w:pPr>
      <w:r w:rsidRPr="00293C38">
        <w:t>Roger S. Noel</w:t>
      </w:r>
    </w:p>
    <w:p w:rsidR="007E009B" w:rsidRPr="00293C38" w:rsidRDefault="007E009B" w:rsidP="00A635A9">
      <w:pPr>
        <w:pStyle w:val="ParaNum"/>
        <w:ind w:left="2880"/>
      </w:pPr>
      <w:r w:rsidRPr="00293C38">
        <w:t>Chief, Mobility Division</w:t>
      </w:r>
    </w:p>
    <w:p w:rsidR="00932F2D" w:rsidRPr="00293C38" w:rsidRDefault="007E009B" w:rsidP="00A635A9">
      <w:pPr>
        <w:pStyle w:val="ParaNum"/>
        <w:ind w:left="2880"/>
      </w:pPr>
      <w:r w:rsidRPr="00293C38">
        <w:t>Wireless Telecommunications Bureau</w:t>
      </w:r>
    </w:p>
    <w:sectPr w:rsidR="00932F2D" w:rsidRPr="00293C38" w:rsidSect="002B56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B8" w:rsidRDefault="005A3FB8">
      <w:r>
        <w:separator/>
      </w:r>
    </w:p>
  </w:endnote>
  <w:endnote w:type="continuationSeparator" w:id="0">
    <w:p w:rsidR="005A3FB8" w:rsidRDefault="005A3FB8">
      <w:r>
        <w:continuationSeparator/>
      </w:r>
    </w:p>
  </w:endnote>
  <w:endnote w:type="continuationNotice" w:id="1">
    <w:p w:rsidR="005A3FB8" w:rsidRDefault="005A3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69" w:rsidRDefault="005D2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69" w:rsidRDefault="005D25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69" w:rsidRDefault="005D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B8" w:rsidRDefault="005A3FB8">
      <w:r>
        <w:separator/>
      </w:r>
    </w:p>
  </w:footnote>
  <w:footnote w:type="continuationSeparator" w:id="0">
    <w:p w:rsidR="005A3FB8" w:rsidRDefault="005A3FB8">
      <w:r>
        <w:continuationSeparator/>
      </w:r>
    </w:p>
  </w:footnote>
  <w:footnote w:type="continuationNotice" w:id="1">
    <w:p w:rsidR="005A3FB8" w:rsidRDefault="005A3FB8"/>
  </w:footnote>
  <w:footnote w:id="2">
    <w:p w:rsidR="008641C5" w:rsidRPr="00293C38" w:rsidRDefault="008641C5" w:rsidP="00293C38">
      <w:pPr>
        <w:pStyle w:val="FootnoteText"/>
        <w:tabs>
          <w:tab w:val="left" w:pos="0"/>
        </w:tabs>
        <w:jc w:val="left"/>
      </w:pPr>
      <w:r w:rsidRPr="00293C38">
        <w:rPr>
          <w:rStyle w:val="FootnoteReference"/>
        </w:rPr>
        <w:footnoteRef/>
      </w:r>
      <w:r w:rsidRPr="00293C38">
        <w:t xml:space="preserve"> Thomas K. Kurian, Request for Waiver and/or Extension of Interim Construction Benchmark, Call Sign WQJQ677, citing 47 CFR § 27.14(g), ULS File No. 0007650703 (filed Feb. 6, 2017) (Request). </w:t>
      </w:r>
    </w:p>
  </w:footnote>
  <w:footnote w:id="3">
    <w:p w:rsidR="008641C5" w:rsidRPr="00293C38" w:rsidRDefault="008641C5" w:rsidP="00293C38">
      <w:pPr>
        <w:pStyle w:val="FootnoteText"/>
        <w:jc w:val="left"/>
      </w:pPr>
      <w:r w:rsidRPr="00293C38">
        <w:rPr>
          <w:rStyle w:val="FootnoteReference"/>
        </w:rPr>
        <w:footnoteRef/>
      </w:r>
      <w:r w:rsidRPr="00293C38">
        <w:t xml:space="preserve"> </w:t>
      </w:r>
      <w:r w:rsidRPr="00293C38">
        <w:rPr>
          <w:i/>
        </w:rPr>
        <w:t>See Service Rules for 698-746, 747-762, and 777-792 MHz Bands</w:t>
      </w:r>
      <w:r w:rsidRPr="00293C38">
        <w:t>, Second Report and Order, 22 FCC Rcd 15289 (2007) (</w:t>
      </w:r>
      <w:r w:rsidRPr="00293C38">
        <w:rPr>
          <w:i/>
        </w:rPr>
        <w:t>700 MHz Second Report and Order</w:t>
      </w:r>
      <w:r w:rsidRPr="00293C38">
        <w:t xml:space="preserve">), </w:t>
      </w:r>
      <w:r w:rsidR="00AD3C4A" w:rsidRPr="00AD3C4A">
        <w:rPr>
          <w:i/>
        </w:rPr>
        <w:t xml:space="preserve">upheld </w:t>
      </w:r>
      <w:r w:rsidRPr="00AD3C4A">
        <w:rPr>
          <w:i/>
        </w:rPr>
        <w:t>o</w:t>
      </w:r>
      <w:r w:rsidRPr="00293C38">
        <w:rPr>
          <w:i/>
        </w:rPr>
        <w:t>n recons</w:t>
      </w:r>
      <w:r w:rsidR="00AD3C4A">
        <w:rPr>
          <w:i/>
        </w:rPr>
        <w:t>ideration</w:t>
      </w:r>
      <w:r w:rsidRPr="00293C38">
        <w:t xml:space="preserve">, </w:t>
      </w:r>
      <w:r w:rsidRPr="00293C38">
        <w:rPr>
          <w:i/>
        </w:rPr>
        <w:t>Service Rules for the 698-746, 747-762 and 777-792 MHz Bands</w:t>
      </w:r>
      <w:r w:rsidRPr="00293C38">
        <w:t>, Memorandum Opinion and Order on Reconsideration, 28 FCC Rcd 2671 (2013).</w:t>
      </w:r>
    </w:p>
  </w:footnote>
  <w:footnote w:id="4">
    <w:p w:rsidR="008641C5" w:rsidRPr="00293C38" w:rsidRDefault="008641C5" w:rsidP="00293C38">
      <w:pPr>
        <w:pStyle w:val="FootnoteText"/>
        <w:jc w:val="left"/>
      </w:pPr>
      <w:r w:rsidRPr="00293C38">
        <w:rPr>
          <w:rStyle w:val="FootnoteReference"/>
        </w:rPr>
        <w:footnoteRef/>
      </w:r>
      <w:r w:rsidRPr="00293C38">
        <w:t xml:space="preserve"> 47 CFR § 27.14(g).</w:t>
      </w:r>
    </w:p>
  </w:footnote>
  <w:footnote w:id="5">
    <w:p w:rsidR="008641C5" w:rsidRPr="00293C38" w:rsidRDefault="008641C5" w:rsidP="00293C38">
      <w:pPr>
        <w:pStyle w:val="FootnoteText"/>
        <w:jc w:val="left"/>
      </w:pPr>
      <w:r w:rsidRPr="00293C38">
        <w:rPr>
          <w:rStyle w:val="FootnoteReference"/>
        </w:rPr>
        <w:footnoteRef/>
      </w:r>
      <w:r w:rsidRPr="00293C38">
        <w:t xml:space="preserve"> </w:t>
      </w:r>
      <w:r w:rsidRPr="00293C38">
        <w:rPr>
          <w:i/>
        </w:rPr>
        <w:t>Id.</w:t>
      </w:r>
      <w:r w:rsidRPr="00293C38">
        <w:t xml:space="preserve"> § 27.14(g);</w:t>
      </w:r>
      <w:r w:rsidRPr="00293C38">
        <w:rPr>
          <w:i/>
        </w:rPr>
        <w:t xml:space="preserve"> 700 MHz Second Report and Order</w:t>
      </w:r>
      <w:r w:rsidRPr="00293C38">
        <w:t>, 22 FCC Rcd</w:t>
      </w:r>
      <w:r w:rsidRPr="00293C38" w:rsidDel="00BF4C67">
        <w:rPr>
          <w:i/>
        </w:rPr>
        <w:t xml:space="preserve"> </w:t>
      </w:r>
      <w:r w:rsidRPr="00293C38">
        <w:t>at 15293-94, 15349, paras. 6, 157.</w:t>
      </w:r>
    </w:p>
  </w:footnote>
  <w:footnote w:id="6">
    <w:p w:rsidR="00657F18" w:rsidRPr="00293C38" w:rsidRDefault="00657F18" w:rsidP="00657F18">
      <w:pPr>
        <w:pStyle w:val="FootnoteText"/>
        <w:jc w:val="left"/>
      </w:pPr>
      <w:r w:rsidRPr="00293C38">
        <w:rPr>
          <w:rStyle w:val="FootnoteReference"/>
        </w:rPr>
        <w:footnoteRef/>
      </w:r>
      <w:r w:rsidRPr="00293C38">
        <w:t xml:space="preserve"> </w:t>
      </w:r>
      <w:r w:rsidRPr="00293C38">
        <w:rPr>
          <w:i/>
        </w:rPr>
        <w:t>See Auction of 700 MHz Band Licenses Closes, Winning Bidders Announced for Auction 73</w:t>
      </w:r>
      <w:r w:rsidRPr="00293C38">
        <w:t xml:space="preserve">, Public Notice, 23 FCC Rcd 4572 (WTB 2013).  Kurian also acquired two 700 MHz Lower A Block licenses, which he later transferred to T-Mobile License LLC.  </w:t>
      </w:r>
      <w:r w:rsidRPr="00293C38">
        <w:rPr>
          <w:i/>
        </w:rPr>
        <w:t xml:space="preserve">See </w:t>
      </w:r>
      <w:r w:rsidRPr="00293C38">
        <w:t xml:space="preserve">Required Notification, ULS File No. 0006554231 (filed Nov. 19, 2014). </w:t>
      </w:r>
    </w:p>
  </w:footnote>
  <w:footnote w:id="7">
    <w:p w:rsidR="008641C5" w:rsidRPr="00293C38" w:rsidRDefault="008641C5" w:rsidP="00293C38">
      <w:pPr>
        <w:pStyle w:val="FootnoteText"/>
        <w:jc w:val="left"/>
      </w:pPr>
      <w:r w:rsidRPr="00293C38">
        <w:rPr>
          <w:rStyle w:val="FootnoteReference"/>
        </w:rPr>
        <w:footnoteRef/>
      </w:r>
      <w:r w:rsidRPr="00293C38">
        <w:t xml:space="preserve"> </w:t>
      </w:r>
      <w:r w:rsidRPr="00293C38">
        <w:rPr>
          <w:i/>
        </w:rPr>
        <w:t>Promoting Interoperability in the 700 MHz Commercial Spectrum</w:t>
      </w:r>
      <w:r w:rsidRPr="00293C38">
        <w:t>, Report and Order and Order of Proposed Modification</w:t>
      </w:r>
      <w:r w:rsidRPr="00293C38">
        <w:rPr>
          <w:i/>
        </w:rPr>
        <w:t xml:space="preserve">, </w:t>
      </w:r>
      <w:r w:rsidRPr="00293C38">
        <w:t>28 FCC Rcd 15122, 15147-48, paras. 56 (2013) (</w:t>
      </w:r>
      <w:r w:rsidRPr="00293C38">
        <w:rPr>
          <w:i/>
        </w:rPr>
        <w:t>Interoperability Report and Order</w:t>
      </w:r>
      <w:r w:rsidRPr="00293C38">
        <w:t xml:space="preserve">). </w:t>
      </w:r>
    </w:p>
  </w:footnote>
  <w:footnote w:id="8">
    <w:p w:rsidR="008641C5" w:rsidRPr="00293C38" w:rsidRDefault="008641C5" w:rsidP="005E6761">
      <w:pPr>
        <w:pStyle w:val="FootnoteText"/>
        <w:jc w:val="left"/>
      </w:pPr>
      <w:r w:rsidRPr="00293C38">
        <w:rPr>
          <w:rStyle w:val="FootnoteReference"/>
        </w:rPr>
        <w:footnoteRef/>
      </w:r>
      <w:r w:rsidRPr="00293C38">
        <w:t xml:space="preserve"> </w:t>
      </w:r>
      <w:r w:rsidRPr="00293C38">
        <w:rPr>
          <w:i/>
        </w:rPr>
        <w:t xml:space="preserve">Interoperability Report and Order, </w:t>
      </w:r>
      <w:r w:rsidRPr="00293C38">
        <w:t>28 FCC Rcd</w:t>
      </w:r>
      <w:r w:rsidRPr="00293C38">
        <w:rPr>
          <w:i/>
        </w:rPr>
        <w:t xml:space="preserve"> </w:t>
      </w:r>
      <w:r w:rsidRPr="00293C38">
        <w:t>at 15148, para. 57</w:t>
      </w:r>
      <w:r>
        <w:t>.</w:t>
      </w:r>
    </w:p>
  </w:footnote>
  <w:footnote w:id="9">
    <w:p w:rsidR="008641C5" w:rsidRPr="00293C38" w:rsidRDefault="008641C5" w:rsidP="00293C38">
      <w:pPr>
        <w:pStyle w:val="FootnoteText"/>
        <w:jc w:val="left"/>
      </w:pPr>
      <w:r w:rsidRPr="00293C38">
        <w:rPr>
          <w:rStyle w:val="FootnoteReference"/>
        </w:rPr>
        <w:footnoteRef/>
      </w:r>
      <w:r w:rsidRPr="00293C38">
        <w:t xml:space="preserve"> </w:t>
      </w:r>
      <w:r w:rsidR="001D7465">
        <w:rPr>
          <w:i/>
        </w:rPr>
        <w:t>Id.</w:t>
      </w:r>
      <w:r w:rsidRPr="00293C38">
        <w:rPr>
          <w:i/>
        </w:rPr>
        <w:t xml:space="preserve"> </w:t>
      </w:r>
      <w:r w:rsidRPr="00293C38">
        <w:t xml:space="preserve">at 15148, para. 57.  </w:t>
      </w:r>
      <w:r w:rsidRPr="00293C38">
        <w:rPr>
          <w:i/>
        </w:rPr>
        <w:t xml:space="preserve">See </w:t>
      </w:r>
      <w:r w:rsidR="001D7465">
        <w:rPr>
          <w:i/>
        </w:rPr>
        <w:t>id.</w:t>
      </w:r>
      <w:r w:rsidRPr="00293C38">
        <w:rPr>
          <w:i/>
        </w:rPr>
        <w:t xml:space="preserve"> </w:t>
      </w:r>
      <w:r w:rsidR="00F07610">
        <w:t>at 15148, n.</w:t>
      </w:r>
      <w:r w:rsidRPr="00293C38">
        <w:t>166; 47 CFR § 27.14(g).</w:t>
      </w:r>
    </w:p>
  </w:footnote>
  <w:footnote w:id="10">
    <w:p w:rsidR="008641C5" w:rsidRPr="00293C38" w:rsidRDefault="008641C5" w:rsidP="00293C38">
      <w:pPr>
        <w:pStyle w:val="FootnoteText"/>
        <w:jc w:val="left"/>
      </w:pPr>
      <w:r w:rsidRPr="00293C38">
        <w:rPr>
          <w:rStyle w:val="FootnoteReference"/>
        </w:rPr>
        <w:footnoteRef/>
      </w:r>
      <w:r w:rsidRPr="00293C38">
        <w:t xml:space="preserve"> </w:t>
      </w:r>
      <w:r w:rsidR="004C10B9" w:rsidRPr="00293C38">
        <w:rPr>
          <w:i/>
        </w:rPr>
        <w:t>Interoperability Report and Order</w:t>
      </w:r>
      <w:r w:rsidR="004C10B9" w:rsidRPr="00293C38">
        <w:t xml:space="preserve"> </w:t>
      </w:r>
      <w:r w:rsidRPr="00293C38">
        <w:t xml:space="preserve">at 15148, para. 58; 47 CFR § 27.14(g)(1). </w:t>
      </w:r>
    </w:p>
  </w:footnote>
  <w:footnote w:id="11">
    <w:p w:rsidR="008641C5" w:rsidRPr="00293C38" w:rsidRDefault="008641C5" w:rsidP="00293C38">
      <w:pPr>
        <w:pStyle w:val="FootnoteText"/>
        <w:jc w:val="left"/>
      </w:pPr>
      <w:r w:rsidRPr="00293C38">
        <w:rPr>
          <w:rStyle w:val="FootnoteReference"/>
        </w:rPr>
        <w:footnoteRef/>
      </w:r>
      <w:r w:rsidRPr="00293C38">
        <w:t xml:space="preserve"> 47 CFR § 27.14(g)(2).</w:t>
      </w:r>
      <w:r w:rsidRPr="00293C38">
        <w:rPr>
          <w:i/>
        </w:rPr>
        <w:t xml:space="preserve">  See also 700 MHz Second Report and Order, </w:t>
      </w:r>
      <w:r w:rsidRPr="00293C38">
        <w:t>22 FCC Rcd at 15348, para. 153.</w:t>
      </w:r>
    </w:p>
  </w:footnote>
  <w:footnote w:id="12">
    <w:p w:rsidR="008641C5" w:rsidRPr="00293C38" w:rsidRDefault="008641C5" w:rsidP="00293C38">
      <w:pPr>
        <w:pStyle w:val="FootnoteText"/>
        <w:jc w:val="left"/>
      </w:pPr>
      <w:r w:rsidRPr="00293C38">
        <w:rPr>
          <w:rStyle w:val="FootnoteReference"/>
        </w:rPr>
        <w:footnoteRef/>
      </w:r>
      <w:r w:rsidRPr="00293C38">
        <w:t xml:space="preserve"> </w:t>
      </w:r>
      <w:r w:rsidRPr="00293C38">
        <w:rPr>
          <w:i/>
        </w:rPr>
        <w:t>Promoting Interoperability in the 700 MHz Commercial Spectrum</w:t>
      </w:r>
      <w:r w:rsidRPr="00293C38">
        <w:t>, Notice of Proposed Rulemaking, 27 FCC Rcd 3521, 3522-23, para. 5 (2012) (</w:t>
      </w:r>
      <w:r w:rsidRPr="00293C38">
        <w:rPr>
          <w:i/>
        </w:rPr>
        <w:t>Interoperability NPRM</w:t>
      </w:r>
      <w:r w:rsidRPr="00293C38">
        <w:t>).</w:t>
      </w:r>
    </w:p>
  </w:footnote>
  <w:footnote w:id="13">
    <w:p w:rsidR="008641C5" w:rsidRPr="00293C38" w:rsidRDefault="008641C5" w:rsidP="00293C38">
      <w:pPr>
        <w:pStyle w:val="FootnoteText"/>
        <w:jc w:val="left"/>
      </w:pPr>
      <w:r w:rsidRPr="00293C38">
        <w:rPr>
          <w:rStyle w:val="FootnoteReference"/>
        </w:rPr>
        <w:footnoteRef/>
      </w:r>
      <w:r w:rsidRPr="00293C38">
        <w:t xml:space="preserve"> </w:t>
      </w:r>
      <w:r w:rsidRPr="00293C38">
        <w:rPr>
          <w:i/>
        </w:rPr>
        <w:t>I</w:t>
      </w:r>
      <w:r w:rsidR="001D7465">
        <w:rPr>
          <w:i/>
        </w:rPr>
        <w:t>d.</w:t>
      </w:r>
      <w:r w:rsidRPr="00293C38">
        <w:t xml:space="preserve"> at 3540, para. 42 (quoting </w:t>
      </w:r>
      <w:r w:rsidRPr="00293C38">
        <w:rPr>
          <w:i/>
          <w:iCs/>
        </w:rPr>
        <w:t>Ex Parte</w:t>
      </w:r>
      <w:r w:rsidRPr="00293C38">
        <w:t xml:space="preserve"> Letter from Joan Marsh, Vice President, Federal Regulatory, AT&amp;T Services, Inc., to Marlene H. Dortch, Secretary, FCC, WT Docket No. 11-18, at 1-2 (filed Dec. 22, 2011)).</w:t>
      </w:r>
    </w:p>
  </w:footnote>
  <w:footnote w:id="14">
    <w:p w:rsidR="008641C5" w:rsidRPr="00293C38" w:rsidRDefault="008641C5" w:rsidP="00293C38">
      <w:pPr>
        <w:pStyle w:val="FootnoteText"/>
        <w:jc w:val="left"/>
      </w:pPr>
      <w:r w:rsidRPr="00293C38">
        <w:rPr>
          <w:rStyle w:val="FootnoteReference"/>
        </w:rPr>
        <w:footnoteRef/>
      </w:r>
      <w:r w:rsidRPr="00293C38">
        <w:t xml:space="preserve"> </w:t>
      </w:r>
      <w:r w:rsidRPr="00293C38">
        <w:rPr>
          <w:i/>
        </w:rPr>
        <w:t>Interoperability NPRM</w:t>
      </w:r>
      <w:r w:rsidRPr="00293C38">
        <w:t>, 27 FCC Rcd at 3541, para. 43.</w:t>
      </w:r>
    </w:p>
  </w:footnote>
  <w:footnote w:id="15">
    <w:p w:rsidR="008641C5" w:rsidRPr="00293C38" w:rsidRDefault="008641C5" w:rsidP="00293C38">
      <w:pPr>
        <w:pStyle w:val="FootnoteText"/>
        <w:jc w:val="left"/>
      </w:pPr>
      <w:r w:rsidRPr="00293C38">
        <w:rPr>
          <w:rStyle w:val="FootnoteReference"/>
        </w:rPr>
        <w:footnoteRef/>
      </w:r>
      <w:r w:rsidRPr="00293C38">
        <w:t xml:space="preserve"> </w:t>
      </w:r>
      <w:r w:rsidRPr="00293C38">
        <w:rPr>
          <w:i/>
        </w:rPr>
        <w:t xml:space="preserve">See Interoperability Report and Order, </w:t>
      </w:r>
      <w:r w:rsidRPr="00293C38">
        <w:t>28 FCC Rcd</w:t>
      </w:r>
      <w:r w:rsidRPr="00293C38">
        <w:rPr>
          <w:i/>
        </w:rPr>
        <w:t xml:space="preserve"> </w:t>
      </w:r>
      <w:r w:rsidRPr="00293C38">
        <w:t xml:space="preserve">at 15169-70, Appendix C, List of Commenters; FCC, Electronic Comment Filing System, WT Docket No. 12-69, </w:t>
      </w:r>
      <w:hyperlink r:id="rId1" w:history="1">
        <w:r w:rsidRPr="00293C38">
          <w:rPr>
            <w:rStyle w:val="Hyperlink"/>
          </w:rPr>
          <w:t>https://www.fcc.gov/ecfs/</w:t>
        </w:r>
      </w:hyperlink>
      <w:r w:rsidRPr="00293C38">
        <w:t>.</w:t>
      </w:r>
    </w:p>
  </w:footnote>
  <w:footnote w:id="16">
    <w:p w:rsidR="008641C5" w:rsidRPr="00293C38" w:rsidRDefault="008641C5" w:rsidP="00293C38">
      <w:pPr>
        <w:pStyle w:val="FootnoteText"/>
        <w:jc w:val="left"/>
      </w:pPr>
      <w:r w:rsidRPr="00293C38">
        <w:rPr>
          <w:rStyle w:val="FootnoteReference"/>
        </w:rPr>
        <w:footnoteRef/>
      </w:r>
      <w:r w:rsidRPr="00293C38">
        <w:t xml:space="preserve"> Thomas K. Kurian, Request for Extension of Time and Waiver of Interim Construction Benchmark Deadline, Call Sign WQJQ677, ULS File No. 0005773320, at 1 (filed May 7, 2013) (Interoperability Extension Request).</w:t>
      </w:r>
      <w:r>
        <w:t xml:space="preserve">  Another E Block licensee, Manifest Wireless, filed a similar request citing lack of interoperability as the basis for an extension.  </w:t>
      </w:r>
      <w:r w:rsidRPr="00CA429B">
        <w:t xml:space="preserve">ULS File Nos. 0005817992- 0005818159, Attachment, Request for Extension and/or Waiver by Manifest Wireless L.L.C. (filed June 12, 2013) (DISH Extension Request). </w:t>
      </w:r>
      <w:r w:rsidR="002100A7">
        <w:t xml:space="preserve"> </w:t>
      </w:r>
      <w:r w:rsidRPr="00CA429B">
        <w:t>We note that Manifest Wireless L.L.C. is a subsidiary of DISH Network Corporation.</w:t>
      </w:r>
    </w:p>
  </w:footnote>
  <w:footnote w:id="17">
    <w:p w:rsidR="008641C5" w:rsidRPr="00293C38" w:rsidRDefault="008641C5" w:rsidP="00293C38">
      <w:pPr>
        <w:pStyle w:val="FootnoteText"/>
        <w:jc w:val="left"/>
      </w:pPr>
      <w:r w:rsidRPr="00293C38">
        <w:rPr>
          <w:rStyle w:val="FootnoteReference"/>
        </w:rPr>
        <w:footnoteRef/>
      </w:r>
      <w:r w:rsidRPr="00293C38">
        <w:t xml:space="preserve"> Interoperability Extension Request at 2.</w:t>
      </w:r>
    </w:p>
  </w:footnote>
  <w:footnote w:id="18">
    <w:p w:rsidR="00657429" w:rsidRPr="00293C38" w:rsidRDefault="00657429" w:rsidP="00657429">
      <w:pPr>
        <w:pStyle w:val="FootnoteText"/>
        <w:jc w:val="left"/>
      </w:pPr>
      <w:r w:rsidRPr="00293C38">
        <w:rPr>
          <w:rStyle w:val="FootnoteReference"/>
        </w:rPr>
        <w:footnoteRef/>
      </w:r>
      <w:r w:rsidRPr="00293C38">
        <w:t xml:space="preserve"> At the Commission’s urging in the </w:t>
      </w:r>
      <w:r w:rsidRPr="00293C38">
        <w:rPr>
          <w:i/>
        </w:rPr>
        <w:t>Interoperability NPRM</w:t>
      </w:r>
      <w:r w:rsidRPr="00293C38">
        <w:t xml:space="preserve">, stakeholders in the </w:t>
      </w:r>
      <w:r w:rsidRPr="00293C38">
        <w:rPr>
          <w:i/>
        </w:rPr>
        <w:t>Interoperability</w:t>
      </w:r>
      <w:r w:rsidRPr="00293C38">
        <w:t xml:space="preserve"> proceeding filed letters with the Commission indicating their support for a voluntary industry consensus agreement to resolve the lack of interoperability in the Lower 700 MHz band.  </w:t>
      </w:r>
      <w:r w:rsidRPr="00293C38">
        <w:rPr>
          <w:i/>
        </w:rPr>
        <w:t xml:space="preserve">See Interoperability Report and Order, </w:t>
      </w:r>
      <w:r w:rsidRPr="00293C38">
        <w:t>28 FCC Rcd</w:t>
      </w:r>
      <w:r w:rsidRPr="00293C38">
        <w:rPr>
          <w:i/>
        </w:rPr>
        <w:t xml:space="preserve"> </w:t>
      </w:r>
      <w:r w:rsidRPr="00293C38">
        <w:t xml:space="preserve">at 15123, paras. 1, 3, 13.  </w:t>
      </w:r>
    </w:p>
  </w:footnote>
  <w:footnote w:id="19">
    <w:p w:rsidR="008641C5" w:rsidRDefault="008641C5">
      <w:pPr>
        <w:pStyle w:val="FootnoteText"/>
      </w:pPr>
      <w:r>
        <w:rPr>
          <w:rStyle w:val="FootnoteReference"/>
        </w:rPr>
        <w:footnoteRef/>
      </w:r>
      <w:r>
        <w:t xml:space="preserve"> </w:t>
      </w:r>
      <w:r w:rsidRPr="00CA429B">
        <w:t>The licensee participants included AT&amp;T Services, Inc.; DISH; US Cellular; C Spire Wireless; Vulcan Wireless LLC; King Street Wireless, L.P.; Cavalier Wire</w:t>
      </w:r>
      <w:r>
        <w:t xml:space="preserve">less LLC; and Continuum 700 LLC.  </w:t>
      </w:r>
      <w:r w:rsidRPr="00CA429B">
        <w:t xml:space="preserve"> Letter from Joan Marsh, Vice Pres. Fed. Regulatory, AT&amp;T Services, Inc. to the Hon. Mignon Clyburn, Chairwoman, FCC, WT Docket No. 12-69, filed Sept. 10, 2013 (AT&amp;T Sept. 10, 2013 Ex Parte); Letter from Jeffrey H. Blum, Senior Vice Pres. &amp; Dep. Gen. Counsel, DISH Network, Corp., to the Hon. Mignon Clyburn, Chairwoman, FCC, WT Docket No. 12-69, filed Sept. 10, 2013 (DISH Network Sept. 10, 2013 Ex Parte); Letter from Grant Spellmeyer, Vice Pres. Fed. Affairs &amp; Pub. Policy, US Cellular, Ben Moncrief, Dir. – Govt. Relations, C Spire Wireless, Scott Wills, Vulcan Wireless LLC, Allison Cryor NiNardo, Pres., Gen. Partner, King Street Wireless, L.P., Nash Nyland, Gen. Counsel, Cavalier Wireless LLC, T.</w:t>
      </w:r>
      <w:r w:rsidR="002E6E12">
        <w:t xml:space="preserve"> </w:t>
      </w:r>
      <w:r w:rsidRPr="00CA429B">
        <w:t>Clark Akers, Exec. Vice Pres. Continuum</w:t>
      </w:r>
      <w:r>
        <w:t xml:space="preserve"> </w:t>
      </w:r>
      <w:r w:rsidRPr="00635C46">
        <w:t>700 LLC, and Steven K. Berry, Pres. and CEO, Competitive Carriers Association to the Hon. Mignon Clyburn, Chairwoman, FCC, WT Docket No. 12-69, filed Sept. 10, 2013</w:t>
      </w:r>
      <w:r w:rsidR="00957990">
        <w:t>.</w:t>
      </w:r>
      <w:r w:rsidRPr="00635C46">
        <w:t xml:space="preserve"> </w:t>
      </w:r>
    </w:p>
  </w:footnote>
  <w:footnote w:id="20">
    <w:p w:rsidR="008641C5" w:rsidRPr="00293C38" w:rsidRDefault="008641C5" w:rsidP="00293C38">
      <w:pPr>
        <w:pStyle w:val="FootnoteText"/>
        <w:jc w:val="left"/>
      </w:pPr>
      <w:r w:rsidRPr="00293C38">
        <w:rPr>
          <w:rStyle w:val="FootnoteReference"/>
        </w:rPr>
        <w:footnoteRef/>
      </w:r>
      <w:r w:rsidRPr="00293C38">
        <w:t xml:space="preserve"> </w:t>
      </w:r>
      <w:r w:rsidRPr="00293C38">
        <w:rPr>
          <w:i/>
        </w:rPr>
        <w:t xml:space="preserve">Interoperability Report and Order, </w:t>
      </w:r>
      <w:r w:rsidRPr="00293C38">
        <w:t>28 FCC Rcd</w:t>
      </w:r>
      <w:r w:rsidRPr="00293C38">
        <w:rPr>
          <w:i/>
        </w:rPr>
        <w:t xml:space="preserve"> </w:t>
      </w:r>
      <w:r w:rsidRPr="00293C38">
        <w:t>at 15131, paras. 20, 21.</w:t>
      </w:r>
    </w:p>
  </w:footnote>
  <w:footnote w:id="21">
    <w:p w:rsidR="008641C5" w:rsidRPr="00293C38" w:rsidRDefault="008641C5" w:rsidP="00293C38">
      <w:pPr>
        <w:pStyle w:val="FootnoteText"/>
        <w:jc w:val="left"/>
      </w:pPr>
      <w:r w:rsidRPr="00293C38">
        <w:rPr>
          <w:rStyle w:val="FootnoteReference"/>
        </w:rPr>
        <w:footnoteRef/>
      </w:r>
      <w:r w:rsidRPr="00293C38">
        <w:t xml:space="preserve"> </w:t>
      </w:r>
      <w:r w:rsidR="00CD6433">
        <w:rPr>
          <w:i/>
        </w:rPr>
        <w:t>Id.</w:t>
      </w:r>
      <w:r w:rsidRPr="00293C38">
        <w:rPr>
          <w:i/>
        </w:rPr>
        <w:t xml:space="preserve"> </w:t>
      </w:r>
      <w:r w:rsidRPr="00293C38">
        <w:t xml:space="preserve">at 15131, para. 20.  The Commission determined that, “under the current rules, there is a significant threat of harmful interference from high power transmissions in the Lower 700 MHz D and E Blocks to Band Class 12 devices operating on the Lower 700 MHz B and C Blocks that could jeopardize the viability of interoperability in the band.”  </w:t>
      </w:r>
      <w:r w:rsidR="00CD6433">
        <w:rPr>
          <w:i/>
        </w:rPr>
        <w:t>Id.</w:t>
      </w:r>
      <w:r w:rsidRPr="00293C38">
        <w:rPr>
          <w:i/>
        </w:rPr>
        <w:t xml:space="preserve"> </w:t>
      </w:r>
      <w:r w:rsidRPr="00293C38">
        <w:t xml:space="preserve">at 15131, para. 20.  </w:t>
      </w:r>
    </w:p>
  </w:footnote>
  <w:footnote w:id="22">
    <w:p w:rsidR="008641C5" w:rsidRPr="00293C38" w:rsidRDefault="008641C5" w:rsidP="00293C38">
      <w:pPr>
        <w:pStyle w:val="FootnoteText"/>
        <w:jc w:val="left"/>
      </w:pPr>
      <w:r w:rsidRPr="00293C38">
        <w:rPr>
          <w:rStyle w:val="FootnoteReference"/>
        </w:rPr>
        <w:footnoteRef/>
      </w:r>
      <w:r w:rsidRPr="00293C38">
        <w:t xml:space="preserve"> </w:t>
      </w:r>
      <w:r w:rsidR="00CD6433">
        <w:rPr>
          <w:i/>
        </w:rPr>
        <w:t>Id.</w:t>
      </w:r>
      <w:r w:rsidR="00CD6433">
        <w:t>at</w:t>
      </w:r>
      <w:r w:rsidRPr="00293C38">
        <w:t xml:space="preserve"> 15147-48, para. 56.</w:t>
      </w:r>
    </w:p>
  </w:footnote>
  <w:footnote w:id="23">
    <w:p w:rsidR="008641C5" w:rsidRPr="00293C38" w:rsidRDefault="008641C5" w:rsidP="00293C38">
      <w:pPr>
        <w:pStyle w:val="FootnoteText"/>
        <w:jc w:val="left"/>
      </w:pPr>
      <w:r w:rsidRPr="00293C38">
        <w:rPr>
          <w:rStyle w:val="FootnoteReference"/>
        </w:rPr>
        <w:footnoteRef/>
      </w:r>
      <w:r w:rsidRPr="00293C38">
        <w:t xml:space="preserve"> </w:t>
      </w:r>
      <w:r w:rsidRPr="00293C38">
        <w:rPr>
          <w:i/>
        </w:rPr>
        <w:t>I</w:t>
      </w:r>
      <w:r w:rsidR="001D7465">
        <w:rPr>
          <w:i/>
        </w:rPr>
        <w:t xml:space="preserve">d. </w:t>
      </w:r>
    </w:p>
  </w:footnote>
  <w:footnote w:id="24">
    <w:p w:rsidR="008641C5" w:rsidRPr="00293C38" w:rsidRDefault="008641C5" w:rsidP="00293C38">
      <w:pPr>
        <w:pStyle w:val="FootnoteText"/>
        <w:jc w:val="left"/>
      </w:pPr>
      <w:r w:rsidRPr="00293C38">
        <w:rPr>
          <w:rStyle w:val="FootnoteReference"/>
        </w:rPr>
        <w:footnoteRef/>
      </w:r>
      <w:r w:rsidRPr="00293C38">
        <w:t xml:space="preserve"> </w:t>
      </w:r>
      <w:r w:rsidR="00CD6433">
        <w:rPr>
          <w:i/>
        </w:rPr>
        <w:t>Id.</w:t>
      </w:r>
    </w:p>
  </w:footnote>
  <w:footnote w:id="25">
    <w:p w:rsidR="008641C5" w:rsidRPr="00293C38" w:rsidRDefault="008641C5" w:rsidP="00293C38">
      <w:pPr>
        <w:pStyle w:val="FootnoteText"/>
        <w:jc w:val="left"/>
      </w:pPr>
      <w:r w:rsidRPr="00293C38">
        <w:rPr>
          <w:rStyle w:val="FootnoteReference"/>
        </w:rPr>
        <w:footnoteRef/>
      </w:r>
      <w:r w:rsidRPr="00293C38">
        <w:t xml:space="preserve"> </w:t>
      </w:r>
      <w:r w:rsidRPr="00293C38">
        <w:rPr>
          <w:i/>
        </w:rPr>
        <w:t xml:space="preserve">See </w:t>
      </w:r>
      <w:r w:rsidR="001D7465">
        <w:rPr>
          <w:i/>
        </w:rPr>
        <w:t>id.</w:t>
      </w:r>
      <w:r w:rsidRPr="00293C38">
        <w:rPr>
          <w:i/>
        </w:rPr>
        <w:t xml:space="preserve"> </w:t>
      </w:r>
      <w:r w:rsidRPr="00293C38">
        <w:t>at 15148, paras. 57, 58.</w:t>
      </w:r>
    </w:p>
  </w:footnote>
  <w:footnote w:id="26">
    <w:p w:rsidR="008641C5" w:rsidRDefault="008641C5" w:rsidP="00FA5ABF">
      <w:pPr>
        <w:pStyle w:val="FootnoteText"/>
        <w:spacing w:before="240"/>
      </w:pPr>
      <w:r>
        <w:rPr>
          <w:rStyle w:val="FootnoteReference"/>
        </w:rPr>
        <w:footnoteRef/>
      </w:r>
      <w:r>
        <w:t xml:space="preserve"> Request at 1 (citing </w:t>
      </w:r>
      <w:r w:rsidRPr="00293C38">
        <w:t>47 CFR §§ 1.3, 1.925</w:t>
      </w:r>
      <w:r>
        <w:t>(b)(3)</w:t>
      </w:r>
      <w:r w:rsidR="002100A7">
        <w:t>)</w:t>
      </w:r>
      <w:r>
        <w:t>.</w:t>
      </w:r>
    </w:p>
  </w:footnote>
  <w:footnote w:id="27">
    <w:p w:rsidR="008641C5" w:rsidRPr="00293C38" w:rsidRDefault="008641C5" w:rsidP="00293C38">
      <w:pPr>
        <w:pStyle w:val="FootnoteText"/>
        <w:jc w:val="left"/>
      </w:pPr>
      <w:r w:rsidRPr="00293C38">
        <w:rPr>
          <w:rStyle w:val="FootnoteReference"/>
        </w:rPr>
        <w:footnoteRef/>
      </w:r>
      <w:r w:rsidRPr="00293C38">
        <w:t xml:space="preserve"> Request at 1</w:t>
      </w:r>
      <w:r>
        <w:t xml:space="preserve"> (citing </w:t>
      </w:r>
      <w:r w:rsidRPr="00293C38">
        <w:t>47 CFR §</w:t>
      </w:r>
      <w:r>
        <w:t xml:space="preserve"> 1.946(e))</w:t>
      </w:r>
      <w:r w:rsidRPr="00293C38">
        <w:t>.</w:t>
      </w:r>
      <w:r w:rsidR="00CD6433">
        <w:t xml:space="preserve">  Kurian </w:t>
      </w:r>
      <w:r w:rsidR="00556856">
        <w:t xml:space="preserve">did not request an extension of </w:t>
      </w:r>
      <w:r w:rsidR="00CD6433">
        <w:t>his final construction deadline</w:t>
      </w:r>
      <w:r w:rsidR="00556856">
        <w:t>.  If we were to extend Kurian’s interim construction deadline by five years as he requests</w:t>
      </w:r>
      <w:r w:rsidR="00CD6433">
        <w:t xml:space="preserve">, </w:t>
      </w:r>
      <w:r w:rsidR="00556856">
        <w:t xml:space="preserve">Kurian </w:t>
      </w:r>
      <w:r w:rsidR="00CD6433">
        <w:t>would also need an extension of the final deadline.</w:t>
      </w:r>
    </w:p>
  </w:footnote>
  <w:footnote w:id="28">
    <w:p w:rsidR="008641C5" w:rsidRPr="00293C38" w:rsidRDefault="008641C5" w:rsidP="00293C38">
      <w:pPr>
        <w:pStyle w:val="FootnoteText"/>
        <w:jc w:val="left"/>
      </w:pPr>
      <w:r w:rsidRPr="00293C38">
        <w:rPr>
          <w:rStyle w:val="FootnoteReference"/>
        </w:rPr>
        <w:footnoteRef/>
      </w:r>
      <w:r w:rsidRPr="00293C38">
        <w:t xml:space="preserve"> </w:t>
      </w:r>
      <w:r w:rsidRPr="00293C38">
        <w:rPr>
          <w:i/>
        </w:rPr>
        <w:t xml:space="preserve">See </w:t>
      </w:r>
      <w:r w:rsidRPr="00293C38">
        <w:t>Request at 1</w:t>
      </w:r>
      <w:r w:rsidRPr="00293C38">
        <w:rPr>
          <w:i/>
        </w:rPr>
        <w:t xml:space="preserve">. </w:t>
      </w:r>
    </w:p>
  </w:footnote>
  <w:footnote w:id="29">
    <w:p w:rsidR="008641C5" w:rsidRPr="00293C38" w:rsidRDefault="008641C5" w:rsidP="00293C38">
      <w:pPr>
        <w:pStyle w:val="FootnoteText"/>
        <w:jc w:val="left"/>
      </w:pPr>
      <w:r w:rsidRPr="00293C38">
        <w:rPr>
          <w:rStyle w:val="FootnoteReference"/>
        </w:rPr>
        <w:footnoteRef/>
      </w:r>
      <w:r w:rsidRPr="00293C38">
        <w:t xml:space="preserve"> </w:t>
      </w:r>
      <w:r w:rsidRPr="00293C38">
        <w:rPr>
          <w:i/>
        </w:rPr>
        <w:t>Id</w:t>
      </w:r>
      <w:r w:rsidRPr="00293C38">
        <w:t xml:space="preserve">. at 2.  </w:t>
      </w:r>
    </w:p>
  </w:footnote>
  <w:footnote w:id="30">
    <w:p w:rsidR="008641C5" w:rsidRPr="00293C38" w:rsidRDefault="008641C5" w:rsidP="00293C38">
      <w:pPr>
        <w:pStyle w:val="FootnoteText"/>
        <w:jc w:val="left"/>
      </w:pPr>
      <w:r w:rsidRPr="00293C38">
        <w:rPr>
          <w:rStyle w:val="FootnoteReference"/>
        </w:rPr>
        <w:footnoteRef/>
      </w:r>
      <w:r w:rsidRPr="00293C38">
        <w:t xml:space="preserve"> </w:t>
      </w:r>
      <w:r w:rsidRPr="00293C38">
        <w:rPr>
          <w:i/>
        </w:rPr>
        <w:t>See id</w:t>
      </w:r>
      <w:r w:rsidRPr="00293C38">
        <w:t xml:space="preserve">. at 1-2. </w:t>
      </w:r>
    </w:p>
  </w:footnote>
  <w:footnote w:id="31">
    <w:p w:rsidR="008641C5" w:rsidRPr="00293C38" w:rsidRDefault="008641C5" w:rsidP="00293C38">
      <w:pPr>
        <w:pStyle w:val="FootnoteText"/>
        <w:jc w:val="left"/>
      </w:pPr>
      <w:r w:rsidRPr="00293C38">
        <w:rPr>
          <w:rStyle w:val="FootnoteReference"/>
        </w:rPr>
        <w:footnoteRef/>
      </w:r>
      <w:r w:rsidRPr="00293C38">
        <w:t xml:space="preserve"> </w:t>
      </w:r>
      <w:r w:rsidRPr="00293C38">
        <w:rPr>
          <w:i/>
        </w:rPr>
        <w:t>Id</w:t>
      </w:r>
      <w:r w:rsidRPr="00293C38">
        <w:t xml:space="preserve">. at 2.  </w:t>
      </w:r>
    </w:p>
  </w:footnote>
  <w:footnote w:id="32">
    <w:p w:rsidR="008641C5" w:rsidRPr="00293C38" w:rsidRDefault="008641C5" w:rsidP="00293C38">
      <w:pPr>
        <w:pStyle w:val="FootnoteText"/>
        <w:jc w:val="left"/>
      </w:pPr>
      <w:r w:rsidRPr="00293C38">
        <w:rPr>
          <w:rStyle w:val="FootnoteReference"/>
        </w:rPr>
        <w:footnoteRef/>
      </w:r>
      <w:r w:rsidRPr="00293C38">
        <w:t xml:space="preserve"> 47 CFR §§ 1.3, 1.925.</w:t>
      </w:r>
    </w:p>
  </w:footnote>
  <w:footnote w:id="33">
    <w:p w:rsidR="008641C5" w:rsidRPr="00293C38" w:rsidRDefault="008641C5" w:rsidP="00293C38">
      <w:pPr>
        <w:pStyle w:val="FootnoteText"/>
        <w:jc w:val="left"/>
      </w:pPr>
      <w:r w:rsidRPr="00293C38">
        <w:rPr>
          <w:rStyle w:val="FootnoteReference"/>
        </w:rPr>
        <w:footnoteRef/>
      </w:r>
      <w:r w:rsidRPr="00293C38">
        <w:t xml:space="preserve"> </w:t>
      </w:r>
      <w:r w:rsidRPr="00293C38">
        <w:rPr>
          <w:i/>
        </w:rPr>
        <w:t>Id.</w:t>
      </w:r>
      <w:r w:rsidRPr="00293C38">
        <w:t xml:space="preserve"> § 1.946(e).</w:t>
      </w:r>
    </w:p>
  </w:footnote>
  <w:footnote w:id="34">
    <w:p w:rsidR="008641C5" w:rsidRPr="00293C38" w:rsidRDefault="008641C5" w:rsidP="00293C38">
      <w:pPr>
        <w:pStyle w:val="FootnoteText"/>
        <w:jc w:val="left"/>
      </w:pPr>
      <w:r w:rsidRPr="00293C38">
        <w:rPr>
          <w:rStyle w:val="FootnoteReference"/>
        </w:rPr>
        <w:footnoteRef/>
      </w:r>
      <w:r w:rsidRPr="00293C38">
        <w:t xml:space="preserve"> </w:t>
      </w:r>
      <w:r w:rsidRPr="00293C38">
        <w:rPr>
          <w:i/>
        </w:rPr>
        <w:t>Id.</w:t>
      </w:r>
      <w:r w:rsidRPr="00293C38">
        <w:t xml:space="preserve"> § 1.925(b)(3).</w:t>
      </w:r>
    </w:p>
  </w:footnote>
  <w:footnote w:id="35">
    <w:p w:rsidR="008641C5" w:rsidRPr="00293C38" w:rsidRDefault="008641C5" w:rsidP="00293C38">
      <w:pPr>
        <w:pStyle w:val="FootnoteText"/>
        <w:jc w:val="left"/>
      </w:pPr>
      <w:r w:rsidRPr="00293C38">
        <w:rPr>
          <w:rStyle w:val="FootnoteReference"/>
        </w:rPr>
        <w:footnoteRef/>
      </w:r>
      <w:r w:rsidRPr="00293C38">
        <w:t xml:space="preserve"> </w:t>
      </w:r>
      <w:r w:rsidRPr="00293C38">
        <w:rPr>
          <w:i/>
        </w:rPr>
        <w:t>Id.</w:t>
      </w:r>
      <w:r w:rsidRPr="00293C38">
        <w:t xml:space="preserve"> § 1.3.</w:t>
      </w:r>
    </w:p>
  </w:footnote>
  <w:footnote w:id="36">
    <w:p w:rsidR="008641C5" w:rsidRPr="00293C38" w:rsidRDefault="008641C5" w:rsidP="00293C38">
      <w:pPr>
        <w:pStyle w:val="FootnoteText"/>
        <w:jc w:val="left"/>
      </w:pPr>
      <w:r w:rsidRPr="00293C38">
        <w:rPr>
          <w:rStyle w:val="FootnoteReference"/>
        </w:rPr>
        <w:footnoteRef/>
      </w:r>
      <w:r w:rsidRPr="00293C38">
        <w:t xml:space="preserve"> </w:t>
      </w:r>
      <w:r w:rsidRPr="00293C38">
        <w:rPr>
          <w:i/>
        </w:rPr>
        <w:t>Id.</w:t>
      </w:r>
      <w:r w:rsidRPr="00293C38">
        <w:t xml:space="preserve"> § 1.946(e)(1).</w:t>
      </w:r>
    </w:p>
  </w:footnote>
  <w:footnote w:id="37">
    <w:p w:rsidR="00C34D8C" w:rsidRPr="00065F96" w:rsidRDefault="00C34D8C">
      <w:pPr>
        <w:pStyle w:val="FootnoteText"/>
      </w:pPr>
      <w:r>
        <w:rPr>
          <w:rStyle w:val="FootnoteReference"/>
        </w:rPr>
        <w:footnoteRef/>
      </w:r>
      <w:r>
        <w:t xml:space="preserve"> </w:t>
      </w:r>
      <w:r>
        <w:rPr>
          <w:i/>
        </w:rPr>
        <w:t xml:space="preserve">See </w:t>
      </w:r>
      <w:r>
        <w:t>Interoperability Extension Request at 2-4.</w:t>
      </w:r>
    </w:p>
  </w:footnote>
  <w:footnote w:id="38">
    <w:p w:rsidR="008641C5" w:rsidRPr="00293C38" w:rsidRDefault="008641C5" w:rsidP="005E6761">
      <w:pPr>
        <w:pStyle w:val="FootnoteText"/>
        <w:jc w:val="left"/>
      </w:pPr>
      <w:r w:rsidRPr="00293C38">
        <w:rPr>
          <w:rStyle w:val="FootnoteReference"/>
        </w:rPr>
        <w:footnoteRef/>
      </w:r>
      <w:r w:rsidRPr="00293C38">
        <w:t xml:space="preserve"> </w:t>
      </w:r>
      <w:r w:rsidRPr="00293C38">
        <w:rPr>
          <w:i/>
        </w:rPr>
        <w:t>See</w:t>
      </w:r>
      <w:r w:rsidR="00C34D8C">
        <w:rPr>
          <w:i/>
        </w:rPr>
        <w:t xml:space="preserve"> id</w:t>
      </w:r>
      <w:r w:rsidR="00C34D8C" w:rsidRPr="00463DCB">
        <w:rPr>
          <w:i/>
        </w:rPr>
        <w:t>.</w:t>
      </w:r>
    </w:p>
  </w:footnote>
  <w:footnote w:id="39">
    <w:p w:rsidR="008641C5" w:rsidRPr="00293C38" w:rsidRDefault="008641C5" w:rsidP="00293C38">
      <w:pPr>
        <w:pStyle w:val="FootnoteText"/>
        <w:jc w:val="left"/>
      </w:pPr>
      <w:r w:rsidRPr="00293C38">
        <w:rPr>
          <w:rStyle w:val="FootnoteReference"/>
        </w:rPr>
        <w:footnoteRef/>
      </w:r>
      <w:r w:rsidRPr="00293C38">
        <w:t xml:space="preserve"> </w:t>
      </w:r>
      <w:r w:rsidRPr="00293C38">
        <w:rPr>
          <w:i/>
        </w:rPr>
        <w:t xml:space="preserve">See Interoperability Report and Order, </w:t>
      </w:r>
      <w:r w:rsidRPr="00293C38">
        <w:t>28 FCC Rcd</w:t>
      </w:r>
      <w:r w:rsidRPr="00293C38">
        <w:rPr>
          <w:i/>
        </w:rPr>
        <w:t xml:space="preserve"> </w:t>
      </w:r>
      <w:r w:rsidRPr="00293C38">
        <w:t>at 15147-48, para. 56; Interoperability Extension Request at 1.</w:t>
      </w:r>
    </w:p>
  </w:footnote>
  <w:footnote w:id="40">
    <w:p w:rsidR="008641C5" w:rsidRPr="00293C38" w:rsidRDefault="008641C5" w:rsidP="00293C38">
      <w:pPr>
        <w:pStyle w:val="FootnoteText"/>
        <w:jc w:val="left"/>
      </w:pPr>
      <w:r w:rsidRPr="00293C38">
        <w:rPr>
          <w:rStyle w:val="FootnoteReference"/>
        </w:rPr>
        <w:footnoteRef/>
      </w:r>
      <w:r w:rsidRPr="00293C38">
        <w:t xml:space="preserve"> Request at 1.</w:t>
      </w:r>
    </w:p>
  </w:footnote>
  <w:footnote w:id="41">
    <w:p w:rsidR="008641C5" w:rsidRPr="008F6E4F" w:rsidRDefault="008641C5">
      <w:pPr>
        <w:pStyle w:val="FootnoteText"/>
      </w:pPr>
      <w:r>
        <w:rPr>
          <w:rStyle w:val="FootnoteReference"/>
        </w:rPr>
        <w:footnoteRef/>
      </w:r>
      <w:r>
        <w:t xml:space="preserve"> </w:t>
      </w:r>
      <w:r>
        <w:rPr>
          <w:i/>
        </w:rPr>
        <w:t xml:space="preserve">Interoperability Report and Order, </w:t>
      </w:r>
      <w:r>
        <w:t xml:space="preserve">28 FCC Rcd at 15138, para. 33, quoting </w:t>
      </w:r>
      <w:r>
        <w:rPr>
          <w:i/>
        </w:rPr>
        <w:t xml:space="preserve">Celtronix Telemetry, Inc. v. FCC, </w:t>
      </w:r>
      <w:r>
        <w:t>272 F.3d 585, 589-90 (D.C. Cir. 2001) (citing 47 U.S.C. §§ 309(j)(6)(C)-(D)).</w:t>
      </w:r>
    </w:p>
  </w:footnote>
  <w:footnote w:id="42">
    <w:p w:rsidR="008641C5" w:rsidRPr="00293C38" w:rsidRDefault="008641C5" w:rsidP="00293C38">
      <w:pPr>
        <w:pStyle w:val="FootnoteText"/>
        <w:jc w:val="left"/>
      </w:pPr>
      <w:r w:rsidRPr="00293C38">
        <w:rPr>
          <w:rStyle w:val="FootnoteReference"/>
        </w:rPr>
        <w:footnoteRef/>
      </w:r>
      <w:r w:rsidRPr="00293C38">
        <w:t xml:space="preserve"> </w:t>
      </w:r>
      <w:r w:rsidRPr="00293C38">
        <w:rPr>
          <w:i/>
        </w:rPr>
        <w:t xml:space="preserve">See </w:t>
      </w:r>
      <w:r w:rsidRPr="00293C38">
        <w:t>Interoperability Extension Request at 1.</w:t>
      </w:r>
    </w:p>
  </w:footnote>
  <w:footnote w:id="43">
    <w:p w:rsidR="008641C5" w:rsidRPr="00293C38" w:rsidRDefault="008641C5" w:rsidP="00293C38">
      <w:pPr>
        <w:pStyle w:val="FootnoteText"/>
        <w:jc w:val="left"/>
      </w:pPr>
      <w:r w:rsidRPr="00293C38">
        <w:rPr>
          <w:rStyle w:val="FootnoteReference"/>
        </w:rPr>
        <w:footnoteRef/>
      </w:r>
      <w:r w:rsidRPr="00293C38">
        <w:t xml:space="preserve"> </w:t>
      </w:r>
      <w:r w:rsidRPr="00293C38">
        <w:rPr>
          <w:i/>
        </w:rPr>
        <w:t>See</w:t>
      </w:r>
      <w:r w:rsidRPr="00293C38">
        <w:t xml:space="preserve">, </w:t>
      </w:r>
      <w:r w:rsidRPr="00293C38">
        <w:rPr>
          <w:i/>
        </w:rPr>
        <w:t>e.g.</w:t>
      </w:r>
      <w:r w:rsidRPr="00293C38">
        <w:t xml:space="preserve">, 47 U.S.C. § 309.  </w:t>
      </w:r>
      <w:r w:rsidRPr="00293C38">
        <w:rPr>
          <w:i/>
        </w:rPr>
        <w:t>See also</w:t>
      </w:r>
      <w:r w:rsidRPr="00293C38">
        <w:t xml:space="preserve">, </w:t>
      </w:r>
      <w:r w:rsidRPr="00293C38">
        <w:rPr>
          <w:i/>
        </w:rPr>
        <w:t>e.g.</w:t>
      </w:r>
      <w:r w:rsidRPr="00293C38">
        <w:t xml:space="preserve">, </w:t>
      </w:r>
      <w:r w:rsidRPr="00293C38">
        <w:rPr>
          <w:i/>
          <w:iCs/>
        </w:rPr>
        <w:t>Service Rules for Advanced Wireless Services in the 2000-2020 MHz and 2180-2200 MHz Bands</w:t>
      </w:r>
      <w:r w:rsidRPr="00293C38">
        <w:t xml:space="preserve">, Report and Order and Order of Proposed Modification, 27 FCC Rcd 16102, 16173-74, para. 187 (2012) (“The Commission establishes performance requirements to promote the productive use of spectrum, to encourage licensees to provide service to customers expeditiously, and to promote the provision of innovative services throughout the license area(s), including in rural areas.”); </w:t>
      </w:r>
      <w:r w:rsidRPr="00293C38">
        <w:rPr>
          <w:i/>
        </w:rPr>
        <w:t>700 MHz Second Report and Order</w:t>
      </w:r>
      <w:r w:rsidRPr="00293C38">
        <w:t xml:space="preserve">, 22 FCC Rcd at 15348-49, paras. 154-155 (highlighting several important policy goals advanced by adoption of performance requirements, including to “better promote access to spectrum and the provision of service, especially in rural areas”); </w:t>
      </w:r>
      <w:r w:rsidRPr="00293C38">
        <w:rPr>
          <w:i/>
          <w:iCs/>
        </w:rPr>
        <w:t>Amendment of the Commission’s Rules to Establish New Personal Communications Services</w:t>
      </w:r>
      <w:r w:rsidRPr="00293C38">
        <w:t>, Memorandum Opinion and Order, 9 FCC Rcd 4957, 5018-19, paras. 154-56 (1994) (imposing construction requirements to ensure effective spectrum use and promote nationwide coverage notwithstanding varying population densities).</w:t>
      </w:r>
    </w:p>
  </w:footnote>
  <w:footnote w:id="44">
    <w:p w:rsidR="008641C5" w:rsidRPr="00293C38" w:rsidRDefault="008641C5" w:rsidP="00293C38">
      <w:pPr>
        <w:pStyle w:val="FootnoteText"/>
        <w:jc w:val="left"/>
      </w:pPr>
      <w:r w:rsidRPr="00293C38">
        <w:rPr>
          <w:rStyle w:val="FootnoteReference"/>
        </w:rPr>
        <w:footnoteRef/>
      </w:r>
      <w:r w:rsidRPr="00293C38">
        <w:t xml:space="preserve"> </w:t>
      </w:r>
      <w:r w:rsidRPr="00293C38">
        <w:rPr>
          <w:i/>
        </w:rPr>
        <w:t>See, e.g.</w:t>
      </w:r>
      <w:r w:rsidRPr="00293C38">
        <w:t>, 47 U.S.C. § 151.</w:t>
      </w:r>
    </w:p>
  </w:footnote>
  <w:footnote w:id="45">
    <w:p w:rsidR="008641C5" w:rsidRPr="00293C38" w:rsidRDefault="008641C5" w:rsidP="00293C38">
      <w:pPr>
        <w:pStyle w:val="FootnoteText"/>
        <w:jc w:val="left"/>
      </w:pPr>
      <w:r w:rsidRPr="00293C38">
        <w:rPr>
          <w:rStyle w:val="FootnoteReference"/>
        </w:rPr>
        <w:footnoteRef/>
      </w:r>
      <w:r w:rsidRPr="00293C38">
        <w:t xml:space="preserve"> </w:t>
      </w:r>
      <w:r w:rsidRPr="00293C38">
        <w:rPr>
          <w:i/>
          <w:color w:val="000000" w:themeColor="text1"/>
        </w:rPr>
        <w:t>See</w:t>
      </w:r>
      <w:r w:rsidRPr="00293C38">
        <w:rPr>
          <w:color w:val="000000" w:themeColor="text1"/>
        </w:rPr>
        <w:t xml:space="preserve"> </w:t>
      </w:r>
      <w:r w:rsidRPr="00293C38">
        <w:rPr>
          <w:i/>
          <w:color w:val="000000" w:themeColor="text1"/>
        </w:rPr>
        <w:t xml:space="preserve">WAIT Radio v. FCC, </w:t>
      </w:r>
      <w:r w:rsidRPr="00293C38">
        <w:rPr>
          <w:color w:val="000000" w:themeColor="text1"/>
        </w:rPr>
        <w:t xml:space="preserve">459 F.2d 1203, 1207 (D.C. Cir. 1972).  </w:t>
      </w:r>
    </w:p>
  </w:footnote>
  <w:footnote w:id="46">
    <w:p w:rsidR="008641C5" w:rsidRPr="00293C38" w:rsidRDefault="008641C5" w:rsidP="00293C38">
      <w:pPr>
        <w:pStyle w:val="FootnoteText"/>
        <w:jc w:val="left"/>
      </w:pPr>
      <w:r w:rsidRPr="00293C38">
        <w:rPr>
          <w:rStyle w:val="FootnoteReference"/>
        </w:rPr>
        <w:footnoteRef/>
      </w:r>
      <w:r w:rsidRPr="00293C38">
        <w:t xml:space="preserve"> </w:t>
      </w:r>
      <w:r w:rsidRPr="00293C38">
        <w:rPr>
          <w:i/>
        </w:rPr>
        <w:t xml:space="preserve">See </w:t>
      </w:r>
      <w:r w:rsidRPr="00293C38">
        <w:t xml:space="preserve">47 U.S.C. § 309(j)(3)(D).  </w:t>
      </w:r>
      <w:r w:rsidRPr="00293C38">
        <w:rPr>
          <w:i/>
        </w:rPr>
        <w:t xml:space="preserve">Cf. id. </w:t>
      </w:r>
      <w:r w:rsidRPr="00293C38">
        <w:t>§ 309(j)(4)(B).</w:t>
      </w:r>
    </w:p>
  </w:footnote>
  <w:footnote w:id="47">
    <w:p w:rsidR="008641C5" w:rsidRPr="000532E1" w:rsidRDefault="008641C5" w:rsidP="00293C38">
      <w:pPr>
        <w:pStyle w:val="FootnoteText"/>
        <w:jc w:val="left"/>
      </w:pPr>
      <w:r w:rsidRPr="00293C38">
        <w:rPr>
          <w:rStyle w:val="FootnoteReference"/>
        </w:rPr>
        <w:footnoteRef/>
      </w:r>
      <w:r w:rsidRPr="00293C38">
        <w:t xml:space="preserve"> </w:t>
      </w:r>
      <w:r w:rsidRPr="00293C38">
        <w:rPr>
          <w:i/>
        </w:rPr>
        <w:t xml:space="preserve">See WAIT Radio v. FCC, </w:t>
      </w:r>
      <w:r w:rsidRPr="00293C38">
        <w:t xml:space="preserve">418 F.2d 1153, 1157 (D.C. Cir. 1969), </w:t>
      </w:r>
      <w:r w:rsidRPr="00293C38">
        <w:rPr>
          <w:i/>
        </w:rPr>
        <w:t xml:space="preserve">aff'd, </w:t>
      </w:r>
      <w:r w:rsidRPr="00293C38">
        <w:t xml:space="preserve">459 F.2d 1203 (1972), </w:t>
      </w:r>
      <w:r w:rsidRPr="00293C38">
        <w:rPr>
          <w:i/>
        </w:rPr>
        <w:t>cert. denied</w:t>
      </w:r>
      <w:r w:rsidRPr="00293C38">
        <w:t>, 93 S. Ct. 461 (1972).</w:t>
      </w:r>
      <w:r w:rsidR="002E6E12">
        <w:t xml:space="preserve">  </w:t>
      </w:r>
    </w:p>
  </w:footnote>
  <w:footnote w:id="48">
    <w:p w:rsidR="008641C5" w:rsidRPr="00B54FC7" w:rsidRDefault="008641C5" w:rsidP="00E90AD2">
      <w:pPr>
        <w:pStyle w:val="FootnoteText"/>
        <w:jc w:val="left"/>
      </w:pPr>
      <w:r w:rsidRPr="00B54FC7">
        <w:rPr>
          <w:rStyle w:val="FootnoteReference"/>
        </w:rPr>
        <w:footnoteRef/>
      </w:r>
      <w:r w:rsidRPr="00B54FC7">
        <w:t xml:space="preserve"> </w:t>
      </w:r>
      <w:r w:rsidRPr="00B54FC7">
        <w:rPr>
          <w:i/>
        </w:rPr>
        <w:t>See Auction of 700 MHz Band Licenses Scheduled for January 24, 2008</w:t>
      </w:r>
      <w:r w:rsidRPr="00B54FC7">
        <w:t>, Public Notice, 22 FCC Rcd 18141, 18155-57, paras. 39-47 (WTB 2007).</w:t>
      </w:r>
    </w:p>
  </w:footnote>
  <w:footnote w:id="49">
    <w:p w:rsidR="008641C5" w:rsidRPr="00293C38" w:rsidRDefault="008641C5" w:rsidP="00293C38">
      <w:pPr>
        <w:pStyle w:val="FootnoteText"/>
        <w:jc w:val="left"/>
      </w:pPr>
      <w:r w:rsidRPr="00293C38">
        <w:rPr>
          <w:rStyle w:val="FootnoteReference"/>
        </w:rPr>
        <w:footnoteRef/>
      </w:r>
      <w:r w:rsidRPr="00293C38">
        <w:t xml:space="preserve"> 47 CFR § 1.925(b)(3)(i).</w:t>
      </w:r>
    </w:p>
  </w:footnote>
  <w:footnote w:id="50">
    <w:p w:rsidR="008641C5" w:rsidRPr="00293C38" w:rsidRDefault="008641C5" w:rsidP="00293C38">
      <w:pPr>
        <w:pStyle w:val="FootnoteText"/>
        <w:jc w:val="left"/>
      </w:pPr>
      <w:r w:rsidRPr="00293C38">
        <w:rPr>
          <w:rStyle w:val="FootnoteReference"/>
        </w:rPr>
        <w:footnoteRef/>
      </w:r>
      <w:r w:rsidRPr="00293C38">
        <w:t xml:space="preserve"> </w:t>
      </w:r>
      <w:r w:rsidRPr="00293C38">
        <w:rPr>
          <w:i/>
        </w:rPr>
        <w:t xml:space="preserve">700 MHz Second Report and Order, </w:t>
      </w:r>
      <w:r w:rsidRPr="00293C38">
        <w:t>22 FCC Rcd at 15348, para. 153.</w:t>
      </w:r>
    </w:p>
  </w:footnote>
  <w:footnote w:id="51">
    <w:p w:rsidR="00FE20E4" w:rsidRPr="00293C38" w:rsidRDefault="00FE20E4" w:rsidP="00FE20E4">
      <w:pPr>
        <w:pStyle w:val="FootnoteText"/>
        <w:jc w:val="left"/>
      </w:pPr>
      <w:r w:rsidRPr="00293C38">
        <w:rPr>
          <w:rStyle w:val="FootnoteReference"/>
        </w:rPr>
        <w:footnoteRef/>
      </w:r>
      <w:r w:rsidRPr="00293C38">
        <w:t xml:space="preserve"> </w:t>
      </w:r>
      <w:r w:rsidRPr="00293C38">
        <w:rPr>
          <w:i/>
        </w:rPr>
        <w:t>See</w:t>
      </w:r>
      <w:r w:rsidRPr="00293C38">
        <w:t xml:space="preserve">, </w:t>
      </w:r>
      <w:r w:rsidRPr="00293C38">
        <w:rPr>
          <w:i/>
        </w:rPr>
        <w:t>e.g.</w:t>
      </w:r>
      <w:r w:rsidRPr="00293C38">
        <w:t xml:space="preserve">, </w:t>
      </w:r>
      <w:r w:rsidR="00307BC8" w:rsidRPr="00293C38">
        <w:rPr>
          <w:i/>
        </w:rPr>
        <w:t>Aircom Consultants, Inc</w:t>
      </w:r>
      <w:r w:rsidR="00307BC8" w:rsidRPr="00293C38">
        <w:t>., Order</w:t>
      </w:r>
      <w:r w:rsidR="00693DA9">
        <w:t xml:space="preserve"> on Reconsideration</w:t>
      </w:r>
      <w:r w:rsidR="00307BC8" w:rsidRPr="00293C38">
        <w:t>, 28 FCC Rcd 11150, 11153, para. 9 (WTB-BD 2013) (</w:t>
      </w:r>
      <w:r w:rsidR="00307BC8" w:rsidRPr="00293C38">
        <w:rPr>
          <w:i/>
        </w:rPr>
        <w:t>Aircom Order</w:t>
      </w:r>
      <w:r w:rsidR="00307BC8" w:rsidRPr="00293C38">
        <w:t xml:space="preserve">) </w:t>
      </w:r>
      <w:r w:rsidRPr="00293C38">
        <w:t xml:space="preserve">(denying further waiver request because licensee provided no basis to conclude it could build its network with additional time); </w:t>
      </w:r>
      <w:r w:rsidRPr="00293C38">
        <w:rPr>
          <w:i/>
        </w:rPr>
        <w:t>Two-Twenty Auction Co., Inc.</w:t>
      </w:r>
      <w:r w:rsidRPr="00293C38">
        <w:t>, Letter Order, 24 FCC Rcd 8604, 8606 (WTB-MD June 26, 2009) (</w:t>
      </w:r>
      <w:r w:rsidRPr="00293C38">
        <w:rPr>
          <w:i/>
        </w:rPr>
        <w:t>Two-Twenty Order</w:t>
      </w:r>
      <w:r w:rsidRPr="00293C38">
        <w:t>) (denying further waiver request because petitioners failed to demonstrate how they intended to make use of the licensed spectrum).</w:t>
      </w:r>
    </w:p>
  </w:footnote>
  <w:footnote w:id="52">
    <w:p w:rsidR="008641C5" w:rsidRPr="00293C38" w:rsidRDefault="008641C5" w:rsidP="00293C38">
      <w:pPr>
        <w:pStyle w:val="FootnoteText"/>
        <w:jc w:val="left"/>
      </w:pPr>
      <w:r w:rsidRPr="00293C38">
        <w:rPr>
          <w:rStyle w:val="FootnoteReference"/>
        </w:rPr>
        <w:footnoteRef/>
      </w:r>
      <w:r w:rsidRPr="00293C38">
        <w:t xml:space="preserve"> </w:t>
      </w:r>
      <w:r w:rsidRPr="00293C38">
        <w:rPr>
          <w:i/>
        </w:rPr>
        <w:t>See</w:t>
      </w:r>
      <w:r w:rsidRPr="00293C38">
        <w:t xml:space="preserve">, </w:t>
      </w:r>
      <w:r w:rsidRPr="00293C38">
        <w:rPr>
          <w:i/>
        </w:rPr>
        <w:t>e.g.</w:t>
      </w:r>
      <w:r w:rsidRPr="00293C38">
        <w:t>,</w:t>
      </w:r>
      <w:r w:rsidR="00307BC8">
        <w:t xml:space="preserve"> </w:t>
      </w:r>
      <w:r w:rsidR="001D7465">
        <w:rPr>
          <w:i/>
        </w:rPr>
        <w:t xml:space="preserve">Aircom Order, </w:t>
      </w:r>
      <w:r w:rsidR="001D7465">
        <w:t>28 FCC Rcd 11150, 11153, para. 9</w:t>
      </w:r>
      <w:r w:rsidRPr="00293C38">
        <w:t xml:space="preserve"> (denying further waiver request because it would undermine the waived rule’s underlying purpose to ensure that service is being provided to the public).</w:t>
      </w:r>
    </w:p>
  </w:footnote>
  <w:footnote w:id="53">
    <w:p w:rsidR="0089174C" w:rsidRPr="00293C38" w:rsidRDefault="0089174C" w:rsidP="0089174C">
      <w:pPr>
        <w:pStyle w:val="FootnoteText"/>
        <w:jc w:val="left"/>
      </w:pPr>
      <w:r w:rsidRPr="00293C38">
        <w:rPr>
          <w:rStyle w:val="FootnoteReference"/>
        </w:rPr>
        <w:footnoteRef/>
      </w:r>
      <w:r w:rsidRPr="00293C38">
        <w:t xml:space="preserve"> Request at 2.</w:t>
      </w:r>
    </w:p>
  </w:footnote>
  <w:footnote w:id="54">
    <w:p w:rsidR="00142AA0" w:rsidRDefault="00142AA0">
      <w:pPr>
        <w:pStyle w:val="FootnoteText"/>
      </w:pPr>
      <w:r>
        <w:rPr>
          <w:rStyle w:val="FootnoteReference"/>
        </w:rPr>
        <w:footnoteRef/>
      </w:r>
      <w:r>
        <w:t xml:space="preserve"> </w:t>
      </w:r>
      <w:r w:rsidRPr="00293C38">
        <w:t>47 CFR § 1.925(b)(3)(ii).</w:t>
      </w:r>
    </w:p>
  </w:footnote>
  <w:footnote w:id="55">
    <w:p w:rsidR="00FE20E4" w:rsidRDefault="00FE20E4" w:rsidP="00FE20E4">
      <w:pPr>
        <w:pStyle w:val="FootnoteText"/>
      </w:pPr>
      <w:r>
        <w:rPr>
          <w:rStyle w:val="FootnoteReference"/>
        </w:rPr>
        <w:footnoteRef/>
      </w:r>
      <w:r>
        <w:t xml:space="preserve"> </w:t>
      </w:r>
      <w:r w:rsidR="00307BC8">
        <w:t>In this regard, Kurian’s waiver request amounts to an untimely petition for reconsideration of the Commission’s 2013 action to modify the technical rules applicable to his license and its determination that an extension of almost four years would be sufficient to “a</w:t>
      </w:r>
      <w:r w:rsidR="00307BC8" w:rsidRPr="00293C38">
        <w:t>fford licensees a sufficient opportunity to adjust their business plans in light of the technical changes to the band and also provide valuable services to the public in the near term.</w:t>
      </w:r>
      <w:r w:rsidR="00307BC8">
        <w:t xml:space="preserve">”  </w:t>
      </w:r>
      <w:r w:rsidR="00A915D4">
        <w:rPr>
          <w:i/>
        </w:rPr>
        <w:t>See</w:t>
      </w:r>
      <w:r w:rsidR="001D7465">
        <w:rPr>
          <w:i/>
        </w:rPr>
        <w:t xml:space="preserve"> </w:t>
      </w:r>
      <w:r w:rsidR="00A915D4" w:rsidRPr="00293C38">
        <w:rPr>
          <w:i/>
        </w:rPr>
        <w:t xml:space="preserve">Interoperability Report and Order, </w:t>
      </w:r>
      <w:r w:rsidR="00A915D4" w:rsidRPr="00293C38">
        <w:t>28 FCC Rcd</w:t>
      </w:r>
      <w:r w:rsidR="00A915D4" w:rsidRPr="00293C38">
        <w:rPr>
          <w:i/>
        </w:rPr>
        <w:t xml:space="preserve"> </w:t>
      </w:r>
      <w:r w:rsidR="00A915D4" w:rsidRPr="00293C38">
        <w:t>at 15147</w:t>
      </w:r>
      <w:r w:rsidR="00F07610">
        <w:t>-48</w:t>
      </w:r>
      <w:r w:rsidR="00A915D4" w:rsidRPr="00293C38">
        <w:t>, para. 56.</w:t>
      </w:r>
    </w:p>
  </w:footnote>
  <w:footnote w:id="56">
    <w:p w:rsidR="008641C5" w:rsidRPr="00293C38" w:rsidRDefault="008641C5" w:rsidP="00293C38">
      <w:pPr>
        <w:pStyle w:val="FootnoteText"/>
        <w:jc w:val="left"/>
      </w:pPr>
      <w:r w:rsidRPr="00293C38">
        <w:rPr>
          <w:rStyle w:val="FootnoteReference"/>
        </w:rPr>
        <w:footnoteRef/>
      </w:r>
      <w:r w:rsidRPr="00293C38">
        <w:t xml:space="preserve"> </w:t>
      </w:r>
      <w:r w:rsidRPr="00293C38">
        <w:rPr>
          <w:i/>
        </w:rPr>
        <w:t>See</w:t>
      </w:r>
      <w:r w:rsidRPr="00293C38">
        <w:t xml:space="preserve">, </w:t>
      </w:r>
      <w:r w:rsidRPr="00293C38">
        <w:rPr>
          <w:i/>
        </w:rPr>
        <w:t>e.g.</w:t>
      </w:r>
      <w:r w:rsidRPr="00293C38">
        <w:t xml:space="preserve">, </w:t>
      </w:r>
      <w:r w:rsidRPr="00293C38">
        <w:rPr>
          <w:i/>
        </w:rPr>
        <w:t>Glenwood Tel. Membership Corp</w:t>
      </w:r>
      <w:r w:rsidRPr="00293C38">
        <w:t>., Memorandum Opinion and Order, 28 FCC Rcd 11169, 11173, para. 13 (WTB-BD 2013) (</w:t>
      </w:r>
      <w:r w:rsidRPr="00293C38">
        <w:rPr>
          <w:i/>
        </w:rPr>
        <w:t>Glenwood Order</w:t>
      </w:r>
      <w:r w:rsidRPr="00293C38">
        <w:t xml:space="preserve">) (denying waiver request because licensee failed to show that it acted diligently in attempting to obtain equipment); </w:t>
      </w:r>
      <w:r w:rsidRPr="00293C38">
        <w:rPr>
          <w:i/>
        </w:rPr>
        <w:t>Aircom Order</w:t>
      </w:r>
      <w:r w:rsidRPr="00293C38">
        <w:t xml:space="preserve">, 28 FCC Rcd at 11153-54, para. 9 (finding that, given the amount of time licensee had to meet the construction deadline and its lack of progress, it was not inequitable to deny its further waiver request); </w:t>
      </w:r>
      <w:r w:rsidRPr="00293C38">
        <w:rPr>
          <w:i/>
        </w:rPr>
        <w:t>Eldorado Commc’ns, L.L.C.</w:t>
      </w:r>
      <w:r w:rsidRPr="00293C38">
        <w:t>, Order, 17 FCC Rcd 24613, 24616-19, paras. 8-13 (WTB-CWD 2002) (denying waiver request for various reasons, including that the licensee was only in preliminary stages of construction toward the end of the construction deadline, despite holding licenses for years; service was being offered by others in the license areas, meaning that granting licensee’s request was not going to result in appreciable benefit of service being offered; and the licensee’s delay in acquiring equipment was its own decision and failed to account for standards changes expected to be part of wireless business).</w:t>
      </w:r>
    </w:p>
  </w:footnote>
  <w:footnote w:id="57">
    <w:p w:rsidR="008641C5" w:rsidRPr="00293C38" w:rsidRDefault="008641C5" w:rsidP="00293C38">
      <w:pPr>
        <w:pStyle w:val="FootnoteText"/>
        <w:jc w:val="left"/>
      </w:pPr>
      <w:r w:rsidRPr="00293C38">
        <w:rPr>
          <w:rStyle w:val="FootnoteReference"/>
        </w:rPr>
        <w:footnoteRef/>
      </w:r>
      <w:r w:rsidRPr="00293C38">
        <w:t xml:space="preserve"> 47 CFR § 1.946(e)(1).</w:t>
      </w:r>
    </w:p>
  </w:footnote>
  <w:footnote w:id="58">
    <w:p w:rsidR="008641C5" w:rsidRPr="00293C38" w:rsidRDefault="008641C5" w:rsidP="005E6761">
      <w:pPr>
        <w:pStyle w:val="FootnoteText"/>
        <w:jc w:val="left"/>
      </w:pPr>
      <w:r w:rsidRPr="00293C38">
        <w:rPr>
          <w:rStyle w:val="FootnoteReference"/>
        </w:rPr>
        <w:footnoteRef/>
      </w:r>
      <w:r w:rsidRPr="00293C38">
        <w:t xml:space="preserve"> </w:t>
      </w:r>
      <w:r w:rsidRPr="00293C38">
        <w:rPr>
          <w:lang w:val="es-ES"/>
        </w:rPr>
        <w:t>47 U.S.C § 309(j)(4)(B).</w:t>
      </w:r>
    </w:p>
  </w:footnote>
  <w:footnote w:id="59">
    <w:p w:rsidR="008641C5" w:rsidRPr="00293C38" w:rsidRDefault="008641C5" w:rsidP="00293C38">
      <w:pPr>
        <w:pStyle w:val="FootnoteText"/>
        <w:jc w:val="left"/>
        <w:rPr>
          <w:lang w:val="es-ES"/>
        </w:rPr>
      </w:pPr>
      <w:r w:rsidRPr="00293C38">
        <w:rPr>
          <w:rStyle w:val="FootnoteReference"/>
        </w:rPr>
        <w:footnoteRef/>
      </w:r>
      <w:r w:rsidRPr="00293C38">
        <w:rPr>
          <w:lang w:val="es-ES"/>
        </w:rPr>
        <w:t xml:space="preserve"> </w:t>
      </w:r>
      <w:r w:rsidRPr="00293C38">
        <w:rPr>
          <w:i/>
          <w:lang w:val="es-ES"/>
        </w:rPr>
        <w:t>See</w:t>
      </w:r>
      <w:r w:rsidRPr="00293C38">
        <w:rPr>
          <w:lang w:val="es-ES"/>
        </w:rPr>
        <w:t xml:space="preserve"> </w:t>
      </w:r>
      <w:r w:rsidRPr="00293C38">
        <w:rPr>
          <w:i/>
          <w:lang w:val="es-ES"/>
        </w:rPr>
        <w:t>Two-Twenty Order</w:t>
      </w:r>
      <w:r w:rsidRPr="00293C38">
        <w:rPr>
          <w:lang w:val="es-ES"/>
        </w:rPr>
        <w:t>, 24 FCC Rcd at 8606.</w:t>
      </w:r>
    </w:p>
  </w:footnote>
  <w:footnote w:id="60">
    <w:p w:rsidR="008641C5" w:rsidRPr="00293C38" w:rsidRDefault="008641C5" w:rsidP="00293C38">
      <w:pPr>
        <w:pStyle w:val="FootnoteText"/>
        <w:jc w:val="left"/>
      </w:pPr>
      <w:r w:rsidRPr="00293C38">
        <w:rPr>
          <w:rStyle w:val="FootnoteReference"/>
        </w:rPr>
        <w:footnoteRef/>
      </w:r>
      <w:r w:rsidRPr="00293C38">
        <w:t xml:space="preserve"> Request at 2.</w:t>
      </w:r>
    </w:p>
  </w:footnote>
  <w:footnote w:id="61">
    <w:p w:rsidR="008641C5" w:rsidRPr="00293C38" w:rsidRDefault="008641C5" w:rsidP="00E02FD5">
      <w:pPr>
        <w:pStyle w:val="FootnoteText"/>
        <w:jc w:val="left"/>
      </w:pPr>
      <w:r w:rsidRPr="00293C38">
        <w:rPr>
          <w:rStyle w:val="FootnoteReference"/>
        </w:rPr>
        <w:footnoteRef/>
      </w:r>
      <w:r w:rsidRPr="00293C38">
        <w:t xml:space="preserve"> </w:t>
      </w:r>
      <w:r w:rsidRPr="00293C38">
        <w:rPr>
          <w:i/>
        </w:rPr>
        <w:t>See, e.g., Longhorn Communications Inc.</w:t>
      </w:r>
      <w:r w:rsidRPr="00293C38">
        <w:t>, Letter Order, 26 FCC Rcd 6716, 6719-20 (WTB-MD May 6, 2011) (denying extension request because licensee offered only speculative options and failed to demonstrate or provide material evidence that further regulatory relief would result in its licenses being put to use in the near term, and because allowing an extension well beyond the license term to explore options or hope that a particular business model comes to fruition is not in the public interest);</w:t>
      </w:r>
      <w:r w:rsidRPr="00293C38">
        <w:rPr>
          <w:i/>
        </w:rPr>
        <w:t xml:space="preserve"> Two-Twenty Order</w:t>
      </w:r>
      <w:r w:rsidRPr="00293C38">
        <w:t>, 24 FCC Rcd at 8606 (denying further extension request because petitioners failed to justify a specific period of time for the request).</w:t>
      </w:r>
    </w:p>
  </w:footnote>
  <w:footnote w:id="62">
    <w:p w:rsidR="008641C5" w:rsidRPr="00293C38" w:rsidRDefault="008641C5" w:rsidP="00293C38">
      <w:pPr>
        <w:pStyle w:val="FootnoteText"/>
        <w:jc w:val="left"/>
      </w:pPr>
      <w:r w:rsidRPr="00293C38">
        <w:rPr>
          <w:rStyle w:val="FootnoteReference"/>
        </w:rPr>
        <w:footnoteRef/>
      </w:r>
      <w:r w:rsidRPr="00293C38">
        <w:t xml:space="preserve"> Request at 2. </w:t>
      </w:r>
    </w:p>
  </w:footnote>
  <w:footnote w:id="63">
    <w:p w:rsidR="008641C5" w:rsidRPr="00293C38" w:rsidRDefault="008641C5" w:rsidP="00293C38">
      <w:pPr>
        <w:pStyle w:val="FootnoteText"/>
        <w:jc w:val="left"/>
      </w:pPr>
      <w:r w:rsidRPr="00293C38">
        <w:rPr>
          <w:rStyle w:val="FootnoteReference"/>
        </w:rPr>
        <w:footnoteRef/>
      </w:r>
      <w:r w:rsidRPr="00293C38">
        <w:t xml:space="preserve"> </w:t>
      </w:r>
      <w:r w:rsidRPr="00293C38">
        <w:rPr>
          <w:i/>
        </w:rPr>
        <w:t>See, e.g</w:t>
      </w:r>
      <w:r w:rsidRPr="00293C38">
        <w:t xml:space="preserve">., </w:t>
      </w:r>
      <w:r w:rsidRPr="00293C38">
        <w:rPr>
          <w:i/>
        </w:rPr>
        <w:t>Glenwood Order</w:t>
      </w:r>
      <w:r w:rsidRPr="00293C38">
        <w:t xml:space="preserve">, 28 FCC Rcd at 11172, para. 10 (licensee failed to show that its failure to obtain equipment was a matter beyond its control); </w:t>
      </w:r>
      <w:r w:rsidRPr="00293C38">
        <w:rPr>
          <w:i/>
        </w:rPr>
        <w:t>David G. Boyle</w:t>
      </w:r>
      <w:r w:rsidRPr="00293C38">
        <w:t xml:space="preserve">, Letter Order, 24 FCC Rcd 8600, 8601 (WTB-MD June 26, 2009) (licensee had made a business decision to seek further regulatory relief in lieu of deploying available equipment); </w:t>
      </w:r>
      <w:r w:rsidRPr="00293C38">
        <w:rPr>
          <w:i/>
        </w:rPr>
        <w:t>Redwood Wireless Minnesota, LLC</w:t>
      </w:r>
      <w:r w:rsidRPr="00293C38">
        <w:t xml:space="preserve">, Order, 17 FCC Rcd 22416, 22419, paras. 6-7 (WTB-CWD 2002) (construction delays resulting from business disputes were exercise of business judgment and were not outside petitioner’s control); </w:t>
      </w:r>
      <w:r w:rsidRPr="00293C38">
        <w:rPr>
          <w:i/>
        </w:rPr>
        <w:t>Bristol MAS Partners</w:t>
      </w:r>
      <w:r w:rsidRPr="00293C38">
        <w:t>, Order, 14 FCC Rcd 5007, 5010, para. 8 (WTB-PSPWD 1999) (equipment installation or delivery not delayed for some unique reason and licensee failing to obtain equipment was business decision).</w:t>
      </w:r>
    </w:p>
  </w:footnote>
  <w:footnote w:id="64">
    <w:p w:rsidR="008641C5" w:rsidRPr="00293C38" w:rsidRDefault="008641C5" w:rsidP="00293C38">
      <w:pPr>
        <w:pStyle w:val="FootnoteText"/>
        <w:jc w:val="left"/>
      </w:pPr>
      <w:r w:rsidRPr="00293C38">
        <w:rPr>
          <w:rStyle w:val="FootnoteReference"/>
        </w:rPr>
        <w:footnoteRef/>
      </w:r>
      <w:r w:rsidRPr="00293C38">
        <w:t xml:space="preserve"> </w:t>
      </w:r>
      <w:r w:rsidRPr="00293C38">
        <w:rPr>
          <w:i/>
        </w:rPr>
        <w:t xml:space="preserve">Interoperability Report and Order, </w:t>
      </w:r>
      <w:r w:rsidRPr="00293C38">
        <w:t>28 FCC Rcd</w:t>
      </w:r>
      <w:r w:rsidRPr="00293C38">
        <w:rPr>
          <w:i/>
        </w:rPr>
        <w:t xml:space="preserve"> </w:t>
      </w:r>
      <w:r w:rsidRPr="00293C38">
        <w:t>at 15147-48, paras. 56, 58.</w:t>
      </w:r>
    </w:p>
  </w:footnote>
  <w:footnote w:id="65">
    <w:p w:rsidR="008641C5" w:rsidRPr="00293C38" w:rsidRDefault="008641C5" w:rsidP="00293C38">
      <w:pPr>
        <w:pStyle w:val="FootnoteText"/>
        <w:jc w:val="left"/>
      </w:pPr>
      <w:r w:rsidRPr="00293C38">
        <w:rPr>
          <w:rStyle w:val="FootnoteReference"/>
        </w:rPr>
        <w:footnoteRef/>
      </w:r>
      <w:r w:rsidRPr="00293C38">
        <w:t xml:space="preserve"> A review of Commission licensing records shows that there are spectrum bands in at least four radio services (700 MHz, Cellular, Personal Communications Service, and Advanced Wireless Services), from 698 MHz to 2.2 GHz, that could be paired with Kurian’s spectrum to facilitate uplink/downlink service.  Not including Kurian, there currently are more than 30 licenses in these bands in Guam/Northern Marina Islands held by 10 licensees.  </w:t>
      </w:r>
      <w:r w:rsidRPr="00293C38">
        <w:rPr>
          <w:i/>
        </w:rPr>
        <w:t xml:space="preserve">See </w:t>
      </w:r>
      <w:r w:rsidRPr="00293C38">
        <w:t>FCC, Universal Licensing System, Market Based License Search, http://wireless2.fcc.gov/UlsApp/UlsSearch/searchMarket.jsp.</w:t>
      </w:r>
    </w:p>
  </w:footnote>
  <w:footnote w:id="66">
    <w:p w:rsidR="008641C5" w:rsidRPr="00293C38" w:rsidRDefault="008641C5" w:rsidP="00293C38">
      <w:pPr>
        <w:pStyle w:val="FootnoteText"/>
        <w:jc w:val="left"/>
      </w:pPr>
      <w:r w:rsidRPr="00293C38">
        <w:rPr>
          <w:rStyle w:val="FootnoteReference"/>
        </w:rPr>
        <w:footnoteRef/>
      </w:r>
      <w:r w:rsidRPr="00293C38">
        <w:t xml:space="preserve"> </w:t>
      </w:r>
      <w:r w:rsidRPr="00293C38">
        <w:rPr>
          <w:i/>
        </w:rPr>
        <w:t xml:space="preserve">See generally </w:t>
      </w:r>
      <w:r w:rsidRPr="00293C38">
        <w:t>Request.</w:t>
      </w:r>
    </w:p>
  </w:footnote>
  <w:footnote w:id="67">
    <w:p w:rsidR="008641C5" w:rsidRPr="00293C38" w:rsidRDefault="008641C5" w:rsidP="00293C38">
      <w:pPr>
        <w:pStyle w:val="FootnoteText"/>
        <w:jc w:val="left"/>
      </w:pPr>
      <w:r w:rsidRPr="00293C38">
        <w:rPr>
          <w:rStyle w:val="FootnoteReference"/>
        </w:rPr>
        <w:footnoteRef/>
      </w:r>
      <w:r w:rsidRPr="00293C38">
        <w:t xml:space="preserve"> </w:t>
      </w:r>
      <w:r w:rsidRPr="00293C38">
        <w:rPr>
          <w:i/>
        </w:rPr>
        <w:t xml:space="preserve">See </w:t>
      </w:r>
      <w:r w:rsidRPr="00293C38">
        <w:t>CFR § 27.14(g)(1).</w:t>
      </w:r>
    </w:p>
  </w:footnote>
  <w:footnote w:id="68">
    <w:p w:rsidR="008641C5" w:rsidRPr="00293C38" w:rsidRDefault="008641C5" w:rsidP="00293C38">
      <w:pPr>
        <w:autoSpaceDE w:val="0"/>
        <w:autoSpaceDN w:val="0"/>
        <w:adjustRightInd w:val="0"/>
        <w:spacing w:after="120"/>
      </w:pPr>
      <w:r w:rsidRPr="00293C38">
        <w:rPr>
          <w:rStyle w:val="FootnoteReference"/>
        </w:rPr>
        <w:footnoteRef/>
      </w:r>
      <w:r w:rsidRPr="00293C38">
        <w:t xml:space="preserve"> </w:t>
      </w:r>
      <w:r w:rsidRPr="00293C38">
        <w:rPr>
          <w:i/>
        </w:rPr>
        <w:t>700 MHz Construction and Reporting Requirements</w:t>
      </w:r>
      <w:r w:rsidRPr="00293C38">
        <w:t>, Public Notice, 26 FCC Rcd 16442, 16445 (WTB 2011) (</w:t>
      </w:r>
      <w:r w:rsidRPr="00293C38">
        <w:rPr>
          <w:i/>
        </w:rPr>
        <w:t>700 MHz Requirements Public Notice</w:t>
      </w:r>
      <w:r w:rsidRPr="00293C38">
        <w:t xml:space="preserve">).  </w:t>
      </w:r>
      <w:r w:rsidRPr="00293C38">
        <w:rPr>
          <w:i/>
        </w:rPr>
        <w:t xml:space="preserve">See also </w:t>
      </w:r>
      <w:r w:rsidRPr="00293C38">
        <w:t xml:space="preserve">47 CFR § 27.14(k).  Section 27.14(g)(1) states that licensees that fail to meet the interim construction requirement may be subject to enforcement action, including forfeitures.  47 CFR § 27.14(g)(1).  The </w:t>
      </w:r>
      <w:r w:rsidRPr="00293C38">
        <w:rPr>
          <w:i/>
        </w:rPr>
        <w:t xml:space="preserve">700 MHz Requirements Public Notice </w:t>
      </w:r>
      <w:r w:rsidRPr="00293C38">
        <w:t xml:space="preserve">explains that “licensees undertaking no meaningful efforts to build out their networks may lose the authority to operate in part of the remaining unserved areas of the license, at the Commission’s discretion.”  </w:t>
      </w:r>
      <w:r w:rsidRPr="00293C38">
        <w:rPr>
          <w:i/>
        </w:rPr>
        <w:t>700 MHz Requirements Public Notice</w:t>
      </w:r>
      <w:r w:rsidRPr="00293C38">
        <w:t>,</w:t>
      </w:r>
      <w:r w:rsidRPr="00293C38">
        <w:rPr>
          <w:i/>
        </w:rPr>
        <w:t xml:space="preserve"> </w:t>
      </w:r>
      <w:r w:rsidRPr="00293C38">
        <w:t>26 FCC Rcd at 16445.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69" w:rsidRDefault="005D2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4D" w:rsidRDefault="00FA47AE">
    <w:pPr>
      <w:pStyle w:val="Header"/>
    </w:pPr>
    <w:r>
      <w:t>T</w:t>
    </w:r>
    <w:r w:rsidR="00AC5C1C">
      <w:t>homas K</w:t>
    </w:r>
    <w:r>
      <w:t>. Kurian</w:t>
    </w:r>
  </w:p>
  <w:p w:rsidR="00FA47AE" w:rsidRDefault="00C8634D">
    <w:pPr>
      <w:pStyle w:val="Header"/>
    </w:pPr>
    <w:r>
      <w:t xml:space="preserve">Page </w:t>
    </w:r>
    <w:r w:rsidRPr="00C8634D">
      <w:rPr>
        <w:bCs/>
      </w:rPr>
      <w:fldChar w:fldCharType="begin"/>
    </w:r>
    <w:r w:rsidRPr="00C8634D">
      <w:rPr>
        <w:bCs/>
      </w:rPr>
      <w:instrText xml:space="preserve"> PAGE  \* Arabic  \* MERGEFORMAT </w:instrText>
    </w:r>
    <w:r w:rsidRPr="00C8634D">
      <w:rPr>
        <w:bCs/>
      </w:rPr>
      <w:fldChar w:fldCharType="separate"/>
    </w:r>
    <w:r w:rsidR="00DB5A9D">
      <w:rPr>
        <w:bCs/>
        <w:noProof/>
      </w:rPr>
      <w:t>2</w:t>
    </w:r>
    <w:r w:rsidRPr="00C8634D">
      <w:rPr>
        <w:bCs/>
      </w:rPr>
      <w:fldChar w:fldCharType="end"/>
    </w:r>
    <w:r w:rsidR="00FA47A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5" w:rsidRDefault="00DB5A9D">
    <w:pPr>
      <w:pStyle w:val="Header"/>
      <w:tabs>
        <w:tab w:val="clear" w:pos="4320"/>
        <w:tab w:val="clear" w:pos="8640"/>
      </w:tabs>
      <w:spacing w:before="360" w:line="228" w:lineRule="auto"/>
      <w:jc w:val="center"/>
    </w:pPr>
    <w:r>
      <w:rPr>
        <w:rFonts w:ascii="CG Times (W1)" w:hAnsi="CG Times (W1)"/>
        <w:sz w:val="28"/>
      </w:rPr>
      <w:pict w14:anchorId="73BBA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49" DrawAspect="Content" ObjectID="_1563623137" r:id="rId2"/>
      </w:pict>
    </w:r>
    <w:r w:rsidR="008641C5">
      <w:rPr>
        <w:rFonts w:ascii="CG Times (W1)" w:hAnsi="CG Times (W1)"/>
        <w:sz w:val="28"/>
      </w:rPr>
      <w:t>Federal Communications Commission</w:t>
    </w:r>
  </w:p>
  <w:p w:rsidR="008641C5" w:rsidRDefault="008641C5">
    <w:pPr>
      <w:jc w:val="center"/>
    </w:pPr>
    <w:r>
      <w:rPr>
        <w:rFonts w:ascii="CG Times (W1)" w:hAnsi="CG Times (W1)"/>
        <w:sz w:val="28"/>
      </w:rPr>
      <w:t>Washington, D.C. 20554</w:t>
    </w:r>
  </w:p>
  <w:p w:rsidR="008641C5" w:rsidRDefault="008641C5">
    <w:pPr>
      <w:pStyle w:val="Header"/>
      <w:tabs>
        <w:tab w:val="clear" w:pos="4320"/>
      </w:tabs>
      <w:jc w:val="center"/>
      <w:rPr>
        <w:sz w:val="22"/>
      </w:rPr>
    </w:pPr>
  </w:p>
  <w:p w:rsidR="008641C5" w:rsidRPr="00E30660" w:rsidRDefault="00856CF7" w:rsidP="008209C9">
    <w:pPr>
      <w:pStyle w:val="Header"/>
      <w:tabs>
        <w:tab w:val="clear" w:pos="4320"/>
      </w:tabs>
      <w:jc w:val="center"/>
      <w:rPr>
        <w:sz w:val="22"/>
        <w:szCs w:val="22"/>
      </w:rPr>
    </w:pPr>
    <w:r>
      <w:rPr>
        <w:sz w:val="22"/>
        <w:szCs w:val="22"/>
      </w:rPr>
      <w:t>August</w:t>
    </w:r>
    <w:r w:rsidR="008641C5">
      <w:rPr>
        <w:sz w:val="22"/>
        <w:szCs w:val="22"/>
      </w:rPr>
      <w:t xml:space="preserve"> </w:t>
    </w:r>
    <w:r w:rsidR="00B57B62">
      <w:rPr>
        <w:sz w:val="22"/>
        <w:szCs w:val="22"/>
      </w:rPr>
      <w:t>07,</w:t>
    </w:r>
    <w:r w:rsidR="008641C5">
      <w:rPr>
        <w:sz w:val="22"/>
        <w:szCs w:val="22"/>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1E8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1BE"/>
    <w:multiLevelType w:val="hybridMultilevel"/>
    <w:tmpl w:val="A26C8556"/>
    <w:lvl w:ilvl="0" w:tplc="BF8CFF98">
      <w:start w:val="1"/>
      <w:numFmt w:val="decimal"/>
      <w:lvlText w:val="%1."/>
      <w:lvlJc w:val="left"/>
      <w:pPr>
        <w:ind w:left="1080" w:hanging="360"/>
      </w:pPr>
      <w:rPr>
        <w:rFonts w:hint="default"/>
        <w:b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A117E"/>
    <w:multiLevelType w:val="hybridMultilevel"/>
    <w:tmpl w:val="65B08B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2E4026D"/>
    <w:multiLevelType w:val="hybridMultilevel"/>
    <w:tmpl w:val="4F5C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832D9"/>
    <w:multiLevelType w:val="hybridMultilevel"/>
    <w:tmpl w:val="246E0D4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65C3375"/>
    <w:multiLevelType w:val="hybridMultilevel"/>
    <w:tmpl w:val="BA8C11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0C862C21"/>
    <w:multiLevelType w:val="hybridMultilevel"/>
    <w:tmpl w:val="A03A7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17119"/>
    <w:multiLevelType w:val="hybridMultilevel"/>
    <w:tmpl w:val="1D62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87405"/>
    <w:multiLevelType w:val="hybridMultilevel"/>
    <w:tmpl w:val="6136D1E8"/>
    <w:lvl w:ilvl="0" w:tplc="14D4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BB1142"/>
    <w:multiLevelType w:val="hybridMultilevel"/>
    <w:tmpl w:val="7792A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697756"/>
    <w:multiLevelType w:val="hybridMultilevel"/>
    <w:tmpl w:val="2DB28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27631"/>
    <w:multiLevelType w:val="hybridMultilevel"/>
    <w:tmpl w:val="8990039E"/>
    <w:lvl w:ilvl="0" w:tplc="23A855D0">
      <w:start w:val="1"/>
      <w:numFmt w:val="upperRoman"/>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50017A1"/>
    <w:multiLevelType w:val="hybridMultilevel"/>
    <w:tmpl w:val="B7D2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8132869"/>
    <w:multiLevelType w:val="hybridMultilevel"/>
    <w:tmpl w:val="0C6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3340C"/>
    <w:multiLevelType w:val="hybridMultilevel"/>
    <w:tmpl w:val="DC90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74260AE">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917B2"/>
    <w:multiLevelType w:val="hybridMultilevel"/>
    <w:tmpl w:val="610A3B20"/>
    <w:lvl w:ilvl="0" w:tplc="B16C010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C6AF0"/>
    <w:multiLevelType w:val="hybridMultilevel"/>
    <w:tmpl w:val="92901ED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A395286"/>
    <w:multiLevelType w:val="hybridMultilevel"/>
    <w:tmpl w:val="A59CE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E2C7A"/>
    <w:multiLevelType w:val="hybridMultilevel"/>
    <w:tmpl w:val="614038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1744736"/>
    <w:multiLevelType w:val="hybridMultilevel"/>
    <w:tmpl w:val="41D05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0F030C"/>
    <w:multiLevelType w:val="hybridMultilevel"/>
    <w:tmpl w:val="3EEA1F16"/>
    <w:lvl w:ilvl="0" w:tplc="04090001">
      <w:start w:val="1"/>
      <w:numFmt w:val="bullet"/>
      <w:lvlText w:val=""/>
      <w:lvlJc w:val="left"/>
      <w:pPr>
        <w:ind w:left="3804" w:hanging="360"/>
      </w:pPr>
      <w:rPr>
        <w:rFonts w:ascii="Symbol" w:hAnsi="Symbol" w:hint="default"/>
      </w:rPr>
    </w:lvl>
    <w:lvl w:ilvl="1" w:tplc="04090003" w:tentative="1">
      <w:start w:val="1"/>
      <w:numFmt w:val="bullet"/>
      <w:lvlText w:val="o"/>
      <w:lvlJc w:val="left"/>
      <w:pPr>
        <w:ind w:left="4524" w:hanging="360"/>
      </w:pPr>
      <w:rPr>
        <w:rFonts w:ascii="Courier New" w:hAnsi="Courier New" w:cs="Courier New" w:hint="default"/>
      </w:rPr>
    </w:lvl>
    <w:lvl w:ilvl="2" w:tplc="04090005" w:tentative="1">
      <w:start w:val="1"/>
      <w:numFmt w:val="bullet"/>
      <w:lvlText w:val=""/>
      <w:lvlJc w:val="left"/>
      <w:pPr>
        <w:ind w:left="5244" w:hanging="360"/>
      </w:pPr>
      <w:rPr>
        <w:rFonts w:ascii="Wingdings" w:hAnsi="Wingdings" w:hint="default"/>
      </w:rPr>
    </w:lvl>
    <w:lvl w:ilvl="3" w:tplc="04090001" w:tentative="1">
      <w:start w:val="1"/>
      <w:numFmt w:val="bullet"/>
      <w:lvlText w:val=""/>
      <w:lvlJc w:val="left"/>
      <w:pPr>
        <w:ind w:left="5964" w:hanging="360"/>
      </w:pPr>
      <w:rPr>
        <w:rFonts w:ascii="Symbol" w:hAnsi="Symbol" w:hint="default"/>
      </w:rPr>
    </w:lvl>
    <w:lvl w:ilvl="4" w:tplc="04090003" w:tentative="1">
      <w:start w:val="1"/>
      <w:numFmt w:val="bullet"/>
      <w:lvlText w:val="o"/>
      <w:lvlJc w:val="left"/>
      <w:pPr>
        <w:ind w:left="6684" w:hanging="360"/>
      </w:pPr>
      <w:rPr>
        <w:rFonts w:ascii="Courier New" w:hAnsi="Courier New" w:cs="Courier New" w:hint="default"/>
      </w:rPr>
    </w:lvl>
    <w:lvl w:ilvl="5" w:tplc="04090005" w:tentative="1">
      <w:start w:val="1"/>
      <w:numFmt w:val="bullet"/>
      <w:lvlText w:val=""/>
      <w:lvlJc w:val="left"/>
      <w:pPr>
        <w:ind w:left="7404" w:hanging="360"/>
      </w:pPr>
      <w:rPr>
        <w:rFonts w:ascii="Wingdings" w:hAnsi="Wingdings" w:hint="default"/>
      </w:rPr>
    </w:lvl>
    <w:lvl w:ilvl="6" w:tplc="04090001" w:tentative="1">
      <w:start w:val="1"/>
      <w:numFmt w:val="bullet"/>
      <w:lvlText w:val=""/>
      <w:lvlJc w:val="left"/>
      <w:pPr>
        <w:ind w:left="8124" w:hanging="360"/>
      </w:pPr>
      <w:rPr>
        <w:rFonts w:ascii="Symbol" w:hAnsi="Symbol" w:hint="default"/>
      </w:rPr>
    </w:lvl>
    <w:lvl w:ilvl="7" w:tplc="04090003" w:tentative="1">
      <w:start w:val="1"/>
      <w:numFmt w:val="bullet"/>
      <w:lvlText w:val="o"/>
      <w:lvlJc w:val="left"/>
      <w:pPr>
        <w:ind w:left="8844" w:hanging="360"/>
      </w:pPr>
      <w:rPr>
        <w:rFonts w:ascii="Courier New" w:hAnsi="Courier New" w:cs="Courier New" w:hint="default"/>
      </w:rPr>
    </w:lvl>
    <w:lvl w:ilvl="8" w:tplc="04090005" w:tentative="1">
      <w:start w:val="1"/>
      <w:numFmt w:val="bullet"/>
      <w:lvlText w:val=""/>
      <w:lvlJc w:val="left"/>
      <w:pPr>
        <w:ind w:left="9564" w:hanging="360"/>
      </w:pPr>
      <w:rPr>
        <w:rFonts w:ascii="Wingdings" w:hAnsi="Wingdings" w:hint="default"/>
      </w:rPr>
    </w:lvl>
  </w:abstractNum>
  <w:abstractNum w:abstractNumId="24">
    <w:nsid w:val="49B740B5"/>
    <w:multiLevelType w:val="hybridMultilevel"/>
    <w:tmpl w:val="2B409F1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19504DA"/>
    <w:multiLevelType w:val="hybridMultilevel"/>
    <w:tmpl w:val="D4066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7">
    <w:nsid w:val="54906B5E"/>
    <w:multiLevelType w:val="hybridMultilevel"/>
    <w:tmpl w:val="6114B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21744"/>
    <w:multiLevelType w:val="hybridMultilevel"/>
    <w:tmpl w:val="83E2067C"/>
    <w:lvl w:ilvl="0" w:tplc="2D28D3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8503F"/>
    <w:multiLevelType w:val="hybridMultilevel"/>
    <w:tmpl w:val="9F5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F62D7"/>
    <w:multiLevelType w:val="hybridMultilevel"/>
    <w:tmpl w:val="2554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82925"/>
    <w:multiLevelType w:val="singleLevel"/>
    <w:tmpl w:val="E89EA4A4"/>
    <w:lvl w:ilvl="0">
      <w:start w:val="1"/>
      <w:numFmt w:val="decimal"/>
      <w:lvlText w:val="%1."/>
      <w:lvlJc w:val="left"/>
      <w:pPr>
        <w:tabs>
          <w:tab w:val="num" w:pos="1080"/>
        </w:tabs>
        <w:ind w:left="0" w:firstLine="720"/>
      </w:pPr>
      <w:rPr>
        <w:b w:val="0"/>
      </w:rPr>
    </w:lvl>
  </w:abstractNum>
  <w:abstractNum w:abstractNumId="32">
    <w:nsid w:val="65BC2DBC"/>
    <w:multiLevelType w:val="hybridMultilevel"/>
    <w:tmpl w:val="6BCC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6A18E2"/>
    <w:multiLevelType w:val="hybridMultilevel"/>
    <w:tmpl w:val="519411CA"/>
    <w:lvl w:ilvl="0" w:tplc="04090011">
      <w:start w:val="1"/>
      <w:numFmt w:val="decimal"/>
      <w:lvlText w:val="%1)"/>
      <w:lvlJc w:val="left"/>
      <w:pPr>
        <w:ind w:left="720" w:hanging="360"/>
      </w:pPr>
      <w:rPr>
        <w:rFonts w:hint="default"/>
      </w:rPr>
    </w:lvl>
    <w:lvl w:ilvl="1" w:tplc="C7C8B6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5">
    <w:nsid w:val="7A4217E0"/>
    <w:multiLevelType w:val="hybridMultilevel"/>
    <w:tmpl w:val="12F0BDE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E9E5D62">
      <w:start w:val="5"/>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44365"/>
    <w:multiLevelType w:val="hybridMultilevel"/>
    <w:tmpl w:val="682CD08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7">
    <w:nsid w:val="7F0A06F8"/>
    <w:multiLevelType w:val="hybridMultilevel"/>
    <w:tmpl w:val="5F90A5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1"/>
  </w:num>
  <w:num w:numId="2">
    <w:abstractNumId w:val="31"/>
  </w:num>
  <w:num w:numId="3">
    <w:abstractNumId w:val="11"/>
  </w:num>
  <w:num w:numId="4">
    <w:abstractNumId w:val="1"/>
  </w:num>
  <w:num w:numId="5">
    <w:abstractNumId w:val="35"/>
  </w:num>
  <w:num w:numId="6">
    <w:abstractNumId w:val="28"/>
  </w:num>
  <w:num w:numId="7">
    <w:abstractNumId w:val="14"/>
  </w:num>
  <w:num w:numId="8">
    <w:abstractNumId w:val="12"/>
  </w:num>
  <w:num w:numId="9">
    <w:abstractNumId w:val="26"/>
  </w:num>
  <w:num w:numId="10">
    <w:abstractNumId w:val="34"/>
  </w:num>
  <w:num w:numId="11">
    <w:abstractNumId w:val="0"/>
  </w:num>
  <w:num w:numId="12">
    <w:abstractNumId w:val="15"/>
  </w:num>
  <w:num w:numId="13">
    <w:abstractNumId w:val="31"/>
    <w:lvlOverride w:ilvl="0">
      <w:startOverride w:val="1"/>
    </w:lvlOverride>
  </w:num>
  <w:num w:numId="14">
    <w:abstractNumId w:val="31"/>
    <w:lvlOverride w:ilvl="0">
      <w:startOverride w:val="1"/>
    </w:lvlOverride>
  </w:num>
  <w:num w:numId="15">
    <w:abstractNumId w:val="23"/>
  </w:num>
  <w:num w:numId="16">
    <w:abstractNumId w:val="5"/>
  </w:num>
  <w:num w:numId="17">
    <w:abstractNumId w:val="31"/>
    <w:lvlOverride w:ilvl="0">
      <w:startOverride w:val="1"/>
    </w:lvlOverride>
  </w:num>
  <w:num w:numId="18">
    <w:abstractNumId w:val="36"/>
  </w:num>
  <w:num w:numId="19">
    <w:abstractNumId w:val="6"/>
  </w:num>
  <w:num w:numId="20">
    <w:abstractNumId w:val="25"/>
  </w:num>
  <w:num w:numId="21">
    <w:abstractNumId w:val="33"/>
  </w:num>
  <w:num w:numId="22">
    <w:abstractNumId w:val="28"/>
    <w:lvlOverride w:ilvl="0">
      <w:startOverride w:val="1"/>
    </w:lvlOverride>
  </w:num>
  <w:num w:numId="23">
    <w:abstractNumId w:val="8"/>
  </w:num>
  <w:num w:numId="24">
    <w:abstractNumId w:val="10"/>
  </w:num>
  <w:num w:numId="25">
    <w:abstractNumId w:val="28"/>
  </w:num>
  <w:num w:numId="26">
    <w:abstractNumId w:val="27"/>
  </w:num>
  <w:num w:numId="27">
    <w:abstractNumId w:val="30"/>
  </w:num>
  <w:num w:numId="28">
    <w:abstractNumId w:val="29"/>
  </w:num>
  <w:num w:numId="29">
    <w:abstractNumId w:val="7"/>
  </w:num>
  <w:num w:numId="30">
    <w:abstractNumId w:val="36"/>
  </w:num>
  <w:num w:numId="31">
    <w:abstractNumId w:val="4"/>
  </w:num>
  <w:num w:numId="32">
    <w:abstractNumId w:val="3"/>
  </w:num>
  <w:num w:numId="33">
    <w:abstractNumId w:val="22"/>
  </w:num>
  <w:num w:numId="34">
    <w:abstractNumId w:val="16"/>
  </w:num>
  <w:num w:numId="35">
    <w:abstractNumId w:val="9"/>
  </w:num>
  <w:num w:numId="36">
    <w:abstractNumId w:val="2"/>
  </w:num>
  <w:num w:numId="37">
    <w:abstractNumId w:val="19"/>
  </w:num>
  <w:num w:numId="38">
    <w:abstractNumId w:val="18"/>
  </w:num>
  <w:num w:numId="39">
    <w:abstractNumId w:val="24"/>
  </w:num>
  <w:num w:numId="40">
    <w:abstractNumId w:val="37"/>
  </w:num>
  <w:num w:numId="41">
    <w:abstractNumId w:val="17"/>
  </w:num>
  <w:num w:numId="42">
    <w:abstractNumId w:val="13"/>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60"/>
    <w:rsid w:val="0000048C"/>
    <w:rsid w:val="00002580"/>
    <w:rsid w:val="00002958"/>
    <w:rsid w:val="00003D43"/>
    <w:rsid w:val="00005933"/>
    <w:rsid w:val="00005AD3"/>
    <w:rsid w:val="00006772"/>
    <w:rsid w:val="00007A70"/>
    <w:rsid w:val="0001053F"/>
    <w:rsid w:val="0001094C"/>
    <w:rsid w:val="00010B40"/>
    <w:rsid w:val="000116EE"/>
    <w:rsid w:val="00011C6F"/>
    <w:rsid w:val="000125C3"/>
    <w:rsid w:val="0001293A"/>
    <w:rsid w:val="00012C45"/>
    <w:rsid w:val="00012CDE"/>
    <w:rsid w:val="000138F4"/>
    <w:rsid w:val="00013918"/>
    <w:rsid w:val="00013F9F"/>
    <w:rsid w:val="000146BB"/>
    <w:rsid w:val="00017978"/>
    <w:rsid w:val="00017E13"/>
    <w:rsid w:val="00021969"/>
    <w:rsid w:val="00021AA3"/>
    <w:rsid w:val="00023B40"/>
    <w:rsid w:val="00025345"/>
    <w:rsid w:val="0002591F"/>
    <w:rsid w:val="00025934"/>
    <w:rsid w:val="0002600A"/>
    <w:rsid w:val="000260BC"/>
    <w:rsid w:val="00026578"/>
    <w:rsid w:val="00026E1E"/>
    <w:rsid w:val="00026F5C"/>
    <w:rsid w:val="000271EB"/>
    <w:rsid w:val="000340D0"/>
    <w:rsid w:val="00036505"/>
    <w:rsid w:val="00037B8E"/>
    <w:rsid w:val="00041330"/>
    <w:rsid w:val="000413C7"/>
    <w:rsid w:val="00041426"/>
    <w:rsid w:val="000417FE"/>
    <w:rsid w:val="00041B05"/>
    <w:rsid w:val="00042459"/>
    <w:rsid w:val="00042DC7"/>
    <w:rsid w:val="00051384"/>
    <w:rsid w:val="00052E27"/>
    <w:rsid w:val="000531B1"/>
    <w:rsid w:val="000532E1"/>
    <w:rsid w:val="00053537"/>
    <w:rsid w:val="0005589A"/>
    <w:rsid w:val="00056F09"/>
    <w:rsid w:val="00057D9A"/>
    <w:rsid w:val="00060066"/>
    <w:rsid w:val="000608D7"/>
    <w:rsid w:val="00060E48"/>
    <w:rsid w:val="00060EC8"/>
    <w:rsid w:val="00062102"/>
    <w:rsid w:val="000626F4"/>
    <w:rsid w:val="00062F82"/>
    <w:rsid w:val="000636BA"/>
    <w:rsid w:val="00064A8C"/>
    <w:rsid w:val="00065302"/>
    <w:rsid w:val="00065F96"/>
    <w:rsid w:val="00066572"/>
    <w:rsid w:val="00070C15"/>
    <w:rsid w:val="00070CC4"/>
    <w:rsid w:val="000714BA"/>
    <w:rsid w:val="00072C7E"/>
    <w:rsid w:val="0007301D"/>
    <w:rsid w:val="00073298"/>
    <w:rsid w:val="00074B13"/>
    <w:rsid w:val="00074E0F"/>
    <w:rsid w:val="000750D7"/>
    <w:rsid w:val="00076928"/>
    <w:rsid w:val="00081932"/>
    <w:rsid w:val="0008388D"/>
    <w:rsid w:val="000839A1"/>
    <w:rsid w:val="000871D9"/>
    <w:rsid w:val="00087415"/>
    <w:rsid w:val="00087ED6"/>
    <w:rsid w:val="00091885"/>
    <w:rsid w:val="00092305"/>
    <w:rsid w:val="0009264D"/>
    <w:rsid w:val="0009275E"/>
    <w:rsid w:val="00092CEE"/>
    <w:rsid w:val="000A103D"/>
    <w:rsid w:val="000A226C"/>
    <w:rsid w:val="000A3DEB"/>
    <w:rsid w:val="000A5365"/>
    <w:rsid w:val="000A5D20"/>
    <w:rsid w:val="000A62C8"/>
    <w:rsid w:val="000A71A7"/>
    <w:rsid w:val="000A7780"/>
    <w:rsid w:val="000A7B6B"/>
    <w:rsid w:val="000B028A"/>
    <w:rsid w:val="000B1338"/>
    <w:rsid w:val="000B15D2"/>
    <w:rsid w:val="000B2E96"/>
    <w:rsid w:val="000B3277"/>
    <w:rsid w:val="000B3A26"/>
    <w:rsid w:val="000B3CED"/>
    <w:rsid w:val="000B4C4B"/>
    <w:rsid w:val="000B5543"/>
    <w:rsid w:val="000C0ADC"/>
    <w:rsid w:val="000C0DF7"/>
    <w:rsid w:val="000C0ED1"/>
    <w:rsid w:val="000C16CE"/>
    <w:rsid w:val="000C1A57"/>
    <w:rsid w:val="000C2380"/>
    <w:rsid w:val="000C3E4A"/>
    <w:rsid w:val="000C625F"/>
    <w:rsid w:val="000C784D"/>
    <w:rsid w:val="000C78FC"/>
    <w:rsid w:val="000C7A7D"/>
    <w:rsid w:val="000D1B23"/>
    <w:rsid w:val="000D1C26"/>
    <w:rsid w:val="000D2130"/>
    <w:rsid w:val="000D2281"/>
    <w:rsid w:val="000D3878"/>
    <w:rsid w:val="000D3B12"/>
    <w:rsid w:val="000D4955"/>
    <w:rsid w:val="000D6823"/>
    <w:rsid w:val="000D77BB"/>
    <w:rsid w:val="000E0ECA"/>
    <w:rsid w:val="000E19B2"/>
    <w:rsid w:val="000E2ECC"/>
    <w:rsid w:val="000E476C"/>
    <w:rsid w:val="000E64B4"/>
    <w:rsid w:val="000E6913"/>
    <w:rsid w:val="000E7DF6"/>
    <w:rsid w:val="000F12CB"/>
    <w:rsid w:val="000F174A"/>
    <w:rsid w:val="000F1901"/>
    <w:rsid w:val="000F1F94"/>
    <w:rsid w:val="000F457A"/>
    <w:rsid w:val="000F576A"/>
    <w:rsid w:val="000F5F63"/>
    <w:rsid w:val="001029E5"/>
    <w:rsid w:val="0010491A"/>
    <w:rsid w:val="001053D7"/>
    <w:rsid w:val="00106CBC"/>
    <w:rsid w:val="00107536"/>
    <w:rsid w:val="001079E1"/>
    <w:rsid w:val="00107F66"/>
    <w:rsid w:val="00110315"/>
    <w:rsid w:val="001106C3"/>
    <w:rsid w:val="001107B5"/>
    <w:rsid w:val="001112FE"/>
    <w:rsid w:val="0011199F"/>
    <w:rsid w:val="00111D23"/>
    <w:rsid w:val="001131F8"/>
    <w:rsid w:val="00114D52"/>
    <w:rsid w:val="001151DD"/>
    <w:rsid w:val="00115828"/>
    <w:rsid w:val="00116903"/>
    <w:rsid w:val="001173B4"/>
    <w:rsid w:val="0011755A"/>
    <w:rsid w:val="00117F7B"/>
    <w:rsid w:val="00122326"/>
    <w:rsid w:val="00122A7F"/>
    <w:rsid w:val="001242A3"/>
    <w:rsid w:val="00126182"/>
    <w:rsid w:val="00126C33"/>
    <w:rsid w:val="00130382"/>
    <w:rsid w:val="00130C1D"/>
    <w:rsid w:val="001329CF"/>
    <w:rsid w:val="00132EB1"/>
    <w:rsid w:val="00133337"/>
    <w:rsid w:val="001336FE"/>
    <w:rsid w:val="00134877"/>
    <w:rsid w:val="001351BC"/>
    <w:rsid w:val="00136E96"/>
    <w:rsid w:val="001401F1"/>
    <w:rsid w:val="00141240"/>
    <w:rsid w:val="00142AA0"/>
    <w:rsid w:val="0014309E"/>
    <w:rsid w:val="00145F6D"/>
    <w:rsid w:val="00151625"/>
    <w:rsid w:val="0015198A"/>
    <w:rsid w:val="00153847"/>
    <w:rsid w:val="00153D8F"/>
    <w:rsid w:val="00156986"/>
    <w:rsid w:val="00157E65"/>
    <w:rsid w:val="001630B3"/>
    <w:rsid w:val="00163B86"/>
    <w:rsid w:val="00167067"/>
    <w:rsid w:val="0017063C"/>
    <w:rsid w:val="00171A41"/>
    <w:rsid w:val="00171B22"/>
    <w:rsid w:val="00174FF7"/>
    <w:rsid w:val="001758C5"/>
    <w:rsid w:val="0017591E"/>
    <w:rsid w:val="001775F4"/>
    <w:rsid w:val="00177D42"/>
    <w:rsid w:val="001809C1"/>
    <w:rsid w:val="001826B8"/>
    <w:rsid w:val="001836F8"/>
    <w:rsid w:val="00183C24"/>
    <w:rsid w:val="00184748"/>
    <w:rsid w:val="00184BA9"/>
    <w:rsid w:val="001858C3"/>
    <w:rsid w:val="00186026"/>
    <w:rsid w:val="00186348"/>
    <w:rsid w:val="001865FC"/>
    <w:rsid w:val="00187A6F"/>
    <w:rsid w:val="001912CA"/>
    <w:rsid w:val="0019228F"/>
    <w:rsid w:val="0019284B"/>
    <w:rsid w:val="001939D8"/>
    <w:rsid w:val="0019699F"/>
    <w:rsid w:val="00197B77"/>
    <w:rsid w:val="00197F04"/>
    <w:rsid w:val="00197FC4"/>
    <w:rsid w:val="001A0595"/>
    <w:rsid w:val="001A0EAE"/>
    <w:rsid w:val="001A1198"/>
    <w:rsid w:val="001A2DB4"/>
    <w:rsid w:val="001A339C"/>
    <w:rsid w:val="001A395F"/>
    <w:rsid w:val="001A39BE"/>
    <w:rsid w:val="001A428E"/>
    <w:rsid w:val="001A4807"/>
    <w:rsid w:val="001A51BC"/>
    <w:rsid w:val="001A54A0"/>
    <w:rsid w:val="001B0338"/>
    <w:rsid w:val="001B06EC"/>
    <w:rsid w:val="001B0F95"/>
    <w:rsid w:val="001B16C5"/>
    <w:rsid w:val="001B1CD8"/>
    <w:rsid w:val="001B2320"/>
    <w:rsid w:val="001B2EED"/>
    <w:rsid w:val="001B4D0A"/>
    <w:rsid w:val="001B5909"/>
    <w:rsid w:val="001B6361"/>
    <w:rsid w:val="001B6C20"/>
    <w:rsid w:val="001B6E75"/>
    <w:rsid w:val="001C2022"/>
    <w:rsid w:val="001C2778"/>
    <w:rsid w:val="001C2F65"/>
    <w:rsid w:val="001C4564"/>
    <w:rsid w:val="001C4AFD"/>
    <w:rsid w:val="001C4E5B"/>
    <w:rsid w:val="001C5482"/>
    <w:rsid w:val="001C6B82"/>
    <w:rsid w:val="001C6C22"/>
    <w:rsid w:val="001C7C16"/>
    <w:rsid w:val="001D098B"/>
    <w:rsid w:val="001D1B0C"/>
    <w:rsid w:val="001D3141"/>
    <w:rsid w:val="001D321C"/>
    <w:rsid w:val="001D48AB"/>
    <w:rsid w:val="001D4ADD"/>
    <w:rsid w:val="001D4B1E"/>
    <w:rsid w:val="001D4BB5"/>
    <w:rsid w:val="001D4BE4"/>
    <w:rsid w:val="001D50D8"/>
    <w:rsid w:val="001D51AC"/>
    <w:rsid w:val="001D5480"/>
    <w:rsid w:val="001D57F5"/>
    <w:rsid w:val="001D6B85"/>
    <w:rsid w:val="001D6EEA"/>
    <w:rsid w:val="001D7465"/>
    <w:rsid w:val="001E01B0"/>
    <w:rsid w:val="001E10A7"/>
    <w:rsid w:val="001E47E5"/>
    <w:rsid w:val="001E60B2"/>
    <w:rsid w:val="001E68D7"/>
    <w:rsid w:val="001E6943"/>
    <w:rsid w:val="001E6D48"/>
    <w:rsid w:val="001E7D49"/>
    <w:rsid w:val="001F03C3"/>
    <w:rsid w:val="001F0425"/>
    <w:rsid w:val="001F228D"/>
    <w:rsid w:val="001F2746"/>
    <w:rsid w:val="001F27E4"/>
    <w:rsid w:val="001F2FFD"/>
    <w:rsid w:val="001F4B62"/>
    <w:rsid w:val="001F60A6"/>
    <w:rsid w:val="001F60D7"/>
    <w:rsid w:val="001F6DD7"/>
    <w:rsid w:val="00200384"/>
    <w:rsid w:val="00201358"/>
    <w:rsid w:val="0020162F"/>
    <w:rsid w:val="00201A78"/>
    <w:rsid w:val="00201D0F"/>
    <w:rsid w:val="00202354"/>
    <w:rsid w:val="002031EF"/>
    <w:rsid w:val="0020740A"/>
    <w:rsid w:val="00207BD8"/>
    <w:rsid w:val="002100A7"/>
    <w:rsid w:val="00212239"/>
    <w:rsid w:val="002129AA"/>
    <w:rsid w:val="00212E1C"/>
    <w:rsid w:val="002140E4"/>
    <w:rsid w:val="0021583A"/>
    <w:rsid w:val="00215A0F"/>
    <w:rsid w:val="00216082"/>
    <w:rsid w:val="00216560"/>
    <w:rsid w:val="00216B81"/>
    <w:rsid w:val="00216E6D"/>
    <w:rsid w:val="002210B5"/>
    <w:rsid w:val="00221161"/>
    <w:rsid w:val="002220F2"/>
    <w:rsid w:val="00223139"/>
    <w:rsid w:val="002235EF"/>
    <w:rsid w:val="00225011"/>
    <w:rsid w:val="002258DE"/>
    <w:rsid w:val="00225C22"/>
    <w:rsid w:val="00232F09"/>
    <w:rsid w:val="0023325F"/>
    <w:rsid w:val="0023396B"/>
    <w:rsid w:val="00234823"/>
    <w:rsid w:val="00240526"/>
    <w:rsid w:val="002405D7"/>
    <w:rsid w:val="002413B1"/>
    <w:rsid w:val="0024472C"/>
    <w:rsid w:val="00244CCE"/>
    <w:rsid w:val="00245DE7"/>
    <w:rsid w:val="00246882"/>
    <w:rsid w:val="00246A64"/>
    <w:rsid w:val="002474E0"/>
    <w:rsid w:val="002510BF"/>
    <w:rsid w:val="0025134E"/>
    <w:rsid w:val="00252634"/>
    <w:rsid w:val="00252AFB"/>
    <w:rsid w:val="00252BA0"/>
    <w:rsid w:val="00254584"/>
    <w:rsid w:val="00254AA5"/>
    <w:rsid w:val="00254B49"/>
    <w:rsid w:val="00255ABA"/>
    <w:rsid w:val="0025773A"/>
    <w:rsid w:val="00257A3D"/>
    <w:rsid w:val="00261362"/>
    <w:rsid w:val="00261AC1"/>
    <w:rsid w:val="00263D67"/>
    <w:rsid w:val="00263DE2"/>
    <w:rsid w:val="0026443F"/>
    <w:rsid w:val="002654F8"/>
    <w:rsid w:val="00265AA3"/>
    <w:rsid w:val="0026661D"/>
    <w:rsid w:val="002666B1"/>
    <w:rsid w:val="00271A22"/>
    <w:rsid w:val="002743BA"/>
    <w:rsid w:val="00274C13"/>
    <w:rsid w:val="002807F9"/>
    <w:rsid w:val="00280D5B"/>
    <w:rsid w:val="0028174B"/>
    <w:rsid w:val="00283583"/>
    <w:rsid w:val="00283935"/>
    <w:rsid w:val="00286C8C"/>
    <w:rsid w:val="00293318"/>
    <w:rsid w:val="00293C38"/>
    <w:rsid w:val="0029423B"/>
    <w:rsid w:val="00294D62"/>
    <w:rsid w:val="00297792"/>
    <w:rsid w:val="00297A80"/>
    <w:rsid w:val="00297DF2"/>
    <w:rsid w:val="002A1BE6"/>
    <w:rsid w:val="002A23D2"/>
    <w:rsid w:val="002A50B6"/>
    <w:rsid w:val="002A62D0"/>
    <w:rsid w:val="002B02FB"/>
    <w:rsid w:val="002B0946"/>
    <w:rsid w:val="002B0A19"/>
    <w:rsid w:val="002B247F"/>
    <w:rsid w:val="002B2660"/>
    <w:rsid w:val="002B27E4"/>
    <w:rsid w:val="002B2CD5"/>
    <w:rsid w:val="002B3D84"/>
    <w:rsid w:val="002B47F9"/>
    <w:rsid w:val="002B52CA"/>
    <w:rsid w:val="002B5667"/>
    <w:rsid w:val="002B64FB"/>
    <w:rsid w:val="002B75F6"/>
    <w:rsid w:val="002C078F"/>
    <w:rsid w:val="002C133A"/>
    <w:rsid w:val="002C1CA8"/>
    <w:rsid w:val="002C1FFD"/>
    <w:rsid w:val="002C251C"/>
    <w:rsid w:val="002C27EF"/>
    <w:rsid w:val="002C4A40"/>
    <w:rsid w:val="002C4AF0"/>
    <w:rsid w:val="002C4C11"/>
    <w:rsid w:val="002C60AC"/>
    <w:rsid w:val="002C6974"/>
    <w:rsid w:val="002C6C0A"/>
    <w:rsid w:val="002C7297"/>
    <w:rsid w:val="002C7688"/>
    <w:rsid w:val="002C770F"/>
    <w:rsid w:val="002C7AEB"/>
    <w:rsid w:val="002D025F"/>
    <w:rsid w:val="002D06A3"/>
    <w:rsid w:val="002D0829"/>
    <w:rsid w:val="002D0D24"/>
    <w:rsid w:val="002D3ACA"/>
    <w:rsid w:val="002D4BE0"/>
    <w:rsid w:val="002D5D09"/>
    <w:rsid w:val="002D6995"/>
    <w:rsid w:val="002D70DC"/>
    <w:rsid w:val="002D7FBC"/>
    <w:rsid w:val="002E0110"/>
    <w:rsid w:val="002E217E"/>
    <w:rsid w:val="002E67B7"/>
    <w:rsid w:val="002E6E12"/>
    <w:rsid w:val="002E7905"/>
    <w:rsid w:val="002E7BB8"/>
    <w:rsid w:val="002E7DA0"/>
    <w:rsid w:val="002F0B00"/>
    <w:rsid w:val="002F0D1D"/>
    <w:rsid w:val="002F1297"/>
    <w:rsid w:val="002F1942"/>
    <w:rsid w:val="002F2AA8"/>
    <w:rsid w:val="002F3013"/>
    <w:rsid w:val="002F3509"/>
    <w:rsid w:val="002F3542"/>
    <w:rsid w:val="002F3D9A"/>
    <w:rsid w:val="002F5945"/>
    <w:rsid w:val="002F7497"/>
    <w:rsid w:val="0030006B"/>
    <w:rsid w:val="00300652"/>
    <w:rsid w:val="00300ED5"/>
    <w:rsid w:val="00302A57"/>
    <w:rsid w:val="00302EE7"/>
    <w:rsid w:val="00303BEA"/>
    <w:rsid w:val="00304071"/>
    <w:rsid w:val="003047DC"/>
    <w:rsid w:val="00304DEF"/>
    <w:rsid w:val="0030509B"/>
    <w:rsid w:val="00305590"/>
    <w:rsid w:val="00305C23"/>
    <w:rsid w:val="00307983"/>
    <w:rsid w:val="00307BC8"/>
    <w:rsid w:val="00310530"/>
    <w:rsid w:val="00310C52"/>
    <w:rsid w:val="00311A8A"/>
    <w:rsid w:val="003126C2"/>
    <w:rsid w:val="003126EC"/>
    <w:rsid w:val="003127C7"/>
    <w:rsid w:val="003131A9"/>
    <w:rsid w:val="00314B14"/>
    <w:rsid w:val="0031611E"/>
    <w:rsid w:val="00316703"/>
    <w:rsid w:val="003176CF"/>
    <w:rsid w:val="00317BAE"/>
    <w:rsid w:val="00317D3E"/>
    <w:rsid w:val="00320327"/>
    <w:rsid w:val="0032058C"/>
    <w:rsid w:val="00321082"/>
    <w:rsid w:val="00321E84"/>
    <w:rsid w:val="00322479"/>
    <w:rsid w:val="00323F63"/>
    <w:rsid w:val="003242BD"/>
    <w:rsid w:val="00324B7F"/>
    <w:rsid w:val="00324DFB"/>
    <w:rsid w:val="00325614"/>
    <w:rsid w:val="003258A7"/>
    <w:rsid w:val="0032644D"/>
    <w:rsid w:val="00330D8E"/>
    <w:rsid w:val="003310A6"/>
    <w:rsid w:val="003310F2"/>
    <w:rsid w:val="003332A7"/>
    <w:rsid w:val="00333382"/>
    <w:rsid w:val="00333588"/>
    <w:rsid w:val="0033378C"/>
    <w:rsid w:val="003348FF"/>
    <w:rsid w:val="00335DC1"/>
    <w:rsid w:val="0033709E"/>
    <w:rsid w:val="00337775"/>
    <w:rsid w:val="003405E8"/>
    <w:rsid w:val="00340C15"/>
    <w:rsid w:val="00342422"/>
    <w:rsid w:val="00342BF0"/>
    <w:rsid w:val="003440AE"/>
    <w:rsid w:val="003448B9"/>
    <w:rsid w:val="00345B13"/>
    <w:rsid w:val="003469FB"/>
    <w:rsid w:val="00346AE2"/>
    <w:rsid w:val="00346D9A"/>
    <w:rsid w:val="0034707B"/>
    <w:rsid w:val="00351099"/>
    <w:rsid w:val="00351805"/>
    <w:rsid w:val="00353F31"/>
    <w:rsid w:val="003543C9"/>
    <w:rsid w:val="00355284"/>
    <w:rsid w:val="003565C0"/>
    <w:rsid w:val="00356F56"/>
    <w:rsid w:val="00357847"/>
    <w:rsid w:val="00357D60"/>
    <w:rsid w:val="00357EEA"/>
    <w:rsid w:val="00361058"/>
    <w:rsid w:val="003611C5"/>
    <w:rsid w:val="00361351"/>
    <w:rsid w:val="00361372"/>
    <w:rsid w:val="003618AD"/>
    <w:rsid w:val="00361D8A"/>
    <w:rsid w:val="0036636B"/>
    <w:rsid w:val="0037045F"/>
    <w:rsid w:val="003719DA"/>
    <w:rsid w:val="0037240E"/>
    <w:rsid w:val="00372776"/>
    <w:rsid w:val="0037328F"/>
    <w:rsid w:val="00374049"/>
    <w:rsid w:val="003740A3"/>
    <w:rsid w:val="003743AD"/>
    <w:rsid w:val="00374727"/>
    <w:rsid w:val="003758E4"/>
    <w:rsid w:val="003759B8"/>
    <w:rsid w:val="00380ABC"/>
    <w:rsid w:val="00380B13"/>
    <w:rsid w:val="00381024"/>
    <w:rsid w:val="00382BBF"/>
    <w:rsid w:val="003846E0"/>
    <w:rsid w:val="00384830"/>
    <w:rsid w:val="00385EE7"/>
    <w:rsid w:val="00387F0D"/>
    <w:rsid w:val="00390427"/>
    <w:rsid w:val="00390B52"/>
    <w:rsid w:val="00391008"/>
    <w:rsid w:val="0039106D"/>
    <w:rsid w:val="00391377"/>
    <w:rsid w:val="00391383"/>
    <w:rsid w:val="00392255"/>
    <w:rsid w:val="00393587"/>
    <w:rsid w:val="00395B3C"/>
    <w:rsid w:val="00395CA6"/>
    <w:rsid w:val="003A0183"/>
    <w:rsid w:val="003A0678"/>
    <w:rsid w:val="003A0E06"/>
    <w:rsid w:val="003A4837"/>
    <w:rsid w:val="003A4F83"/>
    <w:rsid w:val="003A540E"/>
    <w:rsid w:val="003A64C2"/>
    <w:rsid w:val="003A6589"/>
    <w:rsid w:val="003B0B7C"/>
    <w:rsid w:val="003B1BEF"/>
    <w:rsid w:val="003B3AB3"/>
    <w:rsid w:val="003B4176"/>
    <w:rsid w:val="003B52D1"/>
    <w:rsid w:val="003B59B8"/>
    <w:rsid w:val="003B5B0F"/>
    <w:rsid w:val="003B6DA5"/>
    <w:rsid w:val="003C0B9C"/>
    <w:rsid w:val="003C0DA8"/>
    <w:rsid w:val="003C10BE"/>
    <w:rsid w:val="003C1D95"/>
    <w:rsid w:val="003C34D0"/>
    <w:rsid w:val="003C50C3"/>
    <w:rsid w:val="003C5244"/>
    <w:rsid w:val="003C6C97"/>
    <w:rsid w:val="003C7A0C"/>
    <w:rsid w:val="003D0D60"/>
    <w:rsid w:val="003D1647"/>
    <w:rsid w:val="003D1881"/>
    <w:rsid w:val="003D18A5"/>
    <w:rsid w:val="003D3BA2"/>
    <w:rsid w:val="003D4305"/>
    <w:rsid w:val="003D446F"/>
    <w:rsid w:val="003D4821"/>
    <w:rsid w:val="003D5775"/>
    <w:rsid w:val="003E12D6"/>
    <w:rsid w:val="003E1A36"/>
    <w:rsid w:val="003E336D"/>
    <w:rsid w:val="003E3432"/>
    <w:rsid w:val="003E34CF"/>
    <w:rsid w:val="003E3824"/>
    <w:rsid w:val="003E39CA"/>
    <w:rsid w:val="003E5998"/>
    <w:rsid w:val="003E6A98"/>
    <w:rsid w:val="003F043A"/>
    <w:rsid w:val="003F0554"/>
    <w:rsid w:val="003F06AF"/>
    <w:rsid w:val="003F07AF"/>
    <w:rsid w:val="003F1631"/>
    <w:rsid w:val="003F1C17"/>
    <w:rsid w:val="003F4F6E"/>
    <w:rsid w:val="003F5485"/>
    <w:rsid w:val="003F692B"/>
    <w:rsid w:val="00403CB6"/>
    <w:rsid w:val="0040447C"/>
    <w:rsid w:val="00406BEF"/>
    <w:rsid w:val="0041005A"/>
    <w:rsid w:val="00410E68"/>
    <w:rsid w:val="0041111E"/>
    <w:rsid w:val="004111B8"/>
    <w:rsid w:val="004129AF"/>
    <w:rsid w:val="0041308B"/>
    <w:rsid w:val="00413448"/>
    <w:rsid w:val="00414247"/>
    <w:rsid w:val="004142A6"/>
    <w:rsid w:val="00414886"/>
    <w:rsid w:val="0041617B"/>
    <w:rsid w:val="004162B3"/>
    <w:rsid w:val="00417D15"/>
    <w:rsid w:val="00421714"/>
    <w:rsid w:val="00421C3F"/>
    <w:rsid w:val="00422493"/>
    <w:rsid w:val="00422672"/>
    <w:rsid w:val="00423A64"/>
    <w:rsid w:val="00423FA4"/>
    <w:rsid w:val="00424237"/>
    <w:rsid w:val="00424AB2"/>
    <w:rsid w:val="00424FA9"/>
    <w:rsid w:val="00425E2B"/>
    <w:rsid w:val="004266A5"/>
    <w:rsid w:val="00426F55"/>
    <w:rsid w:val="00427C49"/>
    <w:rsid w:val="00430567"/>
    <w:rsid w:val="00431778"/>
    <w:rsid w:val="004317F4"/>
    <w:rsid w:val="0043588F"/>
    <w:rsid w:val="0043634E"/>
    <w:rsid w:val="004401CF"/>
    <w:rsid w:val="00440819"/>
    <w:rsid w:val="00441271"/>
    <w:rsid w:val="00442FB4"/>
    <w:rsid w:val="004437BE"/>
    <w:rsid w:val="00443E67"/>
    <w:rsid w:val="004442B2"/>
    <w:rsid w:val="00446910"/>
    <w:rsid w:val="0045253C"/>
    <w:rsid w:val="0045334E"/>
    <w:rsid w:val="00456B6D"/>
    <w:rsid w:val="00456D17"/>
    <w:rsid w:val="00456E69"/>
    <w:rsid w:val="00457124"/>
    <w:rsid w:val="0046153F"/>
    <w:rsid w:val="0046207D"/>
    <w:rsid w:val="004623E3"/>
    <w:rsid w:val="00462D76"/>
    <w:rsid w:val="00463DCB"/>
    <w:rsid w:val="00465C8A"/>
    <w:rsid w:val="00465F95"/>
    <w:rsid w:val="00466677"/>
    <w:rsid w:val="00466939"/>
    <w:rsid w:val="00467CED"/>
    <w:rsid w:val="004701D2"/>
    <w:rsid w:val="00471612"/>
    <w:rsid w:val="00471F9F"/>
    <w:rsid w:val="00472700"/>
    <w:rsid w:val="00472F1E"/>
    <w:rsid w:val="004739B3"/>
    <w:rsid w:val="004742F2"/>
    <w:rsid w:val="00475B74"/>
    <w:rsid w:val="00475CFF"/>
    <w:rsid w:val="00476046"/>
    <w:rsid w:val="0047681A"/>
    <w:rsid w:val="004773A8"/>
    <w:rsid w:val="004775D8"/>
    <w:rsid w:val="00477997"/>
    <w:rsid w:val="00477B35"/>
    <w:rsid w:val="00477F14"/>
    <w:rsid w:val="00477F23"/>
    <w:rsid w:val="0048383F"/>
    <w:rsid w:val="00485F00"/>
    <w:rsid w:val="004872F7"/>
    <w:rsid w:val="004873C9"/>
    <w:rsid w:val="00490E91"/>
    <w:rsid w:val="0049250D"/>
    <w:rsid w:val="00494C7E"/>
    <w:rsid w:val="00495453"/>
    <w:rsid w:val="004970B8"/>
    <w:rsid w:val="004971FF"/>
    <w:rsid w:val="004A0A9D"/>
    <w:rsid w:val="004A0AA3"/>
    <w:rsid w:val="004A20E9"/>
    <w:rsid w:val="004A2648"/>
    <w:rsid w:val="004A2A1D"/>
    <w:rsid w:val="004A333C"/>
    <w:rsid w:val="004A3D15"/>
    <w:rsid w:val="004A5149"/>
    <w:rsid w:val="004A5A72"/>
    <w:rsid w:val="004A5D03"/>
    <w:rsid w:val="004A6DF4"/>
    <w:rsid w:val="004A6EBA"/>
    <w:rsid w:val="004A77B4"/>
    <w:rsid w:val="004A77EA"/>
    <w:rsid w:val="004A79CD"/>
    <w:rsid w:val="004B029C"/>
    <w:rsid w:val="004B1B91"/>
    <w:rsid w:val="004B2CFC"/>
    <w:rsid w:val="004B3304"/>
    <w:rsid w:val="004B4B05"/>
    <w:rsid w:val="004B5648"/>
    <w:rsid w:val="004B5690"/>
    <w:rsid w:val="004B59ED"/>
    <w:rsid w:val="004B5B49"/>
    <w:rsid w:val="004B5C21"/>
    <w:rsid w:val="004B67E3"/>
    <w:rsid w:val="004B6E67"/>
    <w:rsid w:val="004C0236"/>
    <w:rsid w:val="004C10B9"/>
    <w:rsid w:val="004C1E99"/>
    <w:rsid w:val="004C1EDF"/>
    <w:rsid w:val="004C2087"/>
    <w:rsid w:val="004C2B9B"/>
    <w:rsid w:val="004C3376"/>
    <w:rsid w:val="004C3AF7"/>
    <w:rsid w:val="004C3E83"/>
    <w:rsid w:val="004C56B1"/>
    <w:rsid w:val="004C6BA3"/>
    <w:rsid w:val="004C6C3E"/>
    <w:rsid w:val="004C7355"/>
    <w:rsid w:val="004C7412"/>
    <w:rsid w:val="004D0DA1"/>
    <w:rsid w:val="004D0ECD"/>
    <w:rsid w:val="004D5504"/>
    <w:rsid w:val="004D6235"/>
    <w:rsid w:val="004E34E4"/>
    <w:rsid w:val="004E3D80"/>
    <w:rsid w:val="004E44D8"/>
    <w:rsid w:val="004E4F0F"/>
    <w:rsid w:val="004E5EB7"/>
    <w:rsid w:val="004E65D0"/>
    <w:rsid w:val="004E6E89"/>
    <w:rsid w:val="004E7D0D"/>
    <w:rsid w:val="004F031A"/>
    <w:rsid w:val="004F17BE"/>
    <w:rsid w:val="004F1BCD"/>
    <w:rsid w:val="004F1E3D"/>
    <w:rsid w:val="004F2080"/>
    <w:rsid w:val="004F24D7"/>
    <w:rsid w:val="004F2DDA"/>
    <w:rsid w:val="004F54A0"/>
    <w:rsid w:val="004F5621"/>
    <w:rsid w:val="004F6F31"/>
    <w:rsid w:val="005006D2"/>
    <w:rsid w:val="00501272"/>
    <w:rsid w:val="00501B85"/>
    <w:rsid w:val="00504BF9"/>
    <w:rsid w:val="00504F62"/>
    <w:rsid w:val="00506354"/>
    <w:rsid w:val="00506C46"/>
    <w:rsid w:val="00506EE8"/>
    <w:rsid w:val="005076E0"/>
    <w:rsid w:val="00507AC6"/>
    <w:rsid w:val="00510026"/>
    <w:rsid w:val="00510C46"/>
    <w:rsid w:val="00511B46"/>
    <w:rsid w:val="00512F15"/>
    <w:rsid w:val="00513738"/>
    <w:rsid w:val="0051420F"/>
    <w:rsid w:val="00514A7F"/>
    <w:rsid w:val="00515E74"/>
    <w:rsid w:val="00517061"/>
    <w:rsid w:val="0052084B"/>
    <w:rsid w:val="00520949"/>
    <w:rsid w:val="0052103D"/>
    <w:rsid w:val="00524776"/>
    <w:rsid w:val="005258B2"/>
    <w:rsid w:val="00526B2A"/>
    <w:rsid w:val="00527E99"/>
    <w:rsid w:val="005315D8"/>
    <w:rsid w:val="00531ACD"/>
    <w:rsid w:val="00531AEB"/>
    <w:rsid w:val="00531E23"/>
    <w:rsid w:val="00531FB3"/>
    <w:rsid w:val="00532752"/>
    <w:rsid w:val="00532D1A"/>
    <w:rsid w:val="00534373"/>
    <w:rsid w:val="00534522"/>
    <w:rsid w:val="00534B3C"/>
    <w:rsid w:val="00535CFB"/>
    <w:rsid w:val="00537734"/>
    <w:rsid w:val="00537E35"/>
    <w:rsid w:val="0054000A"/>
    <w:rsid w:val="00540FFD"/>
    <w:rsid w:val="00541648"/>
    <w:rsid w:val="00542013"/>
    <w:rsid w:val="00542D12"/>
    <w:rsid w:val="00542E98"/>
    <w:rsid w:val="00543128"/>
    <w:rsid w:val="00544398"/>
    <w:rsid w:val="00544436"/>
    <w:rsid w:val="00545FCB"/>
    <w:rsid w:val="005461C1"/>
    <w:rsid w:val="00550CDC"/>
    <w:rsid w:val="0055126C"/>
    <w:rsid w:val="005513D7"/>
    <w:rsid w:val="00551805"/>
    <w:rsid w:val="00551C28"/>
    <w:rsid w:val="00552754"/>
    <w:rsid w:val="00553995"/>
    <w:rsid w:val="00556856"/>
    <w:rsid w:val="00557C16"/>
    <w:rsid w:val="00560ECA"/>
    <w:rsid w:val="005611E7"/>
    <w:rsid w:val="00562264"/>
    <w:rsid w:val="00563C7B"/>
    <w:rsid w:val="005640FE"/>
    <w:rsid w:val="005648C4"/>
    <w:rsid w:val="00564DAA"/>
    <w:rsid w:val="00564DCF"/>
    <w:rsid w:val="00565BE3"/>
    <w:rsid w:val="00565DFF"/>
    <w:rsid w:val="00565E89"/>
    <w:rsid w:val="005664A0"/>
    <w:rsid w:val="00566989"/>
    <w:rsid w:val="00570F76"/>
    <w:rsid w:val="005714A8"/>
    <w:rsid w:val="00571C8B"/>
    <w:rsid w:val="00571E16"/>
    <w:rsid w:val="00571F09"/>
    <w:rsid w:val="00573D76"/>
    <w:rsid w:val="005746B0"/>
    <w:rsid w:val="00576969"/>
    <w:rsid w:val="00580004"/>
    <w:rsid w:val="00580CFA"/>
    <w:rsid w:val="005824F7"/>
    <w:rsid w:val="005836AE"/>
    <w:rsid w:val="00585CDC"/>
    <w:rsid w:val="00585F6B"/>
    <w:rsid w:val="00590245"/>
    <w:rsid w:val="005907F7"/>
    <w:rsid w:val="00590D70"/>
    <w:rsid w:val="00592171"/>
    <w:rsid w:val="00592BD0"/>
    <w:rsid w:val="0059363D"/>
    <w:rsid w:val="00593E4C"/>
    <w:rsid w:val="00594A2D"/>
    <w:rsid w:val="005965FF"/>
    <w:rsid w:val="00596FF6"/>
    <w:rsid w:val="005A03FB"/>
    <w:rsid w:val="005A11F4"/>
    <w:rsid w:val="005A18DE"/>
    <w:rsid w:val="005A26DB"/>
    <w:rsid w:val="005A2A7D"/>
    <w:rsid w:val="005A37F1"/>
    <w:rsid w:val="005A3FB8"/>
    <w:rsid w:val="005A62A5"/>
    <w:rsid w:val="005A63D5"/>
    <w:rsid w:val="005A6704"/>
    <w:rsid w:val="005A6E8E"/>
    <w:rsid w:val="005A729F"/>
    <w:rsid w:val="005A7440"/>
    <w:rsid w:val="005A78CC"/>
    <w:rsid w:val="005B07C7"/>
    <w:rsid w:val="005B1B1E"/>
    <w:rsid w:val="005B336B"/>
    <w:rsid w:val="005B38E9"/>
    <w:rsid w:val="005B419C"/>
    <w:rsid w:val="005B4724"/>
    <w:rsid w:val="005B65EA"/>
    <w:rsid w:val="005B788F"/>
    <w:rsid w:val="005C054C"/>
    <w:rsid w:val="005C168C"/>
    <w:rsid w:val="005C2651"/>
    <w:rsid w:val="005C2BB2"/>
    <w:rsid w:val="005C2BBA"/>
    <w:rsid w:val="005C42DE"/>
    <w:rsid w:val="005C4869"/>
    <w:rsid w:val="005C495A"/>
    <w:rsid w:val="005C4DAC"/>
    <w:rsid w:val="005C52C4"/>
    <w:rsid w:val="005C57E7"/>
    <w:rsid w:val="005C6128"/>
    <w:rsid w:val="005C653D"/>
    <w:rsid w:val="005C7362"/>
    <w:rsid w:val="005D09B5"/>
    <w:rsid w:val="005D229B"/>
    <w:rsid w:val="005D2569"/>
    <w:rsid w:val="005D3989"/>
    <w:rsid w:val="005D4AA7"/>
    <w:rsid w:val="005D4BF1"/>
    <w:rsid w:val="005D6C7E"/>
    <w:rsid w:val="005D70C0"/>
    <w:rsid w:val="005E23A7"/>
    <w:rsid w:val="005E36FF"/>
    <w:rsid w:val="005E5024"/>
    <w:rsid w:val="005E5E41"/>
    <w:rsid w:val="005E6761"/>
    <w:rsid w:val="005E6F85"/>
    <w:rsid w:val="005E73D3"/>
    <w:rsid w:val="005F0407"/>
    <w:rsid w:val="005F075E"/>
    <w:rsid w:val="005F07F7"/>
    <w:rsid w:val="005F1AEE"/>
    <w:rsid w:val="005F2FD6"/>
    <w:rsid w:val="005F40FE"/>
    <w:rsid w:val="005F46B3"/>
    <w:rsid w:val="005F4BE5"/>
    <w:rsid w:val="005F4C06"/>
    <w:rsid w:val="00600594"/>
    <w:rsid w:val="00602871"/>
    <w:rsid w:val="006034E8"/>
    <w:rsid w:val="0060377A"/>
    <w:rsid w:val="00604EFE"/>
    <w:rsid w:val="006067FB"/>
    <w:rsid w:val="00611C3D"/>
    <w:rsid w:val="00616682"/>
    <w:rsid w:val="00616A63"/>
    <w:rsid w:val="00617462"/>
    <w:rsid w:val="0061774D"/>
    <w:rsid w:val="006204F3"/>
    <w:rsid w:val="00620AAE"/>
    <w:rsid w:val="006230B4"/>
    <w:rsid w:val="00623246"/>
    <w:rsid w:val="00623566"/>
    <w:rsid w:val="0062432D"/>
    <w:rsid w:val="00624D2A"/>
    <w:rsid w:val="00624EA1"/>
    <w:rsid w:val="006268B4"/>
    <w:rsid w:val="006314EA"/>
    <w:rsid w:val="0063317B"/>
    <w:rsid w:val="0063322A"/>
    <w:rsid w:val="00633588"/>
    <w:rsid w:val="00634FB8"/>
    <w:rsid w:val="00635C46"/>
    <w:rsid w:val="00636013"/>
    <w:rsid w:val="006362AE"/>
    <w:rsid w:val="0064144F"/>
    <w:rsid w:val="00641A2F"/>
    <w:rsid w:val="00641E6C"/>
    <w:rsid w:val="006424D7"/>
    <w:rsid w:val="00644679"/>
    <w:rsid w:val="00644DDE"/>
    <w:rsid w:val="0064702C"/>
    <w:rsid w:val="0064745F"/>
    <w:rsid w:val="00647F23"/>
    <w:rsid w:val="00650475"/>
    <w:rsid w:val="00650E82"/>
    <w:rsid w:val="00650F9C"/>
    <w:rsid w:val="006530DF"/>
    <w:rsid w:val="0065446C"/>
    <w:rsid w:val="0065500E"/>
    <w:rsid w:val="0065536C"/>
    <w:rsid w:val="00656E1B"/>
    <w:rsid w:val="00657429"/>
    <w:rsid w:val="00657F18"/>
    <w:rsid w:val="00660F4F"/>
    <w:rsid w:val="00660FBF"/>
    <w:rsid w:val="00661ACA"/>
    <w:rsid w:val="006634B3"/>
    <w:rsid w:val="00664B76"/>
    <w:rsid w:val="00665FAE"/>
    <w:rsid w:val="00667535"/>
    <w:rsid w:val="00667EE1"/>
    <w:rsid w:val="00667EF8"/>
    <w:rsid w:val="0067230D"/>
    <w:rsid w:val="006726A5"/>
    <w:rsid w:val="006746F3"/>
    <w:rsid w:val="0067482D"/>
    <w:rsid w:val="00674ACE"/>
    <w:rsid w:val="00676390"/>
    <w:rsid w:val="0067680D"/>
    <w:rsid w:val="00682013"/>
    <w:rsid w:val="006839E5"/>
    <w:rsid w:val="00685090"/>
    <w:rsid w:val="00686AEB"/>
    <w:rsid w:val="006875B0"/>
    <w:rsid w:val="0069002D"/>
    <w:rsid w:val="00690812"/>
    <w:rsid w:val="00690DC3"/>
    <w:rsid w:val="00692DA7"/>
    <w:rsid w:val="00693DA9"/>
    <w:rsid w:val="00693FEA"/>
    <w:rsid w:val="00695A7E"/>
    <w:rsid w:val="00695DEE"/>
    <w:rsid w:val="00696E9C"/>
    <w:rsid w:val="0069701A"/>
    <w:rsid w:val="006973EA"/>
    <w:rsid w:val="006A0191"/>
    <w:rsid w:val="006A07EF"/>
    <w:rsid w:val="006A095D"/>
    <w:rsid w:val="006A0D38"/>
    <w:rsid w:val="006A17D1"/>
    <w:rsid w:val="006A19B9"/>
    <w:rsid w:val="006A1D7A"/>
    <w:rsid w:val="006A2609"/>
    <w:rsid w:val="006A2AA9"/>
    <w:rsid w:val="006A3CBC"/>
    <w:rsid w:val="006A46EA"/>
    <w:rsid w:val="006A5BB6"/>
    <w:rsid w:val="006A7E12"/>
    <w:rsid w:val="006B0B75"/>
    <w:rsid w:val="006B2130"/>
    <w:rsid w:val="006B31E2"/>
    <w:rsid w:val="006B3A2C"/>
    <w:rsid w:val="006B559D"/>
    <w:rsid w:val="006B5BDA"/>
    <w:rsid w:val="006B700D"/>
    <w:rsid w:val="006B7AF2"/>
    <w:rsid w:val="006C0A6A"/>
    <w:rsid w:val="006C2CC5"/>
    <w:rsid w:val="006C364F"/>
    <w:rsid w:val="006C4A87"/>
    <w:rsid w:val="006C536E"/>
    <w:rsid w:val="006C5CF3"/>
    <w:rsid w:val="006C6FCD"/>
    <w:rsid w:val="006C758C"/>
    <w:rsid w:val="006D0175"/>
    <w:rsid w:val="006D0482"/>
    <w:rsid w:val="006D236D"/>
    <w:rsid w:val="006D310E"/>
    <w:rsid w:val="006D6BB2"/>
    <w:rsid w:val="006D72E9"/>
    <w:rsid w:val="006D798A"/>
    <w:rsid w:val="006E01E8"/>
    <w:rsid w:val="006E03E8"/>
    <w:rsid w:val="006E12A1"/>
    <w:rsid w:val="006E2067"/>
    <w:rsid w:val="006E292A"/>
    <w:rsid w:val="006E2944"/>
    <w:rsid w:val="006E434F"/>
    <w:rsid w:val="006E43B7"/>
    <w:rsid w:val="006E4FE0"/>
    <w:rsid w:val="006E5B36"/>
    <w:rsid w:val="006E6505"/>
    <w:rsid w:val="006F0EB5"/>
    <w:rsid w:val="006F157B"/>
    <w:rsid w:val="006F2537"/>
    <w:rsid w:val="006F2A37"/>
    <w:rsid w:val="006F39B6"/>
    <w:rsid w:val="006F3F42"/>
    <w:rsid w:val="006F6C31"/>
    <w:rsid w:val="006F6C59"/>
    <w:rsid w:val="00701E03"/>
    <w:rsid w:val="00701E73"/>
    <w:rsid w:val="00702A2E"/>
    <w:rsid w:val="007038EE"/>
    <w:rsid w:val="0070613A"/>
    <w:rsid w:val="00706789"/>
    <w:rsid w:val="00706965"/>
    <w:rsid w:val="00706C5E"/>
    <w:rsid w:val="00707D30"/>
    <w:rsid w:val="0071064F"/>
    <w:rsid w:val="007135E8"/>
    <w:rsid w:val="00713FB4"/>
    <w:rsid w:val="007154AA"/>
    <w:rsid w:val="007156F0"/>
    <w:rsid w:val="00715C28"/>
    <w:rsid w:val="0071652A"/>
    <w:rsid w:val="0071687A"/>
    <w:rsid w:val="007172D8"/>
    <w:rsid w:val="00717E28"/>
    <w:rsid w:val="007226D1"/>
    <w:rsid w:val="00723952"/>
    <w:rsid w:val="007243CB"/>
    <w:rsid w:val="00726147"/>
    <w:rsid w:val="00726D96"/>
    <w:rsid w:val="007273F7"/>
    <w:rsid w:val="007278D0"/>
    <w:rsid w:val="00727DDD"/>
    <w:rsid w:val="00727DF3"/>
    <w:rsid w:val="007300C1"/>
    <w:rsid w:val="00730902"/>
    <w:rsid w:val="007310EE"/>
    <w:rsid w:val="00732396"/>
    <w:rsid w:val="00732792"/>
    <w:rsid w:val="007330F6"/>
    <w:rsid w:val="00733BE7"/>
    <w:rsid w:val="007344F0"/>
    <w:rsid w:val="00734819"/>
    <w:rsid w:val="00734B95"/>
    <w:rsid w:val="00734BC1"/>
    <w:rsid w:val="007356C5"/>
    <w:rsid w:val="00736199"/>
    <w:rsid w:val="00737529"/>
    <w:rsid w:val="00737706"/>
    <w:rsid w:val="007377F2"/>
    <w:rsid w:val="00740A69"/>
    <w:rsid w:val="00740D22"/>
    <w:rsid w:val="00740ECC"/>
    <w:rsid w:val="00741E45"/>
    <w:rsid w:val="00742646"/>
    <w:rsid w:val="0074274F"/>
    <w:rsid w:val="00744493"/>
    <w:rsid w:val="00744693"/>
    <w:rsid w:val="00744A07"/>
    <w:rsid w:val="00744B59"/>
    <w:rsid w:val="00744D9A"/>
    <w:rsid w:val="00750A05"/>
    <w:rsid w:val="00751A48"/>
    <w:rsid w:val="00752E24"/>
    <w:rsid w:val="00754225"/>
    <w:rsid w:val="00756226"/>
    <w:rsid w:val="007565C1"/>
    <w:rsid w:val="00756FE2"/>
    <w:rsid w:val="0075738B"/>
    <w:rsid w:val="00761248"/>
    <w:rsid w:val="00761508"/>
    <w:rsid w:val="00761C74"/>
    <w:rsid w:val="00762CE2"/>
    <w:rsid w:val="007634C2"/>
    <w:rsid w:val="0076357D"/>
    <w:rsid w:val="00764F84"/>
    <w:rsid w:val="00765417"/>
    <w:rsid w:val="0076541D"/>
    <w:rsid w:val="007710F5"/>
    <w:rsid w:val="00771810"/>
    <w:rsid w:val="00772263"/>
    <w:rsid w:val="00773C88"/>
    <w:rsid w:val="007744F7"/>
    <w:rsid w:val="00774583"/>
    <w:rsid w:val="0077494B"/>
    <w:rsid w:val="00775B01"/>
    <w:rsid w:val="0077604E"/>
    <w:rsid w:val="007760C4"/>
    <w:rsid w:val="007770F6"/>
    <w:rsid w:val="0078147C"/>
    <w:rsid w:val="00782D6F"/>
    <w:rsid w:val="0078453E"/>
    <w:rsid w:val="00784E16"/>
    <w:rsid w:val="00786EEF"/>
    <w:rsid w:val="00791EA6"/>
    <w:rsid w:val="00792193"/>
    <w:rsid w:val="0079332C"/>
    <w:rsid w:val="00793F79"/>
    <w:rsid w:val="00795B0A"/>
    <w:rsid w:val="007962C3"/>
    <w:rsid w:val="00796308"/>
    <w:rsid w:val="00796A01"/>
    <w:rsid w:val="00796CF3"/>
    <w:rsid w:val="007A0CB9"/>
    <w:rsid w:val="007A0FE3"/>
    <w:rsid w:val="007A1298"/>
    <w:rsid w:val="007A153B"/>
    <w:rsid w:val="007A2214"/>
    <w:rsid w:val="007A2BC5"/>
    <w:rsid w:val="007A3C7C"/>
    <w:rsid w:val="007A4485"/>
    <w:rsid w:val="007A619A"/>
    <w:rsid w:val="007A6807"/>
    <w:rsid w:val="007A6AC2"/>
    <w:rsid w:val="007A74B1"/>
    <w:rsid w:val="007B09B5"/>
    <w:rsid w:val="007B18D7"/>
    <w:rsid w:val="007B3F48"/>
    <w:rsid w:val="007B55D0"/>
    <w:rsid w:val="007B5DFD"/>
    <w:rsid w:val="007B6854"/>
    <w:rsid w:val="007B6B11"/>
    <w:rsid w:val="007B7635"/>
    <w:rsid w:val="007C0D20"/>
    <w:rsid w:val="007C250F"/>
    <w:rsid w:val="007C299E"/>
    <w:rsid w:val="007C34D3"/>
    <w:rsid w:val="007C370D"/>
    <w:rsid w:val="007C44F1"/>
    <w:rsid w:val="007C47F0"/>
    <w:rsid w:val="007C5C7C"/>
    <w:rsid w:val="007D0922"/>
    <w:rsid w:val="007D1075"/>
    <w:rsid w:val="007D17F4"/>
    <w:rsid w:val="007D1AAE"/>
    <w:rsid w:val="007D4353"/>
    <w:rsid w:val="007D4689"/>
    <w:rsid w:val="007D5765"/>
    <w:rsid w:val="007D629B"/>
    <w:rsid w:val="007D6C9D"/>
    <w:rsid w:val="007E009B"/>
    <w:rsid w:val="007E0CB2"/>
    <w:rsid w:val="007E1610"/>
    <w:rsid w:val="007E167B"/>
    <w:rsid w:val="007E6655"/>
    <w:rsid w:val="007E7E42"/>
    <w:rsid w:val="007E7F45"/>
    <w:rsid w:val="007F202F"/>
    <w:rsid w:val="007F2B9E"/>
    <w:rsid w:val="007F4B54"/>
    <w:rsid w:val="007F6D1B"/>
    <w:rsid w:val="007F72CE"/>
    <w:rsid w:val="007F74E6"/>
    <w:rsid w:val="00801410"/>
    <w:rsid w:val="00802A6E"/>
    <w:rsid w:val="00803B20"/>
    <w:rsid w:val="00804FE5"/>
    <w:rsid w:val="0080546D"/>
    <w:rsid w:val="008054CA"/>
    <w:rsid w:val="00805530"/>
    <w:rsid w:val="00805E44"/>
    <w:rsid w:val="008067DC"/>
    <w:rsid w:val="00807204"/>
    <w:rsid w:val="0081000C"/>
    <w:rsid w:val="00810173"/>
    <w:rsid w:val="00811084"/>
    <w:rsid w:val="00811FF8"/>
    <w:rsid w:val="00812967"/>
    <w:rsid w:val="00812C1D"/>
    <w:rsid w:val="00812D0B"/>
    <w:rsid w:val="00814503"/>
    <w:rsid w:val="00816E9B"/>
    <w:rsid w:val="008209AA"/>
    <w:rsid w:val="008209C9"/>
    <w:rsid w:val="008219A9"/>
    <w:rsid w:val="008219CC"/>
    <w:rsid w:val="00821EE8"/>
    <w:rsid w:val="00822288"/>
    <w:rsid w:val="00822E1A"/>
    <w:rsid w:val="00822F64"/>
    <w:rsid w:val="008242AD"/>
    <w:rsid w:val="00824806"/>
    <w:rsid w:val="00825C6E"/>
    <w:rsid w:val="00826169"/>
    <w:rsid w:val="00826BB1"/>
    <w:rsid w:val="00826C2F"/>
    <w:rsid w:val="00826E9A"/>
    <w:rsid w:val="00831CDF"/>
    <w:rsid w:val="008331B4"/>
    <w:rsid w:val="00833653"/>
    <w:rsid w:val="00833D9D"/>
    <w:rsid w:val="0083587F"/>
    <w:rsid w:val="00835EA0"/>
    <w:rsid w:val="008361EF"/>
    <w:rsid w:val="008362E9"/>
    <w:rsid w:val="0083775E"/>
    <w:rsid w:val="00837C67"/>
    <w:rsid w:val="008401D9"/>
    <w:rsid w:val="00841567"/>
    <w:rsid w:val="008415E0"/>
    <w:rsid w:val="00841F12"/>
    <w:rsid w:val="0084346C"/>
    <w:rsid w:val="00845193"/>
    <w:rsid w:val="00845BCD"/>
    <w:rsid w:val="00846E74"/>
    <w:rsid w:val="008503EB"/>
    <w:rsid w:val="00850EF9"/>
    <w:rsid w:val="008519BA"/>
    <w:rsid w:val="00851D06"/>
    <w:rsid w:val="00851F10"/>
    <w:rsid w:val="00853532"/>
    <w:rsid w:val="00855F8E"/>
    <w:rsid w:val="00856635"/>
    <w:rsid w:val="00856996"/>
    <w:rsid w:val="00856A29"/>
    <w:rsid w:val="00856CF7"/>
    <w:rsid w:val="008579A1"/>
    <w:rsid w:val="00857F5E"/>
    <w:rsid w:val="00860FB8"/>
    <w:rsid w:val="00862276"/>
    <w:rsid w:val="00862478"/>
    <w:rsid w:val="00862B1B"/>
    <w:rsid w:val="00863105"/>
    <w:rsid w:val="008641C5"/>
    <w:rsid w:val="00864321"/>
    <w:rsid w:val="00864D9B"/>
    <w:rsid w:val="00864E97"/>
    <w:rsid w:val="00864EB2"/>
    <w:rsid w:val="0086557F"/>
    <w:rsid w:val="008658B1"/>
    <w:rsid w:val="00866747"/>
    <w:rsid w:val="0086767B"/>
    <w:rsid w:val="00867E3E"/>
    <w:rsid w:val="00872201"/>
    <w:rsid w:val="008734A4"/>
    <w:rsid w:val="00873FB8"/>
    <w:rsid w:val="00874F35"/>
    <w:rsid w:val="00875E68"/>
    <w:rsid w:val="00875EB9"/>
    <w:rsid w:val="0087635D"/>
    <w:rsid w:val="00876D26"/>
    <w:rsid w:val="0088152B"/>
    <w:rsid w:val="008816DD"/>
    <w:rsid w:val="00882321"/>
    <w:rsid w:val="00882C74"/>
    <w:rsid w:val="00884BEA"/>
    <w:rsid w:val="008856A3"/>
    <w:rsid w:val="00885AE8"/>
    <w:rsid w:val="00885C0C"/>
    <w:rsid w:val="00885EEB"/>
    <w:rsid w:val="0088690C"/>
    <w:rsid w:val="0088729F"/>
    <w:rsid w:val="00887A79"/>
    <w:rsid w:val="008901DC"/>
    <w:rsid w:val="008906FE"/>
    <w:rsid w:val="0089121D"/>
    <w:rsid w:val="0089129A"/>
    <w:rsid w:val="0089174C"/>
    <w:rsid w:val="0089197E"/>
    <w:rsid w:val="008922EE"/>
    <w:rsid w:val="008932D8"/>
    <w:rsid w:val="008949E1"/>
    <w:rsid w:val="00896441"/>
    <w:rsid w:val="008967B3"/>
    <w:rsid w:val="00896A18"/>
    <w:rsid w:val="008A10C9"/>
    <w:rsid w:val="008A123D"/>
    <w:rsid w:val="008A16AE"/>
    <w:rsid w:val="008A1AF3"/>
    <w:rsid w:val="008A2598"/>
    <w:rsid w:val="008A2765"/>
    <w:rsid w:val="008A6722"/>
    <w:rsid w:val="008A6E41"/>
    <w:rsid w:val="008A73DA"/>
    <w:rsid w:val="008B0922"/>
    <w:rsid w:val="008B0BD0"/>
    <w:rsid w:val="008B10C7"/>
    <w:rsid w:val="008B2320"/>
    <w:rsid w:val="008B2819"/>
    <w:rsid w:val="008B2984"/>
    <w:rsid w:val="008B3C37"/>
    <w:rsid w:val="008B4CFA"/>
    <w:rsid w:val="008B57E6"/>
    <w:rsid w:val="008B672A"/>
    <w:rsid w:val="008B7F9F"/>
    <w:rsid w:val="008C1441"/>
    <w:rsid w:val="008C1EAF"/>
    <w:rsid w:val="008C1ED0"/>
    <w:rsid w:val="008C36DE"/>
    <w:rsid w:val="008C37C7"/>
    <w:rsid w:val="008C398A"/>
    <w:rsid w:val="008C3AEF"/>
    <w:rsid w:val="008C3FEA"/>
    <w:rsid w:val="008C4412"/>
    <w:rsid w:val="008C4C4B"/>
    <w:rsid w:val="008C598F"/>
    <w:rsid w:val="008C5BE3"/>
    <w:rsid w:val="008C67A6"/>
    <w:rsid w:val="008C6F74"/>
    <w:rsid w:val="008C75C9"/>
    <w:rsid w:val="008D0564"/>
    <w:rsid w:val="008D05C3"/>
    <w:rsid w:val="008D09E5"/>
    <w:rsid w:val="008D110B"/>
    <w:rsid w:val="008D505F"/>
    <w:rsid w:val="008D5BE7"/>
    <w:rsid w:val="008D67C5"/>
    <w:rsid w:val="008D6AC3"/>
    <w:rsid w:val="008E244E"/>
    <w:rsid w:val="008E2589"/>
    <w:rsid w:val="008E27DF"/>
    <w:rsid w:val="008E4367"/>
    <w:rsid w:val="008E4961"/>
    <w:rsid w:val="008E49C5"/>
    <w:rsid w:val="008E5EFC"/>
    <w:rsid w:val="008E6C0A"/>
    <w:rsid w:val="008E78B2"/>
    <w:rsid w:val="008E7D12"/>
    <w:rsid w:val="008F07EE"/>
    <w:rsid w:val="008F2009"/>
    <w:rsid w:val="008F2C26"/>
    <w:rsid w:val="008F2C7A"/>
    <w:rsid w:val="008F3E73"/>
    <w:rsid w:val="008F4883"/>
    <w:rsid w:val="008F5240"/>
    <w:rsid w:val="008F53A2"/>
    <w:rsid w:val="008F5C38"/>
    <w:rsid w:val="008F61F1"/>
    <w:rsid w:val="008F69F2"/>
    <w:rsid w:val="008F6B7A"/>
    <w:rsid w:val="008F6E4F"/>
    <w:rsid w:val="008F7DB3"/>
    <w:rsid w:val="00900333"/>
    <w:rsid w:val="009006B9"/>
    <w:rsid w:val="00900C38"/>
    <w:rsid w:val="009012A1"/>
    <w:rsid w:val="00905705"/>
    <w:rsid w:val="00905CB4"/>
    <w:rsid w:val="0090728D"/>
    <w:rsid w:val="009107DE"/>
    <w:rsid w:val="009107FE"/>
    <w:rsid w:val="009119B5"/>
    <w:rsid w:val="00911A4E"/>
    <w:rsid w:val="00912827"/>
    <w:rsid w:val="00914A1D"/>
    <w:rsid w:val="00915CBA"/>
    <w:rsid w:val="0092045F"/>
    <w:rsid w:val="00921B10"/>
    <w:rsid w:val="00922568"/>
    <w:rsid w:val="0092364C"/>
    <w:rsid w:val="0092404F"/>
    <w:rsid w:val="00924084"/>
    <w:rsid w:val="00925D72"/>
    <w:rsid w:val="00926E8C"/>
    <w:rsid w:val="00926EBC"/>
    <w:rsid w:val="0093005A"/>
    <w:rsid w:val="00930E2F"/>
    <w:rsid w:val="00931017"/>
    <w:rsid w:val="00931FC7"/>
    <w:rsid w:val="00932B12"/>
    <w:rsid w:val="00932F2D"/>
    <w:rsid w:val="009331C1"/>
    <w:rsid w:val="009331D2"/>
    <w:rsid w:val="00934BC8"/>
    <w:rsid w:val="009357B2"/>
    <w:rsid w:val="00940AD9"/>
    <w:rsid w:val="00941673"/>
    <w:rsid w:val="0094192C"/>
    <w:rsid w:val="0094195D"/>
    <w:rsid w:val="00942884"/>
    <w:rsid w:val="00942AA0"/>
    <w:rsid w:val="00943407"/>
    <w:rsid w:val="00943E45"/>
    <w:rsid w:val="00943E8F"/>
    <w:rsid w:val="009441BE"/>
    <w:rsid w:val="0094432D"/>
    <w:rsid w:val="00944B03"/>
    <w:rsid w:val="00946180"/>
    <w:rsid w:val="00950AE9"/>
    <w:rsid w:val="00953062"/>
    <w:rsid w:val="0095358E"/>
    <w:rsid w:val="00954D36"/>
    <w:rsid w:val="00955BC2"/>
    <w:rsid w:val="00956476"/>
    <w:rsid w:val="00957990"/>
    <w:rsid w:val="00957F4C"/>
    <w:rsid w:val="00960D67"/>
    <w:rsid w:val="0096178F"/>
    <w:rsid w:val="00964A88"/>
    <w:rsid w:val="009657D2"/>
    <w:rsid w:val="00967386"/>
    <w:rsid w:val="00970F20"/>
    <w:rsid w:val="00971579"/>
    <w:rsid w:val="0097267C"/>
    <w:rsid w:val="00972A43"/>
    <w:rsid w:val="00972F1E"/>
    <w:rsid w:val="0097307C"/>
    <w:rsid w:val="00973E47"/>
    <w:rsid w:val="00974501"/>
    <w:rsid w:val="00974CF3"/>
    <w:rsid w:val="00975298"/>
    <w:rsid w:val="009753FC"/>
    <w:rsid w:val="0097573B"/>
    <w:rsid w:val="00977752"/>
    <w:rsid w:val="009779B3"/>
    <w:rsid w:val="0098008A"/>
    <w:rsid w:val="00980427"/>
    <w:rsid w:val="00982EC8"/>
    <w:rsid w:val="009836C3"/>
    <w:rsid w:val="00985289"/>
    <w:rsid w:val="00985591"/>
    <w:rsid w:val="0098560B"/>
    <w:rsid w:val="00985ADB"/>
    <w:rsid w:val="009862C7"/>
    <w:rsid w:val="009862DA"/>
    <w:rsid w:val="009870B9"/>
    <w:rsid w:val="0098787F"/>
    <w:rsid w:val="00987A9C"/>
    <w:rsid w:val="00990D00"/>
    <w:rsid w:val="009925C9"/>
    <w:rsid w:val="0099397E"/>
    <w:rsid w:val="00995772"/>
    <w:rsid w:val="009959ED"/>
    <w:rsid w:val="00996A22"/>
    <w:rsid w:val="00996BD4"/>
    <w:rsid w:val="00996E53"/>
    <w:rsid w:val="00996FD1"/>
    <w:rsid w:val="009A01B1"/>
    <w:rsid w:val="009A227C"/>
    <w:rsid w:val="009A24A0"/>
    <w:rsid w:val="009A2B8F"/>
    <w:rsid w:val="009A4541"/>
    <w:rsid w:val="009A4684"/>
    <w:rsid w:val="009B06BC"/>
    <w:rsid w:val="009B2183"/>
    <w:rsid w:val="009B27E4"/>
    <w:rsid w:val="009B2F15"/>
    <w:rsid w:val="009B3C08"/>
    <w:rsid w:val="009B3C31"/>
    <w:rsid w:val="009B3FC5"/>
    <w:rsid w:val="009B4C99"/>
    <w:rsid w:val="009B5932"/>
    <w:rsid w:val="009B65C0"/>
    <w:rsid w:val="009B6FB4"/>
    <w:rsid w:val="009B7317"/>
    <w:rsid w:val="009B7E6F"/>
    <w:rsid w:val="009C1F82"/>
    <w:rsid w:val="009C21EF"/>
    <w:rsid w:val="009C274C"/>
    <w:rsid w:val="009C35D9"/>
    <w:rsid w:val="009C43A9"/>
    <w:rsid w:val="009C4742"/>
    <w:rsid w:val="009C4C88"/>
    <w:rsid w:val="009C5276"/>
    <w:rsid w:val="009C5574"/>
    <w:rsid w:val="009C6155"/>
    <w:rsid w:val="009C6503"/>
    <w:rsid w:val="009C6DDA"/>
    <w:rsid w:val="009C7642"/>
    <w:rsid w:val="009D0211"/>
    <w:rsid w:val="009D0410"/>
    <w:rsid w:val="009D121B"/>
    <w:rsid w:val="009D1647"/>
    <w:rsid w:val="009D1BFD"/>
    <w:rsid w:val="009D209B"/>
    <w:rsid w:val="009D267A"/>
    <w:rsid w:val="009D2F26"/>
    <w:rsid w:val="009D334F"/>
    <w:rsid w:val="009D5A7B"/>
    <w:rsid w:val="009D6653"/>
    <w:rsid w:val="009D672C"/>
    <w:rsid w:val="009D72E0"/>
    <w:rsid w:val="009D76F5"/>
    <w:rsid w:val="009E040D"/>
    <w:rsid w:val="009E08CA"/>
    <w:rsid w:val="009E1C76"/>
    <w:rsid w:val="009E20F7"/>
    <w:rsid w:val="009E26C9"/>
    <w:rsid w:val="009E2E50"/>
    <w:rsid w:val="009E397A"/>
    <w:rsid w:val="009E4F7E"/>
    <w:rsid w:val="009E5277"/>
    <w:rsid w:val="009F0342"/>
    <w:rsid w:val="009F0433"/>
    <w:rsid w:val="009F068F"/>
    <w:rsid w:val="009F17D3"/>
    <w:rsid w:val="009F4B89"/>
    <w:rsid w:val="009F716E"/>
    <w:rsid w:val="00A00CC8"/>
    <w:rsid w:val="00A01F63"/>
    <w:rsid w:val="00A02C3C"/>
    <w:rsid w:val="00A03301"/>
    <w:rsid w:val="00A03F09"/>
    <w:rsid w:val="00A04006"/>
    <w:rsid w:val="00A05925"/>
    <w:rsid w:val="00A05CDD"/>
    <w:rsid w:val="00A06E06"/>
    <w:rsid w:val="00A06F48"/>
    <w:rsid w:val="00A10BA8"/>
    <w:rsid w:val="00A123F9"/>
    <w:rsid w:val="00A141BA"/>
    <w:rsid w:val="00A14D9B"/>
    <w:rsid w:val="00A16C3D"/>
    <w:rsid w:val="00A17991"/>
    <w:rsid w:val="00A17EE8"/>
    <w:rsid w:val="00A20298"/>
    <w:rsid w:val="00A204BB"/>
    <w:rsid w:val="00A204D7"/>
    <w:rsid w:val="00A21EC2"/>
    <w:rsid w:val="00A2248D"/>
    <w:rsid w:val="00A22496"/>
    <w:rsid w:val="00A228F3"/>
    <w:rsid w:val="00A232C9"/>
    <w:rsid w:val="00A23BD8"/>
    <w:rsid w:val="00A24F67"/>
    <w:rsid w:val="00A25228"/>
    <w:rsid w:val="00A309DC"/>
    <w:rsid w:val="00A31081"/>
    <w:rsid w:val="00A316C7"/>
    <w:rsid w:val="00A31C84"/>
    <w:rsid w:val="00A32C05"/>
    <w:rsid w:val="00A3673C"/>
    <w:rsid w:val="00A41510"/>
    <w:rsid w:val="00A4192D"/>
    <w:rsid w:val="00A41F5E"/>
    <w:rsid w:val="00A42D77"/>
    <w:rsid w:val="00A44D91"/>
    <w:rsid w:val="00A454C2"/>
    <w:rsid w:val="00A47D2F"/>
    <w:rsid w:val="00A52F77"/>
    <w:rsid w:val="00A54303"/>
    <w:rsid w:val="00A544CE"/>
    <w:rsid w:val="00A55147"/>
    <w:rsid w:val="00A5545E"/>
    <w:rsid w:val="00A5562E"/>
    <w:rsid w:val="00A5792C"/>
    <w:rsid w:val="00A62187"/>
    <w:rsid w:val="00A62FC4"/>
    <w:rsid w:val="00A635A9"/>
    <w:rsid w:val="00A64678"/>
    <w:rsid w:val="00A64D0C"/>
    <w:rsid w:val="00A66B8A"/>
    <w:rsid w:val="00A67069"/>
    <w:rsid w:val="00A70BAB"/>
    <w:rsid w:val="00A715BF"/>
    <w:rsid w:val="00A72443"/>
    <w:rsid w:val="00A7295B"/>
    <w:rsid w:val="00A729C2"/>
    <w:rsid w:val="00A73932"/>
    <w:rsid w:val="00A74073"/>
    <w:rsid w:val="00A77059"/>
    <w:rsid w:val="00A77462"/>
    <w:rsid w:val="00A77695"/>
    <w:rsid w:val="00A77D1A"/>
    <w:rsid w:val="00A80E93"/>
    <w:rsid w:val="00A827AE"/>
    <w:rsid w:val="00A82A80"/>
    <w:rsid w:val="00A82D19"/>
    <w:rsid w:val="00A840E5"/>
    <w:rsid w:val="00A84936"/>
    <w:rsid w:val="00A850C9"/>
    <w:rsid w:val="00A85324"/>
    <w:rsid w:val="00A9128C"/>
    <w:rsid w:val="00A915D4"/>
    <w:rsid w:val="00A92439"/>
    <w:rsid w:val="00A92C37"/>
    <w:rsid w:val="00A95C67"/>
    <w:rsid w:val="00A9678B"/>
    <w:rsid w:val="00A96873"/>
    <w:rsid w:val="00AA3286"/>
    <w:rsid w:val="00AA4195"/>
    <w:rsid w:val="00AA4585"/>
    <w:rsid w:val="00AA484B"/>
    <w:rsid w:val="00AA4B17"/>
    <w:rsid w:val="00AA60F0"/>
    <w:rsid w:val="00AA6DCF"/>
    <w:rsid w:val="00AA6F69"/>
    <w:rsid w:val="00AB0C9F"/>
    <w:rsid w:val="00AB1B2A"/>
    <w:rsid w:val="00AB3336"/>
    <w:rsid w:val="00AB4C98"/>
    <w:rsid w:val="00AB5952"/>
    <w:rsid w:val="00AB6416"/>
    <w:rsid w:val="00AB68AE"/>
    <w:rsid w:val="00AB6E87"/>
    <w:rsid w:val="00AB6FF2"/>
    <w:rsid w:val="00AB7377"/>
    <w:rsid w:val="00AC0A14"/>
    <w:rsid w:val="00AC2D59"/>
    <w:rsid w:val="00AC2F5A"/>
    <w:rsid w:val="00AC37D9"/>
    <w:rsid w:val="00AC3B85"/>
    <w:rsid w:val="00AC5C1C"/>
    <w:rsid w:val="00AC5E9F"/>
    <w:rsid w:val="00AC6182"/>
    <w:rsid w:val="00AC725D"/>
    <w:rsid w:val="00AC7D4F"/>
    <w:rsid w:val="00AD017C"/>
    <w:rsid w:val="00AD02AC"/>
    <w:rsid w:val="00AD0B13"/>
    <w:rsid w:val="00AD18AA"/>
    <w:rsid w:val="00AD216F"/>
    <w:rsid w:val="00AD3C4A"/>
    <w:rsid w:val="00AD3F18"/>
    <w:rsid w:val="00AD40C9"/>
    <w:rsid w:val="00AD74E9"/>
    <w:rsid w:val="00AE0132"/>
    <w:rsid w:val="00AE02E4"/>
    <w:rsid w:val="00AE049B"/>
    <w:rsid w:val="00AE24F0"/>
    <w:rsid w:val="00AE25C1"/>
    <w:rsid w:val="00AE2F56"/>
    <w:rsid w:val="00AE4503"/>
    <w:rsid w:val="00AE49C5"/>
    <w:rsid w:val="00AE5740"/>
    <w:rsid w:val="00AE5F9E"/>
    <w:rsid w:val="00AF0018"/>
    <w:rsid w:val="00AF0957"/>
    <w:rsid w:val="00AF0BFC"/>
    <w:rsid w:val="00AF0F77"/>
    <w:rsid w:val="00AF1437"/>
    <w:rsid w:val="00AF2DB7"/>
    <w:rsid w:val="00AF5CFE"/>
    <w:rsid w:val="00AF6534"/>
    <w:rsid w:val="00AF66B3"/>
    <w:rsid w:val="00B0002D"/>
    <w:rsid w:val="00B01CB3"/>
    <w:rsid w:val="00B0403F"/>
    <w:rsid w:val="00B04EEF"/>
    <w:rsid w:val="00B06BB2"/>
    <w:rsid w:val="00B06D32"/>
    <w:rsid w:val="00B06EC5"/>
    <w:rsid w:val="00B106E8"/>
    <w:rsid w:val="00B1120A"/>
    <w:rsid w:val="00B1204D"/>
    <w:rsid w:val="00B12E70"/>
    <w:rsid w:val="00B12F8B"/>
    <w:rsid w:val="00B13C5C"/>
    <w:rsid w:val="00B13E5C"/>
    <w:rsid w:val="00B160EB"/>
    <w:rsid w:val="00B16519"/>
    <w:rsid w:val="00B1732D"/>
    <w:rsid w:val="00B17F51"/>
    <w:rsid w:val="00B215DF"/>
    <w:rsid w:val="00B23CD0"/>
    <w:rsid w:val="00B2459A"/>
    <w:rsid w:val="00B2544D"/>
    <w:rsid w:val="00B26585"/>
    <w:rsid w:val="00B27855"/>
    <w:rsid w:val="00B3027D"/>
    <w:rsid w:val="00B3068E"/>
    <w:rsid w:val="00B31688"/>
    <w:rsid w:val="00B31D43"/>
    <w:rsid w:val="00B33464"/>
    <w:rsid w:val="00B403C5"/>
    <w:rsid w:val="00B41F72"/>
    <w:rsid w:val="00B421EF"/>
    <w:rsid w:val="00B43667"/>
    <w:rsid w:val="00B50C33"/>
    <w:rsid w:val="00B51D7E"/>
    <w:rsid w:val="00B521BC"/>
    <w:rsid w:val="00B5248B"/>
    <w:rsid w:val="00B53215"/>
    <w:rsid w:val="00B55395"/>
    <w:rsid w:val="00B578BC"/>
    <w:rsid w:val="00B579F7"/>
    <w:rsid w:val="00B57B62"/>
    <w:rsid w:val="00B60E48"/>
    <w:rsid w:val="00B610A0"/>
    <w:rsid w:val="00B61725"/>
    <w:rsid w:val="00B61A93"/>
    <w:rsid w:val="00B61D9D"/>
    <w:rsid w:val="00B645D2"/>
    <w:rsid w:val="00B64C36"/>
    <w:rsid w:val="00B64FAE"/>
    <w:rsid w:val="00B651ED"/>
    <w:rsid w:val="00B6567F"/>
    <w:rsid w:val="00B65684"/>
    <w:rsid w:val="00B657A1"/>
    <w:rsid w:val="00B661B9"/>
    <w:rsid w:val="00B70500"/>
    <w:rsid w:val="00B71256"/>
    <w:rsid w:val="00B719D6"/>
    <w:rsid w:val="00B72EFF"/>
    <w:rsid w:val="00B730C3"/>
    <w:rsid w:val="00B73673"/>
    <w:rsid w:val="00B747C3"/>
    <w:rsid w:val="00B751E6"/>
    <w:rsid w:val="00B7614E"/>
    <w:rsid w:val="00B764F8"/>
    <w:rsid w:val="00B76B39"/>
    <w:rsid w:val="00B8075C"/>
    <w:rsid w:val="00B8226F"/>
    <w:rsid w:val="00B86267"/>
    <w:rsid w:val="00B867B3"/>
    <w:rsid w:val="00B86A82"/>
    <w:rsid w:val="00B86E06"/>
    <w:rsid w:val="00B8727B"/>
    <w:rsid w:val="00B90827"/>
    <w:rsid w:val="00B9087B"/>
    <w:rsid w:val="00B90BF7"/>
    <w:rsid w:val="00B9182B"/>
    <w:rsid w:val="00B94E02"/>
    <w:rsid w:val="00B96C48"/>
    <w:rsid w:val="00B97ADE"/>
    <w:rsid w:val="00BA0CE0"/>
    <w:rsid w:val="00BA2295"/>
    <w:rsid w:val="00BA3171"/>
    <w:rsid w:val="00BA4198"/>
    <w:rsid w:val="00BA5B8E"/>
    <w:rsid w:val="00BA5BF7"/>
    <w:rsid w:val="00BA6AB9"/>
    <w:rsid w:val="00BA6AEA"/>
    <w:rsid w:val="00BA7681"/>
    <w:rsid w:val="00BA7B0C"/>
    <w:rsid w:val="00BB1C7A"/>
    <w:rsid w:val="00BB2A9E"/>
    <w:rsid w:val="00BB3AC2"/>
    <w:rsid w:val="00BB4600"/>
    <w:rsid w:val="00BB4DA4"/>
    <w:rsid w:val="00BB4E53"/>
    <w:rsid w:val="00BB502D"/>
    <w:rsid w:val="00BB73C9"/>
    <w:rsid w:val="00BC1AEF"/>
    <w:rsid w:val="00BC2A38"/>
    <w:rsid w:val="00BC326C"/>
    <w:rsid w:val="00BC32BD"/>
    <w:rsid w:val="00BC428F"/>
    <w:rsid w:val="00BC4DE7"/>
    <w:rsid w:val="00BC63DE"/>
    <w:rsid w:val="00BD1D9C"/>
    <w:rsid w:val="00BD2618"/>
    <w:rsid w:val="00BD339D"/>
    <w:rsid w:val="00BD3DAE"/>
    <w:rsid w:val="00BD434A"/>
    <w:rsid w:val="00BD4664"/>
    <w:rsid w:val="00BD6A9B"/>
    <w:rsid w:val="00BD76DF"/>
    <w:rsid w:val="00BD7FDE"/>
    <w:rsid w:val="00BE0706"/>
    <w:rsid w:val="00BE0888"/>
    <w:rsid w:val="00BE2685"/>
    <w:rsid w:val="00BE4410"/>
    <w:rsid w:val="00BE4991"/>
    <w:rsid w:val="00BE606D"/>
    <w:rsid w:val="00BE68F4"/>
    <w:rsid w:val="00BE69F2"/>
    <w:rsid w:val="00BE7238"/>
    <w:rsid w:val="00BE7D5C"/>
    <w:rsid w:val="00BF167B"/>
    <w:rsid w:val="00BF19AB"/>
    <w:rsid w:val="00BF2BF4"/>
    <w:rsid w:val="00BF3388"/>
    <w:rsid w:val="00BF637F"/>
    <w:rsid w:val="00C0116D"/>
    <w:rsid w:val="00C014E2"/>
    <w:rsid w:val="00C01B71"/>
    <w:rsid w:val="00C02EB3"/>
    <w:rsid w:val="00C03FC9"/>
    <w:rsid w:val="00C04E72"/>
    <w:rsid w:val="00C066DE"/>
    <w:rsid w:val="00C06E32"/>
    <w:rsid w:val="00C06FFD"/>
    <w:rsid w:val="00C070C6"/>
    <w:rsid w:val="00C07674"/>
    <w:rsid w:val="00C07909"/>
    <w:rsid w:val="00C100C7"/>
    <w:rsid w:val="00C110DC"/>
    <w:rsid w:val="00C1118A"/>
    <w:rsid w:val="00C12BD0"/>
    <w:rsid w:val="00C13185"/>
    <w:rsid w:val="00C143BA"/>
    <w:rsid w:val="00C14C97"/>
    <w:rsid w:val="00C15AEB"/>
    <w:rsid w:val="00C22544"/>
    <w:rsid w:val="00C234DD"/>
    <w:rsid w:val="00C24BC6"/>
    <w:rsid w:val="00C2515A"/>
    <w:rsid w:val="00C25682"/>
    <w:rsid w:val="00C269B8"/>
    <w:rsid w:val="00C272A4"/>
    <w:rsid w:val="00C3090B"/>
    <w:rsid w:val="00C32624"/>
    <w:rsid w:val="00C33443"/>
    <w:rsid w:val="00C33E65"/>
    <w:rsid w:val="00C34766"/>
    <w:rsid w:val="00C34D8C"/>
    <w:rsid w:val="00C35608"/>
    <w:rsid w:val="00C36935"/>
    <w:rsid w:val="00C40EA1"/>
    <w:rsid w:val="00C4289C"/>
    <w:rsid w:val="00C42C79"/>
    <w:rsid w:val="00C44543"/>
    <w:rsid w:val="00C44AA2"/>
    <w:rsid w:val="00C452F1"/>
    <w:rsid w:val="00C4550A"/>
    <w:rsid w:val="00C45E44"/>
    <w:rsid w:val="00C46A71"/>
    <w:rsid w:val="00C46E0A"/>
    <w:rsid w:val="00C52818"/>
    <w:rsid w:val="00C53597"/>
    <w:rsid w:val="00C535CF"/>
    <w:rsid w:val="00C53A5F"/>
    <w:rsid w:val="00C5427C"/>
    <w:rsid w:val="00C548B9"/>
    <w:rsid w:val="00C54BFB"/>
    <w:rsid w:val="00C55AC2"/>
    <w:rsid w:val="00C56882"/>
    <w:rsid w:val="00C57920"/>
    <w:rsid w:val="00C63049"/>
    <w:rsid w:val="00C64C38"/>
    <w:rsid w:val="00C700EB"/>
    <w:rsid w:val="00C70C79"/>
    <w:rsid w:val="00C72154"/>
    <w:rsid w:val="00C728AC"/>
    <w:rsid w:val="00C735E7"/>
    <w:rsid w:val="00C736D0"/>
    <w:rsid w:val="00C73D24"/>
    <w:rsid w:val="00C74F4E"/>
    <w:rsid w:val="00C75E6F"/>
    <w:rsid w:val="00C76597"/>
    <w:rsid w:val="00C766D4"/>
    <w:rsid w:val="00C76B14"/>
    <w:rsid w:val="00C8033E"/>
    <w:rsid w:val="00C80C90"/>
    <w:rsid w:val="00C821E0"/>
    <w:rsid w:val="00C8634D"/>
    <w:rsid w:val="00C86E76"/>
    <w:rsid w:val="00C87BEB"/>
    <w:rsid w:val="00C90BA0"/>
    <w:rsid w:val="00C92ECC"/>
    <w:rsid w:val="00C95125"/>
    <w:rsid w:val="00C96CCA"/>
    <w:rsid w:val="00C9711A"/>
    <w:rsid w:val="00CA0150"/>
    <w:rsid w:val="00CA0A04"/>
    <w:rsid w:val="00CA2E4F"/>
    <w:rsid w:val="00CA39F9"/>
    <w:rsid w:val="00CA429B"/>
    <w:rsid w:val="00CA559C"/>
    <w:rsid w:val="00CA6C16"/>
    <w:rsid w:val="00CA799C"/>
    <w:rsid w:val="00CB0666"/>
    <w:rsid w:val="00CB2568"/>
    <w:rsid w:val="00CB2F25"/>
    <w:rsid w:val="00CB4231"/>
    <w:rsid w:val="00CB451F"/>
    <w:rsid w:val="00CB4664"/>
    <w:rsid w:val="00CB53FB"/>
    <w:rsid w:val="00CB5C7C"/>
    <w:rsid w:val="00CB64AD"/>
    <w:rsid w:val="00CB6AD6"/>
    <w:rsid w:val="00CB7168"/>
    <w:rsid w:val="00CB76C7"/>
    <w:rsid w:val="00CC0953"/>
    <w:rsid w:val="00CC185A"/>
    <w:rsid w:val="00CC4613"/>
    <w:rsid w:val="00CC4674"/>
    <w:rsid w:val="00CC5143"/>
    <w:rsid w:val="00CC5957"/>
    <w:rsid w:val="00CC6338"/>
    <w:rsid w:val="00CC6FB6"/>
    <w:rsid w:val="00CC790D"/>
    <w:rsid w:val="00CC7CF0"/>
    <w:rsid w:val="00CD00A9"/>
    <w:rsid w:val="00CD0FE9"/>
    <w:rsid w:val="00CD244F"/>
    <w:rsid w:val="00CD3B83"/>
    <w:rsid w:val="00CD45A7"/>
    <w:rsid w:val="00CD508F"/>
    <w:rsid w:val="00CD53A1"/>
    <w:rsid w:val="00CD6433"/>
    <w:rsid w:val="00CD6BF2"/>
    <w:rsid w:val="00CD7529"/>
    <w:rsid w:val="00CD7548"/>
    <w:rsid w:val="00CE0E7E"/>
    <w:rsid w:val="00CE17F8"/>
    <w:rsid w:val="00CE2877"/>
    <w:rsid w:val="00CE5163"/>
    <w:rsid w:val="00CE5682"/>
    <w:rsid w:val="00CF073E"/>
    <w:rsid w:val="00CF0B3B"/>
    <w:rsid w:val="00CF0DED"/>
    <w:rsid w:val="00CF1AA7"/>
    <w:rsid w:val="00CF2949"/>
    <w:rsid w:val="00CF2B5E"/>
    <w:rsid w:val="00CF5239"/>
    <w:rsid w:val="00CF59C3"/>
    <w:rsid w:val="00CF5F60"/>
    <w:rsid w:val="00D00A28"/>
    <w:rsid w:val="00D00CC3"/>
    <w:rsid w:val="00D047B8"/>
    <w:rsid w:val="00D04F5D"/>
    <w:rsid w:val="00D05B68"/>
    <w:rsid w:val="00D06272"/>
    <w:rsid w:val="00D064CE"/>
    <w:rsid w:val="00D06D74"/>
    <w:rsid w:val="00D10332"/>
    <w:rsid w:val="00D1165B"/>
    <w:rsid w:val="00D12BD9"/>
    <w:rsid w:val="00D140E7"/>
    <w:rsid w:val="00D149E7"/>
    <w:rsid w:val="00D16783"/>
    <w:rsid w:val="00D16FF9"/>
    <w:rsid w:val="00D17CC0"/>
    <w:rsid w:val="00D20372"/>
    <w:rsid w:val="00D21344"/>
    <w:rsid w:val="00D2198D"/>
    <w:rsid w:val="00D223E8"/>
    <w:rsid w:val="00D22BDB"/>
    <w:rsid w:val="00D234ED"/>
    <w:rsid w:val="00D252C8"/>
    <w:rsid w:val="00D26881"/>
    <w:rsid w:val="00D271B0"/>
    <w:rsid w:val="00D307FA"/>
    <w:rsid w:val="00D342A4"/>
    <w:rsid w:val="00D3432A"/>
    <w:rsid w:val="00D34EEF"/>
    <w:rsid w:val="00D35D7E"/>
    <w:rsid w:val="00D35DF9"/>
    <w:rsid w:val="00D374C1"/>
    <w:rsid w:val="00D4248F"/>
    <w:rsid w:val="00D42C08"/>
    <w:rsid w:val="00D43CA2"/>
    <w:rsid w:val="00D43E32"/>
    <w:rsid w:val="00D4411D"/>
    <w:rsid w:val="00D441D3"/>
    <w:rsid w:val="00D45054"/>
    <w:rsid w:val="00D4568E"/>
    <w:rsid w:val="00D45D34"/>
    <w:rsid w:val="00D46913"/>
    <w:rsid w:val="00D505FC"/>
    <w:rsid w:val="00D5186D"/>
    <w:rsid w:val="00D51C19"/>
    <w:rsid w:val="00D52FAE"/>
    <w:rsid w:val="00D5371C"/>
    <w:rsid w:val="00D537F6"/>
    <w:rsid w:val="00D53A66"/>
    <w:rsid w:val="00D5692B"/>
    <w:rsid w:val="00D57B02"/>
    <w:rsid w:val="00D57EE4"/>
    <w:rsid w:val="00D60613"/>
    <w:rsid w:val="00D6129B"/>
    <w:rsid w:val="00D61DCA"/>
    <w:rsid w:val="00D62DFC"/>
    <w:rsid w:val="00D65A92"/>
    <w:rsid w:val="00D65F10"/>
    <w:rsid w:val="00D670CF"/>
    <w:rsid w:val="00D67292"/>
    <w:rsid w:val="00D727BA"/>
    <w:rsid w:val="00D739B3"/>
    <w:rsid w:val="00D7506C"/>
    <w:rsid w:val="00D77FAE"/>
    <w:rsid w:val="00D806DE"/>
    <w:rsid w:val="00D8073A"/>
    <w:rsid w:val="00D809B7"/>
    <w:rsid w:val="00D80F4F"/>
    <w:rsid w:val="00D82B64"/>
    <w:rsid w:val="00D82F63"/>
    <w:rsid w:val="00D854A8"/>
    <w:rsid w:val="00D85BC2"/>
    <w:rsid w:val="00D876D2"/>
    <w:rsid w:val="00D87BA4"/>
    <w:rsid w:val="00D87C6D"/>
    <w:rsid w:val="00D907CA"/>
    <w:rsid w:val="00D91DDD"/>
    <w:rsid w:val="00D92CFD"/>
    <w:rsid w:val="00D93505"/>
    <w:rsid w:val="00D9530F"/>
    <w:rsid w:val="00D95612"/>
    <w:rsid w:val="00D95D37"/>
    <w:rsid w:val="00D95EB9"/>
    <w:rsid w:val="00D96344"/>
    <w:rsid w:val="00D9697F"/>
    <w:rsid w:val="00DA11E0"/>
    <w:rsid w:val="00DA1944"/>
    <w:rsid w:val="00DA1B0D"/>
    <w:rsid w:val="00DA1ED4"/>
    <w:rsid w:val="00DA3A21"/>
    <w:rsid w:val="00DA4330"/>
    <w:rsid w:val="00DA52A1"/>
    <w:rsid w:val="00DA65E0"/>
    <w:rsid w:val="00DA6FE7"/>
    <w:rsid w:val="00DB012B"/>
    <w:rsid w:val="00DB1172"/>
    <w:rsid w:val="00DB1F8C"/>
    <w:rsid w:val="00DB3A58"/>
    <w:rsid w:val="00DB4966"/>
    <w:rsid w:val="00DB4D89"/>
    <w:rsid w:val="00DB5A9D"/>
    <w:rsid w:val="00DB6D43"/>
    <w:rsid w:val="00DB7488"/>
    <w:rsid w:val="00DC1477"/>
    <w:rsid w:val="00DC1A42"/>
    <w:rsid w:val="00DC2122"/>
    <w:rsid w:val="00DC25F9"/>
    <w:rsid w:val="00DC2A55"/>
    <w:rsid w:val="00DC2AB9"/>
    <w:rsid w:val="00DC337A"/>
    <w:rsid w:val="00DC3CFA"/>
    <w:rsid w:val="00DC4587"/>
    <w:rsid w:val="00DC531E"/>
    <w:rsid w:val="00DC539D"/>
    <w:rsid w:val="00DC62F1"/>
    <w:rsid w:val="00DC65AF"/>
    <w:rsid w:val="00DC65E8"/>
    <w:rsid w:val="00DC69CA"/>
    <w:rsid w:val="00DC6E4C"/>
    <w:rsid w:val="00DC758E"/>
    <w:rsid w:val="00DD02FC"/>
    <w:rsid w:val="00DD0420"/>
    <w:rsid w:val="00DD152D"/>
    <w:rsid w:val="00DD176A"/>
    <w:rsid w:val="00DD1F26"/>
    <w:rsid w:val="00DD3544"/>
    <w:rsid w:val="00DD38BE"/>
    <w:rsid w:val="00DD3A13"/>
    <w:rsid w:val="00DD6BAC"/>
    <w:rsid w:val="00DD7B2C"/>
    <w:rsid w:val="00DE09C7"/>
    <w:rsid w:val="00DE131B"/>
    <w:rsid w:val="00DE213B"/>
    <w:rsid w:val="00DE21CA"/>
    <w:rsid w:val="00DE240A"/>
    <w:rsid w:val="00DE26A5"/>
    <w:rsid w:val="00DE358C"/>
    <w:rsid w:val="00DE3940"/>
    <w:rsid w:val="00DE4275"/>
    <w:rsid w:val="00DE42E3"/>
    <w:rsid w:val="00DE4A9A"/>
    <w:rsid w:val="00DE6A6D"/>
    <w:rsid w:val="00DE6D8D"/>
    <w:rsid w:val="00DE75A7"/>
    <w:rsid w:val="00DF09E6"/>
    <w:rsid w:val="00DF341D"/>
    <w:rsid w:val="00DF47B6"/>
    <w:rsid w:val="00DF5635"/>
    <w:rsid w:val="00DF5D61"/>
    <w:rsid w:val="00E016A9"/>
    <w:rsid w:val="00E02481"/>
    <w:rsid w:val="00E02FD5"/>
    <w:rsid w:val="00E05BE8"/>
    <w:rsid w:val="00E06030"/>
    <w:rsid w:val="00E06407"/>
    <w:rsid w:val="00E0671E"/>
    <w:rsid w:val="00E06C88"/>
    <w:rsid w:val="00E07BA6"/>
    <w:rsid w:val="00E07E5C"/>
    <w:rsid w:val="00E10A89"/>
    <w:rsid w:val="00E10BCB"/>
    <w:rsid w:val="00E11D09"/>
    <w:rsid w:val="00E12743"/>
    <w:rsid w:val="00E12A80"/>
    <w:rsid w:val="00E1354A"/>
    <w:rsid w:val="00E1535E"/>
    <w:rsid w:val="00E1564F"/>
    <w:rsid w:val="00E21C7E"/>
    <w:rsid w:val="00E22657"/>
    <w:rsid w:val="00E22900"/>
    <w:rsid w:val="00E235BC"/>
    <w:rsid w:val="00E2397D"/>
    <w:rsid w:val="00E25FA4"/>
    <w:rsid w:val="00E30660"/>
    <w:rsid w:val="00E312A1"/>
    <w:rsid w:val="00E312CE"/>
    <w:rsid w:val="00E3195A"/>
    <w:rsid w:val="00E33364"/>
    <w:rsid w:val="00E3512A"/>
    <w:rsid w:val="00E363B0"/>
    <w:rsid w:val="00E36441"/>
    <w:rsid w:val="00E36633"/>
    <w:rsid w:val="00E36E59"/>
    <w:rsid w:val="00E37E6F"/>
    <w:rsid w:val="00E40423"/>
    <w:rsid w:val="00E404E8"/>
    <w:rsid w:val="00E41075"/>
    <w:rsid w:val="00E41CF2"/>
    <w:rsid w:val="00E42EEA"/>
    <w:rsid w:val="00E441C0"/>
    <w:rsid w:val="00E44D44"/>
    <w:rsid w:val="00E45FE5"/>
    <w:rsid w:val="00E463A4"/>
    <w:rsid w:val="00E4692D"/>
    <w:rsid w:val="00E478CD"/>
    <w:rsid w:val="00E47961"/>
    <w:rsid w:val="00E47968"/>
    <w:rsid w:val="00E50273"/>
    <w:rsid w:val="00E50589"/>
    <w:rsid w:val="00E508AD"/>
    <w:rsid w:val="00E51040"/>
    <w:rsid w:val="00E5198A"/>
    <w:rsid w:val="00E533A7"/>
    <w:rsid w:val="00E53795"/>
    <w:rsid w:val="00E53B96"/>
    <w:rsid w:val="00E545DE"/>
    <w:rsid w:val="00E54A81"/>
    <w:rsid w:val="00E553A7"/>
    <w:rsid w:val="00E55ACB"/>
    <w:rsid w:val="00E57512"/>
    <w:rsid w:val="00E60A13"/>
    <w:rsid w:val="00E612E4"/>
    <w:rsid w:val="00E6146E"/>
    <w:rsid w:val="00E61933"/>
    <w:rsid w:val="00E61BA3"/>
    <w:rsid w:val="00E6237B"/>
    <w:rsid w:val="00E6268B"/>
    <w:rsid w:val="00E62F67"/>
    <w:rsid w:val="00E6416A"/>
    <w:rsid w:val="00E647C7"/>
    <w:rsid w:val="00E64D2E"/>
    <w:rsid w:val="00E65564"/>
    <w:rsid w:val="00E657BD"/>
    <w:rsid w:val="00E65AE2"/>
    <w:rsid w:val="00E66369"/>
    <w:rsid w:val="00E667A4"/>
    <w:rsid w:val="00E706A6"/>
    <w:rsid w:val="00E70B1B"/>
    <w:rsid w:val="00E7111E"/>
    <w:rsid w:val="00E730CA"/>
    <w:rsid w:val="00E73427"/>
    <w:rsid w:val="00E73660"/>
    <w:rsid w:val="00E74BB7"/>
    <w:rsid w:val="00E75719"/>
    <w:rsid w:val="00E75C22"/>
    <w:rsid w:val="00E769D6"/>
    <w:rsid w:val="00E77201"/>
    <w:rsid w:val="00E824FC"/>
    <w:rsid w:val="00E82549"/>
    <w:rsid w:val="00E82B07"/>
    <w:rsid w:val="00E83084"/>
    <w:rsid w:val="00E85D41"/>
    <w:rsid w:val="00E86B20"/>
    <w:rsid w:val="00E87C84"/>
    <w:rsid w:val="00E87D2E"/>
    <w:rsid w:val="00E90AD2"/>
    <w:rsid w:val="00E90E83"/>
    <w:rsid w:val="00E90EC4"/>
    <w:rsid w:val="00E92ADE"/>
    <w:rsid w:val="00E92F95"/>
    <w:rsid w:val="00E9472D"/>
    <w:rsid w:val="00E96553"/>
    <w:rsid w:val="00E96619"/>
    <w:rsid w:val="00E96B04"/>
    <w:rsid w:val="00E96CEE"/>
    <w:rsid w:val="00E97BF6"/>
    <w:rsid w:val="00EA002F"/>
    <w:rsid w:val="00EA02AC"/>
    <w:rsid w:val="00EA0561"/>
    <w:rsid w:val="00EA2A69"/>
    <w:rsid w:val="00EA439A"/>
    <w:rsid w:val="00EA4963"/>
    <w:rsid w:val="00EA500A"/>
    <w:rsid w:val="00EA57AB"/>
    <w:rsid w:val="00EA587D"/>
    <w:rsid w:val="00EA63A0"/>
    <w:rsid w:val="00EA7350"/>
    <w:rsid w:val="00EB0AB4"/>
    <w:rsid w:val="00EB155C"/>
    <w:rsid w:val="00EB2BD4"/>
    <w:rsid w:val="00EB43BF"/>
    <w:rsid w:val="00EB57D3"/>
    <w:rsid w:val="00EB5A62"/>
    <w:rsid w:val="00EB5E1E"/>
    <w:rsid w:val="00EB61C2"/>
    <w:rsid w:val="00EB6BFF"/>
    <w:rsid w:val="00EB734D"/>
    <w:rsid w:val="00EC1189"/>
    <w:rsid w:val="00EC12D7"/>
    <w:rsid w:val="00EC2C5F"/>
    <w:rsid w:val="00EC2FBD"/>
    <w:rsid w:val="00EC35D5"/>
    <w:rsid w:val="00EC3657"/>
    <w:rsid w:val="00EC3CCE"/>
    <w:rsid w:val="00EC40B1"/>
    <w:rsid w:val="00EC43A8"/>
    <w:rsid w:val="00EC55E0"/>
    <w:rsid w:val="00EC6AC9"/>
    <w:rsid w:val="00EC75A0"/>
    <w:rsid w:val="00EC7E40"/>
    <w:rsid w:val="00ED1D13"/>
    <w:rsid w:val="00ED7D74"/>
    <w:rsid w:val="00ED7F8F"/>
    <w:rsid w:val="00EE1E10"/>
    <w:rsid w:val="00EE29D1"/>
    <w:rsid w:val="00EE3E1E"/>
    <w:rsid w:val="00EE4B4F"/>
    <w:rsid w:val="00EE54B7"/>
    <w:rsid w:val="00EE6571"/>
    <w:rsid w:val="00EE6E0F"/>
    <w:rsid w:val="00EF172A"/>
    <w:rsid w:val="00EF18B8"/>
    <w:rsid w:val="00EF1CAA"/>
    <w:rsid w:val="00EF4D11"/>
    <w:rsid w:val="00EF5791"/>
    <w:rsid w:val="00EF635C"/>
    <w:rsid w:val="00EF7279"/>
    <w:rsid w:val="00EF7F4D"/>
    <w:rsid w:val="00F002E0"/>
    <w:rsid w:val="00F00C88"/>
    <w:rsid w:val="00F01AAC"/>
    <w:rsid w:val="00F0204A"/>
    <w:rsid w:val="00F03E24"/>
    <w:rsid w:val="00F056B6"/>
    <w:rsid w:val="00F064E0"/>
    <w:rsid w:val="00F06769"/>
    <w:rsid w:val="00F075A3"/>
    <w:rsid w:val="00F07610"/>
    <w:rsid w:val="00F10BC0"/>
    <w:rsid w:val="00F10C90"/>
    <w:rsid w:val="00F11ACC"/>
    <w:rsid w:val="00F11AF7"/>
    <w:rsid w:val="00F12BBF"/>
    <w:rsid w:val="00F1330F"/>
    <w:rsid w:val="00F13B26"/>
    <w:rsid w:val="00F13F3C"/>
    <w:rsid w:val="00F145F2"/>
    <w:rsid w:val="00F149D9"/>
    <w:rsid w:val="00F14BE1"/>
    <w:rsid w:val="00F14CB7"/>
    <w:rsid w:val="00F152E5"/>
    <w:rsid w:val="00F1545D"/>
    <w:rsid w:val="00F15FF7"/>
    <w:rsid w:val="00F16499"/>
    <w:rsid w:val="00F17917"/>
    <w:rsid w:val="00F27992"/>
    <w:rsid w:val="00F3048A"/>
    <w:rsid w:val="00F309B1"/>
    <w:rsid w:val="00F30BB1"/>
    <w:rsid w:val="00F317BB"/>
    <w:rsid w:val="00F32520"/>
    <w:rsid w:val="00F32734"/>
    <w:rsid w:val="00F32C3D"/>
    <w:rsid w:val="00F3341A"/>
    <w:rsid w:val="00F33C9C"/>
    <w:rsid w:val="00F33DFB"/>
    <w:rsid w:val="00F33E48"/>
    <w:rsid w:val="00F34CB7"/>
    <w:rsid w:val="00F352C2"/>
    <w:rsid w:val="00F35FEF"/>
    <w:rsid w:val="00F36863"/>
    <w:rsid w:val="00F37608"/>
    <w:rsid w:val="00F37624"/>
    <w:rsid w:val="00F376C6"/>
    <w:rsid w:val="00F40198"/>
    <w:rsid w:val="00F40EAA"/>
    <w:rsid w:val="00F4136F"/>
    <w:rsid w:val="00F42D51"/>
    <w:rsid w:val="00F441E5"/>
    <w:rsid w:val="00F44786"/>
    <w:rsid w:val="00F448AD"/>
    <w:rsid w:val="00F452BB"/>
    <w:rsid w:val="00F46892"/>
    <w:rsid w:val="00F47699"/>
    <w:rsid w:val="00F50154"/>
    <w:rsid w:val="00F505FD"/>
    <w:rsid w:val="00F5348C"/>
    <w:rsid w:val="00F53591"/>
    <w:rsid w:val="00F542DE"/>
    <w:rsid w:val="00F5504F"/>
    <w:rsid w:val="00F6122A"/>
    <w:rsid w:val="00F62282"/>
    <w:rsid w:val="00F70375"/>
    <w:rsid w:val="00F70878"/>
    <w:rsid w:val="00F70C34"/>
    <w:rsid w:val="00F70F73"/>
    <w:rsid w:val="00F7155F"/>
    <w:rsid w:val="00F71B48"/>
    <w:rsid w:val="00F71C66"/>
    <w:rsid w:val="00F71DEF"/>
    <w:rsid w:val="00F72957"/>
    <w:rsid w:val="00F732AC"/>
    <w:rsid w:val="00F747C4"/>
    <w:rsid w:val="00F74BE1"/>
    <w:rsid w:val="00F74D4B"/>
    <w:rsid w:val="00F75D35"/>
    <w:rsid w:val="00F76839"/>
    <w:rsid w:val="00F77750"/>
    <w:rsid w:val="00F778FC"/>
    <w:rsid w:val="00F81504"/>
    <w:rsid w:val="00F81BC1"/>
    <w:rsid w:val="00F81C53"/>
    <w:rsid w:val="00F820B1"/>
    <w:rsid w:val="00F85452"/>
    <w:rsid w:val="00F87E3E"/>
    <w:rsid w:val="00F90B10"/>
    <w:rsid w:val="00F91619"/>
    <w:rsid w:val="00F9202B"/>
    <w:rsid w:val="00F926E4"/>
    <w:rsid w:val="00F92DE0"/>
    <w:rsid w:val="00F9371E"/>
    <w:rsid w:val="00F94ACA"/>
    <w:rsid w:val="00F94D65"/>
    <w:rsid w:val="00F95332"/>
    <w:rsid w:val="00F9586A"/>
    <w:rsid w:val="00F95EFB"/>
    <w:rsid w:val="00F976E1"/>
    <w:rsid w:val="00FA03A7"/>
    <w:rsid w:val="00FA0848"/>
    <w:rsid w:val="00FA293F"/>
    <w:rsid w:val="00FA47AE"/>
    <w:rsid w:val="00FA493A"/>
    <w:rsid w:val="00FA57A4"/>
    <w:rsid w:val="00FA57FF"/>
    <w:rsid w:val="00FA5ABF"/>
    <w:rsid w:val="00FA610C"/>
    <w:rsid w:val="00FA6DD8"/>
    <w:rsid w:val="00FA72C9"/>
    <w:rsid w:val="00FA7763"/>
    <w:rsid w:val="00FA7A65"/>
    <w:rsid w:val="00FA7D81"/>
    <w:rsid w:val="00FB0BB8"/>
    <w:rsid w:val="00FB3804"/>
    <w:rsid w:val="00FB3C8F"/>
    <w:rsid w:val="00FB3CC4"/>
    <w:rsid w:val="00FB4344"/>
    <w:rsid w:val="00FB4619"/>
    <w:rsid w:val="00FB5876"/>
    <w:rsid w:val="00FB7698"/>
    <w:rsid w:val="00FB7786"/>
    <w:rsid w:val="00FB7BF6"/>
    <w:rsid w:val="00FC11F9"/>
    <w:rsid w:val="00FC32DC"/>
    <w:rsid w:val="00FC4054"/>
    <w:rsid w:val="00FC4826"/>
    <w:rsid w:val="00FC4B60"/>
    <w:rsid w:val="00FC7AB9"/>
    <w:rsid w:val="00FD02EF"/>
    <w:rsid w:val="00FD42B2"/>
    <w:rsid w:val="00FD53EB"/>
    <w:rsid w:val="00FD5B26"/>
    <w:rsid w:val="00FD5D26"/>
    <w:rsid w:val="00FD6946"/>
    <w:rsid w:val="00FE0154"/>
    <w:rsid w:val="00FE04FB"/>
    <w:rsid w:val="00FE14E4"/>
    <w:rsid w:val="00FE20E4"/>
    <w:rsid w:val="00FE26EF"/>
    <w:rsid w:val="00FE2DDD"/>
    <w:rsid w:val="00FE3357"/>
    <w:rsid w:val="00FE4AA4"/>
    <w:rsid w:val="00FE660A"/>
    <w:rsid w:val="00FE75EE"/>
    <w:rsid w:val="00FF05B0"/>
    <w:rsid w:val="00FF1538"/>
    <w:rsid w:val="00FF23DD"/>
    <w:rsid w:val="00FF2A29"/>
    <w:rsid w:val="00FF6F8F"/>
    <w:rsid w:val="00FF78E3"/>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197B77"/>
    <w:pPr>
      <w:widowControl w:val="0"/>
      <w:ind w:firstLine="720"/>
      <w:contextualSpacing/>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rsid w:val="00056F09"/>
  </w:style>
  <w:style w:type="character" w:customStyle="1" w:styleId="HeaderChar">
    <w:name w:val="Header Char"/>
    <w:basedOn w:val="DefaultParagraphFont"/>
    <w:link w:val="Header"/>
    <w:uiPriority w:val="99"/>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iPriority w:val="99"/>
    <w:unhideWhenUsed/>
    <w:rsid w:val="006D310E"/>
  </w:style>
  <w:style w:type="character" w:customStyle="1" w:styleId="CommentTextChar">
    <w:name w:val="Comment Text Char"/>
    <w:basedOn w:val="DefaultParagraphFont"/>
    <w:link w:val="CommentText"/>
    <w:uiPriority w:val="99"/>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 w:type="character" w:customStyle="1" w:styleId="apple-converted-space">
    <w:name w:val="apple-converted-space"/>
    <w:basedOn w:val="DefaultParagraphFont"/>
    <w:rsid w:val="00CD0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Num"/>
    <w:link w:val="Heading1Char"/>
    <w:qFormat/>
    <w:rsid w:val="00A55147"/>
    <w:pPr>
      <w:keepNext/>
      <w:widowControl w:val="0"/>
      <w:numPr>
        <w:numId w:val="7"/>
      </w:numPr>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A55147"/>
    <w:pPr>
      <w:keepNext/>
      <w:widowControl w:val="0"/>
      <w:numPr>
        <w:ilvl w:val="1"/>
        <w:numId w:val="7"/>
      </w:numPr>
      <w:spacing w:after="120"/>
      <w:outlineLvl w:val="1"/>
    </w:pPr>
    <w:rPr>
      <w:b/>
      <w:snapToGrid w:val="0"/>
      <w:kern w:val="28"/>
      <w:sz w:val="22"/>
    </w:rPr>
  </w:style>
  <w:style w:type="paragraph" w:styleId="Heading3">
    <w:name w:val="heading 3"/>
    <w:basedOn w:val="Normal"/>
    <w:next w:val="ParaNum"/>
    <w:link w:val="Heading3Char"/>
    <w:qFormat/>
    <w:rsid w:val="00A55147"/>
    <w:pPr>
      <w:keepNext/>
      <w:widowControl w:val="0"/>
      <w:numPr>
        <w:ilvl w:val="2"/>
        <w:numId w:val="7"/>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A55147"/>
    <w:pPr>
      <w:keepNext/>
      <w:widowControl w:val="0"/>
      <w:numPr>
        <w:ilvl w:val="3"/>
        <w:numId w:val="7"/>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A55147"/>
    <w:pPr>
      <w:keepNext/>
      <w:widowControl w:val="0"/>
      <w:numPr>
        <w:ilvl w:val="4"/>
        <w:numId w:val="7"/>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A55147"/>
    <w:pPr>
      <w:widowControl w:val="0"/>
      <w:numPr>
        <w:ilvl w:val="5"/>
        <w:numId w:val="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A55147"/>
    <w:pPr>
      <w:widowControl w:val="0"/>
      <w:numPr>
        <w:ilvl w:val="6"/>
        <w:numId w:val="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A55147"/>
    <w:pPr>
      <w:widowControl w:val="0"/>
      <w:numPr>
        <w:ilvl w:val="7"/>
        <w:numId w:val="7"/>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A55147"/>
    <w:pPr>
      <w:widowControl w:val="0"/>
      <w:numPr>
        <w:ilvl w:val="8"/>
        <w:numId w:val="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qFormat/>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Style 4,Footnote Reference1,Style 34,Style 9"/>
    <w:qFormat/>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197B77"/>
    <w:pPr>
      <w:widowControl w:val="0"/>
      <w:ind w:firstLine="720"/>
      <w:contextualSpacing/>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rsid w:val="00056F09"/>
  </w:style>
  <w:style w:type="character" w:customStyle="1" w:styleId="HeaderChar">
    <w:name w:val="Header Char"/>
    <w:basedOn w:val="DefaultParagraphFont"/>
    <w:link w:val="Header"/>
    <w:uiPriority w:val="99"/>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 w:type="character" w:styleId="CommentReference">
    <w:name w:val="annotation reference"/>
    <w:basedOn w:val="DefaultParagraphFont"/>
    <w:uiPriority w:val="99"/>
    <w:unhideWhenUsed/>
    <w:rsid w:val="006D310E"/>
    <w:rPr>
      <w:sz w:val="16"/>
      <w:szCs w:val="16"/>
    </w:rPr>
  </w:style>
  <w:style w:type="paragraph" w:styleId="CommentText">
    <w:name w:val="annotation text"/>
    <w:basedOn w:val="Normal"/>
    <w:link w:val="CommentTextChar"/>
    <w:uiPriority w:val="99"/>
    <w:unhideWhenUsed/>
    <w:rsid w:val="006D310E"/>
  </w:style>
  <w:style w:type="character" w:customStyle="1" w:styleId="CommentTextChar">
    <w:name w:val="Comment Text Char"/>
    <w:basedOn w:val="DefaultParagraphFont"/>
    <w:link w:val="CommentText"/>
    <w:uiPriority w:val="99"/>
    <w:rsid w:val="006D310E"/>
  </w:style>
  <w:style w:type="paragraph" w:styleId="CommentSubject">
    <w:name w:val="annotation subject"/>
    <w:basedOn w:val="CommentText"/>
    <w:next w:val="CommentText"/>
    <w:link w:val="CommentSubjectChar"/>
    <w:unhideWhenUsed/>
    <w:rsid w:val="006D310E"/>
    <w:rPr>
      <w:b/>
      <w:bCs/>
    </w:rPr>
  </w:style>
  <w:style w:type="character" w:customStyle="1" w:styleId="CommentSubjectChar">
    <w:name w:val="Comment Subject Char"/>
    <w:basedOn w:val="CommentTextChar"/>
    <w:link w:val="CommentSubject"/>
    <w:rsid w:val="006D310E"/>
    <w:rPr>
      <w:b/>
      <w:bCs/>
    </w:rPr>
  </w:style>
  <w:style w:type="paragraph" w:styleId="Revision">
    <w:name w:val="Revision"/>
    <w:hidden/>
    <w:uiPriority w:val="71"/>
    <w:rsid w:val="00340C15"/>
  </w:style>
  <w:style w:type="character" w:customStyle="1" w:styleId="Heading1Char">
    <w:name w:val="Heading 1 Char"/>
    <w:basedOn w:val="DefaultParagraphFont"/>
    <w:link w:val="Heading1"/>
    <w:rsid w:val="00A55147"/>
    <w:rPr>
      <w:rFonts w:ascii="Times New Roman Bold" w:hAnsi="Times New Roman Bold"/>
      <w:b/>
      <w:caps/>
      <w:snapToGrid w:val="0"/>
      <w:kern w:val="28"/>
      <w:sz w:val="22"/>
    </w:rPr>
  </w:style>
  <w:style w:type="character" w:customStyle="1" w:styleId="Heading2Char">
    <w:name w:val="Heading 2 Char"/>
    <w:basedOn w:val="DefaultParagraphFont"/>
    <w:link w:val="Heading2"/>
    <w:rsid w:val="00A55147"/>
    <w:rPr>
      <w:b/>
      <w:snapToGrid w:val="0"/>
      <w:kern w:val="28"/>
      <w:sz w:val="22"/>
    </w:rPr>
  </w:style>
  <w:style w:type="character" w:customStyle="1" w:styleId="Heading3Char">
    <w:name w:val="Heading 3 Char"/>
    <w:basedOn w:val="DefaultParagraphFont"/>
    <w:link w:val="Heading3"/>
    <w:rsid w:val="00A55147"/>
    <w:rPr>
      <w:b/>
      <w:snapToGrid w:val="0"/>
      <w:kern w:val="28"/>
      <w:sz w:val="22"/>
    </w:rPr>
  </w:style>
  <w:style w:type="character" w:customStyle="1" w:styleId="Heading4Char">
    <w:name w:val="Heading 4 Char"/>
    <w:basedOn w:val="DefaultParagraphFont"/>
    <w:link w:val="Heading4"/>
    <w:rsid w:val="00A55147"/>
    <w:rPr>
      <w:b/>
      <w:snapToGrid w:val="0"/>
      <w:kern w:val="28"/>
      <w:sz w:val="22"/>
    </w:rPr>
  </w:style>
  <w:style w:type="character" w:customStyle="1" w:styleId="Heading5Char">
    <w:name w:val="Heading 5 Char"/>
    <w:basedOn w:val="DefaultParagraphFont"/>
    <w:link w:val="Heading5"/>
    <w:rsid w:val="00A55147"/>
    <w:rPr>
      <w:b/>
      <w:snapToGrid w:val="0"/>
      <w:kern w:val="28"/>
      <w:sz w:val="22"/>
    </w:rPr>
  </w:style>
  <w:style w:type="character" w:customStyle="1" w:styleId="Heading6Char">
    <w:name w:val="Heading 6 Char"/>
    <w:basedOn w:val="DefaultParagraphFont"/>
    <w:link w:val="Heading6"/>
    <w:rsid w:val="00A55147"/>
    <w:rPr>
      <w:b/>
      <w:snapToGrid w:val="0"/>
      <w:kern w:val="28"/>
      <w:sz w:val="22"/>
    </w:rPr>
  </w:style>
  <w:style w:type="character" w:customStyle="1" w:styleId="Heading7Char">
    <w:name w:val="Heading 7 Char"/>
    <w:basedOn w:val="DefaultParagraphFont"/>
    <w:link w:val="Heading7"/>
    <w:rsid w:val="00A55147"/>
    <w:rPr>
      <w:b/>
      <w:snapToGrid w:val="0"/>
      <w:kern w:val="28"/>
      <w:sz w:val="22"/>
    </w:rPr>
  </w:style>
  <w:style w:type="character" w:customStyle="1" w:styleId="Heading8Char">
    <w:name w:val="Heading 8 Char"/>
    <w:basedOn w:val="DefaultParagraphFont"/>
    <w:link w:val="Heading8"/>
    <w:rsid w:val="00A55147"/>
    <w:rPr>
      <w:b/>
      <w:snapToGrid w:val="0"/>
      <w:kern w:val="28"/>
      <w:sz w:val="22"/>
    </w:rPr>
  </w:style>
  <w:style w:type="character" w:customStyle="1" w:styleId="Heading9Char">
    <w:name w:val="Heading 9 Char"/>
    <w:basedOn w:val="DefaultParagraphFont"/>
    <w:link w:val="Heading9"/>
    <w:rsid w:val="00A55147"/>
    <w:rPr>
      <w:b/>
      <w:snapToGrid w:val="0"/>
      <w:kern w:val="28"/>
      <w:sz w:val="22"/>
    </w:rPr>
  </w:style>
  <w:style w:type="paragraph" w:styleId="EndnoteText">
    <w:name w:val="endnote text"/>
    <w:basedOn w:val="Normal"/>
    <w:link w:val="EndnoteTextChar"/>
    <w:semiHidden/>
    <w:rsid w:val="005A26DB"/>
    <w:pPr>
      <w:widowControl w:val="0"/>
    </w:pPr>
    <w:rPr>
      <w:snapToGrid w:val="0"/>
      <w:kern w:val="28"/>
    </w:rPr>
  </w:style>
  <w:style w:type="character" w:customStyle="1" w:styleId="EndnoteTextChar">
    <w:name w:val="Endnote Text Char"/>
    <w:basedOn w:val="DefaultParagraphFont"/>
    <w:link w:val="EndnoteText"/>
    <w:semiHidden/>
    <w:rsid w:val="005A26DB"/>
    <w:rPr>
      <w:snapToGrid w:val="0"/>
      <w:kern w:val="28"/>
    </w:rPr>
  </w:style>
  <w:style w:type="character" w:styleId="EndnoteReference">
    <w:name w:val="endnote reference"/>
    <w:semiHidden/>
    <w:rsid w:val="005A26DB"/>
    <w:rPr>
      <w:vertAlign w:val="superscript"/>
    </w:rPr>
  </w:style>
  <w:style w:type="paragraph" w:styleId="TOC1">
    <w:name w:val="toc 1"/>
    <w:basedOn w:val="Normal"/>
    <w:next w:val="Normal"/>
    <w:semiHidden/>
    <w:rsid w:val="005A26DB"/>
    <w:pPr>
      <w:widowControl w:val="0"/>
      <w:tabs>
        <w:tab w:val="left" w:pos="360"/>
        <w:tab w:val="right" w:leader="dot" w:pos="9360"/>
      </w:tabs>
      <w:suppressAutoHyphens/>
      <w:ind w:left="360" w:right="720" w:hanging="360"/>
    </w:pPr>
    <w:rPr>
      <w:caps/>
      <w:noProof/>
      <w:snapToGrid w:val="0"/>
      <w:kern w:val="28"/>
      <w:sz w:val="22"/>
    </w:rPr>
  </w:style>
  <w:style w:type="paragraph" w:styleId="TOC2">
    <w:name w:val="toc 2"/>
    <w:basedOn w:val="Normal"/>
    <w:next w:val="Normal"/>
    <w:semiHidden/>
    <w:rsid w:val="005A26DB"/>
    <w:pPr>
      <w:widowControl w:val="0"/>
      <w:tabs>
        <w:tab w:val="left" w:pos="720"/>
        <w:tab w:val="right" w:leader="dot" w:pos="9360"/>
      </w:tabs>
      <w:suppressAutoHyphens/>
      <w:ind w:left="720" w:right="720" w:hanging="360"/>
    </w:pPr>
    <w:rPr>
      <w:noProof/>
      <w:snapToGrid w:val="0"/>
      <w:kern w:val="28"/>
      <w:sz w:val="22"/>
    </w:rPr>
  </w:style>
  <w:style w:type="paragraph" w:styleId="TOC3">
    <w:name w:val="toc 3"/>
    <w:basedOn w:val="Normal"/>
    <w:next w:val="Normal"/>
    <w:semiHidden/>
    <w:rsid w:val="005A26DB"/>
    <w:pPr>
      <w:widowControl w:val="0"/>
      <w:tabs>
        <w:tab w:val="left" w:pos="1080"/>
        <w:tab w:val="right" w:leader="dot" w:pos="9360"/>
      </w:tabs>
      <w:suppressAutoHyphens/>
      <w:ind w:left="1080" w:right="720" w:hanging="360"/>
    </w:pPr>
    <w:rPr>
      <w:noProof/>
      <w:snapToGrid w:val="0"/>
      <w:kern w:val="28"/>
      <w:sz w:val="22"/>
    </w:rPr>
  </w:style>
  <w:style w:type="paragraph" w:styleId="TOC4">
    <w:name w:val="toc 4"/>
    <w:basedOn w:val="Normal"/>
    <w:next w:val="Normal"/>
    <w:autoRedefine/>
    <w:semiHidden/>
    <w:rsid w:val="005A26DB"/>
    <w:pPr>
      <w:widowControl w:val="0"/>
      <w:tabs>
        <w:tab w:val="left" w:pos="1440"/>
        <w:tab w:val="right" w:leader="dot" w:pos="9360"/>
      </w:tabs>
      <w:suppressAutoHyphens/>
      <w:ind w:left="1440" w:right="720" w:hanging="360"/>
    </w:pPr>
    <w:rPr>
      <w:noProof/>
      <w:snapToGrid w:val="0"/>
      <w:kern w:val="28"/>
      <w:sz w:val="22"/>
    </w:rPr>
  </w:style>
  <w:style w:type="paragraph" w:styleId="TOC5">
    <w:name w:val="toc 5"/>
    <w:basedOn w:val="Normal"/>
    <w:next w:val="Normal"/>
    <w:autoRedefine/>
    <w:semiHidden/>
    <w:rsid w:val="005A26DB"/>
    <w:pPr>
      <w:widowControl w:val="0"/>
      <w:tabs>
        <w:tab w:val="left" w:pos="1800"/>
        <w:tab w:val="right" w:leader="dot" w:pos="9360"/>
      </w:tabs>
      <w:suppressAutoHyphens/>
      <w:ind w:left="1800" w:right="720" w:hanging="360"/>
    </w:pPr>
    <w:rPr>
      <w:noProof/>
      <w:snapToGrid w:val="0"/>
      <w:kern w:val="28"/>
      <w:sz w:val="22"/>
    </w:rPr>
  </w:style>
  <w:style w:type="paragraph" w:styleId="TOC6">
    <w:name w:val="toc 6"/>
    <w:basedOn w:val="Normal"/>
    <w:next w:val="Normal"/>
    <w:autoRedefine/>
    <w:semiHidden/>
    <w:rsid w:val="005A26DB"/>
    <w:pPr>
      <w:widowControl w:val="0"/>
      <w:tabs>
        <w:tab w:val="left" w:pos="2160"/>
        <w:tab w:val="right" w:leader="dot" w:pos="9360"/>
      </w:tabs>
      <w:suppressAutoHyphens/>
      <w:ind w:left="2160" w:hanging="360"/>
    </w:pPr>
    <w:rPr>
      <w:noProof/>
      <w:snapToGrid w:val="0"/>
      <w:kern w:val="28"/>
      <w:sz w:val="22"/>
    </w:rPr>
  </w:style>
  <w:style w:type="paragraph" w:styleId="TOC7">
    <w:name w:val="toc 7"/>
    <w:basedOn w:val="Normal"/>
    <w:next w:val="Normal"/>
    <w:autoRedefine/>
    <w:semiHidden/>
    <w:rsid w:val="005A26DB"/>
    <w:pPr>
      <w:widowControl w:val="0"/>
      <w:tabs>
        <w:tab w:val="left" w:pos="2520"/>
        <w:tab w:val="right" w:leader="dot" w:pos="9360"/>
      </w:tabs>
      <w:suppressAutoHyphens/>
      <w:ind w:left="2520" w:hanging="360"/>
    </w:pPr>
    <w:rPr>
      <w:noProof/>
      <w:snapToGrid w:val="0"/>
      <w:kern w:val="28"/>
      <w:sz w:val="22"/>
    </w:rPr>
  </w:style>
  <w:style w:type="paragraph" w:styleId="TOC8">
    <w:name w:val="toc 8"/>
    <w:basedOn w:val="Normal"/>
    <w:next w:val="Normal"/>
    <w:autoRedefine/>
    <w:semiHidden/>
    <w:rsid w:val="005A26DB"/>
    <w:pPr>
      <w:widowControl w:val="0"/>
      <w:tabs>
        <w:tab w:val="left" w:pos="2880"/>
        <w:tab w:val="right" w:leader="dot" w:pos="9360"/>
      </w:tabs>
      <w:suppressAutoHyphens/>
      <w:ind w:left="2880" w:hanging="360"/>
    </w:pPr>
    <w:rPr>
      <w:noProof/>
      <w:snapToGrid w:val="0"/>
      <w:kern w:val="28"/>
      <w:sz w:val="22"/>
    </w:rPr>
  </w:style>
  <w:style w:type="paragraph" w:styleId="TOC9">
    <w:name w:val="toc 9"/>
    <w:basedOn w:val="Normal"/>
    <w:next w:val="Normal"/>
    <w:autoRedefine/>
    <w:semiHidden/>
    <w:rsid w:val="005A26DB"/>
    <w:pPr>
      <w:widowControl w:val="0"/>
      <w:tabs>
        <w:tab w:val="left" w:pos="3240"/>
        <w:tab w:val="right" w:leader="dot" w:pos="9360"/>
      </w:tabs>
      <w:suppressAutoHyphens/>
      <w:ind w:left="3240" w:hanging="360"/>
    </w:pPr>
    <w:rPr>
      <w:noProof/>
      <w:snapToGrid w:val="0"/>
      <w:kern w:val="28"/>
      <w:sz w:val="22"/>
    </w:rPr>
  </w:style>
  <w:style w:type="paragraph" w:styleId="TOAHeading">
    <w:name w:val="toa heading"/>
    <w:basedOn w:val="Normal"/>
    <w:next w:val="Normal"/>
    <w:semiHidden/>
    <w:rsid w:val="005A26DB"/>
    <w:pPr>
      <w:widowControl w:val="0"/>
      <w:tabs>
        <w:tab w:val="right" w:pos="9360"/>
      </w:tabs>
      <w:suppressAutoHyphens/>
    </w:pPr>
    <w:rPr>
      <w:snapToGrid w:val="0"/>
      <w:kern w:val="28"/>
      <w:sz w:val="22"/>
    </w:rPr>
  </w:style>
  <w:style w:type="character" w:customStyle="1" w:styleId="EquationCaption">
    <w:name w:val="_Equation Caption"/>
    <w:rsid w:val="005A26DB"/>
  </w:style>
  <w:style w:type="character" w:styleId="PageNumber">
    <w:name w:val="page number"/>
    <w:basedOn w:val="DefaultParagraphFont"/>
    <w:rsid w:val="005A26DB"/>
  </w:style>
  <w:style w:type="paragraph" w:styleId="BlockText">
    <w:name w:val="Block Text"/>
    <w:basedOn w:val="Normal"/>
    <w:rsid w:val="005A26DB"/>
    <w:pPr>
      <w:widowControl w:val="0"/>
      <w:spacing w:after="240"/>
      <w:ind w:left="1440" w:right="1440"/>
    </w:pPr>
    <w:rPr>
      <w:snapToGrid w:val="0"/>
      <w:kern w:val="28"/>
      <w:sz w:val="22"/>
    </w:rPr>
  </w:style>
  <w:style w:type="paragraph" w:customStyle="1" w:styleId="Paratitle">
    <w:name w:val="Para title"/>
    <w:basedOn w:val="Normal"/>
    <w:rsid w:val="005A26DB"/>
    <w:pPr>
      <w:widowControl w:val="0"/>
      <w:tabs>
        <w:tab w:val="center" w:pos="9270"/>
      </w:tabs>
      <w:spacing w:after="240"/>
    </w:pPr>
    <w:rPr>
      <w:snapToGrid w:val="0"/>
      <w:spacing w:val="-2"/>
      <w:kern w:val="28"/>
      <w:sz w:val="22"/>
    </w:rPr>
  </w:style>
  <w:style w:type="paragraph" w:customStyle="1" w:styleId="Bullet">
    <w:name w:val="Bullet"/>
    <w:basedOn w:val="Normal"/>
    <w:rsid w:val="005A26DB"/>
    <w:pPr>
      <w:widowControl w:val="0"/>
      <w:numPr>
        <w:numId w:val="8"/>
      </w:numPr>
      <w:tabs>
        <w:tab w:val="clear" w:pos="360"/>
        <w:tab w:val="left" w:pos="2160"/>
      </w:tabs>
      <w:spacing w:after="220"/>
      <w:ind w:left="2160" w:hanging="720"/>
    </w:pPr>
    <w:rPr>
      <w:snapToGrid w:val="0"/>
      <w:kern w:val="28"/>
      <w:sz w:val="22"/>
    </w:rPr>
  </w:style>
  <w:style w:type="paragraph" w:customStyle="1" w:styleId="TableFormat">
    <w:name w:val="TableFormat"/>
    <w:basedOn w:val="Bullet"/>
    <w:rsid w:val="005A26DB"/>
    <w:pPr>
      <w:numPr>
        <w:numId w:val="0"/>
      </w:numPr>
      <w:tabs>
        <w:tab w:val="clear" w:pos="2160"/>
        <w:tab w:val="left" w:pos="5040"/>
      </w:tabs>
      <w:ind w:left="5040" w:hanging="3600"/>
    </w:pPr>
  </w:style>
  <w:style w:type="paragraph" w:customStyle="1" w:styleId="TOCTitle">
    <w:name w:val="TOC Title"/>
    <w:basedOn w:val="Normal"/>
    <w:rsid w:val="005A26DB"/>
    <w:pPr>
      <w:widowControl w:val="0"/>
      <w:spacing w:before="240" w:after="240"/>
      <w:jc w:val="center"/>
    </w:pPr>
    <w:rPr>
      <w:rFonts w:ascii="Times New Roman Bold" w:hAnsi="Times New Roman Bold"/>
      <w:b/>
      <w:caps/>
      <w:snapToGrid w:val="0"/>
      <w:spacing w:val="-2"/>
      <w:kern w:val="28"/>
      <w:sz w:val="22"/>
    </w:rPr>
  </w:style>
  <w:style w:type="paragraph" w:customStyle="1" w:styleId="StyleBoldCentered">
    <w:name w:val="Style Bold Centered"/>
    <w:basedOn w:val="Normal"/>
    <w:rsid w:val="005A26DB"/>
    <w:pPr>
      <w:widowControl w:val="0"/>
      <w:jc w:val="center"/>
    </w:pPr>
    <w:rPr>
      <w:rFonts w:ascii="Times New Roman Bold" w:hAnsi="Times New Roman Bold"/>
      <w:b/>
      <w:bCs/>
      <w:caps/>
      <w:snapToGrid w:val="0"/>
      <w:kern w:val="28"/>
      <w:sz w:val="22"/>
      <w:szCs w:val="22"/>
    </w:rPr>
  </w:style>
  <w:style w:type="character" w:styleId="Hyperlink">
    <w:name w:val="Hyperlink"/>
    <w:uiPriority w:val="99"/>
    <w:rsid w:val="005A26DB"/>
    <w:rPr>
      <w:color w:val="0000FF"/>
      <w:u w:val="single"/>
    </w:rPr>
  </w:style>
  <w:style w:type="paragraph" w:styleId="Caption">
    <w:name w:val="caption"/>
    <w:basedOn w:val="Normal"/>
    <w:next w:val="Normal"/>
    <w:qFormat/>
    <w:rsid w:val="005A26DB"/>
    <w:pPr>
      <w:widowControl w:val="0"/>
      <w:spacing w:before="120" w:after="120"/>
    </w:pPr>
    <w:rPr>
      <w:b/>
      <w:snapToGrid w:val="0"/>
      <w:kern w:val="28"/>
      <w:sz w:val="22"/>
    </w:rPr>
  </w:style>
  <w:style w:type="paragraph" w:customStyle="1" w:styleId="NumberedList">
    <w:name w:val="Numbered List"/>
    <w:basedOn w:val="Normal"/>
    <w:rsid w:val="005A26DB"/>
    <w:pPr>
      <w:widowControl w:val="0"/>
      <w:numPr>
        <w:numId w:val="9"/>
      </w:numPr>
      <w:tabs>
        <w:tab w:val="clear" w:pos="1080"/>
      </w:tabs>
      <w:spacing w:after="220"/>
      <w:ind w:firstLine="0"/>
    </w:pPr>
    <w:rPr>
      <w:snapToGrid w:val="0"/>
      <w:kern w:val="28"/>
      <w:sz w:val="22"/>
    </w:rPr>
  </w:style>
  <w:style w:type="paragraph" w:styleId="DocumentMap">
    <w:name w:val="Document Map"/>
    <w:basedOn w:val="Normal"/>
    <w:link w:val="DocumentMapChar"/>
    <w:semiHidden/>
    <w:rsid w:val="005A26DB"/>
    <w:pPr>
      <w:widowControl w:val="0"/>
      <w:shd w:val="clear" w:color="auto" w:fill="000080"/>
    </w:pPr>
    <w:rPr>
      <w:rFonts w:ascii="Tahoma" w:hAnsi="Tahoma" w:cs="Tahoma"/>
      <w:snapToGrid w:val="0"/>
      <w:kern w:val="28"/>
    </w:rPr>
  </w:style>
  <w:style w:type="character" w:customStyle="1" w:styleId="DocumentMapChar">
    <w:name w:val="Document Map Char"/>
    <w:basedOn w:val="DefaultParagraphFont"/>
    <w:link w:val="DocumentMap"/>
    <w:semiHidden/>
    <w:rsid w:val="005A26DB"/>
    <w:rPr>
      <w:rFonts w:ascii="Tahoma" w:hAnsi="Tahoma" w:cs="Tahoma"/>
      <w:snapToGrid w:val="0"/>
      <w:kern w:val="28"/>
      <w:shd w:val="clear" w:color="auto" w:fill="000080"/>
    </w:rPr>
  </w:style>
  <w:style w:type="paragraph" w:customStyle="1" w:styleId="Default">
    <w:name w:val="Default"/>
    <w:rsid w:val="004A5A72"/>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8B2984"/>
    <w:rPr>
      <w:color w:val="800080" w:themeColor="followedHyperlink"/>
      <w:u w:val="single"/>
    </w:rPr>
  </w:style>
  <w:style w:type="character" w:customStyle="1" w:styleId="apple-converted-space">
    <w:name w:val="apple-converted-space"/>
    <w:basedOn w:val="DefaultParagraphFont"/>
    <w:rsid w:val="00CD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459">
      <w:bodyDiv w:val="1"/>
      <w:marLeft w:val="0"/>
      <w:marRight w:val="0"/>
      <w:marTop w:val="0"/>
      <w:marBottom w:val="0"/>
      <w:divBdr>
        <w:top w:val="none" w:sz="0" w:space="0" w:color="auto"/>
        <w:left w:val="none" w:sz="0" w:space="0" w:color="auto"/>
        <w:bottom w:val="none" w:sz="0" w:space="0" w:color="auto"/>
        <w:right w:val="none" w:sz="0" w:space="0" w:color="auto"/>
      </w:divBdr>
    </w:div>
    <w:div w:id="216166470">
      <w:bodyDiv w:val="1"/>
      <w:marLeft w:val="0"/>
      <w:marRight w:val="0"/>
      <w:marTop w:val="0"/>
      <w:marBottom w:val="0"/>
      <w:divBdr>
        <w:top w:val="none" w:sz="0" w:space="0" w:color="auto"/>
        <w:left w:val="none" w:sz="0" w:space="0" w:color="auto"/>
        <w:bottom w:val="none" w:sz="0" w:space="0" w:color="auto"/>
        <w:right w:val="none" w:sz="0" w:space="0" w:color="auto"/>
      </w:divBdr>
    </w:div>
    <w:div w:id="356076876">
      <w:bodyDiv w:val="1"/>
      <w:marLeft w:val="0"/>
      <w:marRight w:val="0"/>
      <w:marTop w:val="0"/>
      <w:marBottom w:val="0"/>
      <w:divBdr>
        <w:top w:val="none" w:sz="0" w:space="0" w:color="auto"/>
        <w:left w:val="none" w:sz="0" w:space="0" w:color="auto"/>
        <w:bottom w:val="none" w:sz="0" w:space="0" w:color="auto"/>
        <w:right w:val="none" w:sz="0" w:space="0" w:color="auto"/>
      </w:divBdr>
    </w:div>
    <w:div w:id="695541014">
      <w:bodyDiv w:val="1"/>
      <w:marLeft w:val="0"/>
      <w:marRight w:val="0"/>
      <w:marTop w:val="0"/>
      <w:marBottom w:val="0"/>
      <w:divBdr>
        <w:top w:val="none" w:sz="0" w:space="0" w:color="auto"/>
        <w:left w:val="none" w:sz="0" w:space="0" w:color="auto"/>
        <w:bottom w:val="none" w:sz="0" w:space="0" w:color="auto"/>
        <w:right w:val="none" w:sz="0" w:space="0" w:color="auto"/>
      </w:divBdr>
    </w:div>
    <w:div w:id="1353263505">
      <w:bodyDiv w:val="1"/>
      <w:marLeft w:val="0"/>
      <w:marRight w:val="0"/>
      <w:marTop w:val="0"/>
      <w:marBottom w:val="0"/>
      <w:divBdr>
        <w:top w:val="none" w:sz="0" w:space="0" w:color="auto"/>
        <w:left w:val="none" w:sz="0" w:space="0" w:color="auto"/>
        <w:bottom w:val="none" w:sz="0" w:space="0" w:color="auto"/>
        <w:right w:val="none" w:sz="0" w:space="0" w:color="auto"/>
      </w:divBdr>
    </w:div>
    <w:div w:id="1527669188">
      <w:bodyDiv w:val="1"/>
      <w:marLeft w:val="0"/>
      <w:marRight w:val="0"/>
      <w:marTop w:val="0"/>
      <w:marBottom w:val="0"/>
      <w:divBdr>
        <w:top w:val="none" w:sz="0" w:space="0" w:color="auto"/>
        <w:left w:val="none" w:sz="0" w:space="0" w:color="auto"/>
        <w:bottom w:val="none" w:sz="0" w:space="0" w:color="auto"/>
        <w:right w:val="none" w:sz="0" w:space="0" w:color="auto"/>
      </w:divBdr>
    </w:div>
    <w:div w:id="1709333493">
      <w:bodyDiv w:val="1"/>
      <w:marLeft w:val="0"/>
      <w:marRight w:val="0"/>
      <w:marTop w:val="0"/>
      <w:marBottom w:val="0"/>
      <w:divBdr>
        <w:top w:val="none" w:sz="0" w:space="0" w:color="auto"/>
        <w:left w:val="none" w:sz="0" w:space="0" w:color="auto"/>
        <w:bottom w:val="none" w:sz="0" w:space="0" w:color="auto"/>
        <w:right w:val="none" w:sz="0" w:space="0" w:color="auto"/>
      </w:divBdr>
    </w:div>
    <w:div w:id="1820683926">
      <w:bodyDiv w:val="1"/>
      <w:marLeft w:val="0"/>
      <w:marRight w:val="0"/>
      <w:marTop w:val="0"/>
      <w:marBottom w:val="0"/>
      <w:divBdr>
        <w:top w:val="none" w:sz="0" w:space="0" w:color="auto"/>
        <w:left w:val="none" w:sz="0" w:space="0" w:color="auto"/>
        <w:bottom w:val="none" w:sz="0" w:space="0" w:color="auto"/>
        <w:right w:val="none" w:sz="0" w:space="0" w:color="auto"/>
      </w:divBdr>
    </w:div>
    <w:div w:id="1868518836">
      <w:bodyDiv w:val="1"/>
      <w:marLeft w:val="0"/>
      <w:marRight w:val="0"/>
      <w:marTop w:val="0"/>
      <w:marBottom w:val="0"/>
      <w:divBdr>
        <w:top w:val="none" w:sz="0" w:space="0" w:color="auto"/>
        <w:left w:val="none" w:sz="0" w:space="0" w:color="auto"/>
        <w:bottom w:val="none" w:sz="0" w:space="0" w:color="auto"/>
        <w:right w:val="none" w:sz="0" w:space="0" w:color="auto"/>
      </w:divBdr>
    </w:div>
    <w:div w:id="1931087654">
      <w:bodyDiv w:val="1"/>
      <w:marLeft w:val="0"/>
      <w:marRight w:val="0"/>
      <w:marTop w:val="0"/>
      <w:marBottom w:val="0"/>
      <w:divBdr>
        <w:top w:val="none" w:sz="0" w:space="0" w:color="auto"/>
        <w:left w:val="none" w:sz="0" w:space="0" w:color="auto"/>
        <w:bottom w:val="none" w:sz="0" w:space="0" w:color="auto"/>
        <w:right w:val="none" w:sz="0" w:space="0" w:color="auto"/>
      </w:divBdr>
    </w:div>
    <w:div w:id="1951430568">
      <w:bodyDiv w:val="1"/>
      <w:marLeft w:val="0"/>
      <w:marRight w:val="0"/>
      <w:marTop w:val="0"/>
      <w:marBottom w:val="0"/>
      <w:divBdr>
        <w:top w:val="none" w:sz="0" w:space="0" w:color="auto"/>
        <w:left w:val="none" w:sz="0" w:space="0" w:color="auto"/>
        <w:bottom w:val="none" w:sz="0" w:space="0" w:color="auto"/>
        <w:right w:val="none" w:sz="0" w:space="0" w:color="auto"/>
      </w:divBdr>
    </w:div>
    <w:div w:id="2001040696">
      <w:bodyDiv w:val="1"/>
      <w:marLeft w:val="0"/>
      <w:marRight w:val="0"/>
      <w:marTop w:val="0"/>
      <w:marBottom w:val="0"/>
      <w:divBdr>
        <w:top w:val="none" w:sz="0" w:space="0" w:color="auto"/>
        <w:left w:val="none" w:sz="0" w:space="0" w:color="auto"/>
        <w:bottom w:val="none" w:sz="0" w:space="0" w:color="auto"/>
        <w:right w:val="none" w:sz="0" w:space="0" w:color="auto"/>
      </w:divBdr>
    </w:div>
    <w:div w:id="21272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3050</Words>
  <Characters>16584</Characters>
  <Application>Microsoft Office Word</Application>
  <DocSecurity>0</DocSecurity>
  <Lines>254</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2017-08-07T18:59:00Z</dcterms:created>
  <dcterms:modified xsi:type="dcterms:W3CDTF">2017-08-07T18:59:00Z</dcterms:modified>
  <cp:category> </cp:category>
  <cp:contentStatus> </cp:contentStatus>
</cp:coreProperties>
</file>