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D0AAD" w14:textId="77777777" w:rsidR="004D5504" w:rsidRPr="00A25227" w:rsidRDefault="004D5504" w:rsidP="003846E0">
      <w:pPr>
        <w:ind w:firstLine="720"/>
        <w:contextualSpacing/>
        <w:rPr>
          <w:color w:val="000000" w:themeColor="text1"/>
          <w:sz w:val="22"/>
        </w:rPr>
      </w:pPr>
      <w:bookmarkStart w:id="0" w:name="_GoBack"/>
      <w:bookmarkEnd w:id="0"/>
    </w:p>
    <w:p w14:paraId="70FF380E" w14:textId="77777777" w:rsidR="00624D2A" w:rsidRPr="00A25227" w:rsidRDefault="007A7A1A" w:rsidP="009A3DD4">
      <w:pPr>
        <w:tabs>
          <w:tab w:val="left" w:pos="4536"/>
        </w:tabs>
        <w:ind w:firstLine="720"/>
        <w:contextualSpacing/>
        <w:rPr>
          <w:color w:val="000000" w:themeColor="text1"/>
          <w:sz w:val="22"/>
        </w:rPr>
      </w:pPr>
      <w:r w:rsidRPr="00A25227">
        <w:rPr>
          <w:color w:val="000000" w:themeColor="text1"/>
          <w:sz w:val="22"/>
        </w:rPr>
        <w:tab/>
      </w:r>
    </w:p>
    <w:p w14:paraId="0A166D8C" w14:textId="3B737FE6" w:rsidR="00624EA1" w:rsidRPr="00A25227" w:rsidRDefault="0040770E" w:rsidP="0040770E">
      <w:pPr>
        <w:tabs>
          <w:tab w:val="left" w:pos="8015"/>
          <w:tab w:val="right" w:pos="9360"/>
        </w:tabs>
        <w:ind w:left="360" w:firstLine="720"/>
        <w:contextualSpacing/>
        <w:rPr>
          <w:color w:val="000000" w:themeColor="text1"/>
          <w:sz w:val="22"/>
        </w:rPr>
      </w:pPr>
      <w:r w:rsidRPr="00A25227">
        <w:rPr>
          <w:color w:val="000000" w:themeColor="text1"/>
          <w:sz w:val="22"/>
        </w:rPr>
        <w:tab/>
      </w:r>
      <w:r w:rsidRPr="00A25227">
        <w:rPr>
          <w:color w:val="000000" w:themeColor="text1"/>
          <w:sz w:val="22"/>
        </w:rPr>
        <w:tab/>
      </w:r>
      <w:r w:rsidR="00924084" w:rsidRPr="00A25227">
        <w:rPr>
          <w:color w:val="000000" w:themeColor="text1"/>
          <w:sz w:val="22"/>
        </w:rPr>
        <w:t>DA 1</w:t>
      </w:r>
      <w:r w:rsidR="001F228D" w:rsidRPr="00A25227">
        <w:rPr>
          <w:color w:val="000000" w:themeColor="text1"/>
          <w:sz w:val="22"/>
        </w:rPr>
        <w:t>7</w:t>
      </w:r>
      <w:r w:rsidR="00924084" w:rsidRPr="00A25227">
        <w:rPr>
          <w:color w:val="000000" w:themeColor="text1"/>
          <w:sz w:val="22"/>
        </w:rPr>
        <w:t>-</w:t>
      </w:r>
      <w:r w:rsidR="00957E29">
        <w:rPr>
          <w:color w:val="000000" w:themeColor="text1"/>
          <w:sz w:val="22"/>
        </w:rPr>
        <w:t>764</w:t>
      </w:r>
    </w:p>
    <w:p w14:paraId="19753C19" w14:textId="77777777" w:rsidR="00056F09" w:rsidRPr="00A25227" w:rsidRDefault="00056F09" w:rsidP="003846E0">
      <w:pPr>
        <w:pStyle w:val="Header"/>
        <w:tabs>
          <w:tab w:val="clear" w:pos="4320"/>
          <w:tab w:val="left" w:pos="720"/>
          <w:tab w:val="left" w:pos="1440"/>
        </w:tabs>
        <w:ind w:firstLine="720"/>
        <w:contextualSpacing/>
        <w:rPr>
          <w:b/>
          <w:color w:val="000000" w:themeColor="text1"/>
          <w:sz w:val="22"/>
        </w:rPr>
      </w:pPr>
    </w:p>
    <w:p w14:paraId="418F5350" w14:textId="77777777" w:rsidR="001D3141" w:rsidRPr="00D33DCB" w:rsidRDefault="001D3141" w:rsidP="003846E0">
      <w:pPr>
        <w:pStyle w:val="Header"/>
        <w:tabs>
          <w:tab w:val="left" w:pos="720"/>
          <w:tab w:val="left" w:pos="1440"/>
        </w:tabs>
        <w:contextualSpacing/>
        <w:rPr>
          <w:color w:val="000000" w:themeColor="text1"/>
          <w:sz w:val="22"/>
          <w:szCs w:val="22"/>
        </w:rPr>
      </w:pPr>
      <w:r w:rsidRPr="00D33DCB">
        <w:rPr>
          <w:color w:val="000000" w:themeColor="text1"/>
          <w:sz w:val="22"/>
          <w:szCs w:val="22"/>
        </w:rPr>
        <w:t>Mr. Douglas Minster</w:t>
      </w:r>
    </w:p>
    <w:p w14:paraId="327C01CD" w14:textId="77777777" w:rsidR="001D3141" w:rsidRPr="00D33DCB" w:rsidRDefault="001D3141" w:rsidP="003846E0">
      <w:pPr>
        <w:pStyle w:val="Header"/>
        <w:tabs>
          <w:tab w:val="left" w:pos="720"/>
          <w:tab w:val="left" w:pos="1440"/>
        </w:tabs>
        <w:contextualSpacing/>
        <w:rPr>
          <w:color w:val="000000" w:themeColor="text1"/>
          <w:sz w:val="22"/>
          <w:szCs w:val="22"/>
        </w:rPr>
      </w:pPr>
      <w:r w:rsidRPr="00D33DCB">
        <w:rPr>
          <w:color w:val="000000" w:themeColor="text1"/>
          <w:sz w:val="22"/>
          <w:szCs w:val="22"/>
        </w:rPr>
        <w:t>SAL Spectrum, LLC</w:t>
      </w:r>
    </w:p>
    <w:p w14:paraId="5A5DD1DD" w14:textId="77777777" w:rsidR="001D3141" w:rsidRPr="00D33DCB" w:rsidRDefault="001D3141" w:rsidP="00A25227">
      <w:pPr>
        <w:pStyle w:val="Header"/>
        <w:tabs>
          <w:tab w:val="clear" w:pos="4320"/>
          <w:tab w:val="clear" w:pos="8640"/>
          <w:tab w:val="left" w:pos="720"/>
          <w:tab w:val="left" w:pos="1440"/>
          <w:tab w:val="left" w:pos="6960"/>
        </w:tabs>
        <w:contextualSpacing/>
        <w:rPr>
          <w:color w:val="000000" w:themeColor="text1"/>
          <w:sz w:val="22"/>
          <w:szCs w:val="22"/>
        </w:rPr>
      </w:pPr>
      <w:r w:rsidRPr="00D33DCB">
        <w:rPr>
          <w:color w:val="000000" w:themeColor="text1"/>
          <w:sz w:val="22"/>
          <w:szCs w:val="22"/>
        </w:rPr>
        <w:t>600 Cummings Center</w:t>
      </w:r>
      <w:r w:rsidR="00390416" w:rsidRPr="00D33DCB">
        <w:rPr>
          <w:color w:val="000000" w:themeColor="text1"/>
          <w:sz w:val="22"/>
          <w:szCs w:val="22"/>
        </w:rPr>
        <w:tab/>
      </w:r>
    </w:p>
    <w:p w14:paraId="5C48F48F" w14:textId="77777777" w:rsidR="00EA439A" w:rsidRPr="00D33DCB" w:rsidRDefault="001D3141" w:rsidP="003846E0">
      <w:pPr>
        <w:pStyle w:val="Header"/>
        <w:tabs>
          <w:tab w:val="left" w:pos="720"/>
          <w:tab w:val="left" w:pos="1440"/>
        </w:tabs>
        <w:contextualSpacing/>
        <w:rPr>
          <w:color w:val="000000" w:themeColor="text1"/>
          <w:sz w:val="22"/>
          <w:szCs w:val="22"/>
        </w:rPr>
      </w:pPr>
      <w:r w:rsidRPr="00D33DCB">
        <w:rPr>
          <w:color w:val="000000" w:themeColor="text1"/>
          <w:sz w:val="22"/>
          <w:szCs w:val="22"/>
        </w:rPr>
        <w:t xml:space="preserve">Beverly, MA 01915 </w:t>
      </w:r>
    </w:p>
    <w:p w14:paraId="75DAF3A7" w14:textId="77777777" w:rsidR="001D3141" w:rsidRPr="00D33DCB" w:rsidRDefault="001D3141" w:rsidP="003846E0">
      <w:pPr>
        <w:pStyle w:val="Header"/>
        <w:tabs>
          <w:tab w:val="clear" w:pos="4320"/>
          <w:tab w:val="left" w:pos="720"/>
          <w:tab w:val="left" w:pos="1440"/>
        </w:tabs>
        <w:contextualSpacing/>
        <w:rPr>
          <w:b/>
          <w:color w:val="000000" w:themeColor="text1"/>
          <w:sz w:val="22"/>
          <w:szCs w:val="22"/>
        </w:rPr>
      </w:pPr>
    </w:p>
    <w:p w14:paraId="6BC24879" w14:textId="77777777" w:rsidR="00056F09" w:rsidRPr="00D33DCB" w:rsidRDefault="00F81BC1" w:rsidP="003846E0">
      <w:pPr>
        <w:pStyle w:val="Header"/>
        <w:tabs>
          <w:tab w:val="clear" w:pos="4320"/>
          <w:tab w:val="left" w:pos="720"/>
          <w:tab w:val="left" w:pos="1440"/>
        </w:tabs>
        <w:contextualSpacing/>
        <w:rPr>
          <w:b/>
          <w:color w:val="000000" w:themeColor="text1"/>
          <w:sz w:val="22"/>
          <w:szCs w:val="22"/>
        </w:rPr>
      </w:pPr>
      <w:r w:rsidRPr="00D33DCB">
        <w:rPr>
          <w:b/>
          <w:color w:val="000000" w:themeColor="text1"/>
          <w:sz w:val="22"/>
          <w:szCs w:val="22"/>
        </w:rPr>
        <w:t xml:space="preserve">RE:  </w:t>
      </w:r>
      <w:r w:rsidR="00056F09" w:rsidRPr="00D33DCB">
        <w:rPr>
          <w:b/>
          <w:color w:val="000000" w:themeColor="text1"/>
          <w:sz w:val="22"/>
          <w:szCs w:val="22"/>
        </w:rPr>
        <w:t xml:space="preserve">Request </w:t>
      </w:r>
      <w:r w:rsidR="00D21344" w:rsidRPr="00D33DCB">
        <w:rPr>
          <w:b/>
          <w:color w:val="000000" w:themeColor="text1"/>
          <w:sz w:val="22"/>
          <w:szCs w:val="22"/>
        </w:rPr>
        <w:t xml:space="preserve">for </w:t>
      </w:r>
      <w:r w:rsidR="004A2A1D" w:rsidRPr="00D33DCB">
        <w:rPr>
          <w:b/>
          <w:color w:val="000000" w:themeColor="text1"/>
          <w:sz w:val="22"/>
          <w:szCs w:val="22"/>
        </w:rPr>
        <w:t>Waive</w:t>
      </w:r>
      <w:r w:rsidR="00D21344" w:rsidRPr="00D33DCB">
        <w:rPr>
          <w:b/>
          <w:color w:val="000000" w:themeColor="text1"/>
          <w:sz w:val="22"/>
          <w:szCs w:val="22"/>
        </w:rPr>
        <w:t>r</w:t>
      </w:r>
      <w:r w:rsidR="004A2A1D" w:rsidRPr="00D33DCB">
        <w:rPr>
          <w:b/>
          <w:color w:val="000000" w:themeColor="text1"/>
          <w:sz w:val="22"/>
          <w:szCs w:val="22"/>
        </w:rPr>
        <w:t xml:space="preserve"> </w:t>
      </w:r>
      <w:r w:rsidR="00D21344" w:rsidRPr="00D33DCB">
        <w:rPr>
          <w:b/>
          <w:color w:val="000000" w:themeColor="text1"/>
          <w:sz w:val="22"/>
          <w:szCs w:val="22"/>
        </w:rPr>
        <w:t xml:space="preserve">of </w:t>
      </w:r>
      <w:r w:rsidR="00AA6F69" w:rsidRPr="00D33DCB">
        <w:rPr>
          <w:b/>
          <w:color w:val="000000" w:themeColor="text1"/>
          <w:sz w:val="22"/>
          <w:szCs w:val="22"/>
        </w:rPr>
        <w:t>Section 27.14(g)</w:t>
      </w:r>
      <w:r w:rsidR="00647F23" w:rsidRPr="00D33DCB">
        <w:rPr>
          <w:b/>
          <w:color w:val="000000" w:themeColor="text1"/>
          <w:sz w:val="22"/>
          <w:szCs w:val="22"/>
        </w:rPr>
        <w:t>(1)</w:t>
      </w:r>
      <w:r w:rsidR="00D21344" w:rsidRPr="00D33DCB">
        <w:rPr>
          <w:b/>
          <w:color w:val="000000" w:themeColor="text1"/>
          <w:sz w:val="22"/>
          <w:szCs w:val="22"/>
        </w:rPr>
        <w:t xml:space="preserve">, </w:t>
      </w:r>
      <w:r w:rsidR="00056F09" w:rsidRPr="00D33DCB">
        <w:rPr>
          <w:b/>
          <w:color w:val="000000" w:themeColor="text1"/>
          <w:sz w:val="22"/>
          <w:szCs w:val="22"/>
        </w:rPr>
        <w:t xml:space="preserve">WT Docket No. </w:t>
      </w:r>
      <w:r w:rsidR="001F228D" w:rsidRPr="00D33DCB">
        <w:rPr>
          <w:b/>
          <w:color w:val="000000" w:themeColor="text1"/>
          <w:sz w:val="22"/>
          <w:szCs w:val="22"/>
        </w:rPr>
        <w:t>16-392</w:t>
      </w:r>
    </w:p>
    <w:p w14:paraId="17633F13" w14:textId="77777777" w:rsidR="00056F09" w:rsidRPr="00D33DCB" w:rsidRDefault="00056F09" w:rsidP="003846E0">
      <w:pPr>
        <w:pStyle w:val="Header"/>
        <w:tabs>
          <w:tab w:val="clear" w:pos="4320"/>
          <w:tab w:val="left" w:pos="720"/>
          <w:tab w:val="left" w:pos="1440"/>
        </w:tabs>
        <w:contextualSpacing/>
        <w:rPr>
          <w:color w:val="000000" w:themeColor="text1"/>
          <w:sz w:val="22"/>
          <w:szCs w:val="22"/>
        </w:rPr>
      </w:pPr>
    </w:p>
    <w:p w14:paraId="55776BC8" w14:textId="77777777" w:rsidR="00056F09" w:rsidRPr="00D33DCB" w:rsidRDefault="00C548B9" w:rsidP="003846E0">
      <w:pPr>
        <w:contextualSpacing/>
        <w:rPr>
          <w:color w:val="000000" w:themeColor="text1"/>
          <w:sz w:val="22"/>
          <w:szCs w:val="22"/>
        </w:rPr>
      </w:pPr>
      <w:r w:rsidRPr="00D33DCB">
        <w:rPr>
          <w:color w:val="000000" w:themeColor="text1"/>
          <w:sz w:val="22"/>
          <w:szCs w:val="22"/>
        </w:rPr>
        <w:t>Dear</w:t>
      </w:r>
      <w:r w:rsidR="00A64D0C" w:rsidRPr="00D33DCB">
        <w:rPr>
          <w:color w:val="000000" w:themeColor="text1"/>
          <w:sz w:val="22"/>
          <w:szCs w:val="22"/>
        </w:rPr>
        <w:t xml:space="preserve"> </w:t>
      </w:r>
      <w:r w:rsidR="005F4C06" w:rsidRPr="00D33DCB">
        <w:rPr>
          <w:color w:val="000000" w:themeColor="text1"/>
          <w:sz w:val="22"/>
          <w:szCs w:val="22"/>
        </w:rPr>
        <w:t xml:space="preserve">Mr. </w:t>
      </w:r>
      <w:r w:rsidR="006D236D" w:rsidRPr="00D33DCB">
        <w:rPr>
          <w:color w:val="000000" w:themeColor="text1"/>
          <w:sz w:val="22"/>
          <w:szCs w:val="22"/>
        </w:rPr>
        <w:t>Minster</w:t>
      </w:r>
      <w:r w:rsidR="00056F09" w:rsidRPr="00D33DCB">
        <w:rPr>
          <w:color w:val="000000" w:themeColor="text1"/>
          <w:sz w:val="22"/>
          <w:szCs w:val="22"/>
        </w:rPr>
        <w:t>:</w:t>
      </w:r>
    </w:p>
    <w:p w14:paraId="616EB41E" w14:textId="77777777" w:rsidR="008C36DE" w:rsidRPr="00D33DCB" w:rsidRDefault="008C36DE" w:rsidP="003846E0">
      <w:pPr>
        <w:ind w:firstLine="720"/>
        <w:contextualSpacing/>
        <w:rPr>
          <w:color w:val="000000" w:themeColor="text1"/>
          <w:sz w:val="22"/>
          <w:szCs w:val="22"/>
        </w:rPr>
      </w:pPr>
    </w:p>
    <w:p w14:paraId="6F00C248" w14:textId="77777777" w:rsidR="001424A4" w:rsidRPr="00D33DCB" w:rsidRDefault="000D182F">
      <w:pPr>
        <w:pStyle w:val="ParaNum"/>
      </w:pPr>
      <w:r w:rsidRPr="00D33DCB">
        <w:t>For the reasons stated below, t</w:t>
      </w:r>
      <w:r w:rsidR="00E53795" w:rsidRPr="00D33DCB">
        <w:t xml:space="preserve">he Mobility Division </w:t>
      </w:r>
      <w:r w:rsidR="00EF4D11" w:rsidRPr="00D33DCB">
        <w:t xml:space="preserve">(Division) </w:t>
      </w:r>
      <w:r w:rsidR="00E53795" w:rsidRPr="00D33DCB">
        <w:t xml:space="preserve">of the Wireless Telecommunications Bureau (Bureau) hereby </w:t>
      </w:r>
      <w:r w:rsidR="002358F9" w:rsidRPr="00D33DCB">
        <w:t xml:space="preserve">denies the request of </w:t>
      </w:r>
      <w:r w:rsidR="006D236D" w:rsidRPr="00D33DCB">
        <w:t>SAL Spectrum, LLC (SAL)</w:t>
      </w:r>
      <w:r w:rsidR="00B8182B" w:rsidRPr="00D33DCB">
        <w:t xml:space="preserve">, a wholly owned subsidiary of ATN International, Inc. (ATN), </w:t>
      </w:r>
      <w:r w:rsidR="002358F9" w:rsidRPr="00D33DCB">
        <w:t xml:space="preserve">for </w:t>
      </w:r>
      <w:r w:rsidR="00C649EA" w:rsidRPr="00D33DCB">
        <w:t xml:space="preserve">a </w:t>
      </w:r>
      <w:r w:rsidR="0020740A" w:rsidRPr="00D33DCB">
        <w:t>waiver of Section 27.14(g)</w:t>
      </w:r>
      <w:r w:rsidR="00DC1A42" w:rsidRPr="00D33DCB">
        <w:t>(1)</w:t>
      </w:r>
      <w:r w:rsidR="00E53795" w:rsidRPr="00D33DCB">
        <w:t xml:space="preserve"> of the Commission’s rules</w:t>
      </w:r>
      <w:r w:rsidR="008C3052" w:rsidRPr="00D33DCB">
        <w:t>.</w:t>
      </w:r>
      <w:r w:rsidR="00457124" w:rsidRPr="00D33DCB">
        <w:rPr>
          <w:vertAlign w:val="superscript"/>
        </w:rPr>
        <w:footnoteReference w:id="2"/>
      </w:r>
      <w:r w:rsidR="00CB53FB" w:rsidRPr="00D33DCB">
        <w:t xml:space="preserve">  </w:t>
      </w:r>
      <w:r w:rsidRPr="00D33DCB">
        <w:t>W</w:t>
      </w:r>
      <w:r w:rsidR="006D032C" w:rsidRPr="00D33DCB">
        <w:t xml:space="preserve">e find that </w:t>
      </w:r>
      <w:r w:rsidR="00B65A50" w:rsidRPr="00D33DCB">
        <w:t xml:space="preserve">the record before us </w:t>
      </w:r>
      <w:r w:rsidR="00A62613" w:rsidRPr="00D33DCB">
        <w:t xml:space="preserve">does not </w:t>
      </w:r>
      <w:r w:rsidR="00B65A50" w:rsidRPr="00D33DCB">
        <w:t>support</w:t>
      </w:r>
      <w:r w:rsidR="00A62613" w:rsidRPr="00D33DCB">
        <w:t xml:space="preserve"> </w:t>
      </w:r>
      <w:r w:rsidR="00540904" w:rsidRPr="00D33DCB">
        <w:t xml:space="preserve">a </w:t>
      </w:r>
      <w:r w:rsidR="00A62613" w:rsidRPr="00D33DCB">
        <w:t xml:space="preserve">grant of </w:t>
      </w:r>
      <w:r w:rsidR="00CD2933" w:rsidRPr="00D33DCB">
        <w:t>SAL</w:t>
      </w:r>
      <w:r w:rsidR="00B65A50" w:rsidRPr="00D33DCB">
        <w:t>’s</w:t>
      </w:r>
      <w:r w:rsidR="008C3052" w:rsidRPr="00D33DCB">
        <w:t xml:space="preserve"> </w:t>
      </w:r>
      <w:r w:rsidR="00CD2933" w:rsidRPr="00D33DCB">
        <w:t xml:space="preserve">request </w:t>
      </w:r>
      <w:r w:rsidR="00B65A50" w:rsidRPr="00D33DCB">
        <w:t xml:space="preserve">for </w:t>
      </w:r>
      <w:r w:rsidR="004B112B" w:rsidRPr="00D33DCB">
        <w:t xml:space="preserve">additional </w:t>
      </w:r>
      <w:r w:rsidR="008A326D" w:rsidRPr="00D33DCB">
        <w:t xml:space="preserve">time </w:t>
      </w:r>
      <w:r w:rsidR="00CB53FB" w:rsidRPr="00D33DCB">
        <w:t xml:space="preserve">to meet </w:t>
      </w:r>
      <w:r w:rsidR="008C3052" w:rsidRPr="00D33DCB">
        <w:t xml:space="preserve">the </w:t>
      </w:r>
      <w:r w:rsidR="00A45224" w:rsidRPr="00D33DCB">
        <w:t>interim</w:t>
      </w:r>
      <w:r w:rsidR="00CD2933" w:rsidRPr="00D33DCB">
        <w:t xml:space="preserve"> construction requirement </w:t>
      </w:r>
      <w:r w:rsidR="008C3052" w:rsidRPr="00D33DCB">
        <w:t xml:space="preserve">for </w:t>
      </w:r>
      <w:r w:rsidR="00C72DCB" w:rsidRPr="00D33DCB">
        <w:t xml:space="preserve">its </w:t>
      </w:r>
      <w:r w:rsidR="008C3052" w:rsidRPr="00D33DCB">
        <w:t>Lower 700 MHz B Block license</w:t>
      </w:r>
      <w:r w:rsidR="00A62613" w:rsidRPr="00D33DCB">
        <w:t>,</w:t>
      </w:r>
      <w:r w:rsidR="008C3052" w:rsidRPr="00D33DCB">
        <w:rPr>
          <w:vertAlign w:val="superscript"/>
        </w:rPr>
        <w:footnoteReference w:id="3"/>
      </w:r>
      <w:r w:rsidR="00B65A50" w:rsidRPr="00D33DCB">
        <w:t xml:space="preserve"> </w:t>
      </w:r>
      <w:r w:rsidR="008A326D" w:rsidRPr="00D33DCB">
        <w:t xml:space="preserve">or </w:t>
      </w:r>
      <w:r w:rsidR="00A62613" w:rsidRPr="00D33DCB">
        <w:t xml:space="preserve">its </w:t>
      </w:r>
      <w:r w:rsidR="00C32848" w:rsidRPr="00D33DCB">
        <w:t>alternative</w:t>
      </w:r>
      <w:r w:rsidR="008C3052" w:rsidRPr="00D33DCB">
        <w:t xml:space="preserve"> request</w:t>
      </w:r>
      <w:r w:rsidR="00B65A50" w:rsidRPr="00D33DCB">
        <w:t xml:space="preserve"> for </w:t>
      </w:r>
      <w:r w:rsidR="004B112B" w:rsidRPr="00D33DCB">
        <w:t xml:space="preserve">additional </w:t>
      </w:r>
      <w:r w:rsidR="008A326D" w:rsidRPr="00D33DCB">
        <w:t xml:space="preserve">time </w:t>
      </w:r>
      <w:r w:rsidR="00C32848" w:rsidRPr="00D33DCB">
        <w:t xml:space="preserve">to meet </w:t>
      </w:r>
      <w:r w:rsidR="008C3052" w:rsidRPr="00D33DCB">
        <w:t xml:space="preserve">the </w:t>
      </w:r>
      <w:r w:rsidR="00457124" w:rsidRPr="00D33DCB">
        <w:t>accelerate</w:t>
      </w:r>
      <w:r w:rsidR="00CB53FB" w:rsidRPr="00D33DCB">
        <w:t>d</w:t>
      </w:r>
      <w:r w:rsidR="00792193" w:rsidRPr="00D33DCB">
        <w:t xml:space="preserve"> end-of-</w:t>
      </w:r>
      <w:r w:rsidR="004C0236" w:rsidRPr="00D33DCB">
        <w:t xml:space="preserve">license term </w:t>
      </w:r>
      <w:r w:rsidR="00457124" w:rsidRPr="00D33DCB">
        <w:t xml:space="preserve">construction </w:t>
      </w:r>
      <w:r w:rsidR="00727DF3" w:rsidRPr="00D33DCB">
        <w:t>requirement</w:t>
      </w:r>
      <w:r w:rsidR="008C3052" w:rsidRPr="00D33DCB">
        <w:t>.</w:t>
      </w:r>
      <w:r w:rsidR="00B65A50" w:rsidRPr="00D33DCB">
        <w:rPr>
          <w:rStyle w:val="FootnoteReference"/>
          <w:color w:val="000000" w:themeColor="text1"/>
        </w:rPr>
        <w:footnoteReference w:id="4"/>
      </w:r>
    </w:p>
    <w:p w14:paraId="0B2A26C4" w14:textId="77777777" w:rsidR="001424A4" w:rsidRPr="00D33DCB" w:rsidRDefault="001424A4">
      <w:pPr>
        <w:pStyle w:val="ParaNum"/>
      </w:pPr>
    </w:p>
    <w:p w14:paraId="6B1DE22D" w14:textId="77777777" w:rsidR="00A77695" w:rsidRPr="00D33DCB" w:rsidRDefault="001424A4" w:rsidP="001424A4">
      <w:pPr>
        <w:pStyle w:val="Heading1"/>
        <w:rPr>
          <w:rFonts w:ascii="Times New Roman" w:hAnsi="Times New Roman"/>
          <w:color w:val="000000" w:themeColor="text1"/>
          <w:szCs w:val="22"/>
        </w:rPr>
      </w:pPr>
      <w:r w:rsidRPr="00D33DCB">
        <w:rPr>
          <w:rFonts w:ascii="Times New Roman" w:hAnsi="Times New Roman"/>
          <w:color w:val="000000" w:themeColor="text1"/>
          <w:szCs w:val="22"/>
        </w:rPr>
        <w:t>Background</w:t>
      </w:r>
      <w:r w:rsidR="00C821E0" w:rsidRPr="00D33DCB">
        <w:rPr>
          <w:rFonts w:ascii="Times New Roman" w:hAnsi="Times New Roman"/>
          <w:color w:val="000000" w:themeColor="text1"/>
          <w:szCs w:val="22"/>
        </w:rPr>
        <w:t xml:space="preserve">  </w:t>
      </w:r>
      <w:r w:rsidR="00C32848" w:rsidRPr="00D33DCB">
        <w:rPr>
          <w:rFonts w:ascii="Times New Roman" w:hAnsi="Times New Roman"/>
          <w:color w:val="000000" w:themeColor="text1"/>
          <w:szCs w:val="22"/>
        </w:rPr>
        <w:t xml:space="preserve">  </w:t>
      </w:r>
    </w:p>
    <w:p w14:paraId="747AC24B" w14:textId="77777777" w:rsidR="00D4568E" w:rsidRPr="00D33DCB" w:rsidRDefault="00C72DCB">
      <w:pPr>
        <w:pStyle w:val="ParaNum"/>
      </w:pPr>
      <w:r w:rsidRPr="00D33DCB">
        <w:rPr>
          <w:i/>
        </w:rPr>
        <w:t>Construction Requirements</w:t>
      </w:r>
      <w:r w:rsidR="0064702C" w:rsidRPr="00D33DCB">
        <w:t xml:space="preserve">.  In the </w:t>
      </w:r>
      <w:r w:rsidR="0064702C" w:rsidRPr="00D33DCB">
        <w:rPr>
          <w:i/>
        </w:rPr>
        <w:t>700 MHz Second Report and Order</w:t>
      </w:r>
      <w:r w:rsidR="0064702C" w:rsidRPr="00D33DCB">
        <w:t>,</w:t>
      </w:r>
      <w:r w:rsidR="0064702C" w:rsidRPr="00D33DCB">
        <w:rPr>
          <w:i/>
        </w:rPr>
        <w:t xml:space="preserve"> </w:t>
      </w:r>
      <w:r w:rsidR="0064702C" w:rsidRPr="00D33DCB">
        <w:t>the Commission adopted interim and end-of-license term construction benchmarks for certain 700 MHz band licensees.</w:t>
      </w:r>
      <w:r w:rsidR="0064702C" w:rsidRPr="00D33DCB">
        <w:rPr>
          <w:rStyle w:val="FootnoteReference"/>
          <w:color w:val="000000" w:themeColor="text1"/>
        </w:rPr>
        <w:footnoteReference w:id="5"/>
      </w:r>
      <w:r w:rsidR="0064702C" w:rsidRPr="00D33DCB">
        <w:t xml:space="preserve">  The Commission required Lower 700 MHz band A and B Block licensees to provide signal coverage and offer service over at least 35 percent of their license area by June 13, 2013,</w:t>
      </w:r>
      <w:r w:rsidR="0064702C" w:rsidRPr="00D33DCB">
        <w:rPr>
          <w:rStyle w:val="FootnoteReference"/>
          <w:color w:val="000000" w:themeColor="text1"/>
        </w:rPr>
        <w:footnoteReference w:id="6"/>
      </w:r>
      <w:r w:rsidR="0064702C" w:rsidRPr="00D33DCB">
        <w:t xml:space="preserve"> later extended to December 13, 2016</w:t>
      </w:r>
      <w:r w:rsidR="0064702C" w:rsidRPr="00D33DCB">
        <w:rPr>
          <w:rStyle w:val="FootnoteReference"/>
          <w:color w:val="000000" w:themeColor="text1"/>
        </w:rPr>
        <w:footnoteReference w:id="7"/>
      </w:r>
      <w:r w:rsidR="0064702C" w:rsidRPr="00D33DCB">
        <w:t xml:space="preserve"> (Interim Construction Requirement), and to provide signal coverage and offer service over at least 70 percent of that area by the end of their initial 10-year license term, here June 13, 2019 (Final Construction Requirement).</w:t>
      </w:r>
      <w:r w:rsidR="0064702C" w:rsidRPr="00D33DCB">
        <w:rPr>
          <w:rStyle w:val="FootnoteReference"/>
          <w:color w:val="000000" w:themeColor="text1"/>
        </w:rPr>
        <w:footnoteReference w:id="8"/>
      </w:r>
      <w:r w:rsidR="0064702C" w:rsidRPr="00D33DCB">
        <w:t xml:space="preserve">  </w:t>
      </w:r>
      <w:r w:rsidR="006D032C" w:rsidRPr="00D33DCB">
        <w:t xml:space="preserve">Under </w:t>
      </w:r>
      <w:r w:rsidR="0064702C" w:rsidRPr="00D33DCB">
        <w:t xml:space="preserve">Section 27.14(g)(1) if a licensee does not satisfy the Interim Construction Requirement, its license term will be reduced by two years, thereby requiring it to meet the </w:t>
      </w:r>
      <w:r w:rsidR="0064702C" w:rsidRPr="00D33DCB">
        <w:lastRenderedPageBreak/>
        <w:t>Final Construction Requirement two years sooner.</w:t>
      </w:r>
      <w:r w:rsidR="0064702C" w:rsidRPr="00D33DCB">
        <w:rPr>
          <w:rStyle w:val="FootnoteReference"/>
          <w:color w:val="000000" w:themeColor="text1"/>
        </w:rPr>
        <w:footnoteReference w:id="9"/>
      </w:r>
      <w:r w:rsidR="0064702C" w:rsidRPr="00D33DCB">
        <w:t xml:space="preserve">  Further, if a licensee does not meet its </w:t>
      </w:r>
      <w:r w:rsidR="00673CF0" w:rsidRPr="00D33DCB">
        <w:t xml:space="preserve">70 percent </w:t>
      </w:r>
      <w:r w:rsidR="0064702C" w:rsidRPr="00D33DCB">
        <w:t>Final Construction Requirement</w:t>
      </w:r>
      <w:r w:rsidR="00F56367" w:rsidRPr="00D33DCB">
        <w:t xml:space="preserve"> (whether</w:t>
      </w:r>
      <w:r w:rsidR="00AC5C22" w:rsidRPr="00D33DCB">
        <w:t xml:space="preserve"> it is accelerated </w:t>
      </w:r>
      <w:r w:rsidR="00F56367" w:rsidRPr="00D33DCB">
        <w:t>or not)</w:t>
      </w:r>
      <w:r w:rsidR="0064702C" w:rsidRPr="00D33DCB">
        <w:t>, it will be subject to a “keep-what-you-serve” rule, whereby its “authorization will terminate automatically without Commission action for those geographic portions of its license in which the licensee is not providing service, and those unserved areas will become available for reassignment by the Commission.”</w:t>
      </w:r>
      <w:r w:rsidR="0064702C" w:rsidRPr="00D33DCB">
        <w:rPr>
          <w:rStyle w:val="FootnoteReference"/>
          <w:color w:val="000000" w:themeColor="text1"/>
        </w:rPr>
        <w:footnoteReference w:id="10"/>
      </w:r>
    </w:p>
    <w:p w14:paraId="247CB175" w14:textId="77777777" w:rsidR="006F39B6" w:rsidRPr="00D33DCB" w:rsidRDefault="006F39B6">
      <w:pPr>
        <w:pStyle w:val="ParaNum"/>
      </w:pPr>
    </w:p>
    <w:p w14:paraId="5EB092DE" w14:textId="708D6162" w:rsidR="00096494" w:rsidRPr="00D33DCB" w:rsidRDefault="00F56367">
      <w:pPr>
        <w:pStyle w:val="ParaNum"/>
      </w:pPr>
      <w:r w:rsidRPr="00D33DCB">
        <w:rPr>
          <w:i/>
        </w:rPr>
        <w:t>Station WQJQ812</w:t>
      </w:r>
      <w:r w:rsidRPr="00D33DCB">
        <w:t xml:space="preserve">.  </w:t>
      </w:r>
      <w:r w:rsidR="00096494" w:rsidRPr="00D33DCB">
        <w:t xml:space="preserve">SAL was the high bidder for Station WQJQ812 </w:t>
      </w:r>
      <w:r w:rsidR="003266C9" w:rsidRPr="00D33DCB">
        <w:t>and five other 700 MH</w:t>
      </w:r>
      <w:r w:rsidR="00D26956" w:rsidRPr="00D33DCB">
        <w:t>z licenses</w:t>
      </w:r>
      <w:r w:rsidR="003266C9" w:rsidRPr="00D33DCB">
        <w:t xml:space="preserve"> </w:t>
      </w:r>
      <w:r w:rsidR="00096494" w:rsidRPr="00D33DCB">
        <w:t xml:space="preserve">in Auction </w:t>
      </w:r>
      <w:r w:rsidR="00C854D0" w:rsidRPr="00D33DCB">
        <w:t>73</w:t>
      </w:r>
      <w:r w:rsidR="0056619A" w:rsidRPr="00D33DCB">
        <w:rPr>
          <w:rStyle w:val="FootnoteReference"/>
          <w:color w:val="000000" w:themeColor="text1"/>
        </w:rPr>
        <w:footnoteReference w:id="11"/>
      </w:r>
      <w:r w:rsidR="0056619A" w:rsidRPr="00D33DCB">
        <w:t xml:space="preserve"> </w:t>
      </w:r>
      <w:r w:rsidR="00B8182B" w:rsidRPr="00D33DCB">
        <w:t>and was granted the L</w:t>
      </w:r>
      <w:r w:rsidR="00096494" w:rsidRPr="00D33DCB">
        <w:t>icense on November 26, 2008.</w:t>
      </w:r>
      <w:r w:rsidRPr="00D33DCB">
        <w:rPr>
          <w:rStyle w:val="FootnoteReference"/>
          <w:color w:val="000000" w:themeColor="text1"/>
        </w:rPr>
        <w:footnoteReference w:id="12"/>
      </w:r>
      <w:r w:rsidR="00564DA9" w:rsidRPr="00D33DCB">
        <w:t xml:space="preserve">  </w:t>
      </w:r>
      <w:r w:rsidR="00A62613" w:rsidRPr="00D33DCB">
        <w:t xml:space="preserve">Thus, when SAL filed its Waiver Request on November 15, 2016, it had held the </w:t>
      </w:r>
      <w:r w:rsidR="003A35CE" w:rsidRPr="00D33DCB">
        <w:t>L</w:t>
      </w:r>
      <w:r w:rsidR="00A62613" w:rsidRPr="00D33DCB">
        <w:t>icense for nearly eight years.</w:t>
      </w:r>
      <w:r w:rsidR="00564DA9" w:rsidRPr="00D33DCB">
        <w:rPr>
          <w:rStyle w:val="FootnoteReference"/>
          <w:color w:val="000000" w:themeColor="text1"/>
        </w:rPr>
        <w:footnoteReference w:id="13"/>
      </w:r>
      <w:r w:rsidR="004C5000" w:rsidRPr="00D33DCB">
        <w:t xml:space="preserve">             </w:t>
      </w:r>
    </w:p>
    <w:p w14:paraId="36FF45C9" w14:textId="77777777" w:rsidR="00096494" w:rsidRPr="00D33DCB" w:rsidRDefault="00096494">
      <w:pPr>
        <w:pStyle w:val="ParaNum"/>
      </w:pPr>
    </w:p>
    <w:p w14:paraId="7A250283" w14:textId="77777777" w:rsidR="00794EE7" w:rsidRPr="00D33DCB" w:rsidRDefault="009A3DD4">
      <w:pPr>
        <w:pStyle w:val="ParaNum"/>
      </w:pPr>
      <w:r w:rsidRPr="00D33DCB">
        <w:rPr>
          <w:i/>
        </w:rPr>
        <w:t xml:space="preserve">Initial </w:t>
      </w:r>
      <w:r w:rsidR="00F56367" w:rsidRPr="00D33DCB">
        <w:rPr>
          <w:i/>
        </w:rPr>
        <w:t>Waiver Request</w:t>
      </w:r>
      <w:r w:rsidR="00F56367" w:rsidRPr="00D33DCB">
        <w:t xml:space="preserve">.  </w:t>
      </w:r>
      <w:r w:rsidR="004970B8" w:rsidRPr="00D33DCB">
        <w:t>SAL</w:t>
      </w:r>
      <w:r w:rsidR="00705CDD" w:rsidRPr="00D33DCB">
        <w:t xml:space="preserve"> </w:t>
      </w:r>
      <w:r w:rsidR="008B2819" w:rsidRPr="00D33DCB">
        <w:t xml:space="preserve">initially </w:t>
      </w:r>
      <w:r w:rsidR="004970B8" w:rsidRPr="00D33DCB">
        <w:t>request</w:t>
      </w:r>
      <w:r w:rsidR="008B2819" w:rsidRPr="00D33DCB">
        <w:t>ed</w:t>
      </w:r>
      <w:r w:rsidR="004970B8" w:rsidRPr="00D33DCB">
        <w:t xml:space="preserve"> </w:t>
      </w:r>
      <w:r w:rsidR="000A5365" w:rsidRPr="00D33DCB">
        <w:t>six</w:t>
      </w:r>
      <w:r w:rsidR="000F1F94" w:rsidRPr="00D33DCB">
        <w:t xml:space="preserve"> additional months to meet its </w:t>
      </w:r>
      <w:r w:rsidR="00C72DCB" w:rsidRPr="00D33DCB">
        <w:t>I</w:t>
      </w:r>
      <w:r w:rsidR="004970B8" w:rsidRPr="00D33DCB">
        <w:t xml:space="preserve">nterim </w:t>
      </w:r>
      <w:r w:rsidR="00C72DCB" w:rsidRPr="00D33DCB">
        <w:t>C</w:t>
      </w:r>
      <w:r w:rsidR="004970B8" w:rsidRPr="00D33DCB">
        <w:t xml:space="preserve">onstruction </w:t>
      </w:r>
      <w:r w:rsidR="00C72DCB" w:rsidRPr="00D33DCB">
        <w:t>Requirement</w:t>
      </w:r>
      <w:r w:rsidR="0076267F" w:rsidRPr="00D33DCB">
        <w:t xml:space="preserve"> for the License</w:t>
      </w:r>
      <w:r w:rsidR="003B3AB3" w:rsidRPr="00D33DCB">
        <w:t>,</w:t>
      </w:r>
      <w:r w:rsidR="004970B8" w:rsidRPr="00D33DCB">
        <w:t xml:space="preserve"> </w:t>
      </w:r>
      <w:r w:rsidR="003F07AF" w:rsidRPr="00D33DCB">
        <w:t>such that b</w:t>
      </w:r>
      <w:r w:rsidR="00E404E8" w:rsidRPr="00D33DCB">
        <w:t>y</w:t>
      </w:r>
      <w:r w:rsidR="004970B8" w:rsidRPr="00D33DCB">
        <w:t xml:space="preserve"> June 13, 2017, it </w:t>
      </w:r>
      <w:r w:rsidR="008B2819" w:rsidRPr="00D33DCB">
        <w:t xml:space="preserve">would </w:t>
      </w:r>
      <w:r w:rsidR="005B07C7" w:rsidRPr="00D33DCB">
        <w:t xml:space="preserve">be required to </w:t>
      </w:r>
      <w:r w:rsidR="004970B8" w:rsidRPr="00D33DCB">
        <w:t xml:space="preserve">meet the </w:t>
      </w:r>
      <w:r w:rsidR="00D61DCA" w:rsidRPr="00D33DCB">
        <w:t xml:space="preserve">35 percent </w:t>
      </w:r>
      <w:r w:rsidR="004970B8" w:rsidRPr="00D33DCB">
        <w:t>Interim Construction Requirement</w:t>
      </w:r>
      <w:r w:rsidR="003F07AF" w:rsidRPr="00D33DCB">
        <w:t xml:space="preserve">, and </w:t>
      </w:r>
      <w:r w:rsidR="00A77BCF" w:rsidRPr="00D33DCB">
        <w:t xml:space="preserve">that </w:t>
      </w:r>
      <w:r w:rsidR="003F07AF" w:rsidRPr="00D33DCB">
        <w:t>b</w:t>
      </w:r>
      <w:r w:rsidR="00E404E8" w:rsidRPr="00D33DCB">
        <w:t xml:space="preserve">y June 13, 2019 (the end-of-license term), </w:t>
      </w:r>
      <w:r w:rsidRPr="00D33DCB">
        <w:t xml:space="preserve">it would </w:t>
      </w:r>
      <w:r w:rsidR="00A77BCF" w:rsidRPr="00D33DCB">
        <w:t xml:space="preserve">be required to </w:t>
      </w:r>
      <w:r w:rsidR="00D61DCA" w:rsidRPr="00D33DCB">
        <w:t xml:space="preserve">meet the 70 percent </w:t>
      </w:r>
      <w:r w:rsidR="003F07AF" w:rsidRPr="00D33DCB">
        <w:t>Final Construction Requirement</w:t>
      </w:r>
      <w:r w:rsidR="008B2819" w:rsidRPr="00D33DCB">
        <w:t>.</w:t>
      </w:r>
      <w:r w:rsidR="003F07AF" w:rsidRPr="00D33DCB">
        <w:rPr>
          <w:rStyle w:val="FootnoteReference"/>
          <w:color w:val="000000" w:themeColor="text1"/>
        </w:rPr>
        <w:footnoteReference w:id="14"/>
      </w:r>
      <w:r w:rsidR="00377EB5" w:rsidRPr="00D33DCB">
        <w:t xml:space="preserve"> </w:t>
      </w:r>
      <w:r w:rsidR="00794EE7" w:rsidRPr="00D33DCB">
        <w:t xml:space="preserve"> SAL states that it has “devoted substantial resources to completing its construction/coverage obligations for its</w:t>
      </w:r>
      <w:r w:rsidR="00D26956" w:rsidRPr="00D33DCB">
        <w:t xml:space="preserve"> [</w:t>
      </w:r>
      <w:r w:rsidR="00185D90" w:rsidRPr="00D33DCB">
        <w:t xml:space="preserve">five </w:t>
      </w:r>
      <w:r w:rsidR="00D26956" w:rsidRPr="00D33DCB">
        <w:t>other]</w:t>
      </w:r>
      <w:r w:rsidR="00794EE7" w:rsidRPr="00D33DCB">
        <w:t xml:space="preserve"> 700 MHz licenses on a timely basis, overcoming major environmental hurdles resulting in the loss of multiple superior site locations (and concomitant need to construct more cell sites than otherwise would have been needed)” as to some licenses, as well as “avoiding any harm to areas of cultural or religious significance to various Tribes” in connection with other licenses.</w:t>
      </w:r>
      <w:r w:rsidR="00794EE7" w:rsidRPr="00D33DCB">
        <w:rPr>
          <w:rStyle w:val="FootnoteReference"/>
          <w:color w:val="000000" w:themeColor="text1"/>
        </w:rPr>
        <w:footnoteReference w:id="15"/>
      </w:r>
      <w:r w:rsidR="00794EE7" w:rsidRPr="00D33DCB">
        <w:t xml:space="preserve">  SAL a</w:t>
      </w:r>
      <w:r w:rsidR="005D0CFD" w:rsidRPr="00D33DCB">
        <w:t xml:space="preserve">sserts </w:t>
      </w:r>
      <w:r w:rsidR="00794EE7" w:rsidRPr="00D33DCB">
        <w:t xml:space="preserve"> that “the personnel devoted to these other call signs are the same team of individuals that are also responsible for call sign WQJQ812</w:t>
      </w:r>
      <w:r w:rsidR="005D0CFD" w:rsidRPr="00D33DCB">
        <w:t xml:space="preserve"> [and its]</w:t>
      </w:r>
      <w:r w:rsidR="00794EE7" w:rsidRPr="00D33DCB">
        <w:t xml:space="preserve"> available resources have been stretched thin.”</w:t>
      </w:r>
      <w:r w:rsidR="00794EE7" w:rsidRPr="00D33DCB">
        <w:rPr>
          <w:rStyle w:val="FootnoteReference"/>
          <w:color w:val="000000" w:themeColor="text1"/>
        </w:rPr>
        <w:footnoteReference w:id="16"/>
      </w:r>
      <w:r w:rsidR="00794EE7" w:rsidRPr="00D33DCB">
        <w:t xml:space="preserve">  SAL also asserts that </w:t>
      </w:r>
      <w:r w:rsidR="00610A44" w:rsidRPr="00D33DCB">
        <w:t xml:space="preserve">the License area </w:t>
      </w:r>
      <w:r w:rsidR="00794EE7" w:rsidRPr="00D33DCB">
        <w:t>“represents a significant challenge, due to its remote location . . . in the far northwest corner of the Texas Panhandle,” which is “far from the . . . 700 MHz switching facilities in Castle Rock, Colorado,” therefore</w:t>
      </w:r>
      <w:r w:rsidR="00610A44" w:rsidRPr="00D33DCB">
        <w:t xml:space="preserve"> complicating </w:t>
      </w:r>
      <w:r w:rsidR="00794EE7" w:rsidRPr="00D33DCB">
        <w:t xml:space="preserve"> backhaul.</w:t>
      </w:r>
      <w:r w:rsidR="00794EE7" w:rsidRPr="00D33DCB">
        <w:rPr>
          <w:rStyle w:val="FootnoteReference"/>
          <w:color w:val="000000" w:themeColor="text1"/>
        </w:rPr>
        <w:footnoteReference w:id="17"/>
      </w:r>
      <w:r w:rsidR="00794EE7" w:rsidRPr="00D33DCB">
        <w:t xml:space="preserve"> </w:t>
      </w:r>
    </w:p>
    <w:p w14:paraId="78DE5B44" w14:textId="77777777" w:rsidR="00794EE7" w:rsidRPr="00D33DCB" w:rsidRDefault="00794EE7">
      <w:pPr>
        <w:pStyle w:val="ParaNum"/>
      </w:pPr>
    </w:p>
    <w:p w14:paraId="55B7991A" w14:textId="77777777" w:rsidR="009A3DD4" w:rsidRPr="00D33DCB" w:rsidRDefault="00B8182B">
      <w:pPr>
        <w:pStyle w:val="ParaNum"/>
      </w:pPr>
      <w:r w:rsidRPr="00D33DCB">
        <w:t xml:space="preserve">SAL’s </w:t>
      </w:r>
      <w:r w:rsidR="00CB77EA" w:rsidRPr="00D33DCB">
        <w:t>Waiver Request went on public notice for comment on November 18, 2016.</w:t>
      </w:r>
      <w:r w:rsidR="00CB77EA" w:rsidRPr="00D33DCB">
        <w:rPr>
          <w:rStyle w:val="FootnoteReference"/>
          <w:color w:val="000000" w:themeColor="text1"/>
        </w:rPr>
        <w:footnoteReference w:id="18"/>
      </w:r>
    </w:p>
    <w:p w14:paraId="7F794D03" w14:textId="77777777" w:rsidR="009A3DD4" w:rsidRPr="00D33DCB" w:rsidRDefault="009A3DD4">
      <w:pPr>
        <w:pStyle w:val="ParaNum"/>
      </w:pPr>
    </w:p>
    <w:p w14:paraId="6B8C72BC" w14:textId="77777777" w:rsidR="00E73660" w:rsidRPr="00D33DCB" w:rsidRDefault="009A3DD4">
      <w:pPr>
        <w:pStyle w:val="ParaNum"/>
      </w:pPr>
      <w:r w:rsidRPr="00D33DCB">
        <w:rPr>
          <w:i/>
        </w:rPr>
        <w:t>Alternative Waiver Request</w:t>
      </w:r>
      <w:r w:rsidRPr="00D33DCB">
        <w:t xml:space="preserve">.  </w:t>
      </w:r>
      <w:r w:rsidR="00582BC9" w:rsidRPr="00D33DCB">
        <w:t xml:space="preserve">On </w:t>
      </w:r>
      <w:r w:rsidR="00F25232" w:rsidRPr="00D33DCB">
        <w:t>December 8</w:t>
      </w:r>
      <w:r w:rsidR="00582BC9" w:rsidRPr="00D33DCB">
        <w:t>, 201</w:t>
      </w:r>
      <w:r w:rsidR="00F25232" w:rsidRPr="00D33DCB">
        <w:t>6</w:t>
      </w:r>
      <w:r w:rsidR="00582BC9" w:rsidRPr="00D33DCB">
        <w:t xml:space="preserve">, </w:t>
      </w:r>
      <w:r w:rsidR="005C6FD8" w:rsidRPr="00D33DCB">
        <w:t>SAL</w:t>
      </w:r>
      <w:r w:rsidR="00027993" w:rsidRPr="00D33DCB">
        <w:t xml:space="preserve">, but no other party, </w:t>
      </w:r>
      <w:r w:rsidR="005C6FD8" w:rsidRPr="00D33DCB">
        <w:t xml:space="preserve">filed </w:t>
      </w:r>
      <w:r w:rsidR="00C47065" w:rsidRPr="00D33DCB">
        <w:t xml:space="preserve">initial </w:t>
      </w:r>
      <w:r w:rsidR="00027993" w:rsidRPr="00D33DCB">
        <w:t>c</w:t>
      </w:r>
      <w:r w:rsidR="00CB77EA" w:rsidRPr="00D33DCB">
        <w:t>omments in response to the public notice</w:t>
      </w:r>
      <w:r w:rsidR="00B8182B" w:rsidRPr="00D33DCB">
        <w:t xml:space="preserve"> in this proceeding</w:t>
      </w:r>
      <w:r w:rsidR="005C6FD8" w:rsidRPr="00D33DCB">
        <w:t xml:space="preserve">.  In its </w:t>
      </w:r>
      <w:r w:rsidR="00134DB2" w:rsidRPr="00D33DCB">
        <w:t>C</w:t>
      </w:r>
      <w:r w:rsidR="005C6FD8" w:rsidRPr="00D33DCB">
        <w:t xml:space="preserve">omments, SAL </w:t>
      </w:r>
      <w:r w:rsidR="00027993" w:rsidRPr="00D33DCB">
        <w:t xml:space="preserve">seeks </w:t>
      </w:r>
      <w:r w:rsidR="00134DB2" w:rsidRPr="00D33DCB">
        <w:t xml:space="preserve">alternative </w:t>
      </w:r>
      <w:r w:rsidR="00027993" w:rsidRPr="00D33DCB">
        <w:t xml:space="preserve">waiver relief.  SAL requests that </w:t>
      </w:r>
      <w:r w:rsidR="005C6FD8" w:rsidRPr="00D33DCB">
        <w:t>if it is not granted its initial waiver request</w:t>
      </w:r>
      <w:r w:rsidR="00E35953" w:rsidRPr="00D33DCB">
        <w:t xml:space="preserve"> and its end-of-license term is </w:t>
      </w:r>
      <w:r w:rsidR="00E35953" w:rsidRPr="00D33DCB">
        <w:lastRenderedPageBreak/>
        <w:t>therefore accelerated to June 13, 2017</w:t>
      </w:r>
      <w:r w:rsidR="005C6FD8" w:rsidRPr="00D33DCB">
        <w:t>, we</w:t>
      </w:r>
      <w:r w:rsidR="008B2819" w:rsidRPr="00D33DCB">
        <w:t xml:space="preserve"> provide it six </w:t>
      </w:r>
      <w:r w:rsidR="00656E1B" w:rsidRPr="00D33DCB">
        <w:t>additional months</w:t>
      </w:r>
      <w:r w:rsidR="00134DB2" w:rsidRPr="00D33DCB">
        <w:t>—</w:t>
      </w:r>
      <w:r w:rsidR="00E35953" w:rsidRPr="00D33DCB">
        <w:t>until December</w:t>
      </w:r>
      <w:r w:rsidR="000C7A7D" w:rsidRPr="00D33DCB">
        <w:t xml:space="preserve"> 13, 2017</w:t>
      </w:r>
      <w:r w:rsidR="00134DB2" w:rsidRPr="00D33DCB">
        <w:t>—</w:t>
      </w:r>
      <w:r w:rsidR="00656E1B" w:rsidRPr="00D33DCB">
        <w:t xml:space="preserve">to </w:t>
      </w:r>
      <w:r w:rsidR="001E786A" w:rsidRPr="00D33DCB">
        <w:t>meet its Final Construction Requirement</w:t>
      </w:r>
      <w:r w:rsidR="00E35953" w:rsidRPr="00D33DCB">
        <w:t>,</w:t>
      </w:r>
      <w:r w:rsidR="007300C1" w:rsidRPr="00D33DCB">
        <w:rPr>
          <w:rStyle w:val="FootnoteReference"/>
          <w:color w:val="000000" w:themeColor="text1"/>
        </w:rPr>
        <w:footnoteReference w:id="19"/>
      </w:r>
      <w:r w:rsidR="00E35953" w:rsidRPr="00D33DCB">
        <w:t>and</w:t>
      </w:r>
      <w:r w:rsidR="005C6FD8" w:rsidRPr="00D33DCB">
        <w:t xml:space="preserve"> </w:t>
      </w:r>
      <w:r w:rsidR="00CB77EA" w:rsidRPr="00D33DCB">
        <w:t xml:space="preserve">that we extend its </w:t>
      </w:r>
      <w:r w:rsidRPr="00D33DCB">
        <w:t xml:space="preserve">accelerated </w:t>
      </w:r>
      <w:r w:rsidR="00E35953" w:rsidRPr="00D33DCB">
        <w:t>end-of-</w:t>
      </w:r>
      <w:r w:rsidRPr="00D33DCB">
        <w:t xml:space="preserve">license term by </w:t>
      </w:r>
      <w:r w:rsidR="00CB6EA2" w:rsidRPr="00D33DCB">
        <w:t>six months until December 1</w:t>
      </w:r>
      <w:r w:rsidR="00027993" w:rsidRPr="00D33DCB">
        <w:t>3</w:t>
      </w:r>
      <w:r w:rsidR="00CB6EA2" w:rsidRPr="00D33DCB">
        <w:t>, 2017</w:t>
      </w:r>
      <w:r w:rsidRPr="00D33DCB">
        <w:t>.</w:t>
      </w:r>
      <w:r w:rsidR="005C6FD8" w:rsidRPr="00D33DCB">
        <w:rPr>
          <w:rStyle w:val="FootnoteReference"/>
          <w:color w:val="000000" w:themeColor="text1"/>
        </w:rPr>
        <w:footnoteReference w:id="20"/>
      </w:r>
      <w:r w:rsidR="00FA65C5" w:rsidRPr="00D33DCB">
        <w:t xml:space="preserve">  SAL also reiterates </w:t>
      </w:r>
      <w:r w:rsidR="00F05A6D" w:rsidRPr="00D33DCB">
        <w:t xml:space="preserve">the </w:t>
      </w:r>
      <w:r w:rsidR="00FA65C5" w:rsidRPr="00D33DCB">
        <w:t>arguments in its initial waiver request</w:t>
      </w:r>
      <w:r w:rsidR="00C360F3" w:rsidRPr="00D33DCB">
        <w:t>.</w:t>
      </w:r>
      <w:r w:rsidR="00C360F3" w:rsidRPr="00D33DCB">
        <w:rPr>
          <w:rStyle w:val="FootnoteReference"/>
          <w:color w:val="000000" w:themeColor="text1"/>
        </w:rPr>
        <w:footnoteReference w:id="21"/>
      </w:r>
      <w:r w:rsidR="00FA65C5" w:rsidRPr="00D33DCB">
        <w:t xml:space="preserve"> </w:t>
      </w:r>
    </w:p>
    <w:p w14:paraId="061A7FE0" w14:textId="77777777" w:rsidR="00CB77EA" w:rsidRPr="00D33DCB" w:rsidRDefault="00CB77EA">
      <w:pPr>
        <w:pStyle w:val="ParaNum"/>
      </w:pPr>
    </w:p>
    <w:p w14:paraId="41A8654E" w14:textId="77777777" w:rsidR="00DC25F9" w:rsidRPr="00D33DCB" w:rsidRDefault="000D2E36">
      <w:pPr>
        <w:pStyle w:val="ParaNum"/>
      </w:pPr>
      <w:r w:rsidRPr="00D33DCB">
        <w:t>One party, t</w:t>
      </w:r>
      <w:r w:rsidR="00E73660" w:rsidRPr="00D33DCB">
        <w:t xml:space="preserve">he Rural Wireless Association, Inc. (RWA), </w:t>
      </w:r>
      <w:r w:rsidR="00F56367" w:rsidRPr="00D33DCB">
        <w:t xml:space="preserve">filed </w:t>
      </w:r>
      <w:r w:rsidRPr="00D33DCB">
        <w:t>r</w:t>
      </w:r>
      <w:r w:rsidR="00F56367" w:rsidRPr="00D33DCB">
        <w:t xml:space="preserve">eply </w:t>
      </w:r>
      <w:r w:rsidRPr="00D33DCB">
        <w:t>c</w:t>
      </w:r>
      <w:r w:rsidR="00F56367" w:rsidRPr="00D33DCB">
        <w:t>omments</w:t>
      </w:r>
      <w:r w:rsidRPr="00D33DCB">
        <w:t xml:space="preserve"> in this proceeding.</w:t>
      </w:r>
      <w:r w:rsidR="00B8182B" w:rsidRPr="00D33DCB">
        <w:rPr>
          <w:rStyle w:val="FootnoteReference"/>
          <w:color w:val="000000" w:themeColor="text1"/>
        </w:rPr>
        <w:footnoteReference w:id="22"/>
      </w:r>
      <w:r w:rsidR="00027993" w:rsidRPr="00D33DCB">
        <w:t xml:space="preserve">  </w:t>
      </w:r>
      <w:r w:rsidR="00E06030" w:rsidRPr="00D33DCB">
        <w:t>RWA</w:t>
      </w:r>
      <w:r w:rsidRPr="00D33DCB">
        <w:t xml:space="preserve"> opposes SAL’s initial and alternative waiver requests, </w:t>
      </w:r>
      <w:r w:rsidR="00E73660" w:rsidRPr="00D33DCB">
        <w:t>assert</w:t>
      </w:r>
      <w:r w:rsidRPr="00D33DCB">
        <w:t xml:space="preserve">ing </w:t>
      </w:r>
      <w:r w:rsidR="00E73660" w:rsidRPr="00D33DCB">
        <w:t xml:space="preserve">that a waiver </w:t>
      </w:r>
      <w:r w:rsidR="00E06030" w:rsidRPr="00D33DCB">
        <w:t xml:space="preserve">would be contrary to the </w:t>
      </w:r>
      <w:r w:rsidR="00CA2E4F" w:rsidRPr="00D33DCB">
        <w:t>underlying purpose of Section 27.14(g)</w:t>
      </w:r>
      <w:r w:rsidR="00A20298" w:rsidRPr="00D33DCB">
        <w:t>(1)</w:t>
      </w:r>
      <w:r w:rsidR="006D05DB" w:rsidRPr="00D33DCB">
        <w:t>,</w:t>
      </w:r>
      <w:r w:rsidR="00FA0848" w:rsidRPr="00D33DCB">
        <w:t xml:space="preserve"> </w:t>
      </w:r>
      <w:r w:rsidR="00E06030" w:rsidRPr="00D33DCB">
        <w:t>harm competitors</w:t>
      </w:r>
      <w:r w:rsidR="00CA2E4F" w:rsidRPr="00D33DCB">
        <w:t>, and that no unique or special circumstances exist</w:t>
      </w:r>
      <w:r w:rsidR="001E786A" w:rsidRPr="00D33DCB">
        <w:t>s</w:t>
      </w:r>
      <w:r w:rsidR="00CA2E4F" w:rsidRPr="00D33DCB">
        <w:t xml:space="preserve"> warranting </w:t>
      </w:r>
      <w:r w:rsidR="004B4AF0" w:rsidRPr="00D33DCB">
        <w:t xml:space="preserve">the requested </w:t>
      </w:r>
      <w:r w:rsidR="00CA2E4F" w:rsidRPr="00D33DCB">
        <w:t>relief.</w:t>
      </w:r>
      <w:r w:rsidR="00CA2E4F" w:rsidRPr="00D33DCB">
        <w:rPr>
          <w:rStyle w:val="FootnoteReference"/>
          <w:color w:val="000000" w:themeColor="text1"/>
        </w:rPr>
        <w:footnoteReference w:id="23"/>
      </w:r>
      <w:r w:rsidR="00CA2E4F" w:rsidRPr="00D33DCB">
        <w:t xml:space="preserve"> </w:t>
      </w:r>
      <w:r w:rsidR="00E73660" w:rsidRPr="00D33DCB">
        <w:t xml:space="preserve"> In response, SAL </w:t>
      </w:r>
      <w:r w:rsidR="000C7A7D" w:rsidRPr="00D33DCB">
        <w:t xml:space="preserve">claims </w:t>
      </w:r>
      <w:r w:rsidR="00644DDE" w:rsidRPr="00D33DCB">
        <w:t>that RWA’s Reply Comments</w:t>
      </w:r>
      <w:r w:rsidR="00CA2E4F" w:rsidRPr="00D33DCB">
        <w:t xml:space="preserve"> </w:t>
      </w:r>
      <w:r w:rsidR="00FC7AB9" w:rsidRPr="00D33DCB">
        <w:t xml:space="preserve">are </w:t>
      </w:r>
      <w:r w:rsidR="000A3586" w:rsidRPr="00D33DCB">
        <w:t xml:space="preserve">essentially </w:t>
      </w:r>
      <w:r w:rsidR="00CA2E4F" w:rsidRPr="00D33DCB">
        <w:t>“an untimely petition to deny</w:t>
      </w:r>
      <w:r w:rsidR="000C7A7D" w:rsidRPr="00D33DCB">
        <w:t>,</w:t>
      </w:r>
      <w:r w:rsidR="00CA2E4F" w:rsidRPr="00D33DCB">
        <w:t>”</w:t>
      </w:r>
      <w:r w:rsidR="006A1D7A" w:rsidRPr="00D33DCB">
        <w:rPr>
          <w:rStyle w:val="FootnoteReference"/>
          <w:color w:val="000000" w:themeColor="text1"/>
        </w:rPr>
        <w:footnoteReference w:id="24"/>
      </w:r>
      <w:r w:rsidR="000C7A7D" w:rsidRPr="00D33DCB">
        <w:t xml:space="preserve"> and </w:t>
      </w:r>
      <w:r w:rsidR="00E06030" w:rsidRPr="00D33DCB">
        <w:t xml:space="preserve">therefore </w:t>
      </w:r>
      <w:r w:rsidR="000C7A7D" w:rsidRPr="00D33DCB">
        <w:t>should not be considered.</w:t>
      </w:r>
      <w:r w:rsidR="00CA2E4F" w:rsidRPr="00D33DCB">
        <w:rPr>
          <w:rStyle w:val="FootnoteReference"/>
          <w:color w:val="000000" w:themeColor="text1"/>
        </w:rPr>
        <w:footnoteReference w:id="25"/>
      </w:r>
      <w:r w:rsidR="00CA2E4F" w:rsidRPr="00D33DCB">
        <w:t xml:space="preserve">  </w:t>
      </w:r>
      <w:r w:rsidR="0069701A" w:rsidRPr="00D33DCB">
        <w:t xml:space="preserve">SAL also </w:t>
      </w:r>
      <w:r w:rsidR="006D05DB" w:rsidRPr="00D33DCB">
        <w:t xml:space="preserve">argues that </w:t>
      </w:r>
      <w:r w:rsidR="000A3586" w:rsidRPr="00D33DCB">
        <w:t xml:space="preserve">certain waiver relief </w:t>
      </w:r>
      <w:r w:rsidR="00EF4D11" w:rsidRPr="00D33DCB">
        <w:t xml:space="preserve">granted to T-Mobile License LLC (T-Mobile) </w:t>
      </w:r>
      <w:r w:rsidR="008C5BE3" w:rsidRPr="00D33DCB">
        <w:t>support</w:t>
      </w:r>
      <w:r w:rsidR="006D05DB" w:rsidRPr="00D33DCB">
        <w:t>s</w:t>
      </w:r>
      <w:r w:rsidR="008C5BE3" w:rsidRPr="00D33DCB">
        <w:t xml:space="preserve"> </w:t>
      </w:r>
      <w:r w:rsidR="00801962" w:rsidRPr="00D33DCB">
        <w:t>SAL</w:t>
      </w:r>
      <w:r w:rsidR="001B4805" w:rsidRPr="00D33DCB">
        <w:t xml:space="preserve">’s request for </w:t>
      </w:r>
      <w:r w:rsidR="00801962" w:rsidRPr="00D33DCB">
        <w:t>relief here</w:t>
      </w:r>
      <w:r w:rsidR="00F05A6D" w:rsidRPr="00D33DCB">
        <w:t xml:space="preserve"> </w:t>
      </w:r>
      <w:r w:rsidR="006C5B80" w:rsidRPr="00D33DCB">
        <w:t>claiming that its</w:t>
      </w:r>
      <w:r w:rsidR="00F05A6D" w:rsidRPr="00D33DCB">
        <w:t xml:space="preserve"> </w:t>
      </w:r>
      <w:r w:rsidR="00610A44" w:rsidRPr="00D33DCB">
        <w:t>L</w:t>
      </w:r>
      <w:r w:rsidR="00F05A6D" w:rsidRPr="00D33DCB">
        <w:t xml:space="preserve">icense area is also remote and rural and </w:t>
      </w:r>
      <w:r w:rsidR="006C5B80" w:rsidRPr="00D33DCB">
        <w:t xml:space="preserve">includes </w:t>
      </w:r>
      <w:r w:rsidR="00F05A6D" w:rsidRPr="00D33DCB">
        <w:t>tribal or disadvantaged populations</w:t>
      </w:r>
      <w:r w:rsidR="00801962" w:rsidRPr="00D33DCB">
        <w:t>.</w:t>
      </w:r>
      <w:r w:rsidR="00EF4D11" w:rsidRPr="00D33DCB">
        <w:rPr>
          <w:rStyle w:val="FootnoteReference"/>
          <w:color w:val="000000" w:themeColor="text1"/>
        </w:rPr>
        <w:footnoteReference w:id="26"/>
      </w:r>
      <w:r w:rsidR="00EF4D11" w:rsidRPr="00D33DCB">
        <w:t xml:space="preserve">  RWA </w:t>
      </w:r>
      <w:r w:rsidR="004B4AF0" w:rsidRPr="00D33DCB">
        <w:t xml:space="preserve">responds </w:t>
      </w:r>
      <w:r w:rsidR="00EF4D11" w:rsidRPr="00D33DCB">
        <w:t xml:space="preserve">that its timely-filed Reply Comments </w:t>
      </w:r>
      <w:r w:rsidR="004B4AF0" w:rsidRPr="00D33DCB">
        <w:t xml:space="preserve">properly addressed </w:t>
      </w:r>
      <w:r w:rsidR="00EF4D11" w:rsidRPr="00D33DCB">
        <w:t>SAL</w:t>
      </w:r>
      <w:r w:rsidR="006D05DB" w:rsidRPr="00D33DCB">
        <w:t>’s</w:t>
      </w:r>
      <w:r w:rsidR="00EF4D11" w:rsidRPr="00D33DCB">
        <w:t xml:space="preserve"> Comments</w:t>
      </w:r>
      <w:r w:rsidR="001E786A" w:rsidRPr="00D33DCB">
        <w:t>,</w:t>
      </w:r>
      <w:r w:rsidR="00EF4D11" w:rsidRPr="00D33DCB">
        <w:rPr>
          <w:rStyle w:val="FootnoteReference"/>
          <w:color w:val="000000" w:themeColor="text1"/>
        </w:rPr>
        <w:footnoteReference w:id="27"/>
      </w:r>
      <w:r w:rsidR="00EF4D11" w:rsidRPr="00D33DCB">
        <w:t xml:space="preserve"> and </w:t>
      </w:r>
      <w:r w:rsidR="004B4AF0" w:rsidRPr="00D33DCB">
        <w:t xml:space="preserve">therefore </w:t>
      </w:r>
      <w:r w:rsidR="00FA0848" w:rsidRPr="00D33DCB">
        <w:t>should be considered</w:t>
      </w:r>
      <w:r w:rsidR="004B4AF0" w:rsidRPr="00D33DCB">
        <w:t>,</w:t>
      </w:r>
      <w:r w:rsidR="00FA0848" w:rsidRPr="00D33DCB">
        <w:rPr>
          <w:rStyle w:val="FootnoteReference"/>
          <w:color w:val="000000" w:themeColor="text1"/>
        </w:rPr>
        <w:footnoteReference w:id="28"/>
      </w:r>
      <w:r w:rsidR="00FA0848" w:rsidRPr="00D33DCB">
        <w:t xml:space="preserve"> </w:t>
      </w:r>
      <w:r w:rsidR="004B4AF0" w:rsidRPr="00D33DCB">
        <w:t xml:space="preserve">and </w:t>
      </w:r>
      <w:r w:rsidR="00FA0848" w:rsidRPr="00D33DCB">
        <w:t xml:space="preserve">that the </w:t>
      </w:r>
      <w:r w:rsidR="00EF4D11" w:rsidRPr="00D33DCB">
        <w:rPr>
          <w:i/>
        </w:rPr>
        <w:t>T-Mobile Waiver</w:t>
      </w:r>
      <w:r w:rsidR="00EF4D11" w:rsidRPr="00D33DCB">
        <w:t xml:space="preserve"> </w:t>
      </w:r>
      <w:r w:rsidR="004B4AF0" w:rsidRPr="00D33DCB">
        <w:t>does not support SAL’s request for relief</w:t>
      </w:r>
      <w:r w:rsidR="000F1F94" w:rsidRPr="00D33DCB">
        <w:t>.</w:t>
      </w:r>
      <w:r w:rsidR="00EF4D11" w:rsidRPr="00D33DCB">
        <w:rPr>
          <w:rStyle w:val="FootnoteReference"/>
          <w:color w:val="000000" w:themeColor="text1"/>
        </w:rPr>
        <w:footnoteReference w:id="29"/>
      </w:r>
    </w:p>
    <w:p w14:paraId="74432C43" w14:textId="77777777" w:rsidR="006F39B6" w:rsidRPr="00D33DCB" w:rsidRDefault="006F39B6">
      <w:pPr>
        <w:pStyle w:val="ParaNum"/>
      </w:pPr>
    </w:p>
    <w:p w14:paraId="5005F8C1" w14:textId="77777777" w:rsidR="001424A4" w:rsidRPr="00D33DCB" w:rsidRDefault="00CD7548" w:rsidP="001424A4">
      <w:pPr>
        <w:pStyle w:val="Heading1"/>
        <w:rPr>
          <w:rFonts w:ascii="Times New Roman" w:hAnsi="Times New Roman"/>
          <w:color w:val="000000" w:themeColor="text1"/>
          <w:szCs w:val="22"/>
        </w:rPr>
      </w:pPr>
      <w:r w:rsidRPr="00D33DCB">
        <w:rPr>
          <w:rFonts w:ascii="Times New Roman" w:hAnsi="Times New Roman"/>
          <w:color w:val="000000" w:themeColor="text1"/>
          <w:szCs w:val="22"/>
        </w:rPr>
        <w:t>Discussion</w:t>
      </w:r>
    </w:p>
    <w:p w14:paraId="1024EC0B" w14:textId="08B52C99" w:rsidR="00DC25F9" w:rsidRPr="00D33DCB" w:rsidRDefault="004B4AF0">
      <w:pPr>
        <w:pStyle w:val="ParaNum"/>
      </w:pPr>
      <w:r w:rsidRPr="00D33DCB">
        <w:t>Before addressing the merits of SAL’s request</w:t>
      </w:r>
      <w:r w:rsidR="00DC25F9" w:rsidRPr="00D33DCB">
        <w:t xml:space="preserve">, we </w:t>
      </w:r>
      <w:r w:rsidRPr="00D33DCB">
        <w:t xml:space="preserve">address </w:t>
      </w:r>
      <w:r w:rsidR="00DC25F9" w:rsidRPr="00D33DCB">
        <w:t>SAL</w:t>
      </w:r>
      <w:r w:rsidR="00253B66" w:rsidRPr="00D33DCB">
        <w:t>’s contention</w:t>
      </w:r>
      <w:r w:rsidR="00DC25F9" w:rsidRPr="00D33DCB">
        <w:t xml:space="preserve"> that RWA</w:t>
      </w:r>
      <w:r w:rsidR="00253B66" w:rsidRPr="00D33DCB">
        <w:t>’s</w:t>
      </w:r>
      <w:r w:rsidR="00DC25F9" w:rsidRPr="00D33DCB">
        <w:t xml:space="preserve"> Reply Comments were improperly filed</w:t>
      </w:r>
      <w:r w:rsidRPr="00D33DCB">
        <w:t xml:space="preserve"> and should not be considered.</w:t>
      </w:r>
      <w:r w:rsidR="00DC25F9" w:rsidRPr="00D33DCB">
        <w:t xml:space="preserve"> </w:t>
      </w:r>
      <w:r w:rsidRPr="00D33DCB">
        <w:t xml:space="preserve"> We </w:t>
      </w:r>
      <w:r w:rsidR="00DC25F9" w:rsidRPr="00D33DCB">
        <w:t xml:space="preserve">find good cause to consider </w:t>
      </w:r>
      <w:r w:rsidRPr="00D33DCB">
        <w:t>RWA’s Reply Comments</w:t>
      </w:r>
      <w:r w:rsidR="00040D16" w:rsidRPr="00D33DCB">
        <w:t xml:space="preserve"> </w:t>
      </w:r>
      <w:r w:rsidR="006A07EF" w:rsidRPr="00D33DCB">
        <w:t>because</w:t>
      </w:r>
      <w:r w:rsidR="00DB668F">
        <w:t>: (1)</w:t>
      </w:r>
      <w:r w:rsidRPr="00D33DCB">
        <w:t xml:space="preserve"> </w:t>
      </w:r>
      <w:r w:rsidR="006A07EF" w:rsidRPr="00D33DCB">
        <w:t xml:space="preserve">they </w:t>
      </w:r>
      <w:r w:rsidR="00253B66" w:rsidRPr="00D33DCB">
        <w:t xml:space="preserve">were timely </w:t>
      </w:r>
      <w:r w:rsidR="005E0FE5" w:rsidRPr="00D33DCB">
        <w:t>filed</w:t>
      </w:r>
      <w:r w:rsidR="00DB668F">
        <w:t>,</w:t>
      </w:r>
      <w:r w:rsidR="005E0FE5" w:rsidRPr="00D33DCB">
        <w:t xml:space="preserve"> </w:t>
      </w:r>
      <w:r w:rsidR="00253B66" w:rsidRPr="00D33DCB">
        <w:t>and</w:t>
      </w:r>
      <w:r w:rsidR="00B8182B" w:rsidRPr="00D33DCB">
        <w:t xml:space="preserve"> </w:t>
      </w:r>
      <w:r w:rsidR="00DB668F">
        <w:t xml:space="preserve">(2) </w:t>
      </w:r>
      <w:r w:rsidR="00253B66" w:rsidRPr="00D33DCB">
        <w:t xml:space="preserve">they </w:t>
      </w:r>
      <w:r w:rsidR="001B4805" w:rsidRPr="00D33DCB">
        <w:t xml:space="preserve">squarely </w:t>
      </w:r>
      <w:r w:rsidR="006A07EF" w:rsidRPr="00D33DCB">
        <w:t xml:space="preserve">address SAL’s </w:t>
      </w:r>
      <w:r w:rsidR="00040D16" w:rsidRPr="00D33DCB">
        <w:t xml:space="preserve">alternative waiver </w:t>
      </w:r>
      <w:r w:rsidR="006A07EF" w:rsidRPr="00D33DCB">
        <w:t>request</w:t>
      </w:r>
      <w:r w:rsidR="00040D16" w:rsidRPr="00D33DCB">
        <w:t>, a request</w:t>
      </w:r>
      <w:r w:rsidR="006A07EF" w:rsidRPr="00D33DCB">
        <w:t xml:space="preserve"> first </w:t>
      </w:r>
      <w:r w:rsidR="00040D16" w:rsidRPr="00D33DCB">
        <w:t xml:space="preserve">made </w:t>
      </w:r>
      <w:r w:rsidR="006A07EF" w:rsidRPr="00D33DCB">
        <w:t>by SAL in its Comments</w:t>
      </w:r>
      <w:r w:rsidRPr="00D33DCB">
        <w:t xml:space="preserve"> </w:t>
      </w:r>
      <w:r w:rsidR="00253B66" w:rsidRPr="00D33DCB">
        <w:t>in this proceeding</w:t>
      </w:r>
      <w:r w:rsidR="006A07EF" w:rsidRPr="00D33DCB">
        <w:t>.</w:t>
      </w:r>
      <w:r w:rsidR="000F1F94" w:rsidRPr="00D33DCB">
        <w:rPr>
          <w:rStyle w:val="FootnoteReference"/>
          <w:color w:val="000000" w:themeColor="text1"/>
        </w:rPr>
        <w:footnoteReference w:id="30"/>
      </w:r>
      <w:r w:rsidR="006A07EF" w:rsidRPr="00D33DCB">
        <w:t xml:space="preserve">  </w:t>
      </w:r>
      <w:r w:rsidR="00DB668F">
        <w:t>I</w:t>
      </w:r>
      <w:r w:rsidR="00DB668F" w:rsidRPr="00D33DCB">
        <w:t>n the interest of having a complete record to inform our decision-making</w:t>
      </w:r>
      <w:r w:rsidR="00DB668F">
        <w:t>,</w:t>
      </w:r>
      <w:r w:rsidR="00DB668F" w:rsidRPr="00D33DCB">
        <w:t xml:space="preserve"> </w:t>
      </w:r>
      <w:r w:rsidR="00DB668F">
        <w:t>w</w:t>
      </w:r>
      <w:r w:rsidR="006A07EF" w:rsidRPr="00D33DCB">
        <w:t xml:space="preserve">e also consider </w:t>
      </w:r>
      <w:r w:rsidR="000F1F94" w:rsidRPr="00D33DCB">
        <w:t xml:space="preserve">RWA’s </w:t>
      </w:r>
      <w:r w:rsidR="00060066" w:rsidRPr="00D33DCB">
        <w:t xml:space="preserve">subsequent </w:t>
      </w:r>
      <w:r w:rsidR="003B3AB3" w:rsidRPr="00D33DCB">
        <w:rPr>
          <w:i/>
        </w:rPr>
        <w:t xml:space="preserve">Ex Parte </w:t>
      </w:r>
      <w:r w:rsidR="00DC25F9" w:rsidRPr="00D33DCB">
        <w:t>filing</w:t>
      </w:r>
      <w:r w:rsidR="00DB668F">
        <w:t xml:space="preserve"> dated </w:t>
      </w:r>
      <w:r w:rsidR="008C15BC">
        <w:t>January 27, 2017</w:t>
      </w:r>
      <w:r w:rsidR="00DC25F9" w:rsidRPr="00D33DCB">
        <w:t>.</w:t>
      </w:r>
      <w:r w:rsidR="008C15BC">
        <w:rPr>
          <w:rStyle w:val="FootnoteReference"/>
        </w:rPr>
        <w:footnoteReference w:id="31"/>
      </w:r>
      <w:r w:rsidR="00040D16" w:rsidRPr="00D33DCB">
        <w:t xml:space="preserve"> </w:t>
      </w:r>
    </w:p>
    <w:p w14:paraId="738012FF" w14:textId="77777777" w:rsidR="00DC25F9" w:rsidRPr="00D33DCB" w:rsidRDefault="00DC25F9">
      <w:pPr>
        <w:pStyle w:val="ParaNum"/>
      </w:pPr>
    </w:p>
    <w:p w14:paraId="1365B8E6" w14:textId="77777777" w:rsidR="008E4367" w:rsidRPr="00D33DCB" w:rsidRDefault="00DC1477">
      <w:pPr>
        <w:pStyle w:val="ParaNum"/>
      </w:pPr>
      <w:r w:rsidRPr="00D33DCB">
        <w:rPr>
          <w:i/>
        </w:rPr>
        <w:t>Waiver Standard</w:t>
      </w:r>
      <w:r w:rsidRPr="00D33DCB">
        <w:t>.</w:t>
      </w:r>
      <w:r w:rsidRPr="00D33DCB">
        <w:rPr>
          <w:i/>
        </w:rPr>
        <w:t xml:space="preserve">  </w:t>
      </w:r>
      <w:r w:rsidR="000A3586" w:rsidRPr="00D33DCB">
        <w:t>Under the Commission’s general standard for considering waiver requests, we may grant such a request when: (i) the underlying purpose of the rule(s)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0A3586" w:rsidRPr="00D33DCB">
        <w:rPr>
          <w:rStyle w:val="FootnoteReference"/>
          <w:color w:val="000000" w:themeColor="text1"/>
        </w:rPr>
        <w:footnoteReference w:id="32"/>
      </w:r>
      <w:r w:rsidR="000A3586" w:rsidRPr="00D33DCB">
        <w:t xml:space="preserve">  </w:t>
      </w:r>
      <w:r w:rsidR="002024D0" w:rsidRPr="00D33DCB">
        <w:rPr>
          <w:spacing w:val="-3"/>
        </w:rPr>
        <w:t>The Commission’s construction obligations serve the important purpose of ensuring that scarce spectrum resources are put to use and deployed to serve all communities</w:t>
      </w:r>
      <w:r w:rsidR="002024D0" w:rsidRPr="00D33DCB">
        <w:rPr>
          <w:rStyle w:val="FootnoteReference"/>
          <w:color w:val="000000" w:themeColor="text1"/>
          <w:spacing w:val="-3"/>
        </w:rPr>
        <w:footnoteReference w:id="33"/>
      </w:r>
      <w:r w:rsidR="001637FE" w:rsidRPr="00D33DCB">
        <w:rPr>
          <w:spacing w:val="-3"/>
        </w:rPr>
        <w:t xml:space="preserve"> and </w:t>
      </w:r>
      <w:r w:rsidR="002024D0" w:rsidRPr="00D33DCB">
        <w:rPr>
          <w:spacing w:val="-3"/>
        </w:rPr>
        <w:t>promote the Commission’s mandate to make spectrum “available, so far as possible, to all the people of the United States” wherever they live.</w:t>
      </w:r>
      <w:r w:rsidR="002024D0" w:rsidRPr="00D33DCB">
        <w:rPr>
          <w:rStyle w:val="FootnoteReference"/>
          <w:color w:val="000000" w:themeColor="text1"/>
          <w:spacing w:val="-3"/>
        </w:rPr>
        <w:footnoteReference w:id="34"/>
      </w:r>
      <w:r w:rsidR="002024D0" w:rsidRPr="00D33DCB">
        <w:rPr>
          <w:spacing w:val="-3"/>
        </w:rPr>
        <w:t xml:space="preserve"> </w:t>
      </w:r>
      <w:r w:rsidR="002024D0" w:rsidRPr="00D33DCB">
        <w:t xml:space="preserve"> </w:t>
      </w:r>
      <w:r w:rsidR="002024D0" w:rsidRPr="00D33DCB">
        <w:rPr>
          <w:spacing w:val="-3"/>
          <w:kern w:val="0"/>
        </w:rPr>
        <w:t>As with other Commission rules, requests to waive the requirements of the wireless construction rules must “meet a high hurdle even at the starting gate.”</w:t>
      </w:r>
      <w:r w:rsidR="002024D0" w:rsidRPr="00D33DCB">
        <w:rPr>
          <w:spacing w:val="-3"/>
          <w:kern w:val="0"/>
          <w:vertAlign w:val="superscript"/>
        </w:rPr>
        <w:footnoteReference w:id="35"/>
      </w:r>
      <w:r w:rsidR="002024D0" w:rsidRPr="00D33DCB">
        <w:rPr>
          <w:spacing w:val="-3"/>
          <w:kern w:val="0"/>
        </w:rPr>
        <w:t xml:space="preserve">  </w:t>
      </w:r>
      <w:r w:rsidR="002024D0" w:rsidRPr="00D33DCB">
        <w:t>While we must evaluate each case based on the specific circumstances that it presents, the Commission’s construction requirements are intended to ensure intensive use of valuable spectrum,</w:t>
      </w:r>
      <w:r w:rsidR="002024D0" w:rsidRPr="00D33DCB">
        <w:rPr>
          <w:rStyle w:val="FootnoteReference"/>
          <w:color w:val="000000" w:themeColor="text1"/>
        </w:rPr>
        <w:footnoteReference w:id="36"/>
      </w:r>
      <w:r w:rsidR="002024D0" w:rsidRPr="00D33DCB">
        <w:t xml:space="preserve"> and waiver of those requirements is only appropriate when consistent with that goal and the public interest.</w:t>
      </w:r>
      <w:r w:rsidR="002024D0" w:rsidRPr="00D33DCB">
        <w:rPr>
          <w:rStyle w:val="FootnoteReference"/>
          <w:color w:val="000000" w:themeColor="text1"/>
        </w:rPr>
        <w:footnoteReference w:id="37"/>
      </w:r>
      <w:bookmarkStart w:id="1" w:name="FN_FN45_"/>
      <w:bookmarkEnd w:id="1"/>
    </w:p>
    <w:p w14:paraId="40731790" w14:textId="77777777" w:rsidR="00E21C7E" w:rsidRPr="00D33DCB" w:rsidRDefault="00E21C7E">
      <w:pPr>
        <w:pStyle w:val="ParaNum"/>
      </w:pPr>
    </w:p>
    <w:p w14:paraId="1A5BB825" w14:textId="371C7D11" w:rsidR="00F075A3" w:rsidRPr="00D33DCB" w:rsidRDefault="00EB2BD4">
      <w:pPr>
        <w:pStyle w:val="ParaNum"/>
      </w:pPr>
      <w:r w:rsidRPr="00D33DCB">
        <w:rPr>
          <w:i/>
        </w:rPr>
        <w:t xml:space="preserve">Initial </w:t>
      </w:r>
      <w:r w:rsidR="00157E65" w:rsidRPr="00D33DCB">
        <w:rPr>
          <w:i/>
        </w:rPr>
        <w:t xml:space="preserve">Waiver </w:t>
      </w:r>
      <w:r w:rsidRPr="00D33DCB">
        <w:rPr>
          <w:i/>
        </w:rPr>
        <w:t>Request</w:t>
      </w:r>
      <w:r w:rsidR="00157E65" w:rsidRPr="00D33DCB">
        <w:t xml:space="preserve">.  </w:t>
      </w:r>
      <w:r w:rsidR="00C066DE" w:rsidRPr="00D33DCB">
        <w:t xml:space="preserve">We have carefully reviewed the record before us and find that </w:t>
      </w:r>
      <w:r w:rsidR="00D307FA" w:rsidRPr="00D33DCB">
        <w:t xml:space="preserve">SAL’s request for </w:t>
      </w:r>
      <w:r w:rsidR="00DC1477" w:rsidRPr="00D33DCB">
        <w:t xml:space="preserve">an additional six months to meet </w:t>
      </w:r>
      <w:r w:rsidR="008C4FE7" w:rsidRPr="00D33DCB">
        <w:t>the</w:t>
      </w:r>
      <w:r w:rsidRPr="00D33DCB">
        <w:t xml:space="preserve"> </w:t>
      </w:r>
      <w:r w:rsidR="00DC1477" w:rsidRPr="00D33DCB">
        <w:t>I</w:t>
      </w:r>
      <w:r w:rsidR="00C066DE" w:rsidRPr="00D33DCB">
        <w:t xml:space="preserve">nterim </w:t>
      </w:r>
      <w:r w:rsidR="00DC1477" w:rsidRPr="00D33DCB">
        <w:t>C</w:t>
      </w:r>
      <w:r w:rsidRPr="00D33DCB">
        <w:t xml:space="preserve">onstruction </w:t>
      </w:r>
      <w:r w:rsidR="00DC1477" w:rsidRPr="00D33DCB">
        <w:t>Requirement</w:t>
      </w:r>
      <w:r w:rsidR="0090728D" w:rsidRPr="00D33DCB">
        <w:t xml:space="preserve"> </w:t>
      </w:r>
      <w:r w:rsidR="00C066DE" w:rsidRPr="00D33DCB">
        <w:t xml:space="preserve">is </w:t>
      </w:r>
      <w:r w:rsidR="0090728D" w:rsidRPr="00D33DCB">
        <w:t>not supported by the record</w:t>
      </w:r>
      <w:r w:rsidR="007C250F" w:rsidRPr="00D33DCB">
        <w:t xml:space="preserve">.  </w:t>
      </w:r>
      <w:r w:rsidR="00504748" w:rsidRPr="00D33DCB">
        <w:t xml:space="preserve">We find that </w:t>
      </w:r>
      <w:r w:rsidR="002024D0" w:rsidRPr="00D33DCB">
        <w:t xml:space="preserve">granting SAL’s initial waiver request would not </w:t>
      </w:r>
      <w:r w:rsidR="00504748" w:rsidRPr="00D33DCB">
        <w:t>t</w:t>
      </w:r>
      <w:r w:rsidR="00253B66" w:rsidRPr="00D33DCB">
        <w:t xml:space="preserve">he </w:t>
      </w:r>
      <w:r w:rsidR="002024D0" w:rsidRPr="00D33DCB">
        <w:t xml:space="preserve">serve the </w:t>
      </w:r>
      <w:r w:rsidR="00253B66" w:rsidRPr="00D33DCB">
        <w:t xml:space="preserve">Commission’s goal of ensuring intensive spectrum use </w:t>
      </w:r>
      <w:r w:rsidR="00C61FCE" w:rsidRPr="00D33DCB">
        <w:t>via its construction rules</w:t>
      </w:r>
      <w:r w:rsidR="00090737" w:rsidRPr="00D33DCB">
        <w:t xml:space="preserve">. </w:t>
      </w:r>
      <w:r w:rsidR="00540904" w:rsidRPr="00D33DCB">
        <w:t xml:space="preserve"> </w:t>
      </w:r>
      <w:r w:rsidR="003632FE" w:rsidRPr="00D33DCB">
        <w:t>Further</w:t>
      </w:r>
      <w:r w:rsidR="00540904" w:rsidRPr="00D33DCB">
        <w:t>,</w:t>
      </w:r>
      <w:r w:rsidR="003632FE" w:rsidRPr="00D33DCB">
        <w:t xml:space="preserve"> granting</w:t>
      </w:r>
      <w:r w:rsidR="003F79CE" w:rsidRPr="00D33DCB">
        <w:t xml:space="preserve"> the initial waiver request would frustrate the purpose of the Commission’s </w:t>
      </w:r>
      <w:r w:rsidR="003632FE" w:rsidRPr="00D33DCB">
        <w:t>construction rules for the 700 MHz band</w:t>
      </w:r>
      <w:r w:rsidR="004D719F" w:rsidRPr="00D33DCB">
        <w:t xml:space="preserve">, </w:t>
      </w:r>
      <w:r w:rsidR="00FB5749" w:rsidRPr="00D33DCB">
        <w:t xml:space="preserve">which are </w:t>
      </w:r>
      <w:r w:rsidR="007248BF" w:rsidRPr="00D33DCB">
        <w:t>intended</w:t>
      </w:r>
      <w:r w:rsidR="004D719F" w:rsidRPr="00D33DCB">
        <w:t xml:space="preserve"> to promote rapid service to the public</w:t>
      </w:r>
      <w:r w:rsidR="00FB5749" w:rsidRPr="00D33DCB">
        <w:t xml:space="preserve"> and, in certain circumstances,</w:t>
      </w:r>
      <w:r w:rsidR="004D719F" w:rsidRPr="00D33DCB">
        <w:t xml:space="preserve"> </w:t>
      </w:r>
      <w:r w:rsidR="00FB5749" w:rsidRPr="00D33DCB">
        <w:t>provide</w:t>
      </w:r>
      <w:r w:rsidR="004D719F" w:rsidRPr="00D33DCB">
        <w:t xml:space="preserve"> an opportunity for additional licensees to </w:t>
      </w:r>
      <w:r w:rsidR="0056619A" w:rsidRPr="00D33DCB">
        <w:t xml:space="preserve">serve </w:t>
      </w:r>
      <w:r w:rsidR="004D719F" w:rsidRPr="00D33DCB">
        <w:t>smaller license areas not served by the original licensee</w:t>
      </w:r>
      <w:r w:rsidR="003632FE" w:rsidRPr="00D33DCB">
        <w:t>.</w:t>
      </w:r>
      <w:r w:rsidR="007248BF" w:rsidRPr="00D33DCB">
        <w:rPr>
          <w:rStyle w:val="FootnoteReference"/>
          <w:color w:val="000000" w:themeColor="text1"/>
        </w:rPr>
        <w:footnoteReference w:id="38"/>
      </w:r>
      <w:r w:rsidR="003632FE" w:rsidRPr="00D33DCB">
        <w:t xml:space="preserve">  </w:t>
      </w:r>
      <w:r w:rsidR="00090737" w:rsidRPr="00D33DCB">
        <w:t>T</w:t>
      </w:r>
      <w:r w:rsidR="00CD474E" w:rsidRPr="00D33DCB">
        <w:t>he record reflects that</w:t>
      </w:r>
      <w:r w:rsidR="00E464D5">
        <w:t>,</w:t>
      </w:r>
      <w:r w:rsidR="00CD474E" w:rsidRPr="00D33DCB">
        <w:t xml:space="preserve"> during the eight-year period SAL held </w:t>
      </w:r>
      <w:r w:rsidR="00B17568" w:rsidRPr="00D33DCB">
        <w:t>the L</w:t>
      </w:r>
      <w:r w:rsidR="00CD474E" w:rsidRPr="00D33DCB">
        <w:t xml:space="preserve">icense, it </w:t>
      </w:r>
      <w:r w:rsidR="0059791F" w:rsidRPr="00D33DCB">
        <w:t xml:space="preserve">chose to </w:t>
      </w:r>
      <w:r w:rsidR="00CD474E" w:rsidRPr="00D33DCB">
        <w:t>focus</w:t>
      </w:r>
      <w:r w:rsidR="00710062" w:rsidRPr="00D33DCB">
        <w:t xml:space="preserve"> </w:t>
      </w:r>
      <w:r w:rsidR="00CD474E" w:rsidRPr="00D33DCB">
        <w:t xml:space="preserve">on the construction </w:t>
      </w:r>
      <w:r w:rsidR="00B17568" w:rsidRPr="00D33DCB">
        <w:t>of five other 700 MHz license areas</w:t>
      </w:r>
      <w:r w:rsidR="00710062" w:rsidRPr="00D33DCB">
        <w:t xml:space="preserve">—license areas that SAL </w:t>
      </w:r>
      <w:r w:rsidR="00BF2866" w:rsidRPr="00D33DCB">
        <w:t xml:space="preserve">also chose to bid on and </w:t>
      </w:r>
      <w:r w:rsidR="00B17568" w:rsidRPr="00D33DCB">
        <w:t>won in Auction 7</w:t>
      </w:r>
      <w:r w:rsidR="00710062" w:rsidRPr="00D33DCB">
        <w:t xml:space="preserve">3. </w:t>
      </w:r>
      <w:r w:rsidR="0059791F" w:rsidRPr="00D33DCB">
        <w:t xml:space="preserve"> </w:t>
      </w:r>
      <w:r w:rsidR="00710062" w:rsidRPr="00D33DCB">
        <w:t xml:space="preserve">SAL </w:t>
      </w:r>
      <w:r w:rsidR="000E4897" w:rsidRPr="00D33DCB">
        <w:t xml:space="preserve">argues </w:t>
      </w:r>
      <w:r w:rsidR="00710062" w:rsidRPr="00D33DCB">
        <w:t>that</w:t>
      </w:r>
      <w:r w:rsidR="00104467" w:rsidRPr="00D33DCB">
        <w:t xml:space="preserve"> its</w:t>
      </w:r>
      <w:r w:rsidR="00710062" w:rsidRPr="00D33DCB">
        <w:t xml:space="preserve"> resources were “stretched thin” as a result of </w:t>
      </w:r>
      <w:r w:rsidR="0059791F" w:rsidRPr="00D33DCB">
        <w:t>prioritiz</w:t>
      </w:r>
      <w:r w:rsidR="00710062" w:rsidRPr="00D33DCB">
        <w:t>ing</w:t>
      </w:r>
      <w:r w:rsidR="0059791F" w:rsidRPr="00D33DCB">
        <w:t xml:space="preserve"> that buildout at the expense of even commencing construction </w:t>
      </w:r>
      <w:r w:rsidR="00FB5749" w:rsidRPr="00D33DCB">
        <w:t>of the L</w:t>
      </w:r>
      <w:r w:rsidR="0059791F" w:rsidRPr="00D33DCB">
        <w:t>icense for which it seeks a waiver.</w:t>
      </w:r>
      <w:r w:rsidR="00B93C16" w:rsidRPr="00D33DCB">
        <w:t xml:space="preserve"> </w:t>
      </w:r>
      <w:r w:rsidR="000D1C90" w:rsidRPr="00D33DCB">
        <w:t xml:space="preserve"> </w:t>
      </w:r>
      <w:r w:rsidR="00104467" w:rsidRPr="00D33DCB">
        <w:t>SAL’s decision to</w:t>
      </w:r>
      <w:r w:rsidR="001D6AAB" w:rsidRPr="00D33DCB">
        <w:t xml:space="preserve"> bid on </w:t>
      </w:r>
      <w:r w:rsidR="001508D6" w:rsidRPr="00D33DCB">
        <w:t xml:space="preserve">six </w:t>
      </w:r>
      <w:r w:rsidR="001D6AAB" w:rsidRPr="00D33DCB">
        <w:t>700 MHz license areas and</w:t>
      </w:r>
      <w:r w:rsidR="00104467" w:rsidRPr="00D33DCB">
        <w:t xml:space="preserve"> </w:t>
      </w:r>
      <w:r w:rsidR="009E1062" w:rsidRPr="00D33DCB">
        <w:t xml:space="preserve">its </w:t>
      </w:r>
      <w:r w:rsidR="00432135" w:rsidRPr="00D33DCB">
        <w:t xml:space="preserve">decision to </w:t>
      </w:r>
      <w:r w:rsidR="00104467" w:rsidRPr="00D33DCB">
        <w:t>use it</w:t>
      </w:r>
      <w:r w:rsidR="0076525F" w:rsidRPr="00D33DCB">
        <w:t>s</w:t>
      </w:r>
      <w:r w:rsidR="00104467" w:rsidRPr="00D33DCB">
        <w:t xml:space="preserve"> resources to</w:t>
      </w:r>
      <w:r w:rsidR="00432135" w:rsidRPr="00D33DCB">
        <w:t xml:space="preserve"> construct </w:t>
      </w:r>
      <w:r w:rsidR="001D6AAB" w:rsidRPr="00D33DCB">
        <w:t>five</w:t>
      </w:r>
      <w:r w:rsidR="00432135" w:rsidRPr="00D33DCB">
        <w:t xml:space="preserve"> of those areas</w:t>
      </w:r>
      <w:r w:rsidR="001D6AAB" w:rsidRPr="00D33DCB">
        <w:t xml:space="preserve">, regardless of the </w:t>
      </w:r>
      <w:r w:rsidR="00540904" w:rsidRPr="00D33DCB">
        <w:t xml:space="preserve">challenges it faced constructing those </w:t>
      </w:r>
      <w:r w:rsidR="0076525F" w:rsidRPr="00D33DCB">
        <w:t>areas</w:t>
      </w:r>
      <w:r w:rsidR="00846B02" w:rsidRPr="00D33DCB">
        <w:t>,</w:t>
      </w:r>
      <w:r w:rsidR="005E3E17" w:rsidRPr="00D33DCB">
        <w:rPr>
          <w:rStyle w:val="FootnoteReference"/>
          <w:color w:val="000000" w:themeColor="text1"/>
        </w:rPr>
        <w:t xml:space="preserve"> </w:t>
      </w:r>
      <w:r w:rsidR="005E3E17" w:rsidRPr="00D33DCB">
        <w:rPr>
          <w:rStyle w:val="FootnoteReference"/>
          <w:color w:val="000000" w:themeColor="text1"/>
        </w:rPr>
        <w:footnoteReference w:id="39"/>
      </w:r>
      <w:r w:rsidR="00846B02" w:rsidRPr="00D33DCB">
        <w:t xml:space="preserve"> </w:t>
      </w:r>
      <w:r w:rsidR="001D6AAB" w:rsidRPr="00D33DCB">
        <w:t>constitute</w:t>
      </w:r>
      <w:r w:rsidR="00104467" w:rsidRPr="00D33DCB">
        <w:t xml:space="preserve"> business decision</w:t>
      </w:r>
      <w:r w:rsidR="001D6AAB" w:rsidRPr="00D33DCB">
        <w:t>s, as SAL was aware of the geographic location wh</w:t>
      </w:r>
      <w:r w:rsidR="00846B02" w:rsidRPr="00D33DCB">
        <w:t xml:space="preserve">en bidding on these </w:t>
      </w:r>
      <w:r w:rsidR="0076525F" w:rsidRPr="00D33DCB">
        <w:t xml:space="preserve">areas </w:t>
      </w:r>
      <w:r w:rsidR="000D1C90" w:rsidRPr="00D33DCB">
        <w:t>and</w:t>
      </w:r>
      <w:r w:rsidR="00846B02" w:rsidRPr="00D33DCB">
        <w:t xml:space="preserve"> should have properly accounted for resource allocation</w:t>
      </w:r>
      <w:r w:rsidR="00104467" w:rsidRPr="00D33DCB">
        <w:t xml:space="preserve">.  </w:t>
      </w:r>
      <w:r w:rsidR="00B93C16" w:rsidRPr="00D33DCB">
        <w:t>In these circumstances, w</w:t>
      </w:r>
      <w:r w:rsidR="0059791F" w:rsidRPr="00D33DCB">
        <w:t>e find that SAL</w:t>
      </w:r>
      <w:r w:rsidR="00CD474E" w:rsidRPr="00D33DCB">
        <w:t xml:space="preserve"> has not demonstrated that relief is warranted </w:t>
      </w:r>
      <w:r w:rsidR="0054311B" w:rsidRPr="00D33DCB">
        <w:t>here</w:t>
      </w:r>
      <w:r w:rsidR="00C61FCE" w:rsidRPr="00D33DCB">
        <w:t xml:space="preserve">. </w:t>
      </w:r>
      <w:r w:rsidR="00253B66" w:rsidRPr="00D33DCB">
        <w:t xml:space="preserve"> </w:t>
      </w:r>
      <w:r w:rsidR="00C1648F" w:rsidRPr="00D33DCB">
        <w:t>Additionally</w:t>
      </w:r>
      <w:r w:rsidR="00504748" w:rsidRPr="00D33DCB">
        <w:t xml:space="preserve">, while </w:t>
      </w:r>
      <w:r w:rsidR="00BB3F04" w:rsidRPr="00D33DCB">
        <w:t xml:space="preserve">the requested </w:t>
      </w:r>
      <w:r w:rsidR="00504748" w:rsidRPr="00D33DCB">
        <w:t xml:space="preserve">waiver would </w:t>
      </w:r>
      <w:r w:rsidR="00BB3F04" w:rsidRPr="00D33DCB">
        <w:t xml:space="preserve">have </w:t>
      </w:r>
      <w:r w:rsidR="00504748" w:rsidRPr="00D33DCB">
        <w:t>require</w:t>
      </w:r>
      <w:r w:rsidR="00BB3F04" w:rsidRPr="00D33DCB">
        <w:t>d</w:t>
      </w:r>
      <w:r w:rsidR="00504748" w:rsidRPr="00D33DCB">
        <w:t xml:space="preserve"> SAL to meet its 35 percent interim construction obligation by June 13, 2017, it would not </w:t>
      </w:r>
      <w:r w:rsidR="00040D16" w:rsidRPr="00D33DCB">
        <w:t xml:space="preserve">have </w:t>
      </w:r>
      <w:r w:rsidR="00504748" w:rsidRPr="00D33DCB">
        <w:t>require</w:t>
      </w:r>
      <w:r w:rsidR="00040D16" w:rsidRPr="00D33DCB">
        <w:t>d</w:t>
      </w:r>
      <w:r w:rsidR="00504748" w:rsidRPr="00D33DCB">
        <w:t xml:space="preserve"> SAL to undertake any additional construction before the June 13, 2019, end-of-license term.  </w:t>
      </w:r>
      <w:r w:rsidR="00D307FA" w:rsidRPr="00D33DCB">
        <w:t xml:space="preserve">We therefore reject SAL’s initial </w:t>
      </w:r>
      <w:r w:rsidR="00DC1477" w:rsidRPr="00D33DCB">
        <w:t xml:space="preserve">waiver </w:t>
      </w:r>
      <w:r w:rsidR="00D307FA" w:rsidRPr="00D33DCB">
        <w:t>request</w:t>
      </w:r>
      <w:r w:rsidR="00504748" w:rsidRPr="00D33DCB">
        <w:t xml:space="preserve"> as inconsistent with the Commission’s general standard</w:t>
      </w:r>
      <w:r w:rsidR="00326B2C" w:rsidRPr="00D33DCB">
        <w:t>s</w:t>
      </w:r>
      <w:r w:rsidR="00504748" w:rsidRPr="00D33DCB">
        <w:t xml:space="preserve"> for considering waiver requests</w:t>
      </w:r>
      <w:r w:rsidR="00D307FA" w:rsidRPr="00D33DCB">
        <w:t>.</w:t>
      </w:r>
    </w:p>
    <w:p w14:paraId="4BB42C32" w14:textId="77777777" w:rsidR="00F075A3" w:rsidRPr="00D33DCB" w:rsidRDefault="00F075A3">
      <w:pPr>
        <w:pStyle w:val="ParaNum"/>
      </w:pPr>
    </w:p>
    <w:p w14:paraId="5A106250" w14:textId="77777777" w:rsidR="00157E65" w:rsidRPr="00D33DCB" w:rsidRDefault="00BB3F04">
      <w:pPr>
        <w:pStyle w:val="ParaNum"/>
      </w:pPr>
      <w:r w:rsidRPr="00D33DCB">
        <w:rPr>
          <w:i/>
        </w:rPr>
        <w:t xml:space="preserve">Acceleration of </w:t>
      </w:r>
      <w:r w:rsidR="00A806D8" w:rsidRPr="00D33DCB">
        <w:rPr>
          <w:i/>
        </w:rPr>
        <w:t>End-of-</w:t>
      </w:r>
      <w:r w:rsidRPr="00D33DCB">
        <w:rPr>
          <w:i/>
        </w:rPr>
        <w:t>License Term</w:t>
      </w:r>
      <w:r w:rsidR="00D91387" w:rsidRPr="00D33DCB">
        <w:rPr>
          <w:i/>
        </w:rPr>
        <w:t xml:space="preserve"> and Final Construction Requirement</w:t>
      </w:r>
      <w:r w:rsidRPr="00D33DCB">
        <w:rPr>
          <w:i/>
        </w:rPr>
        <w:t xml:space="preserve">.  </w:t>
      </w:r>
      <w:r w:rsidR="009D5A7B" w:rsidRPr="00D33DCB">
        <w:t>Because we reject SAL’s initial waiver request</w:t>
      </w:r>
      <w:r w:rsidR="003B764F" w:rsidRPr="00D33DCB">
        <w:t xml:space="preserve"> for additional time to meet the Interim Construction Requirement</w:t>
      </w:r>
      <w:r w:rsidR="009D5A7B" w:rsidRPr="00D33DCB">
        <w:t xml:space="preserve">, SAL </w:t>
      </w:r>
      <w:r w:rsidR="00326B2C" w:rsidRPr="00D33DCB">
        <w:t xml:space="preserve">has failed </w:t>
      </w:r>
      <w:r w:rsidR="003B764F" w:rsidRPr="00D33DCB">
        <w:t>that r</w:t>
      </w:r>
      <w:r w:rsidR="000C78FC" w:rsidRPr="00D33DCB">
        <w:t xml:space="preserve">equirement, </w:t>
      </w:r>
      <w:r w:rsidR="009D5A7B" w:rsidRPr="00D33DCB">
        <w:t xml:space="preserve">and its </w:t>
      </w:r>
      <w:r w:rsidR="00384830" w:rsidRPr="00D33DCB">
        <w:t>end-of-</w:t>
      </w:r>
      <w:r w:rsidR="00D307FA" w:rsidRPr="00D33DCB">
        <w:t>license term</w:t>
      </w:r>
      <w:r w:rsidR="009D5A7B" w:rsidRPr="00D33DCB">
        <w:t xml:space="preserve"> </w:t>
      </w:r>
      <w:r w:rsidR="007A7F18" w:rsidRPr="00D33DCB">
        <w:t xml:space="preserve">and Final Construction Requirement </w:t>
      </w:r>
      <w:r w:rsidR="00A806D8" w:rsidRPr="00D33DCB">
        <w:t xml:space="preserve">therefore </w:t>
      </w:r>
      <w:r w:rsidR="003B764F" w:rsidRPr="00D33DCB">
        <w:t>are</w:t>
      </w:r>
      <w:r w:rsidR="00D91387" w:rsidRPr="00D33DCB">
        <w:t xml:space="preserve"> </w:t>
      </w:r>
      <w:r w:rsidR="000C78FC" w:rsidRPr="00D33DCB">
        <w:t>accelerated by rule to June 13, 2017</w:t>
      </w:r>
      <w:r w:rsidR="00A34086" w:rsidRPr="00D33DCB">
        <w:t>,</w:t>
      </w:r>
      <w:r w:rsidR="00326B2C" w:rsidRPr="00D33DCB">
        <w:rPr>
          <w:i/>
        </w:rPr>
        <w:t xml:space="preserve"> without further Commission action</w:t>
      </w:r>
      <w:r w:rsidR="000C78FC" w:rsidRPr="00D33DCB">
        <w:t>.</w:t>
      </w:r>
      <w:r w:rsidR="006875B0" w:rsidRPr="00D33DCB">
        <w:rPr>
          <w:rStyle w:val="FootnoteReference"/>
          <w:color w:val="000000" w:themeColor="text1"/>
        </w:rPr>
        <w:footnoteReference w:id="40"/>
      </w:r>
      <w:r w:rsidR="00DC1477" w:rsidRPr="00D33DCB">
        <w:t xml:space="preserve">  We will update the Commission’s Universal Licensing System </w:t>
      </w:r>
      <w:r w:rsidR="00446910" w:rsidRPr="00D33DCB">
        <w:t xml:space="preserve">database </w:t>
      </w:r>
      <w:r w:rsidR="00D91387" w:rsidRPr="00D33DCB">
        <w:t>accordingly.</w:t>
      </w:r>
      <w:r w:rsidR="00D91387" w:rsidRPr="00D33DCB" w:rsidDel="00D91387">
        <w:t xml:space="preserve">  </w:t>
      </w:r>
      <w:r w:rsidR="00771810" w:rsidRPr="00D33DCB">
        <w:t xml:space="preserve">  </w:t>
      </w:r>
      <w:r w:rsidRPr="00D33DCB">
        <w:t xml:space="preserve"> </w:t>
      </w:r>
    </w:p>
    <w:p w14:paraId="41988356" w14:textId="77777777" w:rsidR="00157E65" w:rsidRPr="00D33DCB" w:rsidRDefault="00157E65">
      <w:pPr>
        <w:pStyle w:val="ParaNum"/>
      </w:pPr>
    </w:p>
    <w:p w14:paraId="12F33FC7" w14:textId="77777777" w:rsidR="00CE111F" w:rsidRPr="00D33DCB" w:rsidRDefault="00EB2BD4">
      <w:pPr>
        <w:pStyle w:val="ParaNum"/>
      </w:pPr>
      <w:r w:rsidRPr="00D33DCB">
        <w:rPr>
          <w:i/>
        </w:rPr>
        <w:t xml:space="preserve">Alternative </w:t>
      </w:r>
      <w:r w:rsidR="00157E65" w:rsidRPr="00D33DCB">
        <w:rPr>
          <w:i/>
        </w:rPr>
        <w:t xml:space="preserve">Waiver </w:t>
      </w:r>
      <w:r w:rsidRPr="00D33DCB">
        <w:rPr>
          <w:i/>
        </w:rPr>
        <w:t>Request</w:t>
      </w:r>
      <w:r w:rsidR="00157E65" w:rsidRPr="00D33DCB">
        <w:t xml:space="preserve">.  </w:t>
      </w:r>
      <w:r w:rsidR="00BB3F04" w:rsidRPr="00D33DCB">
        <w:t xml:space="preserve">In its Comments, </w:t>
      </w:r>
      <w:r w:rsidR="00BE0706" w:rsidRPr="00D33DCB">
        <w:t>SAL</w:t>
      </w:r>
      <w:r w:rsidR="00326B2C" w:rsidRPr="00D33DCB">
        <w:t xml:space="preserve"> </w:t>
      </w:r>
      <w:r w:rsidR="00BE0706" w:rsidRPr="00D33DCB">
        <w:t>alternative</w:t>
      </w:r>
      <w:r w:rsidR="00326B2C" w:rsidRPr="00D33DCB">
        <w:t xml:space="preserve">ly </w:t>
      </w:r>
      <w:r w:rsidR="00C83D8F" w:rsidRPr="00D33DCB">
        <w:t>request</w:t>
      </w:r>
      <w:r w:rsidR="005E0FE5" w:rsidRPr="00D33DCB">
        <w:t>s</w:t>
      </w:r>
      <w:r w:rsidR="00C83D8F" w:rsidRPr="00D33DCB">
        <w:t xml:space="preserve"> </w:t>
      </w:r>
      <w:r w:rsidR="00BE0706" w:rsidRPr="00D33DCB">
        <w:t>six additional months</w:t>
      </w:r>
      <w:r w:rsidR="00392C46" w:rsidRPr="00D33DCB">
        <w:t xml:space="preserve">, until December 13, 2017, </w:t>
      </w:r>
      <w:r w:rsidR="006A180B" w:rsidRPr="00D33DCB">
        <w:t xml:space="preserve">to meet its </w:t>
      </w:r>
      <w:r w:rsidR="00BE0706" w:rsidRPr="00D33DCB">
        <w:t xml:space="preserve">accelerated </w:t>
      </w:r>
      <w:r w:rsidR="00390060" w:rsidRPr="00D33DCB">
        <w:t>Final Construction Requirement</w:t>
      </w:r>
      <w:r w:rsidR="008C4412" w:rsidRPr="00D33DCB">
        <w:t>.</w:t>
      </w:r>
      <w:r w:rsidR="00B9087B" w:rsidRPr="00D33DCB">
        <w:rPr>
          <w:rStyle w:val="FootnoteReference"/>
          <w:color w:val="000000" w:themeColor="text1"/>
        </w:rPr>
        <w:footnoteReference w:id="41"/>
      </w:r>
      <w:r w:rsidR="008C4412" w:rsidRPr="00D33DCB">
        <w:t xml:space="preserve"> </w:t>
      </w:r>
      <w:r w:rsidR="00C15AEB" w:rsidRPr="00D33DCB">
        <w:t xml:space="preserve"> </w:t>
      </w:r>
      <w:r w:rsidR="00126A80" w:rsidRPr="00D33DCB">
        <w:t xml:space="preserve">SAL </w:t>
      </w:r>
      <w:r w:rsidR="0028652A" w:rsidRPr="00D33DCB">
        <w:t xml:space="preserve">states that during the </w:t>
      </w:r>
      <w:r w:rsidR="009F1E87" w:rsidRPr="00D33DCB">
        <w:t xml:space="preserve">eight-year </w:t>
      </w:r>
      <w:r w:rsidR="00390060" w:rsidRPr="00D33DCB">
        <w:t>period</w:t>
      </w:r>
      <w:r w:rsidR="0028652A" w:rsidRPr="00D33DCB">
        <w:t xml:space="preserve"> it held the License,</w:t>
      </w:r>
      <w:r w:rsidR="00390060" w:rsidRPr="00D33DCB">
        <w:t xml:space="preserve"> </w:t>
      </w:r>
      <w:r w:rsidR="00126A80" w:rsidRPr="00D33DCB">
        <w:t xml:space="preserve">it </w:t>
      </w:r>
      <w:r w:rsidR="00625C76" w:rsidRPr="00D33DCB">
        <w:t xml:space="preserve">focused on </w:t>
      </w:r>
      <w:r w:rsidR="00126A80" w:rsidRPr="00D33DCB">
        <w:t>constructing five other 700 MHz license</w:t>
      </w:r>
      <w:r w:rsidR="00625C76" w:rsidRPr="00D33DCB">
        <w:t xml:space="preserve"> areas</w:t>
      </w:r>
      <w:r w:rsidR="00126A80" w:rsidRPr="00D33DCB">
        <w:t xml:space="preserve"> i</w:t>
      </w:r>
      <w:r w:rsidR="00625C76" w:rsidRPr="00D33DCB">
        <w:t>t</w:t>
      </w:r>
      <w:r w:rsidR="00126A80" w:rsidRPr="00D33DCB">
        <w:t xml:space="preserve"> won in </w:t>
      </w:r>
      <w:r w:rsidR="00625C76" w:rsidRPr="00D33DCB">
        <w:t>A</w:t>
      </w:r>
      <w:r w:rsidR="00126A80" w:rsidRPr="00D33DCB">
        <w:t>uction 73,</w:t>
      </w:r>
      <w:r w:rsidR="009F1E87" w:rsidRPr="00D33DCB">
        <w:rPr>
          <w:rStyle w:val="FootnoteReference"/>
          <w:color w:val="000000" w:themeColor="text1"/>
        </w:rPr>
        <w:footnoteReference w:id="42"/>
      </w:r>
      <w:r w:rsidR="00625C76" w:rsidRPr="00D33DCB">
        <w:t xml:space="preserve"> and that it faced challenges in obtaining </w:t>
      </w:r>
      <w:r w:rsidR="00326B2C" w:rsidRPr="00D33DCB">
        <w:t xml:space="preserve">appropriate </w:t>
      </w:r>
      <w:r w:rsidR="00625C76" w:rsidRPr="00D33DCB">
        <w:t xml:space="preserve">sites </w:t>
      </w:r>
      <w:r w:rsidR="00BB3F04" w:rsidRPr="00D33DCB">
        <w:t xml:space="preserve">and related approvals </w:t>
      </w:r>
      <w:r w:rsidR="00625C76" w:rsidRPr="00D33DCB">
        <w:t>in these other markets</w:t>
      </w:r>
      <w:r w:rsidR="00D822AC" w:rsidRPr="00D33DCB">
        <w:t>.</w:t>
      </w:r>
      <w:r w:rsidR="00D822AC" w:rsidRPr="00D33DCB">
        <w:rPr>
          <w:rStyle w:val="FootnoteReference"/>
          <w:color w:val="000000" w:themeColor="text1"/>
        </w:rPr>
        <w:footnoteReference w:id="43"/>
      </w:r>
      <w:r w:rsidR="00D822AC" w:rsidRPr="00D33DCB">
        <w:t xml:space="preserve">  SAL further claims that these challenges “stretched to the breaking point” the “limited personnel resources” of its corporate parent ATN</w:t>
      </w:r>
      <w:r w:rsidR="00625C76" w:rsidRPr="00D33DCB">
        <w:t>.</w:t>
      </w:r>
      <w:r w:rsidR="00625C76" w:rsidRPr="00D33DCB">
        <w:rPr>
          <w:rStyle w:val="FootnoteReference"/>
          <w:color w:val="000000" w:themeColor="text1"/>
        </w:rPr>
        <w:footnoteReference w:id="44"/>
      </w:r>
      <w:r w:rsidR="004C1D11" w:rsidRPr="00D33DCB">
        <w:t xml:space="preserve">  </w:t>
      </w:r>
      <w:r w:rsidR="006A6E70" w:rsidRPr="00D33DCB">
        <w:t xml:space="preserve">The fact that </w:t>
      </w:r>
      <w:r w:rsidR="00625C76" w:rsidRPr="00D33DCB">
        <w:t>SAL</w:t>
      </w:r>
      <w:r w:rsidR="00C83D8F" w:rsidRPr="00D33DCB">
        <w:t xml:space="preserve"> </w:t>
      </w:r>
      <w:r w:rsidR="00262A6D" w:rsidRPr="00D33DCB">
        <w:t xml:space="preserve">may have </w:t>
      </w:r>
      <w:r w:rsidR="00C83D8F" w:rsidRPr="00D33DCB">
        <w:t xml:space="preserve">faced </w:t>
      </w:r>
      <w:r w:rsidR="006A6E70" w:rsidRPr="00D33DCB">
        <w:t xml:space="preserve">challenges </w:t>
      </w:r>
      <w:r w:rsidR="00C83D8F" w:rsidRPr="00D33DCB">
        <w:t xml:space="preserve">in building </w:t>
      </w:r>
      <w:r w:rsidR="00C961C4" w:rsidRPr="00D33DCB">
        <w:t xml:space="preserve">its </w:t>
      </w:r>
      <w:r w:rsidR="00C83D8F" w:rsidRPr="00D33DCB">
        <w:t xml:space="preserve">other </w:t>
      </w:r>
      <w:r w:rsidR="00390060" w:rsidRPr="00D33DCB">
        <w:t xml:space="preserve">700 MHz </w:t>
      </w:r>
      <w:r w:rsidR="00C83D8F" w:rsidRPr="00D33DCB">
        <w:t>license</w:t>
      </w:r>
      <w:r w:rsidR="00390060" w:rsidRPr="00D33DCB">
        <w:t xml:space="preserve"> areas</w:t>
      </w:r>
      <w:r w:rsidR="00C83D8F" w:rsidRPr="00D33DCB">
        <w:t xml:space="preserve"> </w:t>
      </w:r>
      <w:r w:rsidR="006A6E70" w:rsidRPr="00D33DCB">
        <w:t xml:space="preserve">does not support </w:t>
      </w:r>
      <w:r w:rsidR="0028652A" w:rsidRPr="00D33DCB">
        <w:t>waiver relief</w:t>
      </w:r>
      <w:r w:rsidR="00C961C4" w:rsidRPr="00D33DCB">
        <w:t xml:space="preserve"> </w:t>
      </w:r>
      <w:r w:rsidR="006A6E70" w:rsidRPr="00D33DCB">
        <w:t xml:space="preserve">for </w:t>
      </w:r>
      <w:r w:rsidR="00194F35" w:rsidRPr="00D33DCB">
        <w:t xml:space="preserve">the specific license </w:t>
      </w:r>
      <w:r w:rsidR="0028652A" w:rsidRPr="00D33DCB">
        <w:t>here</w:t>
      </w:r>
      <w:r w:rsidR="00C83D8F" w:rsidRPr="00D33DCB">
        <w:t>.</w:t>
      </w:r>
      <w:r w:rsidR="00DD555E" w:rsidRPr="00D33DCB">
        <w:rPr>
          <w:rStyle w:val="FootnoteReference"/>
          <w:color w:val="000000" w:themeColor="text1"/>
        </w:rPr>
        <w:footnoteReference w:id="45"/>
      </w:r>
      <w:r w:rsidR="00D822AC" w:rsidRPr="00D33DCB">
        <w:t xml:space="preserve">  </w:t>
      </w:r>
    </w:p>
    <w:p w14:paraId="18E27E5A" w14:textId="77777777" w:rsidR="00CE111F" w:rsidRPr="00D33DCB" w:rsidRDefault="00CE111F">
      <w:pPr>
        <w:pStyle w:val="ParaNum"/>
      </w:pPr>
    </w:p>
    <w:p w14:paraId="4415F9FE" w14:textId="77777777" w:rsidR="00483699" w:rsidRPr="00D33DCB" w:rsidRDefault="00DA5632">
      <w:pPr>
        <w:pStyle w:val="ParaNum"/>
      </w:pPr>
      <w:r w:rsidRPr="00D33DCB">
        <w:t xml:space="preserve">We </w:t>
      </w:r>
      <w:r w:rsidR="00DD555E" w:rsidRPr="00D33DCB">
        <w:t>do not find</w:t>
      </w:r>
      <w:r w:rsidR="00E3070F" w:rsidRPr="00D33DCB">
        <w:t xml:space="preserve"> </w:t>
      </w:r>
      <w:r w:rsidRPr="00D33DCB">
        <w:t xml:space="preserve">that </w:t>
      </w:r>
      <w:r w:rsidR="00CE111F" w:rsidRPr="00D33DCB">
        <w:t>the Division</w:t>
      </w:r>
      <w:r w:rsidRPr="00D33DCB">
        <w:t>’s</w:t>
      </w:r>
      <w:r w:rsidR="00CE111F" w:rsidRPr="00D33DCB">
        <w:t xml:space="preserve"> grant</w:t>
      </w:r>
      <w:r w:rsidRPr="00D33DCB">
        <w:t xml:space="preserve"> of a waiver to </w:t>
      </w:r>
      <w:r w:rsidR="00CE111F" w:rsidRPr="00D33DCB">
        <w:t>T-Mobile to meet alternative construction benchmarks for three Lower 700 MHz band licenses in Wyoming and Montana</w:t>
      </w:r>
      <w:r w:rsidRPr="00D33DCB">
        <w:t xml:space="preserve"> supports grant of the relief SAL seeks</w:t>
      </w:r>
      <w:r w:rsidR="00262A6D" w:rsidRPr="00D33DCB">
        <w:t xml:space="preserve"> here</w:t>
      </w:r>
      <w:r w:rsidR="00CE111F" w:rsidRPr="00D33DCB">
        <w:t>.</w:t>
      </w:r>
      <w:r w:rsidR="00CE111F" w:rsidRPr="00D33DCB">
        <w:rPr>
          <w:rStyle w:val="FootnoteReference"/>
          <w:color w:val="000000" w:themeColor="text1"/>
        </w:rPr>
        <w:footnoteReference w:id="46"/>
      </w:r>
      <w:r w:rsidR="00CE111F" w:rsidRPr="00D33DCB">
        <w:t xml:space="preserve"> </w:t>
      </w:r>
      <w:r w:rsidR="00DD555E" w:rsidRPr="00D33DCB">
        <w:t xml:space="preserve"> In the </w:t>
      </w:r>
      <w:r w:rsidR="00DD555E" w:rsidRPr="00D33DCB">
        <w:rPr>
          <w:i/>
        </w:rPr>
        <w:t>T-Mobile Order</w:t>
      </w:r>
      <w:r w:rsidR="00DD555E" w:rsidRPr="00D33DCB">
        <w:t xml:space="preserve">, </w:t>
      </w:r>
      <w:r w:rsidR="00A335ED" w:rsidRPr="00D33DCB">
        <w:t>t</w:t>
      </w:r>
      <w:r w:rsidR="00CE111F" w:rsidRPr="00D33DCB">
        <w:t>he Division found that a waiver would “serve the public interest by enabling T-Mobile to rapidly bring new and advanced wireless services to the citizens of Montana and Wyoming.”</w:t>
      </w:r>
      <w:r w:rsidR="00CE111F" w:rsidRPr="00D33DCB">
        <w:rPr>
          <w:rStyle w:val="FootnoteReference"/>
          <w:color w:val="000000" w:themeColor="text1"/>
        </w:rPr>
        <w:footnoteReference w:id="47"/>
      </w:r>
      <w:r w:rsidR="00CE111F" w:rsidRPr="00D33DCB">
        <w:t xml:space="preserve">  The facts before us today, however, differ from those </w:t>
      </w:r>
      <w:r w:rsidR="00DD555E" w:rsidRPr="00D33DCB">
        <w:t xml:space="preserve">anchoring </w:t>
      </w:r>
      <w:r w:rsidR="00CE111F" w:rsidRPr="00D33DCB">
        <w:t xml:space="preserve">the </w:t>
      </w:r>
      <w:r w:rsidR="00DD555E" w:rsidRPr="00D33DCB">
        <w:t xml:space="preserve">grant of relief to </w:t>
      </w:r>
      <w:r w:rsidR="00CE111F" w:rsidRPr="00D33DCB">
        <w:t xml:space="preserve">T-Mobile and do not warrant affording SAL </w:t>
      </w:r>
      <w:r w:rsidR="00DD555E" w:rsidRPr="00D33DCB">
        <w:t xml:space="preserve">like </w:t>
      </w:r>
      <w:r w:rsidR="00CE111F" w:rsidRPr="00D33DCB">
        <w:t xml:space="preserve">relief.  </w:t>
      </w:r>
    </w:p>
    <w:p w14:paraId="1A246110" w14:textId="77777777" w:rsidR="00EA074D" w:rsidRPr="00D33DCB" w:rsidRDefault="00EA074D">
      <w:pPr>
        <w:pStyle w:val="ParaNum"/>
      </w:pPr>
    </w:p>
    <w:p w14:paraId="00AC69D9" w14:textId="77777777" w:rsidR="0064069C" w:rsidRPr="00D33DCB" w:rsidRDefault="00EA074D">
      <w:pPr>
        <w:pStyle w:val="ParaNum"/>
      </w:pPr>
      <w:r w:rsidRPr="00D33DCB">
        <w:t xml:space="preserve">While </w:t>
      </w:r>
      <w:r w:rsidR="00DD555E" w:rsidRPr="00D33DCB">
        <w:t xml:space="preserve">the </w:t>
      </w:r>
      <w:r w:rsidR="00E3070F" w:rsidRPr="00D33DCB">
        <w:t xml:space="preserve">six </w:t>
      </w:r>
      <w:r w:rsidR="00DD555E" w:rsidRPr="00D33DCB">
        <w:t xml:space="preserve">counties comprising </w:t>
      </w:r>
      <w:r w:rsidRPr="00D33DCB">
        <w:t>SAL’s License area may be rural,</w:t>
      </w:r>
      <w:r w:rsidRPr="00D33DCB">
        <w:rPr>
          <w:rStyle w:val="FootnoteReference"/>
          <w:color w:val="000000" w:themeColor="text1"/>
        </w:rPr>
        <w:footnoteReference w:id="48"/>
      </w:r>
      <w:r w:rsidRPr="00D33DCB">
        <w:t xml:space="preserve"> </w:t>
      </w:r>
      <w:r w:rsidR="00DD555E" w:rsidRPr="00D33DCB">
        <w:t>th</w:t>
      </w:r>
      <w:r w:rsidR="0064069C" w:rsidRPr="00D33DCB">
        <w:t xml:space="preserve">e </w:t>
      </w:r>
      <w:r w:rsidR="00DD555E" w:rsidRPr="00D33DCB">
        <w:t xml:space="preserve">area </w:t>
      </w:r>
      <w:r w:rsidRPr="00D33DCB">
        <w:t>is relatively small</w:t>
      </w:r>
      <w:r w:rsidR="00DD555E" w:rsidRPr="00D33DCB">
        <w:t xml:space="preserve"> (approximately </w:t>
      </w:r>
      <w:r w:rsidR="00D00DF7" w:rsidRPr="00D33DCB">
        <w:t>7,</w:t>
      </w:r>
      <w:r w:rsidR="00502E96" w:rsidRPr="00D33DCB">
        <w:t>785</w:t>
      </w:r>
      <w:r w:rsidR="00DD555E" w:rsidRPr="00D33DCB">
        <w:t xml:space="preserve"> squ</w:t>
      </w:r>
      <w:r w:rsidR="00D00DF7" w:rsidRPr="00D33DCB">
        <w:t>a</w:t>
      </w:r>
      <w:r w:rsidR="00DD555E" w:rsidRPr="00D33DCB">
        <w:t>re miles)</w:t>
      </w:r>
      <w:r w:rsidRPr="00D33DCB">
        <w:t>,</w:t>
      </w:r>
      <w:r w:rsidR="00A17716" w:rsidRPr="00D33DCB">
        <w:rPr>
          <w:rStyle w:val="FootnoteReference"/>
          <w:color w:val="000000" w:themeColor="text1"/>
        </w:rPr>
        <w:footnoteReference w:id="49"/>
      </w:r>
      <w:r w:rsidRPr="00D33DCB">
        <w:t xml:space="preserve"> generally flat, and its weather temperate.  It is thus dissimilar in key </w:t>
      </w:r>
      <w:r w:rsidR="00262A6D" w:rsidRPr="00D33DCB">
        <w:t xml:space="preserve">factual </w:t>
      </w:r>
      <w:r w:rsidRPr="00D33DCB">
        <w:t xml:space="preserve">respects from the </w:t>
      </w:r>
      <w:r w:rsidR="00F51A45" w:rsidRPr="00D33DCB">
        <w:t xml:space="preserve">rugged </w:t>
      </w:r>
      <w:r w:rsidRPr="00D33DCB">
        <w:t>Montana and Wyoming license areas that T-Mobile acquired this year</w:t>
      </w:r>
      <w:r w:rsidR="00C81183" w:rsidRPr="00D33DCB">
        <w:t>, which are vast</w:t>
      </w:r>
      <w:r w:rsidR="00D00DF7" w:rsidRPr="00D33DCB">
        <w:t xml:space="preserve"> (approximately 136,325 square miles)</w:t>
      </w:r>
      <w:r w:rsidR="00C81183" w:rsidRPr="00D33DCB">
        <w:t>, mountainous, and subject to extreme weather</w:t>
      </w:r>
      <w:r w:rsidRPr="00D33DCB">
        <w:t>.</w:t>
      </w:r>
      <w:r w:rsidR="00DD555E" w:rsidRPr="00D33DCB">
        <w:rPr>
          <w:rStyle w:val="FootnoteReference"/>
          <w:color w:val="000000" w:themeColor="text1"/>
        </w:rPr>
        <w:footnoteReference w:id="50"/>
      </w:r>
      <w:r w:rsidRPr="00D33DCB">
        <w:t xml:space="preserve"> </w:t>
      </w:r>
      <w:r w:rsidR="00EF3883" w:rsidRPr="00D33DCB">
        <w:t xml:space="preserve"> </w:t>
      </w:r>
      <w:r w:rsidR="00F51A45" w:rsidRPr="00D33DCB">
        <w:t xml:space="preserve">We also note that </w:t>
      </w:r>
      <w:r w:rsidR="006A6E70" w:rsidRPr="00D33DCB">
        <w:t xml:space="preserve">much </w:t>
      </w:r>
      <w:r w:rsidR="0064069C" w:rsidRPr="00D33DCB">
        <w:t xml:space="preserve">of </w:t>
      </w:r>
      <w:r w:rsidRPr="00D33DCB">
        <w:t xml:space="preserve">SAL’s </w:t>
      </w:r>
      <w:r w:rsidR="00F51A45" w:rsidRPr="00D33DCB">
        <w:t>L</w:t>
      </w:r>
      <w:r w:rsidRPr="00D33DCB">
        <w:t>icense area is already served by four service providers</w:t>
      </w:r>
      <w:r w:rsidR="00F51A45" w:rsidRPr="00D33DCB">
        <w:t>.</w:t>
      </w:r>
      <w:r w:rsidRPr="00D33DCB">
        <w:rPr>
          <w:rStyle w:val="FootnoteReference"/>
          <w:color w:val="000000" w:themeColor="text1"/>
        </w:rPr>
        <w:footnoteReference w:id="51"/>
      </w:r>
      <w:r w:rsidR="0064069C" w:rsidRPr="00D33DCB">
        <w:t xml:space="preserve"> </w:t>
      </w:r>
      <w:r w:rsidR="00906D37" w:rsidRPr="00D33DCB">
        <w:t xml:space="preserve"> The combination of these factors </w:t>
      </w:r>
      <w:r w:rsidR="006A6E70" w:rsidRPr="00D33DCB">
        <w:t xml:space="preserve">underscores </w:t>
      </w:r>
      <w:r w:rsidR="00906D37" w:rsidRPr="00D33DCB">
        <w:t>that buildout</w:t>
      </w:r>
      <w:r w:rsidR="00770DB9" w:rsidRPr="00D33DCB">
        <w:t xml:space="preserve"> is not as difficult for SAL’s L</w:t>
      </w:r>
      <w:r w:rsidR="00906D37" w:rsidRPr="00D33DCB">
        <w:t xml:space="preserve">icense area given, for example, </w:t>
      </w:r>
      <w:r w:rsidR="006A6E70" w:rsidRPr="00D33DCB">
        <w:t xml:space="preserve">its </w:t>
      </w:r>
      <w:r w:rsidR="00906D37" w:rsidRPr="00D33DCB">
        <w:t xml:space="preserve">size, the climate, and the </w:t>
      </w:r>
      <w:r w:rsidR="006A6E70" w:rsidRPr="00D33DCB">
        <w:t xml:space="preserve">long period </w:t>
      </w:r>
      <w:r w:rsidR="00906D37" w:rsidRPr="00D33DCB">
        <w:t xml:space="preserve">of time that SAL has had to build. </w:t>
      </w:r>
      <w:r w:rsidR="00A85A9C" w:rsidRPr="00D33DCB">
        <w:t xml:space="preserve"> </w:t>
      </w:r>
    </w:p>
    <w:p w14:paraId="716564CC" w14:textId="77777777" w:rsidR="0064069C" w:rsidRPr="00D33DCB" w:rsidRDefault="0064069C">
      <w:pPr>
        <w:pStyle w:val="ParaNum"/>
      </w:pPr>
    </w:p>
    <w:p w14:paraId="33E39DA8" w14:textId="5870315D" w:rsidR="00A74DC5" w:rsidRPr="00D33DCB" w:rsidRDefault="0064069C">
      <w:pPr>
        <w:pStyle w:val="ParaNum"/>
      </w:pPr>
      <w:r w:rsidRPr="00D33DCB">
        <w:t xml:space="preserve">In support </w:t>
      </w:r>
      <w:r w:rsidR="0040647B" w:rsidRPr="00D33DCB">
        <w:t xml:space="preserve">of </w:t>
      </w:r>
      <w:r w:rsidRPr="00D33DCB">
        <w:t xml:space="preserve">its </w:t>
      </w:r>
      <w:r w:rsidR="00E3070F" w:rsidRPr="00D33DCB">
        <w:t>Waiver R</w:t>
      </w:r>
      <w:r w:rsidRPr="00D33DCB">
        <w:t xml:space="preserve">equest, SAL </w:t>
      </w:r>
      <w:r w:rsidR="00A74DC5" w:rsidRPr="00D33DCB">
        <w:t xml:space="preserve">also </w:t>
      </w:r>
      <w:r w:rsidRPr="00D33DCB">
        <w:t xml:space="preserve">claims that </w:t>
      </w:r>
      <w:r w:rsidR="00A15161" w:rsidRPr="00D33DCB">
        <w:t>all</w:t>
      </w:r>
      <w:r w:rsidRPr="00D33DCB">
        <w:t xml:space="preserve"> its 700 MHz license areas “involve either very poor populations or poor Tribal populations.”</w:t>
      </w:r>
      <w:r w:rsidRPr="00D33DCB">
        <w:rPr>
          <w:rStyle w:val="FootnoteReference"/>
          <w:color w:val="000000" w:themeColor="text1"/>
        </w:rPr>
        <w:footnoteReference w:id="52"/>
      </w:r>
      <w:r w:rsidR="00CD08FD" w:rsidRPr="00D33DCB">
        <w:t xml:space="preserve">  </w:t>
      </w:r>
      <w:r w:rsidR="003062BA">
        <w:t>Although</w:t>
      </w:r>
      <w:r w:rsidR="00CD08FD" w:rsidRPr="00D33DCB">
        <w:t xml:space="preserve"> SAL’s observation</w:t>
      </w:r>
      <w:r w:rsidR="00F51A45" w:rsidRPr="00D33DCB">
        <w:t>s</w:t>
      </w:r>
      <w:r w:rsidR="00CD08FD" w:rsidRPr="00D33DCB">
        <w:t xml:space="preserve"> </w:t>
      </w:r>
      <w:r w:rsidR="00F51A45" w:rsidRPr="00D33DCB">
        <w:t xml:space="preserve">regarding economic challenges faced by residents of </w:t>
      </w:r>
      <w:r w:rsidR="00CD08FD" w:rsidRPr="00D33DCB">
        <w:t>its other 700 MHz license areas</w:t>
      </w:r>
      <w:r w:rsidR="00F51A45" w:rsidRPr="00D33DCB">
        <w:t xml:space="preserve"> may </w:t>
      </w:r>
      <w:r w:rsidR="00262A6D" w:rsidRPr="00D33DCB">
        <w:t xml:space="preserve">be </w:t>
      </w:r>
      <w:r w:rsidR="00F51A45" w:rsidRPr="00D33DCB">
        <w:t>true</w:t>
      </w:r>
      <w:r w:rsidR="00CD08FD" w:rsidRPr="00D33DCB">
        <w:t xml:space="preserve">, SAL has not shown that residents of the License area </w:t>
      </w:r>
      <w:r w:rsidR="00F51A45" w:rsidRPr="00D33DCB">
        <w:t>face atypical economic hardships or that there are impoverished Tribal</w:t>
      </w:r>
      <w:r w:rsidR="0040647B" w:rsidRPr="00D33DCB">
        <w:t xml:space="preserve"> </w:t>
      </w:r>
      <w:r w:rsidR="00F51A45" w:rsidRPr="00D33DCB">
        <w:t>populations</w:t>
      </w:r>
      <w:r w:rsidR="00CD08FD" w:rsidRPr="00D33DCB">
        <w:t xml:space="preserve">. </w:t>
      </w:r>
      <w:r w:rsidR="0040647B" w:rsidRPr="00D33DCB">
        <w:t xml:space="preserve"> </w:t>
      </w:r>
      <w:r w:rsidR="00E3070F" w:rsidRPr="00D33DCB">
        <w:t>C</w:t>
      </w:r>
      <w:r w:rsidR="0040647B" w:rsidRPr="00D33DCB">
        <w:t xml:space="preserve">ensus records show that the percentage of residents living below the poverty line in the License area is </w:t>
      </w:r>
      <w:r w:rsidR="00934EE6" w:rsidRPr="00D33DCB">
        <w:t xml:space="preserve">comparable to </w:t>
      </w:r>
      <w:r w:rsidR="0040647B" w:rsidRPr="00D33DCB">
        <w:t>the U.S. average,</w:t>
      </w:r>
      <w:r w:rsidR="0040647B" w:rsidRPr="00D33DCB">
        <w:rPr>
          <w:rStyle w:val="FootnoteReference"/>
          <w:color w:val="000000" w:themeColor="text1"/>
        </w:rPr>
        <w:footnoteReference w:id="53"/>
      </w:r>
      <w:r w:rsidR="0040647B" w:rsidRPr="00D33DCB">
        <w:t xml:space="preserve"> and that </w:t>
      </w:r>
      <w:r w:rsidR="00E1359E" w:rsidRPr="00D33DCB">
        <w:t>1.6</w:t>
      </w:r>
      <w:r w:rsidR="00052FBA" w:rsidRPr="00D33DCB">
        <w:t xml:space="preserve"> percent </w:t>
      </w:r>
      <w:r w:rsidR="0040647B" w:rsidRPr="00D33DCB">
        <w:t xml:space="preserve">of its residents </w:t>
      </w:r>
      <w:r w:rsidR="0058380C" w:rsidRPr="00D33DCB">
        <w:t>(</w:t>
      </w:r>
      <w:r w:rsidR="00E3070F" w:rsidRPr="00D33DCB">
        <w:t xml:space="preserve">approximately </w:t>
      </w:r>
      <w:r w:rsidR="0058380C" w:rsidRPr="00D33DCB">
        <w:t xml:space="preserve">the national average) </w:t>
      </w:r>
      <w:r w:rsidR="0040647B" w:rsidRPr="00D33DCB">
        <w:t>are Native American.</w:t>
      </w:r>
      <w:r w:rsidR="0040647B" w:rsidRPr="00D33DCB">
        <w:rPr>
          <w:rStyle w:val="FootnoteReference"/>
          <w:color w:val="000000" w:themeColor="text1"/>
        </w:rPr>
        <w:footnoteReference w:id="54"/>
      </w:r>
    </w:p>
    <w:p w14:paraId="72F20C78" w14:textId="77777777" w:rsidR="00A74DC5" w:rsidRPr="00D33DCB" w:rsidRDefault="00A74DC5">
      <w:pPr>
        <w:pStyle w:val="ParaNum"/>
      </w:pPr>
    </w:p>
    <w:p w14:paraId="59D8E470" w14:textId="6FDE0D20" w:rsidR="00903825" w:rsidRPr="00D33DCB" w:rsidRDefault="00A74DC5">
      <w:pPr>
        <w:pStyle w:val="ParaNum"/>
      </w:pPr>
      <w:r w:rsidRPr="00D33DCB">
        <w:t>In view of the foregoing, we find that SAL has not demonstrated that grant of its alternative request for wavier</w:t>
      </w:r>
      <w:r w:rsidR="00DD1E47" w:rsidRPr="00D33DCB">
        <w:t xml:space="preserve"> r</w:t>
      </w:r>
      <w:r w:rsidRPr="00D33DCB">
        <w:t>eli</w:t>
      </w:r>
      <w:r w:rsidR="00DD1E47" w:rsidRPr="00D33DCB">
        <w:t>e</w:t>
      </w:r>
      <w:r w:rsidRPr="00D33DCB">
        <w:t>f</w:t>
      </w:r>
      <w:r w:rsidR="00DD1E47" w:rsidRPr="00D33DCB">
        <w:t xml:space="preserve"> is warranted </w:t>
      </w:r>
      <w:r w:rsidR="00D33DCB">
        <w:t xml:space="preserve">under </w:t>
      </w:r>
      <w:r w:rsidR="00D33DCB" w:rsidRPr="00D33DCB">
        <w:t xml:space="preserve">the Commission’s general standards for considering waiver requests </w:t>
      </w:r>
      <w:r w:rsidR="00DD1E47" w:rsidRPr="00D33DCB">
        <w:t>and hereby deny that request.</w:t>
      </w:r>
      <w:r w:rsidRPr="00D33DCB">
        <w:t xml:space="preserve">    </w:t>
      </w:r>
      <w:r w:rsidR="00903825" w:rsidRPr="00D33DCB">
        <w:t xml:space="preserve">   </w:t>
      </w:r>
    </w:p>
    <w:p w14:paraId="70C08B81" w14:textId="77777777" w:rsidR="00D91387" w:rsidRPr="00D33DCB" w:rsidRDefault="00D91387">
      <w:pPr>
        <w:pStyle w:val="ParaNum"/>
      </w:pPr>
    </w:p>
    <w:p w14:paraId="44CB842A" w14:textId="5174CAF3" w:rsidR="00A74DC5" w:rsidRPr="00D33DCB" w:rsidRDefault="008C04E3" w:rsidP="00945141">
      <w:pPr>
        <w:pStyle w:val="ParaNum"/>
      </w:pPr>
      <w:r w:rsidRPr="00D33DCB">
        <w:rPr>
          <w:i/>
        </w:rPr>
        <w:t xml:space="preserve">Interim </w:t>
      </w:r>
      <w:r w:rsidR="00A74DC5" w:rsidRPr="00D33DCB">
        <w:rPr>
          <w:i/>
        </w:rPr>
        <w:t>Notification of Construction</w:t>
      </w:r>
      <w:r w:rsidR="00D91387" w:rsidRPr="00D33DCB">
        <w:t xml:space="preserve">.  </w:t>
      </w:r>
      <w:r w:rsidR="00945141" w:rsidRPr="00D33DCB">
        <w:t xml:space="preserve">We hereby direct SAL to file an interim </w:t>
      </w:r>
      <w:r w:rsidR="00ED7766" w:rsidRPr="00D33DCB">
        <w:t xml:space="preserve">notification of </w:t>
      </w:r>
      <w:r w:rsidR="00945141" w:rsidRPr="00D33DCB">
        <w:t>construction within 15 days of this Letter Order’s release date certifying that it has failed to meet the Interim Construction Requirement, and “includ[ing] information detailing meaningful efforts undertaken to put the spectrum to use.”</w:t>
      </w:r>
      <w:r w:rsidR="00945141" w:rsidRPr="00D33DCB">
        <w:rPr>
          <w:rStyle w:val="FootnoteReference"/>
          <w:color w:val="000000" w:themeColor="text1"/>
        </w:rPr>
        <w:footnoteReference w:id="55"/>
      </w:r>
    </w:p>
    <w:p w14:paraId="7A28E06E" w14:textId="77777777" w:rsidR="00A74DC5" w:rsidRPr="00D33DCB" w:rsidRDefault="00A74DC5" w:rsidP="00945141">
      <w:pPr>
        <w:pStyle w:val="ParaNum"/>
      </w:pPr>
    </w:p>
    <w:p w14:paraId="171F9879" w14:textId="77777777" w:rsidR="00250328" w:rsidRDefault="00A74DC5">
      <w:pPr>
        <w:pStyle w:val="ParaNum"/>
      </w:pPr>
      <w:r w:rsidRPr="00D33DCB">
        <w:rPr>
          <w:i/>
        </w:rPr>
        <w:t xml:space="preserve">Final Notification of </w:t>
      </w:r>
      <w:r w:rsidR="0078372A" w:rsidRPr="00D33DCB">
        <w:rPr>
          <w:i/>
        </w:rPr>
        <w:t>Construction</w:t>
      </w:r>
      <w:r w:rsidR="0078372A" w:rsidRPr="00D33DCB">
        <w:t>.</w:t>
      </w:r>
      <w:r w:rsidRPr="00D33DCB">
        <w:rPr>
          <w:i/>
        </w:rPr>
        <w:t xml:space="preserve">  </w:t>
      </w:r>
      <w:r w:rsidR="007D398D" w:rsidRPr="00D33DCB">
        <w:t>As explained above, SAL’s</w:t>
      </w:r>
      <w:r w:rsidRPr="00D33DCB">
        <w:t xml:space="preserve"> end-of-license term and Final Construction Requirement have accelerated by rule to June 13, 2017.  </w:t>
      </w:r>
      <w:r w:rsidR="00945141" w:rsidRPr="00D33DCB">
        <w:t xml:space="preserve">We </w:t>
      </w:r>
      <w:r w:rsidRPr="00D33DCB">
        <w:t xml:space="preserve">hereby </w:t>
      </w:r>
      <w:r w:rsidR="00945141" w:rsidRPr="00D33DCB">
        <w:t xml:space="preserve">waive on our own motion Section 1.946(d)’s requirement to file a </w:t>
      </w:r>
      <w:r w:rsidR="00DD1E47" w:rsidRPr="00D33DCB">
        <w:t xml:space="preserve">final </w:t>
      </w:r>
      <w:r w:rsidR="00945141" w:rsidRPr="00D33DCB">
        <w:t xml:space="preserve">notification of construction within 15 days of the </w:t>
      </w:r>
      <w:r w:rsidR="00354E60" w:rsidRPr="00D33DCB">
        <w:t xml:space="preserve">License’s </w:t>
      </w:r>
      <w:r w:rsidR="00945141" w:rsidRPr="00D33DCB">
        <w:t>accelerated June 13, 2017, Final Construction Requirement</w:t>
      </w:r>
      <w:r w:rsidR="00354E60" w:rsidRPr="00D33DCB">
        <w:t>.</w:t>
      </w:r>
      <w:r w:rsidR="00945141" w:rsidRPr="00D33DCB">
        <w:rPr>
          <w:rStyle w:val="FootnoteReference"/>
          <w:color w:val="000000" w:themeColor="text1"/>
        </w:rPr>
        <w:footnoteReference w:id="56"/>
      </w:r>
      <w:r w:rsidR="00945141" w:rsidRPr="00D33DCB">
        <w:t xml:space="preserve"> </w:t>
      </w:r>
      <w:r w:rsidR="00354E60" w:rsidRPr="00D33DCB">
        <w:t xml:space="preserve"> We will </w:t>
      </w:r>
      <w:r w:rsidR="00945141" w:rsidRPr="00D33DCB">
        <w:t xml:space="preserve">provide SAL 15 days from this Letter Order’s release date to file a </w:t>
      </w:r>
      <w:r w:rsidRPr="00D33DCB">
        <w:t xml:space="preserve">final notification of </w:t>
      </w:r>
      <w:r w:rsidR="00945141" w:rsidRPr="00D33DCB">
        <w:t>construction.</w:t>
      </w:r>
      <w:r w:rsidR="00945141" w:rsidRPr="00D33DCB">
        <w:rPr>
          <w:rStyle w:val="FootnoteReference"/>
          <w:color w:val="000000" w:themeColor="text1"/>
        </w:rPr>
        <w:footnoteReference w:id="57"/>
      </w:r>
    </w:p>
    <w:p w14:paraId="2DDA3BE8" w14:textId="77777777" w:rsidR="00250328" w:rsidRDefault="00250328">
      <w:pPr>
        <w:pStyle w:val="ParaNum"/>
      </w:pPr>
    </w:p>
    <w:p w14:paraId="60C6C27D" w14:textId="5340E636" w:rsidR="00354E60" w:rsidRPr="00D33DCB" w:rsidRDefault="00250328">
      <w:pPr>
        <w:pStyle w:val="ParaNum"/>
      </w:pPr>
      <w:r>
        <w:t>I</w:t>
      </w:r>
      <w:r w:rsidRPr="00D33DCB">
        <w:t>f SAL cannot demonstrate that it constructed at least 70 percent of the License area as of June 13, 2017 (the License’s accelerated end-of-license term), it will be subject to Section 27.14(g)(2)’s “keep-what-you-serve” rule.</w:t>
      </w:r>
      <w:r w:rsidRPr="00D33DCB">
        <w:rPr>
          <w:rStyle w:val="FootnoteReference"/>
          <w:color w:val="000000" w:themeColor="text1"/>
        </w:rPr>
        <w:footnoteReference w:id="58"/>
      </w:r>
      <w:r w:rsidRPr="00D33DCB">
        <w:t xml:space="preserve">  Under that rule, SAL’s authorization will automatically terminate, without Commission action, for those geographic portions of the License area in which it is not providing service by June 13, 2017.</w:t>
      </w:r>
      <w:r w:rsidR="009B1E42" w:rsidRPr="00D33DCB">
        <w:rPr>
          <w:rStyle w:val="FootnoteReference"/>
        </w:rPr>
        <w:footnoteReference w:id="59"/>
      </w:r>
      <w:r w:rsidRPr="00D33DCB">
        <w:t xml:space="preserve">  Those unserved areas will become available for reassignment by the Commission in accordance with our rules.</w:t>
      </w:r>
      <w:r w:rsidRPr="00D33DCB">
        <w:rPr>
          <w:rStyle w:val="FootnoteReference"/>
          <w:color w:val="000000" w:themeColor="text1"/>
        </w:rPr>
        <w:footnoteReference w:id="60"/>
      </w:r>
      <w:r>
        <w:t xml:space="preserve">  </w:t>
      </w:r>
      <w:r w:rsidR="0078372A" w:rsidRPr="00D33DCB">
        <w:t>Further, i</w:t>
      </w:r>
      <w:r w:rsidR="00354E60" w:rsidRPr="00D33DCB">
        <w:t xml:space="preserve">f SAL elects not to file </w:t>
      </w:r>
      <w:r w:rsidR="009A5E89" w:rsidRPr="00D33DCB">
        <w:t xml:space="preserve">the </w:t>
      </w:r>
      <w:r w:rsidR="00354E60" w:rsidRPr="00D33DCB">
        <w:t>notification, its License will be deemed automatically terminated as of June 13, 20</w:t>
      </w:r>
      <w:r w:rsidR="001A2410" w:rsidRPr="00D33DCB">
        <w:t>1</w:t>
      </w:r>
      <w:r w:rsidR="00354E60" w:rsidRPr="00D33DCB">
        <w:t>7.</w:t>
      </w:r>
    </w:p>
    <w:p w14:paraId="7FA6E567" w14:textId="77777777" w:rsidR="00354E60" w:rsidRPr="00D33DCB" w:rsidRDefault="00354E60">
      <w:pPr>
        <w:pStyle w:val="ParaNum"/>
      </w:pPr>
    </w:p>
    <w:p w14:paraId="497B84DB" w14:textId="0608B711" w:rsidR="009B1E42" w:rsidRPr="00D33DCB" w:rsidRDefault="0078372A">
      <w:pPr>
        <w:pStyle w:val="ParaNum"/>
      </w:pPr>
      <w:r w:rsidRPr="00D33DCB">
        <w:rPr>
          <w:i/>
        </w:rPr>
        <w:t>Renewal Application</w:t>
      </w:r>
      <w:r w:rsidRPr="00D33DCB">
        <w:t xml:space="preserve">.  Finally, </w:t>
      </w:r>
      <w:r w:rsidR="00A74DC5" w:rsidRPr="00D33DCB">
        <w:t>w</w:t>
      </w:r>
      <w:r w:rsidR="00DD1E47" w:rsidRPr="00D33DCB">
        <w:t>e</w:t>
      </w:r>
      <w:r w:rsidR="00D91387" w:rsidRPr="00D33DCB">
        <w:t xml:space="preserve"> hereby waive on our own motion</w:t>
      </w:r>
      <w:r w:rsidR="00971CA0" w:rsidRPr="00D33DCB">
        <w:t xml:space="preserve"> Section 1.949(a)</w:t>
      </w:r>
      <w:r w:rsidR="00066EFA" w:rsidRPr="00D33DCB">
        <w:t>’s</w:t>
      </w:r>
      <w:r w:rsidR="00971CA0" w:rsidRPr="00D33DCB">
        <w:t xml:space="preserve"> </w:t>
      </w:r>
      <w:r w:rsidR="00D91387" w:rsidRPr="00D33DCB">
        <w:t xml:space="preserve">requirement </w:t>
      </w:r>
      <w:r w:rsidR="00DD1E47" w:rsidRPr="00D33DCB">
        <w:t xml:space="preserve">to file </w:t>
      </w:r>
      <w:r w:rsidR="00D91387" w:rsidRPr="00D33DCB">
        <w:t>a</w:t>
      </w:r>
      <w:r w:rsidR="005A3047" w:rsidRPr="00D33DCB">
        <w:t>n</w:t>
      </w:r>
      <w:r w:rsidR="00D91387" w:rsidRPr="00D33DCB">
        <w:t xml:space="preserve"> applica</w:t>
      </w:r>
      <w:r w:rsidR="00066EFA" w:rsidRPr="00D33DCB">
        <w:t xml:space="preserve">tion </w:t>
      </w:r>
      <w:r w:rsidR="005A3047" w:rsidRPr="00D33DCB">
        <w:t>f</w:t>
      </w:r>
      <w:r w:rsidR="00D91387" w:rsidRPr="00D33DCB">
        <w:t xml:space="preserve">or </w:t>
      </w:r>
      <w:r w:rsidR="00066EFA" w:rsidRPr="00D33DCB">
        <w:t xml:space="preserve">license </w:t>
      </w:r>
      <w:r w:rsidR="00D91387" w:rsidRPr="00D33DCB">
        <w:t xml:space="preserve">renewal </w:t>
      </w:r>
      <w:r w:rsidR="005A3047" w:rsidRPr="00D33DCB">
        <w:t xml:space="preserve">no later than </w:t>
      </w:r>
      <w:r w:rsidR="00DD1E47" w:rsidRPr="00D33DCB">
        <w:t xml:space="preserve">the </w:t>
      </w:r>
      <w:r w:rsidR="001A2410" w:rsidRPr="00D33DCB">
        <w:t>L</w:t>
      </w:r>
      <w:r w:rsidR="00066EFA" w:rsidRPr="00D33DCB">
        <w:t xml:space="preserve">icense’s </w:t>
      </w:r>
      <w:r w:rsidR="00AE5D05">
        <w:t xml:space="preserve">accelerated June 13, 2017, </w:t>
      </w:r>
      <w:r w:rsidR="00AE5D05" w:rsidRPr="00D33DCB">
        <w:t>end-of-license term</w:t>
      </w:r>
      <w:r w:rsidR="00354E60" w:rsidRPr="00D33DCB">
        <w:t>.</w:t>
      </w:r>
      <w:r w:rsidR="008B6F69" w:rsidRPr="00D33DCB">
        <w:rPr>
          <w:rStyle w:val="FootnoteReference"/>
          <w:color w:val="000000" w:themeColor="text1"/>
        </w:rPr>
        <w:footnoteReference w:id="61"/>
      </w:r>
      <w:r w:rsidR="005A3047" w:rsidRPr="00D33DCB">
        <w:t xml:space="preserve"> </w:t>
      </w:r>
      <w:r w:rsidR="00354E60" w:rsidRPr="00D33DCB">
        <w:t xml:space="preserve"> We will </w:t>
      </w:r>
      <w:r w:rsidR="005A3047" w:rsidRPr="00D33DCB">
        <w:t xml:space="preserve">provide SAL </w:t>
      </w:r>
      <w:r w:rsidR="00DD1E47" w:rsidRPr="00D33DCB">
        <w:t>30</w:t>
      </w:r>
      <w:r w:rsidR="005A3047" w:rsidRPr="00D33DCB">
        <w:t xml:space="preserve"> days </w:t>
      </w:r>
      <w:r w:rsidR="00066EFA" w:rsidRPr="00D33DCB">
        <w:t xml:space="preserve">from </w:t>
      </w:r>
      <w:r w:rsidR="005A3047" w:rsidRPr="00D33DCB">
        <w:t>this Letter Order</w:t>
      </w:r>
      <w:r w:rsidR="00066EFA" w:rsidRPr="00D33DCB">
        <w:t xml:space="preserve">’s </w:t>
      </w:r>
      <w:r w:rsidR="00EF139C" w:rsidRPr="00D33DCB">
        <w:t xml:space="preserve">release </w:t>
      </w:r>
      <w:r w:rsidR="00066EFA" w:rsidRPr="00D33DCB">
        <w:t>date</w:t>
      </w:r>
      <w:r w:rsidR="005A3047" w:rsidRPr="00D33DCB">
        <w:t xml:space="preserve"> to file a renewal application</w:t>
      </w:r>
      <w:r w:rsidR="001A2410" w:rsidRPr="00D33DCB">
        <w:t xml:space="preserve">.  </w:t>
      </w:r>
      <w:r w:rsidRPr="00D33DCB">
        <w:t>If SAL has f</w:t>
      </w:r>
      <w:r w:rsidR="00AE5D05">
        <w:t>a</w:t>
      </w:r>
      <w:r w:rsidRPr="00D33DCB">
        <w:t>iled to meet its Final Construction Requirement,</w:t>
      </w:r>
      <w:r w:rsidR="001A2410" w:rsidRPr="00D33DCB">
        <w:t xml:space="preserve"> it may only seek renewal </w:t>
      </w:r>
      <w:r w:rsidR="00066EFA" w:rsidRPr="00D33DCB">
        <w:t xml:space="preserve">for the </w:t>
      </w:r>
      <w:r w:rsidR="00DD1E47" w:rsidRPr="00D33DCB">
        <w:t xml:space="preserve">portions of the </w:t>
      </w:r>
      <w:r w:rsidR="00066EFA" w:rsidRPr="00D33DCB">
        <w:t>License</w:t>
      </w:r>
      <w:r w:rsidR="00DD1E47" w:rsidRPr="00D33DCB">
        <w:t xml:space="preserve"> area</w:t>
      </w:r>
      <w:r w:rsidR="001A2410" w:rsidRPr="00D33DCB">
        <w:t xml:space="preserve"> </w:t>
      </w:r>
      <w:r w:rsidR="00354E60" w:rsidRPr="00D33DCB">
        <w:t xml:space="preserve">SAL </w:t>
      </w:r>
      <w:r w:rsidR="009B1E42">
        <w:t>served as of June 13, 2017,</w:t>
      </w:r>
      <w:r w:rsidR="009B1E42" w:rsidRPr="009B1E42">
        <w:t xml:space="preserve"> as reflected in </w:t>
      </w:r>
      <w:r w:rsidR="009B1E42">
        <w:t xml:space="preserve">that </w:t>
      </w:r>
      <w:r w:rsidR="009B1E42" w:rsidRPr="009B1E42">
        <w:t>construction notification</w:t>
      </w:r>
      <w:r w:rsidR="009B1E42">
        <w:t>.</w:t>
      </w:r>
    </w:p>
    <w:p w14:paraId="23301968" w14:textId="77777777" w:rsidR="0046207D" w:rsidRPr="00D33DCB" w:rsidRDefault="00873FB8">
      <w:pPr>
        <w:pStyle w:val="ParaNum"/>
      </w:pPr>
      <w:r w:rsidRPr="00D33DCB">
        <w:t xml:space="preserve">  </w:t>
      </w:r>
    </w:p>
    <w:p w14:paraId="074B7CC2" w14:textId="77777777" w:rsidR="00744B59" w:rsidRPr="00D33DCB" w:rsidRDefault="001424A4" w:rsidP="001424A4">
      <w:pPr>
        <w:pStyle w:val="Heading1"/>
        <w:rPr>
          <w:rFonts w:ascii="Times New Roman" w:hAnsi="Times New Roman"/>
          <w:color w:val="000000" w:themeColor="text1"/>
          <w:szCs w:val="22"/>
        </w:rPr>
      </w:pPr>
      <w:r w:rsidRPr="00D33DCB">
        <w:rPr>
          <w:rFonts w:ascii="Times New Roman" w:hAnsi="Times New Roman"/>
          <w:color w:val="000000" w:themeColor="text1"/>
          <w:szCs w:val="22"/>
        </w:rPr>
        <w:t>Conclusion and Ordering Clauses</w:t>
      </w:r>
    </w:p>
    <w:p w14:paraId="33E58673" w14:textId="77777777" w:rsidR="00250328" w:rsidRDefault="009870B9">
      <w:pPr>
        <w:pStyle w:val="ParaNum"/>
      </w:pPr>
      <w:r w:rsidRPr="00D33DCB">
        <w:t>For the reasons stated above</w:t>
      </w:r>
      <w:r w:rsidR="004E6E89" w:rsidRPr="00D33DCB">
        <w:t>,</w:t>
      </w:r>
      <w:r w:rsidRPr="00D33DCB">
        <w:t xml:space="preserve"> and in view of </w:t>
      </w:r>
      <w:r w:rsidR="00AD74E9" w:rsidRPr="00D33DCB">
        <w:t xml:space="preserve">the </w:t>
      </w:r>
      <w:r w:rsidRPr="00D33DCB">
        <w:t xml:space="preserve">entire record </w:t>
      </w:r>
      <w:r w:rsidR="00092810" w:rsidRPr="00D33DCB">
        <w:t xml:space="preserve">and specific facts </w:t>
      </w:r>
      <w:r w:rsidRPr="00D33DCB">
        <w:t xml:space="preserve">before us, we hereby </w:t>
      </w:r>
      <w:r w:rsidR="001A2E4B" w:rsidRPr="00D33DCB">
        <w:t xml:space="preserve">deny </w:t>
      </w:r>
      <w:r w:rsidR="000C78FC" w:rsidRPr="00D33DCB">
        <w:t>SAL</w:t>
      </w:r>
      <w:r w:rsidR="001A2E4B" w:rsidRPr="00D33DCB">
        <w:t>’s</w:t>
      </w:r>
      <w:r w:rsidRPr="00D33DCB">
        <w:t xml:space="preserve"> </w:t>
      </w:r>
      <w:r w:rsidR="00ED1421" w:rsidRPr="00D33DCB">
        <w:t>initial and alternat</w:t>
      </w:r>
      <w:r w:rsidR="00A17716" w:rsidRPr="00D33DCB">
        <w:t xml:space="preserve">ive </w:t>
      </w:r>
      <w:r w:rsidR="00ED1421" w:rsidRPr="00D33DCB">
        <w:t>request</w:t>
      </w:r>
      <w:r w:rsidR="00A17716" w:rsidRPr="00D33DCB">
        <w:t>s</w:t>
      </w:r>
      <w:r w:rsidR="00ED1421" w:rsidRPr="00D33DCB">
        <w:t xml:space="preserve"> for w</w:t>
      </w:r>
      <w:r w:rsidRPr="00D33DCB">
        <w:t xml:space="preserve">aiver </w:t>
      </w:r>
      <w:r w:rsidR="00ED1421" w:rsidRPr="00D33DCB">
        <w:t>relief</w:t>
      </w:r>
      <w:r w:rsidR="001A2E4B" w:rsidRPr="00D33DCB">
        <w:t>.</w:t>
      </w:r>
    </w:p>
    <w:p w14:paraId="23C8A232" w14:textId="73739344" w:rsidR="00AF6ED4" w:rsidRPr="00D33DCB" w:rsidRDefault="00AF6ED4">
      <w:pPr>
        <w:pStyle w:val="ParaNum"/>
      </w:pPr>
      <w:r w:rsidRPr="00D33DCB">
        <w:t xml:space="preserve"> </w:t>
      </w:r>
    </w:p>
    <w:p w14:paraId="6303256A" w14:textId="77777777" w:rsidR="00104467" w:rsidRPr="00D33DCB" w:rsidRDefault="00AA6DCF">
      <w:pPr>
        <w:pStyle w:val="ParaNum"/>
      </w:pPr>
      <w:r w:rsidRPr="00D33DCB">
        <w:t>Accordingly, IT IS ORDERED that, pursuant to Section 4(i) of the Communications Act, as amended, 47 U.S.C. § 154(i), and Section 1.925(b)(3) of the Commission’s rules, 47 CFR § 1.925(b)(3), the request for waiver of Section 27.14(g)</w:t>
      </w:r>
      <w:r w:rsidR="001424A4" w:rsidRPr="00D33DCB">
        <w:t>(1)</w:t>
      </w:r>
      <w:r w:rsidRPr="00D33DCB">
        <w:t xml:space="preserve"> of the Commission’s rules, 47 C</w:t>
      </w:r>
      <w:r w:rsidR="00B570DC" w:rsidRPr="00D33DCB">
        <w:t>.</w:t>
      </w:r>
      <w:r w:rsidRPr="00D33DCB">
        <w:t>F</w:t>
      </w:r>
      <w:r w:rsidR="00B570DC" w:rsidRPr="00D33DCB">
        <w:t>.</w:t>
      </w:r>
      <w:r w:rsidRPr="00D33DCB">
        <w:t>R</w:t>
      </w:r>
      <w:r w:rsidR="00B570DC" w:rsidRPr="00D33DCB">
        <w:t>.</w:t>
      </w:r>
      <w:r w:rsidRPr="00D33DCB">
        <w:t xml:space="preserve"> § 27.14(g)</w:t>
      </w:r>
      <w:r w:rsidR="001424A4" w:rsidRPr="00D33DCB">
        <w:t>(1)</w:t>
      </w:r>
      <w:r w:rsidRPr="00D33DCB">
        <w:t>, filed November 15, 2016, by SAL Spectrum, LLC,</w:t>
      </w:r>
      <w:r w:rsidR="00B570DC" w:rsidRPr="00D33DCB">
        <w:t xml:space="preserve"> ULS File No. 0007557048,</w:t>
      </w:r>
      <w:r w:rsidRPr="00D33DCB">
        <w:t xml:space="preserve"> </w:t>
      </w:r>
      <w:r w:rsidR="00D00DF7" w:rsidRPr="00D33DCB">
        <w:t xml:space="preserve">and its alternative request </w:t>
      </w:r>
      <w:r w:rsidR="00B570DC" w:rsidRPr="00D33DCB">
        <w:t xml:space="preserve">for </w:t>
      </w:r>
      <w:r w:rsidR="00D00DF7" w:rsidRPr="00D33DCB">
        <w:t>waiver of Section 27.14(g)</w:t>
      </w:r>
      <w:r w:rsidR="0027136D" w:rsidRPr="00D33DCB">
        <w:t>(1)</w:t>
      </w:r>
      <w:r w:rsidR="00D00DF7" w:rsidRPr="00D33DCB">
        <w:t xml:space="preserve"> filed by Comments on December 8, 2016</w:t>
      </w:r>
      <w:r w:rsidR="00B570DC" w:rsidRPr="00D33DCB">
        <w:t xml:space="preserve"> in WT Docket No. 16-392</w:t>
      </w:r>
      <w:r w:rsidR="00D00DF7" w:rsidRPr="00D33DCB">
        <w:t xml:space="preserve">, are </w:t>
      </w:r>
      <w:r w:rsidRPr="00D33DCB">
        <w:t>HEREBY DENIED.</w:t>
      </w:r>
    </w:p>
    <w:p w14:paraId="0ABF37C4" w14:textId="77777777" w:rsidR="00971CA0" w:rsidRPr="00D33DCB" w:rsidRDefault="00971CA0" w:rsidP="00FF3EB8">
      <w:pPr>
        <w:pStyle w:val="ParaNum"/>
      </w:pPr>
    </w:p>
    <w:p w14:paraId="64CB0F07" w14:textId="77777777" w:rsidR="006A6E70" w:rsidRPr="00D33DCB" w:rsidRDefault="00971CA0">
      <w:pPr>
        <w:pStyle w:val="ParaNum"/>
      </w:pPr>
      <w:r w:rsidRPr="00D33DCB">
        <w:t>And</w:t>
      </w:r>
      <w:r w:rsidR="00782656" w:rsidRPr="00D33DCB">
        <w:t>,</w:t>
      </w:r>
      <w:r w:rsidRPr="00D33DCB">
        <w:t xml:space="preserve"> IT IS FURTHER ORDERED that, pursuant to Section 4(i) of the Communications Act, as amended, 47 U.S.C. § 154(i), and Section 1.3 of the Commission’s rules, 47 CFR § 1.3, waivers of Sections 1.946(d) and 1.949(a) of the Commission’s rules, 47 CFR </w:t>
      </w:r>
      <w:r w:rsidR="008A1971" w:rsidRPr="00D33DCB">
        <w:t>§</w:t>
      </w:r>
      <w:r w:rsidRPr="00D33DCB">
        <w:t xml:space="preserve"> 1.946(d),</w:t>
      </w:r>
      <w:r w:rsidR="00782656" w:rsidRPr="00D33DCB">
        <w:t xml:space="preserve"> 1.949(a), are granted on our own motion to the extent specified above.</w:t>
      </w:r>
    </w:p>
    <w:p w14:paraId="5D0C5B8E" w14:textId="77777777" w:rsidR="005E3E17" w:rsidRPr="00D33DCB" w:rsidRDefault="005E3E17">
      <w:pPr>
        <w:pStyle w:val="ParaNum"/>
      </w:pPr>
    </w:p>
    <w:p w14:paraId="3E213286" w14:textId="77777777" w:rsidR="006A6E70" w:rsidRPr="00D33DCB" w:rsidRDefault="005E3E17">
      <w:pPr>
        <w:pStyle w:val="ParaNum"/>
      </w:pPr>
      <w:r w:rsidRPr="00D33DCB">
        <w:t>And, IT IS FURTHER ORDERED that, pursuant to Section 4(i) of the Communications Act of 1934, as amended, 47 U.S.C. § 154(i), and Sections 27.14(k) and (g) of the Commission’s rules, 47 C.F.R. §§ 27.14(k) and (g), SAL Spectrum, LLC, must file an interim construction notification within 15 days of the release date of this Letter Order as described above.</w:t>
      </w:r>
    </w:p>
    <w:p w14:paraId="70AAA064" w14:textId="77777777" w:rsidR="00207BD8" w:rsidRPr="00D33DCB" w:rsidRDefault="00207BD8">
      <w:pPr>
        <w:pStyle w:val="ParaNum"/>
      </w:pPr>
    </w:p>
    <w:p w14:paraId="5CD81B68" w14:textId="77777777" w:rsidR="007E009B" w:rsidRPr="00D33DCB" w:rsidRDefault="00B570DC">
      <w:pPr>
        <w:pStyle w:val="ParaNum"/>
      </w:pPr>
      <w:r w:rsidRPr="00D33DCB">
        <w:t>A</w:t>
      </w:r>
      <w:r w:rsidR="007E009B" w:rsidRPr="00D33DCB">
        <w:t xml:space="preserve">ction taken under delegated authority pursuant to Sections 0.131 and 0.331 </w:t>
      </w:r>
      <w:r w:rsidR="002F7497" w:rsidRPr="00D33DCB">
        <w:t>of the Commission’s rules, 47 CFR</w:t>
      </w:r>
      <w:r w:rsidR="007E009B" w:rsidRPr="00D33DCB">
        <w:t xml:space="preserve"> §§ 0.131, 0.331.</w:t>
      </w:r>
    </w:p>
    <w:p w14:paraId="69A04104" w14:textId="77777777" w:rsidR="00E235BC" w:rsidRPr="00D33DCB" w:rsidRDefault="00E235BC">
      <w:pPr>
        <w:pStyle w:val="ParaNum"/>
      </w:pPr>
    </w:p>
    <w:p w14:paraId="43EB274C" w14:textId="77777777" w:rsidR="007E009B" w:rsidRPr="00D33DCB" w:rsidRDefault="007E009B" w:rsidP="00ED7766">
      <w:pPr>
        <w:pStyle w:val="ParaNum"/>
        <w:ind w:left="2880"/>
      </w:pPr>
      <w:r w:rsidRPr="00D33DCB">
        <w:t>Sincerely,</w:t>
      </w:r>
    </w:p>
    <w:p w14:paraId="2F4F5737" w14:textId="77777777" w:rsidR="007E009B" w:rsidRPr="00D33DCB" w:rsidRDefault="007E009B" w:rsidP="00DD1E47">
      <w:pPr>
        <w:pStyle w:val="ParaNum"/>
      </w:pPr>
    </w:p>
    <w:p w14:paraId="11D1B333" w14:textId="77777777" w:rsidR="007E009B" w:rsidRPr="00D33DCB" w:rsidRDefault="007E009B" w:rsidP="00DD1E47">
      <w:pPr>
        <w:pStyle w:val="ParaNum"/>
      </w:pPr>
    </w:p>
    <w:p w14:paraId="34D45351" w14:textId="77777777" w:rsidR="007E009B" w:rsidRPr="00D33DCB" w:rsidRDefault="007E009B" w:rsidP="00ED7766">
      <w:pPr>
        <w:pStyle w:val="ParaNum"/>
        <w:ind w:left="2880"/>
      </w:pPr>
      <w:r w:rsidRPr="00D33DCB">
        <w:t>Roger S. Noel</w:t>
      </w:r>
    </w:p>
    <w:p w14:paraId="508D0F36" w14:textId="77777777" w:rsidR="007E009B" w:rsidRPr="00D33DCB" w:rsidRDefault="007E009B" w:rsidP="00ED7766">
      <w:pPr>
        <w:pStyle w:val="ParaNum"/>
        <w:ind w:left="2880"/>
      </w:pPr>
      <w:r w:rsidRPr="00D33DCB">
        <w:t>Chief, Mobility Division</w:t>
      </w:r>
    </w:p>
    <w:p w14:paraId="4E8D5AB7" w14:textId="77777777" w:rsidR="00932F2D" w:rsidRPr="00D33DCB" w:rsidRDefault="007E009B" w:rsidP="00ED7766">
      <w:pPr>
        <w:pStyle w:val="ParaNum"/>
        <w:ind w:left="2880"/>
      </w:pPr>
      <w:r w:rsidRPr="00D33DCB">
        <w:t>Wireless Telecommunications Bureau</w:t>
      </w:r>
    </w:p>
    <w:sectPr w:rsidR="00932F2D" w:rsidRPr="00D33DCB" w:rsidSect="002B56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73FF1" w14:textId="77777777" w:rsidR="00A65F37" w:rsidRDefault="00A65F37">
      <w:r>
        <w:separator/>
      </w:r>
    </w:p>
  </w:endnote>
  <w:endnote w:type="continuationSeparator" w:id="0">
    <w:p w14:paraId="431A4B95" w14:textId="77777777" w:rsidR="00A65F37" w:rsidRDefault="00A65F37">
      <w:r>
        <w:continuationSeparator/>
      </w:r>
    </w:p>
  </w:endnote>
  <w:endnote w:type="continuationNotice" w:id="1">
    <w:p w14:paraId="3EC20B39" w14:textId="77777777" w:rsidR="00A65F37" w:rsidRDefault="00A6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873E3" w14:textId="77777777" w:rsidR="00622CB5" w:rsidRDefault="00622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3422"/>
      <w:docPartObj>
        <w:docPartGallery w:val="Page Numbers (Bottom of Page)"/>
        <w:docPartUnique/>
      </w:docPartObj>
    </w:sdtPr>
    <w:sdtEndPr>
      <w:rPr>
        <w:noProof/>
      </w:rPr>
    </w:sdtEndPr>
    <w:sdtContent>
      <w:p w14:paraId="7BDC9A44" w14:textId="08660B28" w:rsidR="003B473A" w:rsidRDefault="003B473A">
        <w:pPr>
          <w:pStyle w:val="Footer"/>
          <w:jc w:val="center"/>
        </w:pPr>
        <w:r>
          <w:fldChar w:fldCharType="begin"/>
        </w:r>
        <w:r>
          <w:instrText xml:space="preserve"> PAGE   \* MERGEFORMAT </w:instrText>
        </w:r>
        <w:r>
          <w:fldChar w:fldCharType="separate"/>
        </w:r>
        <w:r w:rsidR="00591AF6">
          <w:rPr>
            <w:noProof/>
          </w:rPr>
          <w:t>2</w:t>
        </w:r>
        <w:r>
          <w:rPr>
            <w:noProof/>
          </w:rPr>
          <w:fldChar w:fldCharType="end"/>
        </w:r>
      </w:p>
    </w:sdtContent>
  </w:sdt>
  <w:p w14:paraId="59171EB5" w14:textId="77777777" w:rsidR="003B473A" w:rsidRDefault="003B4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6FF5" w14:textId="77777777" w:rsidR="00622CB5" w:rsidRDefault="00622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B06B1" w14:textId="77777777" w:rsidR="00A65F37" w:rsidRDefault="00A65F37">
      <w:r>
        <w:separator/>
      </w:r>
    </w:p>
  </w:footnote>
  <w:footnote w:type="continuationSeparator" w:id="0">
    <w:p w14:paraId="3021CEC4" w14:textId="77777777" w:rsidR="00A65F37" w:rsidRDefault="00A65F37">
      <w:r>
        <w:continuationSeparator/>
      </w:r>
    </w:p>
  </w:footnote>
  <w:footnote w:type="continuationNotice" w:id="1">
    <w:p w14:paraId="2B1DBCFA" w14:textId="77777777" w:rsidR="00A65F37" w:rsidRDefault="00A65F37"/>
  </w:footnote>
  <w:footnote w:id="2">
    <w:p w14:paraId="7232AC3B" w14:textId="77777777" w:rsidR="003B473A" w:rsidRPr="00D33DCB" w:rsidRDefault="003B473A" w:rsidP="00D33DCB">
      <w:pPr>
        <w:pStyle w:val="FootnoteText"/>
        <w:tabs>
          <w:tab w:val="left" w:pos="0"/>
        </w:tabs>
        <w:jc w:val="left"/>
      </w:pPr>
      <w:r w:rsidRPr="00D33DCB">
        <w:rPr>
          <w:rStyle w:val="FootnoteReference"/>
        </w:rPr>
        <w:footnoteRef/>
      </w:r>
      <w:r w:rsidRPr="00D33DCB">
        <w:t xml:space="preserve"> SAL Spectrum, LLC Request for Waiver and Extension of Construction/Coverage Thresholds, Call Sign WQJQ812, ULS File No. 0007557048 (filed Nov. 15, 2016), citing 47 CFR § 27.14(g) (Waiver Request).  </w:t>
      </w:r>
      <w:r w:rsidRPr="00D33DCB">
        <w:rPr>
          <w:i/>
        </w:rPr>
        <w:t xml:space="preserve">See also </w:t>
      </w:r>
      <w:r w:rsidRPr="00D33DCB">
        <w:t xml:space="preserve">Comments of SAL Spectrum, LLC, filed Dec. 8, 2016 (SAL Comments); </w:t>
      </w:r>
      <w:r w:rsidRPr="00D33DCB">
        <w:rPr>
          <w:i/>
        </w:rPr>
        <w:t>Ex Parte</w:t>
      </w:r>
      <w:r w:rsidRPr="00D33DCB">
        <w:t xml:space="preserve"> Letter from David J. Kaufman, Attorney for SAL Spectrum, LLC, to Marlene H. Dortch, Secretary, FCC, WT Docket No. 16-392 (filed Jan. 10, 2017) (SAL </w:t>
      </w:r>
      <w:r w:rsidRPr="00D33DCB">
        <w:rPr>
          <w:i/>
        </w:rPr>
        <w:t>Ex Parte</w:t>
      </w:r>
      <w:r w:rsidRPr="00D33DCB">
        <w:t>).</w:t>
      </w:r>
    </w:p>
  </w:footnote>
  <w:footnote w:id="3">
    <w:p w14:paraId="1D065609" w14:textId="77777777" w:rsidR="003B473A" w:rsidRPr="00D33DCB" w:rsidRDefault="003B473A" w:rsidP="00D33DCB">
      <w:pPr>
        <w:spacing w:after="120"/>
      </w:pPr>
      <w:r w:rsidRPr="00D33DCB">
        <w:rPr>
          <w:rStyle w:val="FootnoteReference"/>
        </w:rPr>
        <w:footnoteRef/>
      </w:r>
      <w:r w:rsidRPr="00D33DCB">
        <w:t xml:space="preserve"> The license call sign is WQJQ812 (Cellular Market Area (CMA) 652 Texas-1 (Dallam)) (the License).</w:t>
      </w:r>
    </w:p>
  </w:footnote>
  <w:footnote w:id="4">
    <w:p w14:paraId="171F61D3" w14:textId="77777777" w:rsidR="003B473A" w:rsidRPr="00D33DCB" w:rsidRDefault="003B473A" w:rsidP="00D33DCB">
      <w:pPr>
        <w:pStyle w:val="FootnoteText"/>
        <w:jc w:val="left"/>
      </w:pPr>
      <w:r w:rsidRPr="00D33DCB">
        <w:rPr>
          <w:rStyle w:val="FootnoteReference"/>
        </w:rPr>
        <w:footnoteRef/>
      </w:r>
      <w:r w:rsidRPr="00D33DCB">
        <w:t xml:space="preserve"> SAL Comments at 5-6.</w:t>
      </w:r>
    </w:p>
  </w:footnote>
  <w:footnote w:id="5">
    <w:p w14:paraId="29F8AB3A"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 Service Rules for 698-746, 747-762, and 777-792 MHz Bands</w:t>
      </w:r>
      <w:r w:rsidRPr="00D33DCB">
        <w:t>, Second Report and Order, 22 FCC Rcd 15289 (2007) (</w:t>
      </w:r>
      <w:r w:rsidRPr="00D33DCB">
        <w:rPr>
          <w:i/>
        </w:rPr>
        <w:t>700 MHz Second Report and Order</w:t>
      </w:r>
      <w:r w:rsidRPr="00D33DCB">
        <w:t>)</w:t>
      </w:r>
      <w:r w:rsidRPr="00D33DCB">
        <w:rPr>
          <w:i/>
        </w:rPr>
        <w:t xml:space="preserve"> on recons.</w:t>
      </w:r>
      <w:r w:rsidRPr="00D33DCB">
        <w:t xml:space="preserve">, </w:t>
      </w:r>
      <w:r w:rsidRPr="00D33DCB">
        <w:rPr>
          <w:i/>
        </w:rPr>
        <w:t>Service Rules for the 698-746, 747-762 and 777-792 MHz Bands</w:t>
      </w:r>
      <w:r w:rsidRPr="00D33DCB">
        <w:t>, Memorandum Opinion and Order on Reconsideration, 28 FCC Rcd 2671 (2013).</w:t>
      </w:r>
    </w:p>
  </w:footnote>
  <w:footnote w:id="6">
    <w:p w14:paraId="43CDA62A"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47 CFR § 27.14(g).</w:t>
      </w:r>
    </w:p>
  </w:footnote>
  <w:footnote w:id="7">
    <w:p w14:paraId="436C67C8"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rPr>
          <w:i/>
          <w:iCs/>
        </w:rPr>
        <w:t>Promoting Interoperability in the 700 MHz Commercial Spectrum</w:t>
      </w:r>
      <w:r w:rsidRPr="00D33DCB">
        <w:t>, Report and Order and Order of Proposed Modification</w:t>
      </w:r>
      <w:r w:rsidRPr="00D33DCB">
        <w:rPr>
          <w:i/>
          <w:iCs/>
        </w:rPr>
        <w:t xml:space="preserve">, </w:t>
      </w:r>
      <w:r w:rsidRPr="00D33DCB">
        <w:t>28 FCC Rcd 15122, 15151-52, paras. 64-65 (2013) (</w:t>
      </w:r>
      <w:r w:rsidRPr="00D33DCB">
        <w:rPr>
          <w:i/>
        </w:rPr>
        <w:t>700 MHz Interoperability Order</w:t>
      </w:r>
      <w:r w:rsidRPr="00D33DCB">
        <w:t>).</w:t>
      </w:r>
    </w:p>
  </w:footnote>
  <w:footnote w:id="8">
    <w:p w14:paraId="30D64B49"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47 CFR § 27.14(g);</w:t>
      </w:r>
      <w:r w:rsidRPr="00D33DCB">
        <w:rPr>
          <w:i/>
        </w:rPr>
        <w:t xml:space="preserve"> 700 MHz Second Report and Order</w:t>
      </w:r>
      <w:r w:rsidRPr="00D33DCB">
        <w:t>, 22 FCC Rcd</w:t>
      </w:r>
      <w:r w:rsidRPr="00D33DCB" w:rsidDel="00BF4C67">
        <w:rPr>
          <w:i/>
        </w:rPr>
        <w:t xml:space="preserve"> </w:t>
      </w:r>
      <w:r w:rsidRPr="00D33DCB">
        <w:t xml:space="preserve">at 15293-94, 15349, paras. 6, 157; </w:t>
      </w:r>
      <w:r w:rsidRPr="00D33DCB">
        <w:rPr>
          <w:i/>
        </w:rPr>
        <w:t>Implementation of the DTV Delay Act/DTV Consumer Education Initiative</w:t>
      </w:r>
      <w:r w:rsidRPr="00D33DCB">
        <w:t>, Second Report and Order and Notice of Proposed Rulemaking,</w:t>
      </w:r>
      <w:r w:rsidRPr="00D33DCB">
        <w:rPr>
          <w:i/>
        </w:rPr>
        <w:t xml:space="preserve"> </w:t>
      </w:r>
      <w:r w:rsidRPr="00D33DCB">
        <w:t>24 FCC Rcd 2526, 2543, para. 39 (2009) (</w:t>
      </w:r>
      <w:r w:rsidRPr="00D33DCB">
        <w:rPr>
          <w:i/>
        </w:rPr>
        <w:t>DTV Delay Order</w:t>
      </w:r>
      <w:r w:rsidRPr="00D33DCB">
        <w:t>).</w:t>
      </w:r>
    </w:p>
  </w:footnote>
  <w:footnote w:id="9">
    <w:p w14:paraId="2812EB04" w14:textId="77777777" w:rsidR="003B473A" w:rsidRPr="00D33DCB" w:rsidRDefault="003B473A" w:rsidP="00D33DCB">
      <w:pPr>
        <w:pStyle w:val="FootnoteText"/>
        <w:jc w:val="left"/>
      </w:pPr>
      <w:r w:rsidRPr="00D33DCB">
        <w:rPr>
          <w:rStyle w:val="FootnoteReference"/>
        </w:rPr>
        <w:footnoteRef/>
      </w:r>
      <w:r w:rsidRPr="00D33DCB">
        <w:t xml:space="preserve"> 47 CFR § 27.14(g)(1).</w:t>
      </w:r>
    </w:p>
  </w:footnote>
  <w:footnote w:id="10">
    <w:p w14:paraId="78CEB478" w14:textId="77777777" w:rsidR="003B473A" w:rsidRPr="00D33DCB" w:rsidRDefault="003B473A" w:rsidP="00D33DCB">
      <w:pPr>
        <w:pStyle w:val="FootnoteText"/>
        <w:jc w:val="left"/>
      </w:pPr>
      <w:r w:rsidRPr="00D33DCB">
        <w:rPr>
          <w:rStyle w:val="FootnoteReference"/>
        </w:rPr>
        <w:footnoteRef/>
      </w:r>
      <w:r w:rsidRPr="00D33DCB">
        <w:t xml:space="preserve"> </w:t>
      </w:r>
      <w:r w:rsidR="00540904" w:rsidRPr="00D33DCB">
        <w:rPr>
          <w:i/>
        </w:rPr>
        <w:t>Id.</w:t>
      </w:r>
      <w:r w:rsidR="00540904" w:rsidRPr="00D33DCB">
        <w:t xml:space="preserve"> at</w:t>
      </w:r>
      <w:r w:rsidRPr="00D33DCB">
        <w:t xml:space="preserve"> § 27.14(g)(2).</w:t>
      </w:r>
      <w:r w:rsidRPr="00D33DCB">
        <w:rPr>
          <w:i/>
        </w:rPr>
        <w:t xml:space="preserve">  See also 700 MHz Second Report and Order, </w:t>
      </w:r>
      <w:r w:rsidRPr="00D33DCB">
        <w:t>22 FCC Rcd at 15348, para. 153.</w:t>
      </w:r>
    </w:p>
  </w:footnote>
  <w:footnote w:id="11">
    <w:p w14:paraId="2CEE4C64" w14:textId="77777777" w:rsidR="0056619A" w:rsidRPr="00D33DCB" w:rsidRDefault="0056619A" w:rsidP="00D33DCB">
      <w:pPr>
        <w:pStyle w:val="FootnoteText"/>
        <w:jc w:val="left"/>
      </w:pPr>
      <w:r w:rsidRPr="00D33DCB">
        <w:rPr>
          <w:rStyle w:val="FootnoteReference"/>
        </w:rPr>
        <w:footnoteRef/>
      </w:r>
      <w:r w:rsidRPr="00D33DCB">
        <w:t xml:space="preserve"> The five call signs are WQJQ808, WQJQ809, WQJQ810 and WQJQ811, held by SAL, and WQIZ530, held by SAL’s affiliate, Commnet of Nevada, LLC.</w:t>
      </w:r>
    </w:p>
  </w:footnote>
  <w:footnote w:id="12">
    <w:p w14:paraId="4CF56847"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 Auction of 700 MHz Band Licenses Closes, Winning Bidders Announced for Auction 73</w:t>
      </w:r>
      <w:r w:rsidRPr="00D33DCB">
        <w:t xml:space="preserve">, Public Notice, 23 FCC Rcd 4572 (WTB 2013).  </w:t>
      </w:r>
    </w:p>
  </w:footnote>
  <w:footnote w:id="13">
    <w:p w14:paraId="7DAE3E5C" w14:textId="77777777" w:rsidR="003B473A" w:rsidRPr="00D33DCB" w:rsidRDefault="003B473A" w:rsidP="00D33DCB">
      <w:pPr>
        <w:pStyle w:val="FootnoteText"/>
        <w:jc w:val="left"/>
      </w:pPr>
      <w:r w:rsidRPr="00D33DCB">
        <w:rPr>
          <w:rStyle w:val="FootnoteReference"/>
        </w:rPr>
        <w:footnoteRef/>
      </w:r>
      <w:r w:rsidRPr="00D33DCB">
        <w:t xml:space="preserve"> On February 20, 2009, the Commission extended SAL’s License term and the term of certain other Lower 700 MHz band licenses by 116 days, to June 13, 2019, pursuant to the DTV Delay Act.  </w:t>
      </w:r>
      <w:r w:rsidRPr="00D33DCB">
        <w:rPr>
          <w:i/>
        </w:rPr>
        <w:t>See DTV Delay Order</w:t>
      </w:r>
      <w:r w:rsidRPr="00D33DCB">
        <w:t>,</w:t>
      </w:r>
      <w:r w:rsidRPr="00D33DCB">
        <w:rPr>
          <w:i/>
        </w:rPr>
        <w:t xml:space="preserve"> </w:t>
      </w:r>
      <w:r w:rsidRPr="00D33DCB">
        <w:t xml:space="preserve">24 FCC Rcd at 2543, para. 39.  And in 2013, the Commission extended SAL’s interim deadline and the interim deadline of certain other Lower 700 MHz band licenses until December 13, 2016.  </w:t>
      </w:r>
      <w:r w:rsidRPr="00D33DCB">
        <w:rPr>
          <w:i/>
        </w:rPr>
        <w:t>See 700 MHz Interoperability Order</w:t>
      </w:r>
      <w:r w:rsidRPr="00D33DCB">
        <w:rPr>
          <w:i/>
          <w:iCs/>
        </w:rPr>
        <w:t xml:space="preserve">, </w:t>
      </w:r>
      <w:r w:rsidRPr="00D33DCB">
        <w:t>28 FCC Rcd at 15151-52, paras. 64-65.</w:t>
      </w:r>
    </w:p>
  </w:footnote>
  <w:footnote w:id="14">
    <w:p w14:paraId="209B5612"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Waiver Request at 1; SAL Comments at 4-5.</w:t>
      </w:r>
    </w:p>
  </w:footnote>
  <w:footnote w:id="15">
    <w:p w14:paraId="0241B3C1" w14:textId="77777777" w:rsidR="003B473A" w:rsidRPr="00D33DCB" w:rsidRDefault="003B473A" w:rsidP="00D33DCB">
      <w:pPr>
        <w:pStyle w:val="FootnoteText"/>
        <w:jc w:val="left"/>
      </w:pPr>
      <w:r w:rsidRPr="00D33DCB">
        <w:rPr>
          <w:rStyle w:val="FootnoteReference"/>
        </w:rPr>
        <w:footnoteRef/>
      </w:r>
      <w:r w:rsidRPr="00D33DCB">
        <w:t xml:space="preserve"> Waiver Request at 2-3.  </w:t>
      </w:r>
      <w:r w:rsidRPr="00D33DCB">
        <w:rPr>
          <w:i/>
        </w:rPr>
        <w:t>See also</w:t>
      </w:r>
      <w:r w:rsidRPr="00D33DCB">
        <w:t xml:space="preserve"> SAL Comments at 2-3. </w:t>
      </w:r>
    </w:p>
  </w:footnote>
  <w:footnote w:id="16">
    <w:p w14:paraId="2D99A3F8" w14:textId="77777777" w:rsidR="003B473A" w:rsidRPr="00D33DCB" w:rsidRDefault="003B473A" w:rsidP="00D33DCB">
      <w:pPr>
        <w:pStyle w:val="FootnoteText"/>
        <w:jc w:val="left"/>
      </w:pPr>
      <w:r w:rsidRPr="00D33DCB">
        <w:rPr>
          <w:rStyle w:val="FootnoteReference"/>
        </w:rPr>
        <w:footnoteRef/>
      </w:r>
      <w:r w:rsidRPr="00D33DCB">
        <w:t xml:space="preserve"> Waiver Request at 3.  </w:t>
      </w:r>
      <w:r w:rsidRPr="00D33DCB">
        <w:rPr>
          <w:i/>
        </w:rPr>
        <w:t>See also</w:t>
      </w:r>
      <w:r w:rsidRPr="00D33DCB">
        <w:t xml:space="preserve"> SAL Comments at 4.</w:t>
      </w:r>
    </w:p>
  </w:footnote>
  <w:footnote w:id="17">
    <w:p w14:paraId="7A34250E" w14:textId="77777777" w:rsidR="003B473A" w:rsidRPr="00D33DCB" w:rsidRDefault="003B473A" w:rsidP="00D33DCB">
      <w:pPr>
        <w:pStyle w:val="FootnoteText"/>
        <w:jc w:val="left"/>
      </w:pPr>
      <w:r w:rsidRPr="00D33DCB">
        <w:rPr>
          <w:rStyle w:val="FootnoteReference"/>
        </w:rPr>
        <w:footnoteRef/>
      </w:r>
      <w:r w:rsidRPr="00D33DCB">
        <w:t xml:space="preserve"> Waiver Request at 3.  </w:t>
      </w:r>
      <w:r w:rsidRPr="00D33DCB">
        <w:rPr>
          <w:i/>
        </w:rPr>
        <w:t>See also</w:t>
      </w:r>
      <w:r w:rsidRPr="00D33DCB">
        <w:t xml:space="preserve"> SAL Comments at 4.</w:t>
      </w:r>
    </w:p>
  </w:footnote>
  <w:footnote w:id="18">
    <w:p w14:paraId="3D7E7143"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iCs/>
        </w:rPr>
        <w:t>See</w:t>
      </w:r>
      <w:r w:rsidRPr="00D33DCB">
        <w:t xml:space="preserve"> </w:t>
      </w:r>
      <w:r w:rsidRPr="00D33DCB">
        <w:rPr>
          <w:i/>
        </w:rPr>
        <w:t>Wireless Telecommunications Bureau Seeks Comment on SAL Spectrum LLC Request for Extension of Time to Meet Geographic Coverage Requirement for 700 MHz License in Texas</w:t>
      </w:r>
      <w:r w:rsidRPr="00D33DCB">
        <w:t>, Public Notice</w:t>
      </w:r>
      <w:r w:rsidRPr="00D33DCB">
        <w:rPr>
          <w:i/>
          <w:iCs/>
        </w:rPr>
        <w:t xml:space="preserve">, </w:t>
      </w:r>
      <w:r w:rsidRPr="00D33DCB">
        <w:rPr>
          <w:iCs/>
        </w:rPr>
        <w:t xml:space="preserve">31 FCC Rcd 12620 </w:t>
      </w:r>
      <w:r w:rsidRPr="00D33DCB">
        <w:t>(WTB 2016).</w:t>
      </w:r>
    </w:p>
  </w:footnote>
  <w:footnote w:id="19">
    <w:p w14:paraId="36CBF5D3"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SAL Comments at 5-6.</w:t>
      </w:r>
    </w:p>
  </w:footnote>
  <w:footnote w:id="20">
    <w:p w14:paraId="49A27B5D"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Id</w:t>
      </w:r>
      <w:r w:rsidRPr="00D33DCB">
        <w:t>.</w:t>
      </w:r>
    </w:p>
  </w:footnote>
  <w:footnote w:id="21">
    <w:p w14:paraId="79638535" w14:textId="77777777" w:rsidR="00C360F3" w:rsidRPr="00D33DCB" w:rsidRDefault="00C360F3" w:rsidP="00D33DCB">
      <w:pPr>
        <w:pStyle w:val="FootnoteText"/>
        <w:jc w:val="left"/>
      </w:pPr>
      <w:r w:rsidRPr="00D33DCB">
        <w:rPr>
          <w:rStyle w:val="FootnoteReference"/>
        </w:rPr>
        <w:footnoteRef/>
      </w:r>
      <w:r w:rsidRPr="00D33DCB">
        <w:t xml:space="preserve"> </w:t>
      </w:r>
      <w:r w:rsidRPr="00D33DCB">
        <w:rPr>
          <w:i/>
        </w:rPr>
        <w:t>See supra</w:t>
      </w:r>
      <w:r w:rsidRPr="00D33DCB">
        <w:t xml:space="preserve"> notes 1</w:t>
      </w:r>
      <w:r w:rsidR="000D1C90" w:rsidRPr="00D33DCB">
        <w:t>3</w:t>
      </w:r>
      <w:r w:rsidRPr="00D33DCB">
        <w:t>-1</w:t>
      </w:r>
      <w:r w:rsidR="000D1C90" w:rsidRPr="00D33DCB">
        <w:t>6</w:t>
      </w:r>
      <w:r w:rsidRPr="00D33DCB">
        <w:t>.</w:t>
      </w:r>
    </w:p>
  </w:footnote>
  <w:footnote w:id="22">
    <w:p w14:paraId="79FA4E11"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w:t>
      </w:r>
      <w:r w:rsidRPr="00D33DCB">
        <w:t xml:space="preserve"> Reply Comments of the Rural Wireless Association, Inc., filed Dec. 19, 2016 (RWA Reply Comments).  RWA (f/k/a RTG, the Rural Telecommunications Group) is a trade association representing rural wireless carriers that each serve fewer than 100,000 subscribers.  </w:t>
      </w:r>
      <w:r w:rsidRPr="00D33DCB">
        <w:rPr>
          <w:i/>
        </w:rPr>
        <w:t>See</w:t>
      </w:r>
      <w:r w:rsidRPr="00D33DCB">
        <w:t xml:space="preserve"> Rural Wireless Association, About Us, http://ruralwireless.org/about-rwa/.  </w:t>
      </w:r>
    </w:p>
  </w:footnote>
  <w:footnote w:id="23">
    <w:p w14:paraId="1291E048"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w:t>
      </w:r>
      <w:r w:rsidRPr="00D33DCB">
        <w:t xml:space="preserve"> RWA Reply Comments at 3-6. </w:t>
      </w:r>
    </w:p>
  </w:footnote>
  <w:footnote w:id="24">
    <w:p w14:paraId="0155F89C" w14:textId="77777777" w:rsidR="003B473A" w:rsidRPr="00D33DCB" w:rsidRDefault="003B473A" w:rsidP="00D33DCB">
      <w:pPr>
        <w:pStyle w:val="FootnoteText"/>
        <w:jc w:val="left"/>
      </w:pPr>
      <w:r w:rsidRPr="00D33DCB">
        <w:rPr>
          <w:rStyle w:val="FootnoteReference"/>
        </w:rPr>
        <w:footnoteRef/>
      </w:r>
      <w:r w:rsidRPr="00D33DCB">
        <w:t xml:space="preserve"> SAL </w:t>
      </w:r>
      <w:r w:rsidRPr="00D33DCB">
        <w:rPr>
          <w:i/>
        </w:rPr>
        <w:t>Ex Parte</w:t>
      </w:r>
      <w:r w:rsidRPr="00D33DCB">
        <w:t xml:space="preserve"> at 2.</w:t>
      </w:r>
    </w:p>
  </w:footnote>
  <w:footnote w:id="25">
    <w:p w14:paraId="5A2F32F7"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 id</w:t>
      </w:r>
      <w:r w:rsidRPr="00D33DCB">
        <w:t>.</w:t>
      </w:r>
    </w:p>
  </w:footnote>
  <w:footnote w:id="26">
    <w:p w14:paraId="5FC313B5"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id. </w:t>
      </w:r>
      <w:r w:rsidRPr="00D33DCB">
        <w:t xml:space="preserve">at 4, citing </w:t>
      </w:r>
      <w:r w:rsidRPr="00D33DCB">
        <w:rPr>
          <w:i/>
        </w:rPr>
        <w:t>T-Mobile License LLC Request for Waiver of Section 27.14(g)(1)</w:t>
      </w:r>
      <w:r w:rsidRPr="00D33DCB">
        <w:t xml:space="preserve">, Order, 31 FCC Rcd 13379 (WTB 2016), </w:t>
      </w:r>
      <w:r w:rsidRPr="00D33DCB">
        <w:rPr>
          <w:i/>
        </w:rPr>
        <w:t>application for review pending</w:t>
      </w:r>
      <w:r w:rsidRPr="00D33DCB">
        <w:t xml:space="preserve"> (granting T-Mobile a waiver of Section 27.14(g)(1) to meet alternative construction benchmarks for three Lower 700 MHz band licenses in Montana and Wyoming) (</w:t>
      </w:r>
      <w:r w:rsidRPr="00D33DCB">
        <w:rPr>
          <w:i/>
        </w:rPr>
        <w:t>T-Mobile Waiver Order</w:t>
      </w:r>
      <w:r w:rsidRPr="00D33DCB">
        <w:t>).</w:t>
      </w:r>
    </w:p>
  </w:footnote>
  <w:footnote w:id="27">
    <w:p w14:paraId="59D7F439" w14:textId="08D78980" w:rsidR="003B473A" w:rsidRPr="00D33DCB" w:rsidRDefault="003B473A" w:rsidP="00D33DCB">
      <w:pPr>
        <w:pStyle w:val="FootnoteText"/>
        <w:jc w:val="left"/>
      </w:pPr>
      <w:r w:rsidRPr="00D33DCB">
        <w:rPr>
          <w:rStyle w:val="FootnoteReference"/>
        </w:rPr>
        <w:footnoteRef/>
      </w:r>
      <w:r w:rsidRPr="00D33DCB">
        <w:t xml:space="preserve"> </w:t>
      </w:r>
      <w:r w:rsidR="0041338B">
        <w:t xml:space="preserve">Written </w:t>
      </w:r>
      <w:r w:rsidRPr="00D33DCB">
        <w:rPr>
          <w:i/>
        </w:rPr>
        <w:t>Ex Parte</w:t>
      </w:r>
      <w:r w:rsidRPr="00D33DCB">
        <w:t xml:space="preserve"> </w:t>
      </w:r>
      <w:r w:rsidR="0041338B">
        <w:t>Filing by the</w:t>
      </w:r>
      <w:r w:rsidRPr="00D33DCB">
        <w:t xml:space="preserve"> Rural Wireless Association,</w:t>
      </w:r>
      <w:r w:rsidR="0041338B">
        <w:t xml:space="preserve"> Inc.</w:t>
      </w:r>
      <w:r w:rsidRPr="00D33DCB">
        <w:t xml:space="preserve">, WT Docket No. 16-392, at 2 (filed Jan. 27, 2017), citing 47 CFR §§ 1.415, 1.419 (RWA </w:t>
      </w:r>
      <w:r w:rsidRPr="00D33DCB">
        <w:rPr>
          <w:i/>
        </w:rPr>
        <w:t>Ex Parte</w:t>
      </w:r>
      <w:r w:rsidRPr="00D33DCB">
        <w:t>).</w:t>
      </w:r>
    </w:p>
  </w:footnote>
  <w:footnote w:id="28">
    <w:p w14:paraId="4CC11702"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000D1C90" w:rsidRPr="00D33DCB">
        <w:t xml:space="preserve">RWA </w:t>
      </w:r>
      <w:r w:rsidR="000D1C90" w:rsidRPr="00D33DCB">
        <w:rPr>
          <w:i/>
        </w:rPr>
        <w:t>Ex Parte</w:t>
      </w:r>
      <w:r w:rsidRPr="00D33DCB">
        <w:t xml:space="preserve"> at 3.</w:t>
      </w:r>
    </w:p>
  </w:footnote>
  <w:footnote w:id="29">
    <w:p w14:paraId="269C7B93"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Id.</w:t>
      </w:r>
      <w:r w:rsidRPr="00D33DCB">
        <w:t xml:space="preserve"> at 4, citing Application for Review of the Rural Wireless Association, Inc., WT Docket No. 16-319 (filed Jan. 23, 2017).</w:t>
      </w:r>
    </w:p>
  </w:footnote>
  <w:footnote w:id="30">
    <w:p w14:paraId="5C3D73B1"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RWA Reply Comments at 5-6.</w:t>
      </w:r>
    </w:p>
  </w:footnote>
  <w:footnote w:id="31">
    <w:p w14:paraId="297CACF2" w14:textId="60A6CA7A" w:rsidR="008C15BC" w:rsidRDefault="008C15BC">
      <w:pPr>
        <w:pStyle w:val="FootnoteText"/>
      </w:pPr>
      <w:r>
        <w:rPr>
          <w:rStyle w:val="FootnoteReference"/>
        </w:rPr>
        <w:footnoteRef/>
      </w:r>
      <w:r>
        <w:t xml:space="preserve"> </w:t>
      </w:r>
      <w:r w:rsidRPr="008C15BC">
        <w:rPr>
          <w:i/>
        </w:rPr>
        <w:t>See supra</w:t>
      </w:r>
      <w:r>
        <w:t xml:space="preserve"> </w:t>
      </w:r>
      <w:r w:rsidRPr="00D33DCB">
        <w:t xml:space="preserve">note </w:t>
      </w:r>
      <w:r>
        <w:t>26.</w:t>
      </w:r>
    </w:p>
  </w:footnote>
  <w:footnote w:id="32">
    <w:p w14:paraId="3C8C3D78" w14:textId="77777777" w:rsidR="003B473A" w:rsidRPr="00D33DCB" w:rsidRDefault="003B473A" w:rsidP="00D33DCB">
      <w:pPr>
        <w:pStyle w:val="FootnoteText"/>
        <w:jc w:val="left"/>
      </w:pPr>
      <w:r w:rsidRPr="00D33DCB">
        <w:rPr>
          <w:rStyle w:val="FootnoteReference"/>
        </w:rPr>
        <w:footnoteRef/>
      </w:r>
      <w:r w:rsidRPr="00D33DCB">
        <w:t xml:space="preserve"> 47 CFR § 1.925(b)(3).</w:t>
      </w:r>
    </w:p>
  </w:footnote>
  <w:footnote w:id="33">
    <w:p w14:paraId="6B1EFB35"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w:t>
      </w:r>
      <w:r w:rsidRPr="00D33DCB">
        <w:t xml:space="preserve">, </w:t>
      </w:r>
      <w:r w:rsidRPr="00D33DCB">
        <w:rPr>
          <w:i/>
        </w:rPr>
        <w:t>e.g.</w:t>
      </w:r>
      <w:r w:rsidRPr="00D33DCB">
        <w:t xml:space="preserve">, 47 U.S.C. § 309.  </w:t>
      </w:r>
      <w:r w:rsidRPr="00D33DCB">
        <w:rPr>
          <w:i/>
        </w:rPr>
        <w:t>See also</w:t>
      </w:r>
      <w:r w:rsidRPr="00D33DCB">
        <w:t xml:space="preserve">, </w:t>
      </w:r>
      <w:r w:rsidRPr="00D33DCB">
        <w:rPr>
          <w:i/>
        </w:rPr>
        <w:t>e.g.</w:t>
      </w:r>
      <w:r w:rsidRPr="00D33DCB">
        <w:t xml:space="preserve">, </w:t>
      </w:r>
      <w:r w:rsidRPr="00D33DCB">
        <w:rPr>
          <w:i/>
          <w:iCs/>
        </w:rPr>
        <w:t>Service Rules for Advanced Wireless Services in the 2000-2020 MHz and 2180-2200 MHz Bands</w:t>
      </w:r>
      <w:r w:rsidRPr="00D33DCB">
        <w:t xml:space="preserve">, Report and Order and Order of Proposed Modification, 27 FCC Rcd 16102, 16173-74, para. 187 (2012) (“The Commission establishes performance requirements to promote the productive use of spectrum, to encourage licensees to provide service to customers expeditiously, and to promote the provision of innovative services throughout the license area(s), including in rural areas.”); </w:t>
      </w:r>
      <w:r w:rsidRPr="00D33DCB">
        <w:rPr>
          <w:i/>
        </w:rPr>
        <w:t>700 MHz Second Report and Order</w:t>
      </w:r>
      <w:r w:rsidRPr="00D33DCB">
        <w:t xml:space="preserve">, 22 FCC Rcd at 15348-49, paras. 154-155 (highlighting several important policy goals advanced by adoption of performance requirements, including to “better promote access to spectrum and the provision of service, especially in rural areas”); </w:t>
      </w:r>
      <w:r w:rsidRPr="00D33DCB">
        <w:rPr>
          <w:i/>
          <w:iCs/>
        </w:rPr>
        <w:t>Amendment of the Commission’s Rules to Establish New Personal Communications Services</w:t>
      </w:r>
      <w:r w:rsidRPr="00D33DCB">
        <w:t>, Memorandum Opinion and Order, 9 FCC Rcd 4957, 5018-19, paras. 154-56 (1994) (imposing construction requirements to ensure effective spectrum use and promote nationwide coverage notwithstanding varying population densities).</w:t>
      </w:r>
    </w:p>
  </w:footnote>
  <w:footnote w:id="34">
    <w:p w14:paraId="1E981F8F"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 e.g.</w:t>
      </w:r>
      <w:r w:rsidRPr="00D33DCB">
        <w:t>, 47 U.S.C. § 151.</w:t>
      </w:r>
    </w:p>
  </w:footnote>
  <w:footnote w:id="35">
    <w:p w14:paraId="4CFF7BCD"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color w:val="000000" w:themeColor="text1"/>
        </w:rPr>
        <w:t>See</w:t>
      </w:r>
      <w:r w:rsidRPr="00D33DCB">
        <w:rPr>
          <w:color w:val="000000" w:themeColor="text1"/>
        </w:rPr>
        <w:t xml:space="preserve"> </w:t>
      </w:r>
      <w:r w:rsidRPr="00D33DCB">
        <w:rPr>
          <w:i/>
          <w:color w:val="000000" w:themeColor="text1"/>
        </w:rPr>
        <w:t xml:space="preserve">WAIT Radio v. FCC, </w:t>
      </w:r>
      <w:r w:rsidRPr="00D33DCB">
        <w:rPr>
          <w:color w:val="000000" w:themeColor="text1"/>
        </w:rPr>
        <w:t xml:space="preserve">459 F.2d 1203, 1207 (D.C. Cir. 1972).  </w:t>
      </w:r>
    </w:p>
  </w:footnote>
  <w:footnote w:id="36">
    <w:p w14:paraId="003D52ED"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 xml:space="preserve">47 U.S.C. § 309(j)(3)(D).  </w:t>
      </w:r>
      <w:r w:rsidRPr="00D33DCB">
        <w:rPr>
          <w:i/>
        </w:rPr>
        <w:t xml:space="preserve">Cf. id. </w:t>
      </w:r>
      <w:r w:rsidRPr="00D33DCB">
        <w:t>§ 309(j)(4)(B).</w:t>
      </w:r>
    </w:p>
  </w:footnote>
  <w:footnote w:id="37">
    <w:p w14:paraId="4BA2ED58"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WAIT Radio v. FCC, </w:t>
      </w:r>
      <w:r w:rsidRPr="00D33DCB">
        <w:t xml:space="preserve">418 F.2d 1153, 1157 (D.C. Cir. 1969), </w:t>
      </w:r>
      <w:r w:rsidRPr="00D33DCB">
        <w:rPr>
          <w:i/>
        </w:rPr>
        <w:t xml:space="preserve">aff'd, </w:t>
      </w:r>
      <w:r w:rsidRPr="00D33DCB">
        <w:t xml:space="preserve">459 F.2d 1203 (1972), </w:t>
      </w:r>
      <w:r w:rsidRPr="00D33DCB">
        <w:rPr>
          <w:i/>
        </w:rPr>
        <w:t>cert. denied</w:t>
      </w:r>
      <w:r w:rsidRPr="00D33DCB">
        <w:t xml:space="preserve">, 93 S. Ct. 461 (1972).  </w:t>
      </w:r>
    </w:p>
  </w:footnote>
  <w:footnote w:id="38">
    <w:p w14:paraId="447818FE" w14:textId="77777777" w:rsidR="007248BF" w:rsidRPr="00D33DCB" w:rsidRDefault="007248BF" w:rsidP="00D33DCB">
      <w:pPr>
        <w:pStyle w:val="FootnoteText"/>
        <w:jc w:val="left"/>
      </w:pPr>
      <w:r w:rsidRPr="00D33DCB">
        <w:rPr>
          <w:rStyle w:val="FootnoteReference"/>
        </w:rPr>
        <w:footnoteRef/>
      </w:r>
      <w:r w:rsidRPr="00D33DCB">
        <w:t xml:space="preserve"> </w:t>
      </w:r>
      <w:r w:rsidR="00540904" w:rsidRPr="00D33DCB">
        <w:rPr>
          <w:i/>
        </w:rPr>
        <w:t xml:space="preserve">See </w:t>
      </w:r>
      <w:r w:rsidRPr="00D33DCB">
        <w:rPr>
          <w:i/>
        </w:rPr>
        <w:t>700 MHz Second Report and Order</w:t>
      </w:r>
      <w:r w:rsidRPr="00D33DCB">
        <w:t>, 22 FCC Rcd at 15348-49, paras. 154-155.</w:t>
      </w:r>
    </w:p>
  </w:footnote>
  <w:footnote w:id="39">
    <w:p w14:paraId="4E63B033" w14:textId="77777777" w:rsidR="005E3E17" w:rsidRPr="00D33DCB" w:rsidRDefault="005E3E17" w:rsidP="00D33DCB">
      <w:pPr>
        <w:pStyle w:val="FootnoteText"/>
        <w:jc w:val="left"/>
      </w:pPr>
      <w:r w:rsidRPr="00D33DCB">
        <w:rPr>
          <w:rStyle w:val="FootnoteReference"/>
        </w:rPr>
        <w:footnoteRef/>
      </w:r>
      <w:r w:rsidRPr="00D33DCB">
        <w:t xml:space="preserve"> Waiver Request at 2-3.  SAL Comments at 2-4.</w:t>
      </w:r>
    </w:p>
  </w:footnote>
  <w:footnote w:id="40">
    <w:p w14:paraId="616B6BE4"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CFR § 27.14(g)(1).</w:t>
      </w:r>
    </w:p>
  </w:footnote>
  <w:footnote w:id="41">
    <w:p w14:paraId="71170216"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SAL Comments at 5-6.</w:t>
      </w:r>
    </w:p>
  </w:footnote>
  <w:footnote w:id="42">
    <w:p w14:paraId="1AB7F44A" w14:textId="5BA194D8" w:rsidR="00846B02" w:rsidRPr="00D33DCB" w:rsidRDefault="003B473A" w:rsidP="00D33DCB">
      <w:pPr>
        <w:pStyle w:val="FootnoteText"/>
        <w:jc w:val="left"/>
      </w:pPr>
      <w:r w:rsidRPr="00D33DCB">
        <w:rPr>
          <w:rStyle w:val="FootnoteReference"/>
        </w:rPr>
        <w:footnoteRef/>
      </w:r>
      <w:r w:rsidRPr="00D33DCB">
        <w:t xml:space="preserve"> </w:t>
      </w:r>
      <w:r w:rsidR="00846B02" w:rsidRPr="00D33DCB">
        <w:t>Waiver Request at 2-3.</w:t>
      </w:r>
    </w:p>
  </w:footnote>
  <w:footnote w:id="43">
    <w:p w14:paraId="1E237CBF"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 xml:space="preserve">See </w:t>
      </w:r>
      <w:r w:rsidRPr="00D33DCB">
        <w:t xml:space="preserve">Waiver Request at 2-3; SAL Comments at 2-4.  </w:t>
      </w:r>
    </w:p>
  </w:footnote>
  <w:footnote w:id="44">
    <w:p w14:paraId="52757843"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w:t>
      </w:r>
      <w:r w:rsidRPr="00D33DCB">
        <w:t xml:space="preserve"> SAL Comments at 4.</w:t>
      </w:r>
    </w:p>
  </w:footnote>
  <w:footnote w:id="45">
    <w:p w14:paraId="7F938A1D"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w:t>
      </w:r>
      <w:r w:rsidRPr="00D33DCB">
        <w:t xml:space="preserve">, </w:t>
      </w:r>
      <w:r w:rsidRPr="00D33DCB">
        <w:rPr>
          <w:i/>
        </w:rPr>
        <w:t>e.g.</w:t>
      </w:r>
      <w:r w:rsidRPr="00D33DCB">
        <w:t xml:space="preserve">, </w:t>
      </w:r>
      <w:r w:rsidRPr="00D33DCB">
        <w:rPr>
          <w:i/>
        </w:rPr>
        <w:t>Warren C. Havens</w:t>
      </w:r>
      <w:r w:rsidRPr="00D33DCB">
        <w:t>, Order, 27 FCC Rcd 5841, 5851-52, para. 24 (WTB 2012) (denying waiver request because the licensee chose to deploy a particular technology and there was a lack of evidence that “shifting plans” would lead to spectrum use soon);</w:t>
      </w:r>
      <w:r w:rsidRPr="00D33DCB">
        <w:rPr>
          <w:i/>
        </w:rPr>
        <w:t xml:space="preserve"> Motient Commc’ns</w:t>
      </w:r>
      <w:r w:rsidRPr="00D33DCB">
        <w:t>, Order, 19 FCC Rcd 13086, 13092, para. 13 (WTB 2004) (denying waiver request because the economic downturn resulting in the licensee’s financial difficulties were not unique or unforeseeable and permitting licensee to retain licenses until it becomes more cost-effective to build would not be in the public interest);</w:t>
      </w:r>
      <w:r w:rsidRPr="00D33DCB">
        <w:rPr>
          <w:i/>
        </w:rPr>
        <w:t xml:space="preserve"> Eldorado Commc’ns, L.L.C.</w:t>
      </w:r>
      <w:r w:rsidRPr="00D33DCB">
        <w:t xml:space="preserve">, Order, 17 FCC Rcd 24613, 24616-19, paras. 8-13 (WTB 2002) (denying waiver request for various reasons, including that the licensee was only in preliminary stages of construction toward the end of the construction deadline, despite holding licenses for years; service was being offered by others in the license areas, meaning that granting licensee’s request was not going to result in appreciable benefit of service being offered; the licensee was not serving any customers; and the licensee’s delay in acquiring equipment was its own decision and failed to account for standards changes expected to be part of wireless business).  </w:t>
      </w:r>
      <w:r w:rsidRPr="00D33DCB">
        <w:rPr>
          <w:i/>
        </w:rPr>
        <w:t>See also</w:t>
      </w:r>
      <w:r w:rsidRPr="00D33DCB">
        <w:t xml:space="preserve"> RWA Reply Comments at 6-7.</w:t>
      </w:r>
    </w:p>
  </w:footnote>
  <w:footnote w:id="46">
    <w:p w14:paraId="5A266A54"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 T-Mobile Waiver Order</w:t>
      </w:r>
      <w:r w:rsidRPr="00D33DCB">
        <w:t xml:space="preserve">.  The </w:t>
      </w:r>
      <w:r w:rsidRPr="00D33DCB">
        <w:rPr>
          <w:i/>
        </w:rPr>
        <w:t>T-Mobile Waiver Order</w:t>
      </w:r>
      <w:r w:rsidRPr="00D33DCB">
        <w:t xml:space="preserve"> applied to two Lower 700 MHz A Block licenses (Call Sign WQJQ805, Basic Economic Area (BEA) 144 - Billings, MT-WY; and Call Sign WQJQ806, BEA145 - Great Falls, MT) and one Lower 700 MHz B Block license (Call Sign WQJQ807, CMA527 - Montana 5 – Mineral).  The Division granted T-Mobile a waiver of Section 27.14(g)(1), requiring among other things that: (1) by April 21, 2017, it provide coverage and offer service to at least 35 percent of the geographic area of the B Block license; (2) by January 21, 2018, it provide coverage and offer service to at least 40 percent of the geographic area for each license; and (3) by January 21, 2019, it provide coverage and offer service to at least 70 percent of the geographic area for each license.  </w:t>
      </w:r>
      <w:r w:rsidRPr="00D33DCB">
        <w:rPr>
          <w:i/>
        </w:rPr>
        <w:t xml:space="preserve">See </w:t>
      </w:r>
      <w:r w:rsidR="005E3E17" w:rsidRPr="00D33DCB">
        <w:rPr>
          <w:i/>
        </w:rPr>
        <w:t>id.</w:t>
      </w:r>
      <w:r w:rsidRPr="00D33DCB">
        <w:t xml:space="preserve"> at 13384-85.</w:t>
      </w:r>
    </w:p>
  </w:footnote>
  <w:footnote w:id="47">
    <w:p w14:paraId="0EC9F2A8" w14:textId="77777777" w:rsidR="003B473A" w:rsidRPr="00D33DCB" w:rsidRDefault="003B473A" w:rsidP="00D33DCB">
      <w:pPr>
        <w:pStyle w:val="FootnoteText"/>
        <w:jc w:val="left"/>
      </w:pPr>
      <w:r w:rsidRPr="00D33DCB">
        <w:rPr>
          <w:rStyle w:val="FootnoteReference"/>
        </w:rPr>
        <w:footnoteRef/>
      </w:r>
      <w:r w:rsidRPr="00D33DCB">
        <w:t xml:space="preserve"> </w:t>
      </w:r>
      <w:r w:rsidR="005E3E17" w:rsidRPr="00D33DCB">
        <w:rPr>
          <w:i/>
        </w:rPr>
        <w:t>Id.</w:t>
      </w:r>
      <w:r w:rsidRPr="00D33DCB">
        <w:t xml:space="preserve"> at 13379. </w:t>
      </w:r>
    </w:p>
  </w:footnote>
  <w:footnote w:id="48">
    <w:p w14:paraId="746EDE36" w14:textId="77777777" w:rsidR="003B473A" w:rsidRPr="00D33DCB" w:rsidRDefault="003B473A" w:rsidP="00D33DCB">
      <w:pPr>
        <w:pStyle w:val="FootnoteText"/>
        <w:jc w:val="left"/>
      </w:pPr>
      <w:r w:rsidRPr="00D33DCB">
        <w:rPr>
          <w:rStyle w:val="FootnoteReference"/>
        </w:rPr>
        <w:footnoteRef/>
      </w:r>
      <w:r w:rsidRPr="00D33DCB">
        <w:t xml:space="preserve"> The Commission defines a “rural” county as one with a population density of 100 persons per square mile or less.     </w:t>
      </w:r>
      <w:r w:rsidRPr="00D33DCB">
        <w:rPr>
          <w:i/>
        </w:rPr>
        <w:t>Facilitating the Provision of Spectrum-Based Services to Rural Areas and Promoting Opportunities for Rural Telephone Companies to Provide Spectrum-Based Services</w:t>
      </w:r>
      <w:r w:rsidRPr="00D33DCB">
        <w:t xml:space="preserve">, Report and Order and Further Notice of Proposed Rule Making, 19 FCC Rcd 19078, 19087, para. 11 (WTB 2004).  </w:t>
      </w:r>
      <w:r w:rsidRPr="00D33DCB">
        <w:rPr>
          <w:i/>
        </w:rPr>
        <w:t xml:space="preserve">See also </w:t>
      </w:r>
      <w:r w:rsidRPr="00D33DCB">
        <w:t>U.S. Census Bureau, 2010 Census of Population and Housing, Population and Housing Unity Counts, Texas: 2010, Tbl. 5 (Sept. 2012), https://www.census.gov/prod/cen2010/cph-2-45.pdf.</w:t>
      </w:r>
    </w:p>
  </w:footnote>
  <w:footnote w:id="49">
    <w:p w14:paraId="5C4FACE2"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w:t>
      </w:r>
      <w:r w:rsidRPr="00D33DCB">
        <w:t xml:space="preserve"> U.S. Census Bureau, Quick Facts, https://www.census.gov/quickfacts/table/PST045216/00.</w:t>
      </w:r>
    </w:p>
  </w:footnote>
  <w:footnote w:id="50">
    <w:p w14:paraId="77A85043" w14:textId="77777777" w:rsidR="003B473A" w:rsidRPr="00D33DCB" w:rsidRDefault="003B473A" w:rsidP="00D33DCB">
      <w:pPr>
        <w:pStyle w:val="FootnoteText"/>
        <w:jc w:val="left"/>
      </w:pPr>
      <w:r w:rsidRPr="00D33DCB">
        <w:rPr>
          <w:rStyle w:val="FootnoteReference"/>
        </w:rPr>
        <w:footnoteRef/>
      </w:r>
      <w:r w:rsidRPr="00D33DCB">
        <w:t xml:space="preserve"> The harsh winter weather in rural Montana and Wyoming moreover limits the number of months when construction can be undertaken, a factor not present in SAL’s Texas License area.  </w:t>
      </w:r>
      <w:r w:rsidRPr="00D33DCB">
        <w:rPr>
          <w:i/>
        </w:rPr>
        <w:t>See T-Mobile Waiver</w:t>
      </w:r>
      <w:r w:rsidRPr="00D33DCB">
        <w:t xml:space="preserve"> </w:t>
      </w:r>
      <w:r w:rsidRPr="00D33DCB">
        <w:rPr>
          <w:i/>
        </w:rPr>
        <w:t>Order</w:t>
      </w:r>
      <w:r w:rsidRPr="00D33DCB">
        <w:t>,</w:t>
      </w:r>
      <w:r w:rsidRPr="00D33DCB">
        <w:rPr>
          <w:i/>
        </w:rPr>
        <w:t xml:space="preserve"> </w:t>
      </w:r>
      <w:r w:rsidRPr="00D33DCB">
        <w:t xml:space="preserve">31 FCC Rcd at 13382. </w:t>
      </w:r>
    </w:p>
  </w:footnote>
  <w:footnote w:id="51">
    <w:p w14:paraId="0F1C0557" w14:textId="5D5AB25C" w:rsidR="003B473A" w:rsidRPr="00D33DCB" w:rsidRDefault="003B473A" w:rsidP="00D33DCB">
      <w:pPr>
        <w:pStyle w:val="FootnoteText"/>
        <w:jc w:val="left"/>
      </w:pPr>
      <w:r w:rsidRPr="00D33DCB">
        <w:rPr>
          <w:rStyle w:val="FootnoteReference"/>
        </w:rPr>
        <w:footnoteRef/>
      </w:r>
      <w:r w:rsidRPr="00D33DCB">
        <w:t xml:space="preserve"> </w:t>
      </w:r>
      <w:r w:rsidR="00FF3EB8" w:rsidRPr="00D33DCB">
        <w:t>The Commission’s Universal Licensing System reflects that AT&amp;T, Sprint, T-Mobile, and Verizon currently provide service in the market area</w:t>
      </w:r>
      <w:r w:rsidRPr="00D33DCB">
        <w:t xml:space="preserve">.  </w:t>
      </w:r>
      <w:r w:rsidR="00FF3EB8" w:rsidRPr="00D33DCB">
        <w:rPr>
          <w:i/>
        </w:rPr>
        <w:t>See</w:t>
      </w:r>
      <w:r w:rsidR="00FF3EB8" w:rsidRPr="00D33DCB">
        <w:t xml:space="preserve"> http://wireless.fcc.gov/uls/index.htm?job=home.</w:t>
      </w:r>
    </w:p>
  </w:footnote>
  <w:footnote w:id="52">
    <w:p w14:paraId="41059CC4" w14:textId="77777777" w:rsidR="003B473A" w:rsidRPr="00D33DCB" w:rsidRDefault="003B473A" w:rsidP="00D33DCB">
      <w:pPr>
        <w:pStyle w:val="FootnoteText"/>
        <w:jc w:val="left"/>
      </w:pPr>
      <w:r w:rsidRPr="00D33DCB">
        <w:rPr>
          <w:rStyle w:val="FootnoteReference"/>
        </w:rPr>
        <w:footnoteRef/>
      </w:r>
      <w:r w:rsidRPr="00D33DCB">
        <w:t xml:space="preserve"> SAL </w:t>
      </w:r>
      <w:r w:rsidRPr="00D33DCB">
        <w:rPr>
          <w:i/>
        </w:rPr>
        <w:t>Ex Parte</w:t>
      </w:r>
      <w:r w:rsidRPr="00D33DCB">
        <w:t xml:space="preserve"> at 3.</w:t>
      </w:r>
    </w:p>
  </w:footnote>
  <w:footnote w:id="53">
    <w:p w14:paraId="0F5BF3F5"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See</w:t>
      </w:r>
      <w:r w:rsidRPr="00D33DCB">
        <w:t xml:space="preserve"> U.S. Census Bureau, Quick Facts, https://www.census.gov/quickfacts/table/PST045216/00.</w:t>
      </w:r>
    </w:p>
  </w:footnote>
  <w:footnote w:id="54">
    <w:p w14:paraId="55AAAEEE" w14:textId="77777777" w:rsidR="003B473A" w:rsidRPr="00D33DCB" w:rsidRDefault="003B473A" w:rsidP="00D33DCB">
      <w:pPr>
        <w:pStyle w:val="FootnoteText"/>
        <w:jc w:val="left"/>
      </w:pPr>
      <w:r w:rsidRPr="00D33DCB">
        <w:rPr>
          <w:rStyle w:val="FootnoteReference"/>
        </w:rPr>
        <w:footnoteRef/>
      </w:r>
      <w:r w:rsidRPr="00D33DCB">
        <w:t xml:space="preserve"> </w:t>
      </w:r>
      <w:r w:rsidRPr="00D33DCB">
        <w:rPr>
          <w:i/>
        </w:rPr>
        <w:t>Id</w:t>
      </w:r>
      <w:r w:rsidRPr="00D33DCB">
        <w:t>.</w:t>
      </w:r>
    </w:p>
  </w:footnote>
  <w:footnote w:id="55">
    <w:p w14:paraId="036A819E" w14:textId="77777777" w:rsidR="00945141" w:rsidRPr="00D33DCB" w:rsidRDefault="00945141" w:rsidP="00D33DCB">
      <w:pPr>
        <w:autoSpaceDE w:val="0"/>
        <w:autoSpaceDN w:val="0"/>
        <w:adjustRightInd w:val="0"/>
        <w:spacing w:after="120"/>
      </w:pPr>
      <w:r w:rsidRPr="00D33DCB">
        <w:rPr>
          <w:rStyle w:val="FootnoteReference"/>
        </w:rPr>
        <w:footnoteRef/>
      </w:r>
      <w:r w:rsidRPr="00D33DCB">
        <w:t xml:space="preserve"> </w:t>
      </w:r>
      <w:r w:rsidRPr="00D33DCB">
        <w:rPr>
          <w:i/>
        </w:rPr>
        <w:t>700 MHz Construction and Reporting Requirements</w:t>
      </w:r>
      <w:r w:rsidRPr="00D33DCB">
        <w:t>, Public Notice, 26 FCC Rcd 16442, 16445 (WTB 2011) (</w:t>
      </w:r>
      <w:r w:rsidRPr="00D33DCB">
        <w:rPr>
          <w:i/>
        </w:rPr>
        <w:t>700 MHz Requirements Public Notice</w:t>
      </w:r>
      <w:r w:rsidRPr="00D33DCB">
        <w:t xml:space="preserve">).  </w:t>
      </w:r>
      <w:r w:rsidRPr="00D33DCB">
        <w:rPr>
          <w:i/>
        </w:rPr>
        <w:t xml:space="preserve">See also </w:t>
      </w:r>
      <w:r w:rsidRPr="00D33DCB">
        <w:t xml:space="preserve">47 CFR § 27.14(k).  Section 27.14(g)(1) states that licensees that fail to meet the interim construction requirement may be subject to enforcement action, including forfeitures.  47 CFR § 27.14(g)(1).  The </w:t>
      </w:r>
      <w:r w:rsidRPr="00D33DCB">
        <w:rPr>
          <w:i/>
        </w:rPr>
        <w:t xml:space="preserve">700 MHz Requirements Public Notice </w:t>
      </w:r>
      <w:r w:rsidRPr="00D33DCB">
        <w:t xml:space="preserve">explains that “licensees undertaking no meaningful efforts to build out their networks may lose the authority to operate in part of the remaining unserved areas of the license, at the Commission’s discretion.”  </w:t>
      </w:r>
      <w:r w:rsidRPr="00D33DCB">
        <w:rPr>
          <w:i/>
        </w:rPr>
        <w:t>700 MHz Requirements Public Notice</w:t>
      </w:r>
      <w:r w:rsidRPr="00D33DCB">
        <w:t>, 26 FCC Rcd 16442, 16445.</w:t>
      </w:r>
    </w:p>
  </w:footnote>
  <w:footnote w:id="56">
    <w:p w14:paraId="4025EC25" w14:textId="77A91C0C" w:rsidR="00945141" w:rsidRPr="00D33DCB" w:rsidRDefault="00945141" w:rsidP="00D33DCB">
      <w:pPr>
        <w:pStyle w:val="FootnoteText"/>
        <w:jc w:val="left"/>
      </w:pPr>
      <w:r w:rsidRPr="00D33DCB">
        <w:rPr>
          <w:rStyle w:val="FootnoteReference"/>
        </w:rPr>
        <w:footnoteRef/>
      </w:r>
      <w:r w:rsidRPr="00D33DCB">
        <w:t xml:space="preserve"> </w:t>
      </w:r>
      <w:r w:rsidRPr="00D33DCB">
        <w:rPr>
          <w:i/>
        </w:rPr>
        <w:t>See</w:t>
      </w:r>
      <w:r w:rsidR="00ED7766" w:rsidRPr="00D33DCB">
        <w:t xml:space="preserve"> 47 CFR </w:t>
      </w:r>
      <w:r w:rsidRPr="00D33DCB">
        <w:t>§ 1.946(d).</w:t>
      </w:r>
    </w:p>
  </w:footnote>
  <w:footnote w:id="57">
    <w:p w14:paraId="09E1239B" w14:textId="77777777" w:rsidR="00945141" w:rsidRPr="00D33DCB" w:rsidRDefault="00945141" w:rsidP="00D33DCB">
      <w:pPr>
        <w:pStyle w:val="FootnoteText"/>
        <w:jc w:val="left"/>
      </w:pPr>
      <w:r w:rsidRPr="00D33DCB">
        <w:rPr>
          <w:rStyle w:val="FootnoteReference"/>
        </w:rPr>
        <w:footnoteRef/>
      </w:r>
      <w:r w:rsidRPr="00D33DCB">
        <w:t xml:space="preserve"> If needed, SAL may contact Jeremy Reynolds, Program Analyst, Mobility Division, (202 418-0447; Jeremy.Reynolds</w:t>
      </w:r>
      <w:r w:rsidRPr="00D33DCB" w:rsidDel="00EF139C">
        <w:t>lads</w:t>
      </w:r>
      <w:r w:rsidRPr="00D33DCB">
        <w:t xml:space="preserve">@FCC.gov) for assistance with filing its construction notification.   </w:t>
      </w:r>
    </w:p>
  </w:footnote>
  <w:footnote w:id="58">
    <w:p w14:paraId="12360A90" w14:textId="77777777" w:rsidR="00250328" w:rsidRPr="00D33DCB" w:rsidRDefault="00250328" w:rsidP="00250328">
      <w:pPr>
        <w:pStyle w:val="FootnoteText"/>
        <w:jc w:val="left"/>
      </w:pPr>
      <w:r w:rsidRPr="00D33DCB">
        <w:rPr>
          <w:rStyle w:val="FootnoteReference"/>
        </w:rPr>
        <w:footnoteRef/>
      </w:r>
      <w:r w:rsidRPr="00D33DCB">
        <w:t xml:space="preserve"> </w:t>
      </w:r>
      <w:r w:rsidRPr="00D33DCB">
        <w:rPr>
          <w:i/>
        </w:rPr>
        <w:t xml:space="preserve">See 700 MHz Second Report and Order, </w:t>
      </w:r>
      <w:r w:rsidRPr="00D33DCB">
        <w:t>22 FCC Rcd at 15348, para. 153; 47 CFR § 27.14(g)(2).</w:t>
      </w:r>
    </w:p>
  </w:footnote>
  <w:footnote w:id="59">
    <w:p w14:paraId="27BCA80B" w14:textId="77777777" w:rsidR="009B1E42" w:rsidRPr="00D33DCB" w:rsidRDefault="009B1E42" w:rsidP="009B1E42">
      <w:pPr>
        <w:pStyle w:val="FootnoteText"/>
        <w:jc w:val="left"/>
      </w:pPr>
      <w:r w:rsidRPr="00D33DCB">
        <w:rPr>
          <w:rStyle w:val="FootnoteReference"/>
        </w:rPr>
        <w:footnoteRef/>
      </w:r>
      <w:r w:rsidRPr="00D33DCB">
        <w:t xml:space="preserve"> Section 27.14(g)(2) states that licensees that fail to meet the final construction requirement may be subject to enforcement action, including forfeitures, and may be subject to license termination.  47 CFR § 27.14(g)(2).  </w:t>
      </w:r>
    </w:p>
  </w:footnote>
  <w:footnote w:id="60">
    <w:p w14:paraId="3E3FDE79" w14:textId="77777777" w:rsidR="00250328" w:rsidRPr="00D33DCB" w:rsidRDefault="00250328" w:rsidP="00250328">
      <w:pPr>
        <w:pStyle w:val="FootnoteText"/>
        <w:jc w:val="left"/>
      </w:pPr>
      <w:r w:rsidRPr="00D33DCB">
        <w:rPr>
          <w:rStyle w:val="FootnoteReference"/>
        </w:rPr>
        <w:footnoteRef/>
      </w:r>
      <w:r w:rsidRPr="00D33DCB">
        <w:t xml:space="preserve"> </w:t>
      </w:r>
      <w:r w:rsidRPr="00D33DCB">
        <w:rPr>
          <w:i/>
        </w:rPr>
        <w:t>See</w:t>
      </w:r>
      <w:r w:rsidRPr="00D33DCB">
        <w:t xml:space="preserve"> 47 CFR § 27.14(j).</w:t>
      </w:r>
    </w:p>
  </w:footnote>
  <w:footnote w:id="61">
    <w:p w14:paraId="4A4CA52A" w14:textId="77777777" w:rsidR="008B6F69" w:rsidRPr="00D33DCB" w:rsidRDefault="008B6F69" w:rsidP="00D33DCB">
      <w:pPr>
        <w:pStyle w:val="FootnoteText"/>
        <w:jc w:val="left"/>
      </w:pPr>
      <w:r w:rsidRPr="00D33DCB">
        <w:rPr>
          <w:rStyle w:val="FootnoteReference"/>
        </w:rPr>
        <w:footnoteRef/>
      </w:r>
      <w:r w:rsidRPr="00D33DCB">
        <w:t xml:space="preserve"> </w:t>
      </w:r>
      <w:r w:rsidRPr="00D33DCB">
        <w:rPr>
          <w:i/>
        </w:rPr>
        <w:t>See</w:t>
      </w:r>
      <w:r w:rsidRPr="00D33DCB">
        <w:t xml:space="preserve"> 47 CFR § 1.949(a).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427F" w14:textId="77777777" w:rsidR="00622CB5" w:rsidRDefault="00622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5B2C" w14:textId="77777777" w:rsidR="00622CB5" w:rsidRDefault="00622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306" w14:textId="77777777" w:rsidR="003B473A" w:rsidRDefault="00591AF6">
    <w:pPr>
      <w:pStyle w:val="Header"/>
      <w:tabs>
        <w:tab w:val="clear" w:pos="4320"/>
        <w:tab w:val="clear" w:pos="8640"/>
      </w:tabs>
      <w:spacing w:before="360" w:line="228" w:lineRule="auto"/>
      <w:jc w:val="center"/>
    </w:pPr>
    <w:r>
      <w:rPr>
        <w:rFonts w:ascii="CG Times (W1)" w:hAnsi="CG Times (W1)"/>
        <w:sz w:val="28"/>
      </w:rPr>
      <w:pict w14:anchorId="72884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49" DrawAspect="Content" ObjectID="_1564208566" r:id="rId2"/>
      </w:pict>
    </w:r>
    <w:r w:rsidR="003B473A">
      <w:rPr>
        <w:rFonts w:ascii="CG Times (W1)" w:hAnsi="CG Times (W1)"/>
        <w:sz w:val="28"/>
      </w:rPr>
      <w:t>Federal Communications Commission</w:t>
    </w:r>
  </w:p>
  <w:p w14:paraId="01B308AC" w14:textId="77777777" w:rsidR="003B473A" w:rsidRDefault="003B473A">
    <w:pPr>
      <w:jc w:val="center"/>
    </w:pPr>
    <w:r>
      <w:rPr>
        <w:rFonts w:ascii="CG Times (W1)" w:hAnsi="CG Times (W1)"/>
        <w:sz w:val="28"/>
      </w:rPr>
      <w:t>Washington, D.C. 20554</w:t>
    </w:r>
  </w:p>
  <w:p w14:paraId="4C6059A5" w14:textId="77777777" w:rsidR="003B473A" w:rsidRDefault="003B473A">
    <w:pPr>
      <w:pStyle w:val="Header"/>
      <w:tabs>
        <w:tab w:val="clear" w:pos="4320"/>
      </w:tabs>
      <w:jc w:val="center"/>
      <w:rPr>
        <w:sz w:val="22"/>
      </w:rPr>
    </w:pPr>
  </w:p>
  <w:p w14:paraId="275BDA66" w14:textId="58FE6841" w:rsidR="003B473A" w:rsidRPr="00E30660" w:rsidRDefault="00FF3EB8" w:rsidP="008209C9">
    <w:pPr>
      <w:pStyle w:val="Header"/>
      <w:tabs>
        <w:tab w:val="clear" w:pos="4320"/>
      </w:tabs>
      <w:jc w:val="center"/>
      <w:rPr>
        <w:sz w:val="22"/>
        <w:szCs w:val="22"/>
      </w:rPr>
    </w:pPr>
    <w:r>
      <w:rPr>
        <w:sz w:val="22"/>
        <w:szCs w:val="22"/>
      </w:rPr>
      <w:t xml:space="preserve">August </w:t>
    </w:r>
    <w:r w:rsidR="00957E29">
      <w:rPr>
        <w:sz w:val="22"/>
        <w:szCs w:val="22"/>
      </w:rPr>
      <w:t>14</w:t>
    </w:r>
    <w:r w:rsidR="003B473A">
      <w:rPr>
        <w:sz w:val="22"/>
        <w:szCs w:val="22"/>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E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4026D"/>
    <w:multiLevelType w:val="hybridMultilevel"/>
    <w:tmpl w:val="4F5C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832D9"/>
    <w:multiLevelType w:val="hybridMultilevel"/>
    <w:tmpl w:val="246E0D4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65C3375"/>
    <w:multiLevelType w:val="hybridMultilevel"/>
    <w:tmpl w:val="BA8C1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C862C21"/>
    <w:multiLevelType w:val="hybridMultilevel"/>
    <w:tmpl w:val="A03A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17119"/>
    <w:multiLevelType w:val="hybridMultilevel"/>
    <w:tmpl w:val="1D62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7405"/>
    <w:multiLevelType w:val="hybridMultilevel"/>
    <w:tmpl w:val="6136D1E8"/>
    <w:lvl w:ilvl="0" w:tplc="14D4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B1142"/>
    <w:multiLevelType w:val="hybridMultilevel"/>
    <w:tmpl w:val="7792A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697756"/>
    <w:multiLevelType w:val="hybridMultilevel"/>
    <w:tmpl w:val="2DB28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27631"/>
    <w:multiLevelType w:val="hybridMultilevel"/>
    <w:tmpl w:val="8990039E"/>
    <w:lvl w:ilvl="0" w:tplc="23A855D0">
      <w:start w:val="1"/>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8132869"/>
    <w:multiLevelType w:val="hybridMultilevel"/>
    <w:tmpl w:val="0C6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3340C"/>
    <w:multiLevelType w:val="hybridMultilevel"/>
    <w:tmpl w:val="DC90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74260AE">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1744736"/>
    <w:multiLevelType w:val="hybridMultilevel"/>
    <w:tmpl w:val="41D05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0F030C"/>
    <w:multiLevelType w:val="hybridMultilevel"/>
    <w:tmpl w:val="3EEA1F16"/>
    <w:lvl w:ilvl="0" w:tplc="04090001">
      <w:start w:val="1"/>
      <w:numFmt w:val="bullet"/>
      <w:lvlText w:val=""/>
      <w:lvlJc w:val="left"/>
      <w:pPr>
        <w:ind w:left="3804" w:hanging="360"/>
      </w:pPr>
      <w:rPr>
        <w:rFonts w:ascii="Symbol" w:hAnsi="Symbol" w:hint="default"/>
      </w:rPr>
    </w:lvl>
    <w:lvl w:ilvl="1" w:tplc="04090003" w:tentative="1">
      <w:start w:val="1"/>
      <w:numFmt w:val="bullet"/>
      <w:lvlText w:val="o"/>
      <w:lvlJc w:val="left"/>
      <w:pPr>
        <w:ind w:left="4524" w:hanging="360"/>
      </w:pPr>
      <w:rPr>
        <w:rFonts w:ascii="Courier New" w:hAnsi="Courier New" w:cs="Courier New" w:hint="default"/>
      </w:rPr>
    </w:lvl>
    <w:lvl w:ilvl="2" w:tplc="04090005" w:tentative="1">
      <w:start w:val="1"/>
      <w:numFmt w:val="bullet"/>
      <w:lvlText w:val=""/>
      <w:lvlJc w:val="left"/>
      <w:pPr>
        <w:ind w:left="5244" w:hanging="360"/>
      </w:pPr>
      <w:rPr>
        <w:rFonts w:ascii="Wingdings" w:hAnsi="Wingdings" w:hint="default"/>
      </w:rPr>
    </w:lvl>
    <w:lvl w:ilvl="3" w:tplc="04090001" w:tentative="1">
      <w:start w:val="1"/>
      <w:numFmt w:val="bullet"/>
      <w:lvlText w:val=""/>
      <w:lvlJc w:val="left"/>
      <w:pPr>
        <w:ind w:left="5964" w:hanging="360"/>
      </w:pPr>
      <w:rPr>
        <w:rFonts w:ascii="Symbol" w:hAnsi="Symbol" w:hint="default"/>
      </w:rPr>
    </w:lvl>
    <w:lvl w:ilvl="4" w:tplc="04090003" w:tentative="1">
      <w:start w:val="1"/>
      <w:numFmt w:val="bullet"/>
      <w:lvlText w:val="o"/>
      <w:lvlJc w:val="left"/>
      <w:pPr>
        <w:ind w:left="6684" w:hanging="360"/>
      </w:pPr>
      <w:rPr>
        <w:rFonts w:ascii="Courier New" w:hAnsi="Courier New" w:cs="Courier New" w:hint="default"/>
      </w:rPr>
    </w:lvl>
    <w:lvl w:ilvl="5" w:tplc="04090005" w:tentative="1">
      <w:start w:val="1"/>
      <w:numFmt w:val="bullet"/>
      <w:lvlText w:val=""/>
      <w:lvlJc w:val="left"/>
      <w:pPr>
        <w:ind w:left="7404" w:hanging="360"/>
      </w:pPr>
      <w:rPr>
        <w:rFonts w:ascii="Wingdings" w:hAnsi="Wingdings" w:hint="default"/>
      </w:rPr>
    </w:lvl>
    <w:lvl w:ilvl="6" w:tplc="04090001" w:tentative="1">
      <w:start w:val="1"/>
      <w:numFmt w:val="bullet"/>
      <w:lvlText w:val=""/>
      <w:lvlJc w:val="left"/>
      <w:pPr>
        <w:ind w:left="8124" w:hanging="360"/>
      </w:pPr>
      <w:rPr>
        <w:rFonts w:ascii="Symbol" w:hAnsi="Symbol" w:hint="default"/>
      </w:rPr>
    </w:lvl>
    <w:lvl w:ilvl="7" w:tplc="04090003" w:tentative="1">
      <w:start w:val="1"/>
      <w:numFmt w:val="bullet"/>
      <w:lvlText w:val="o"/>
      <w:lvlJc w:val="left"/>
      <w:pPr>
        <w:ind w:left="8844" w:hanging="360"/>
      </w:pPr>
      <w:rPr>
        <w:rFonts w:ascii="Courier New" w:hAnsi="Courier New" w:cs="Courier New" w:hint="default"/>
      </w:rPr>
    </w:lvl>
    <w:lvl w:ilvl="8" w:tplc="04090005" w:tentative="1">
      <w:start w:val="1"/>
      <w:numFmt w:val="bullet"/>
      <w:lvlText w:val=""/>
      <w:lvlJc w:val="left"/>
      <w:pPr>
        <w:ind w:left="9564" w:hanging="360"/>
      </w:pPr>
      <w:rPr>
        <w:rFonts w:ascii="Wingdings" w:hAnsi="Wingdings" w:hint="default"/>
      </w:rPr>
    </w:lvl>
  </w:abstractNum>
  <w:abstractNum w:abstractNumId="18">
    <w:nsid w:val="519504DA"/>
    <w:multiLevelType w:val="hybridMultilevel"/>
    <w:tmpl w:val="D406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906B5E"/>
    <w:multiLevelType w:val="hybridMultilevel"/>
    <w:tmpl w:val="6114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21744"/>
    <w:multiLevelType w:val="hybridMultilevel"/>
    <w:tmpl w:val="83E2067C"/>
    <w:lvl w:ilvl="0" w:tplc="2D28D3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8503F"/>
    <w:multiLevelType w:val="hybridMultilevel"/>
    <w:tmpl w:val="9F5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F62D7"/>
    <w:multiLevelType w:val="hybridMultilevel"/>
    <w:tmpl w:val="2554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25">
    <w:nsid w:val="6E6A18E2"/>
    <w:multiLevelType w:val="hybridMultilevel"/>
    <w:tmpl w:val="519411CA"/>
    <w:lvl w:ilvl="0" w:tplc="04090011">
      <w:start w:val="1"/>
      <w:numFmt w:val="decimal"/>
      <w:lvlText w:val="%1)"/>
      <w:lvlJc w:val="left"/>
      <w:pPr>
        <w:ind w:left="720" w:hanging="360"/>
      </w:pPr>
      <w:rPr>
        <w:rFonts w:hint="default"/>
      </w:rPr>
    </w:lvl>
    <w:lvl w:ilvl="1" w:tplc="C7C8B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44365"/>
    <w:multiLevelType w:val="hybridMultilevel"/>
    <w:tmpl w:val="682CD08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5"/>
  </w:num>
  <w:num w:numId="2">
    <w:abstractNumId w:val="24"/>
  </w:num>
  <w:num w:numId="3">
    <w:abstractNumId w:val="10"/>
  </w:num>
  <w:num w:numId="4">
    <w:abstractNumId w:val="1"/>
  </w:num>
  <w:num w:numId="5">
    <w:abstractNumId w:val="27"/>
  </w:num>
  <w:num w:numId="6">
    <w:abstractNumId w:val="21"/>
  </w:num>
  <w:num w:numId="7">
    <w:abstractNumId w:val="12"/>
  </w:num>
  <w:num w:numId="8">
    <w:abstractNumId w:val="11"/>
  </w:num>
  <w:num w:numId="9">
    <w:abstractNumId w:val="19"/>
  </w:num>
  <w:num w:numId="10">
    <w:abstractNumId w:val="26"/>
  </w:num>
  <w:num w:numId="11">
    <w:abstractNumId w:val="0"/>
  </w:num>
  <w:num w:numId="12">
    <w:abstractNumId w:val="13"/>
  </w:num>
  <w:num w:numId="13">
    <w:abstractNumId w:val="24"/>
    <w:lvlOverride w:ilvl="0">
      <w:startOverride w:val="1"/>
    </w:lvlOverride>
  </w:num>
  <w:num w:numId="14">
    <w:abstractNumId w:val="24"/>
    <w:lvlOverride w:ilvl="0">
      <w:startOverride w:val="1"/>
    </w:lvlOverride>
  </w:num>
  <w:num w:numId="15">
    <w:abstractNumId w:val="17"/>
  </w:num>
  <w:num w:numId="16">
    <w:abstractNumId w:val="4"/>
  </w:num>
  <w:num w:numId="17">
    <w:abstractNumId w:val="24"/>
    <w:lvlOverride w:ilvl="0">
      <w:startOverride w:val="1"/>
    </w:lvlOverride>
  </w:num>
  <w:num w:numId="18">
    <w:abstractNumId w:val="28"/>
  </w:num>
  <w:num w:numId="19">
    <w:abstractNumId w:val="5"/>
  </w:num>
  <w:num w:numId="20">
    <w:abstractNumId w:val="18"/>
  </w:num>
  <w:num w:numId="21">
    <w:abstractNumId w:val="25"/>
  </w:num>
  <w:num w:numId="22">
    <w:abstractNumId w:val="21"/>
    <w:lvlOverride w:ilvl="0">
      <w:startOverride w:val="1"/>
    </w:lvlOverride>
  </w:num>
  <w:num w:numId="23">
    <w:abstractNumId w:val="7"/>
  </w:num>
  <w:num w:numId="24">
    <w:abstractNumId w:val="9"/>
  </w:num>
  <w:num w:numId="25">
    <w:abstractNumId w:val="21"/>
  </w:num>
  <w:num w:numId="26">
    <w:abstractNumId w:val="20"/>
  </w:num>
  <w:num w:numId="27">
    <w:abstractNumId w:val="23"/>
  </w:num>
  <w:num w:numId="28">
    <w:abstractNumId w:val="22"/>
  </w:num>
  <w:num w:numId="29">
    <w:abstractNumId w:val="6"/>
  </w:num>
  <w:num w:numId="30">
    <w:abstractNumId w:val="28"/>
  </w:num>
  <w:num w:numId="31">
    <w:abstractNumId w:val="3"/>
  </w:num>
  <w:num w:numId="32">
    <w:abstractNumId w:val="2"/>
  </w:num>
  <w:num w:numId="33">
    <w:abstractNumId w:val="16"/>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0048C"/>
    <w:rsid w:val="00002580"/>
    <w:rsid w:val="00002958"/>
    <w:rsid w:val="00003D43"/>
    <w:rsid w:val="00005933"/>
    <w:rsid w:val="00006772"/>
    <w:rsid w:val="00007A70"/>
    <w:rsid w:val="0001053F"/>
    <w:rsid w:val="0001094C"/>
    <w:rsid w:val="00010B40"/>
    <w:rsid w:val="000116EE"/>
    <w:rsid w:val="00011C6F"/>
    <w:rsid w:val="000125C3"/>
    <w:rsid w:val="0001293A"/>
    <w:rsid w:val="00012C45"/>
    <w:rsid w:val="000138F4"/>
    <w:rsid w:val="00013918"/>
    <w:rsid w:val="00013F9F"/>
    <w:rsid w:val="000146BB"/>
    <w:rsid w:val="00014B5E"/>
    <w:rsid w:val="00017E13"/>
    <w:rsid w:val="00021969"/>
    <w:rsid w:val="00021AA3"/>
    <w:rsid w:val="0002358A"/>
    <w:rsid w:val="00023754"/>
    <w:rsid w:val="000237AC"/>
    <w:rsid w:val="00023B40"/>
    <w:rsid w:val="00025383"/>
    <w:rsid w:val="0002591F"/>
    <w:rsid w:val="00025934"/>
    <w:rsid w:val="0002600A"/>
    <w:rsid w:val="000260BC"/>
    <w:rsid w:val="00026578"/>
    <w:rsid w:val="00026E1E"/>
    <w:rsid w:val="00026F5C"/>
    <w:rsid w:val="00027993"/>
    <w:rsid w:val="00034361"/>
    <w:rsid w:val="00035797"/>
    <w:rsid w:val="00037B8E"/>
    <w:rsid w:val="00040D16"/>
    <w:rsid w:val="00041330"/>
    <w:rsid w:val="00041B05"/>
    <w:rsid w:val="00042459"/>
    <w:rsid w:val="00042DC7"/>
    <w:rsid w:val="00050091"/>
    <w:rsid w:val="00051384"/>
    <w:rsid w:val="00052FBA"/>
    <w:rsid w:val="00053537"/>
    <w:rsid w:val="0005589A"/>
    <w:rsid w:val="00056F09"/>
    <w:rsid w:val="00057D9A"/>
    <w:rsid w:val="00060066"/>
    <w:rsid w:val="000608D7"/>
    <w:rsid w:val="00060EC8"/>
    <w:rsid w:val="00062102"/>
    <w:rsid w:val="000626F4"/>
    <w:rsid w:val="00062F82"/>
    <w:rsid w:val="000636BA"/>
    <w:rsid w:val="00064A8C"/>
    <w:rsid w:val="00066572"/>
    <w:rsid w:val="00066EFA"/>
    <w:rsid w:val="00070C15"/>
    <w:rsid w:val="00070CC4"/>
    <w:rsid w:val="00072C7E"/>
    <w:rsid w:val="00073298"/>
    <w:rsid w:val="00074B13"/>
    <w:rsid w:val="000750D7"/>
    <w:rsid w:val="00076928"/>
    <w:rsid w:val="0008388D"/>
    <w:rsid w:val="000839A1"/>
    <w:rsid w:val="000871D9"/>
    <w:rsid w:val="00087415"/>
    <w:rsid w:val="000874DC"/>
    <w:rsid w:val="00087ED6"/>
    <w:rsid w:val="00090737"/>
    <w:rsid w:val="00091237"/>
    <w:rsid w:val="00091885"/>
    <w:rsid w:val="00092305"/>
    <w:rsid w:val="0009264D"/>
    <w:rsid w:val="0009275E"/>
    <w:rsid w:val="00092810"/>
    <w:rsid w:val="00092CEE"/>
    <w:rsid w:val="00096312"/>
    <w:rsid w:val="00096494"/>
    <w:rsid w:val="000A103D"/>
    <w:rsid w:val="000A226C"/>
    <w:rsid w:val="000A3586"/>
    <w:rsid w:val="000A3DEB"/>
    <w:rsid w:val="000A5365"/>
    <w:rsid w:val="000A5D20"/>
    <w:rsid w:val="000A71A7"/>
    <w:rsid w:val="000A7780"/>
    <w:rsid w:val="000A7B6B"/>
    <w:rsid w:val="000B028A"/>
    <w:rsid w:val="000B1338"/>
    <w:rsid w:val="000B15D2"/>
    <w:rsid w:val="000B2E96"/>
    <w:rsid w:val="000B3277"/>
    <w:rsid w:val="000B5543"/>
    <w:rsid w:val="000C0ADC"/>
    <w:rsid w:val="000C0DF7"/>
    <w:rsid w:val="000C1A57"/>
    <w:rsid w:val="000C2380"/>
    <w:rsid w:val="000C251C"/>
    <w:rsid w:val="000C3E4A"/>
    <w:rsid w:val="000C625E"/>
    <w:rsid w:val="000C784D"/>
    <w:rsid w:val="000C78FC"/>
    <w:rsid w:val="000C7A7D"/>
    <w:rsid w:val="000D0E0A"/>
    <w:rsid w:val="000D182F"/>
    <w:rsid w:val="000D1C90"/>
    <w:rsid w:val="000D2130"/>
    <w:rsid w:val="000D2281"/>
    <w:rsid w:val="000D2E36"/>
    <w:rsid w:val="000D3878"/>
    <w:rsid w:val="000D3B12"/>
    <w:rsid w:val="000D4955"/>
    <w:rsid w:val="000D6823"/>
    <w:rsid w:val="000D77BB"/>
    <w:rsid w:val="000E0ECA"/>
    <w:rsid w:val="000E19B2"/>
    <w:rsid w:val="000E2ECC"/>
    <w:rsid w:val="000E3D04"/>
    <w:rsid w:val="000E476C"/>
    <w:rsid w:val="000E4897"/>
    <w:rsid w:val="000E6913"/>
    <w:rsid w:val="000E7DF6"/>
    <w:rsid w:val="000F174A"/>
    <w:rsid w:val="000F1901"/>
    <w:rsid w:val="000F1F94"/>
    <w:rsid w:val="000F4440"/>
    <w:rsid w:val="000F457A"/>
    <w:rsid w:val="000F5F63"/>
    <w:rsid w:val="001029E5"/>
    <w:rsid w:val="00104467"/>
    <w:rsid w:val="001053D7"/>
    <w:rsid w:val="00105E83"/>
    <w:rsid w:val="00106CBC"/>
    <w:rsid w:val="00107536"/>
    <w:rsid w:val="001079E1"/>
    <w:rsid w:val="00107F66"/>
    <w:rsid w:val="001106C3"/>
    <w:rsid w:val="001107B5"/>
    <w:rsid w:val="00111D23"/>
    <w:rsid w:val="0011267A"/>
    <w:rsid w:val="001131F8"/>
    <w:rsid w:val="00114423"/>
    <w:rsid w:val="00114D52"/>
    <w:rsid w:val="001151DD"/>
    <w:rsid w:val="00116903"/>
    <w:rsid w:val="001173B4"/>
    <w:rsid w:val="0011755A"/>
    <w:rsid w:val="00117F7B"/>
    <w:rsid w:val="00122326"/>
    <w:rsid w:val="00122A7F"/>
    <w:rsid w:val="00126A80"/>
    <w:rsid w:val="00130474"/>
    <w:rsid w:val="00130C1D"/>
    <w:rsid w:val="001329CF"/>
    <w:rsid w:val="00132EB1"/>
    <w:rsid w:val="001336FE"/>
    <w:rsid w:val="00134DB2"/>
    <w:rsid w:val="001351BC"/>
    <w:rsid w:val="00136E96"/>
    <w:rsid w:val="001401F1"/>
    <w:rsid w:val="00141240"/>
    <w:rsid w:val="00141F6C"/>
    <w:rsid w:val="001424A4"/>
    <w:rsid w:val="0014309E"/>
    <w:rsid w:val="0014400E"/>
    <w:rsid w:val="00145F6D"/>
    <w:rsid w:val="001508D6"/>
    <w:rsid w:val="0015198A"/>
    <w:rsid w:val="00153847"/>
    <w:rsid w:val="00153D8F"/>
    <w:rsid w:val="00157E65"/>
    <w:rsid w:val="00162729"/>
    <w:rsid w:val="001630B3"/>
    <w:rsid w:val="001631FD"/>
    <w:rsid w:val="001637FE"/>
    <w:rsid w:val="00163B86"/>
    <w:rsid w:val="00167067"/>
    <w:rsid w:val="00171B22"/>
    <w:rsid w:val="00174FF7"/>
    <w:rsid w:val="001758C5"/>
    <w:rsid w:val="001775F4"/>
    <w:rsid w:val="00177D42"/>
    <w:rsid w:val="001809C1"/>
    <w:rsid w:val="001826B8"/>
    <w:rsid w:val="001836F8"/>
    <w:rsid w:val="00183C24"/>
    <w:rsid w:val="00184748"/>
    <w:rsid w:val="00184BA9"/>
    <w:rsid w:val="00184E74"/>
    <w:rsid w:val="00185D90"/>
    <w:rsid w:val="00186026"/>
    <w:rsid w:val="00186348"/>
    <w:rsid w:val="00187A6F"/>
    <w:rsid w:val="001912CA"/>
    <w:rsid w:val="0019284B"/>
    <w:rsid w:val="001939D8"/>
    <w:rsid w:val="00194F35"/>
    <w:rsid w:val="0019699F"/>
    <w:rsid w:val="00197F04"/>
    <w:rsid w:val="00197FC4"/>
    <w:rsid w:val="001A0595"/>
    <w:rsid w:val="001A0EAE"/>
    <w:rsid w:val="001A1195"/>
    <w:rsid w:val="001A2410"/>
    <w:rsid w:val="001A2E4B"/>
    <w:rsid w:val="001A339C"/>
    <w:rsid w:val="001A428E"/>
    <w:rsid w:val="001A4807"/>
    <w:rsid w:val="001A51BC"/>
    <w:rsid w:val="001A54A0"/>
    <w:rsid w:val="001B0338"/>
    <w:rsid w:val="001B06EC"/>
    <w:rsid w:val="001B0F95"/>
    <w:rsid w:val="001B16C5"/>
    <w:rsid w:val="001B4805"/>
    <w:rsid w:val="001B5909"/>
    <w:rsid w:val="001B6C20"/>
    <w:rsid w:val="001C2022"/>
    <w:rsid w:val="001C2778"/>
    <w:rsid w:val="001C2F65"/>
    <w:rsid w:val="001C4564"/>
    <w:rsid w:val="001C5482"/>
    <w:rsid w:val="001C7C16"/>
    <w:rsid w:val="001D1B0C"/>
    <w:rsid w:val="001D3141"/>
    <w:rsid w:val="001D4ADD"/>
    <w:rsid w:val="001D4B1E"/>
    <w:rsid w:val="001D4BB5"/>
    <w:rsid w:val="001D4BE4"/>
    <w:rsid w:val="001D50D8"/>
    <w:rsid w:val="001D51AC"/>
    <w:rsid w:val="001D57F5"/>
    <w:rsid w:val="001D6AAB"/>
    <w:rsid w:val="001D6B85"/>
    <w:rsid w:val="001D6EEA"/>
    <w:rsid w:val="001E01B0"/>
    <w:rsid w:val="001E10A7"/>
    <w:rsid w:val="001E2D08"/>
    <w:rsid w:val="001E47E5"/>
    <w:rsid w:val="001E68D7"/>
    <w:rsid w:val="001E6943"/>
    <w:rsid w:val="001E786A"/>
    <w:rsid w:val="001E7D49"/>
    <w:rsid w:val="001F0425"/>
    <w:rsid w:val="001F068E"/>
    <w:rsid w:val="001F228D"/>
    <w:rsid w:val="001F27E4"/>
    <w:rsid w:val="001F2FFD"/>
    <w:rsid w:val="001F4B62"/>
    <w:rsid w:val="001F60A6"/>
    <w:rsid w:val="001F60D8"/>
    <w:rsid w:val="00200384"/>
    <w:rsid w:val="00201358"/>
    <w:rsid w:val="00201D0F"/>
    <w:rsid w:val="002024D0"/>
    <w:rsid w:val="002031EF"/>
    <w:rsid w:val="0020740A"/>
    <w:rsid w:val="00207BD8"/>
    <w:rsid w:val="0021216B"/>
    <w:rsid w:val="002129AA"/>
    <w:rsid w:val="00212E1C"/>
    <w:rsid w:val="002140E4"/>
    <w:rsid w:val="0021546D"/>
    <w:rsid w:val="00215A0F"/>
    <w:rsid w:val="00216B81"/>
    <w:rsid w:val="00216E6D"/>
    <w:rsid w:val="002210B5"/>
    <w:rsid w:val="00221161"/>
    <w:rsid w:val="00223139"/>
    <w:rsid w:val="002235EF"/>
    <w:rsid w:val="00225C22"/>
    <w:rsid w:val="00230ACA"/>
    <w:rsid w:val="00232F09"/>
    <w:rsid w:val="0023396B"/>
    <w:rsid w:val="00234823"/>
    <w:rsid w:val="002358F9"/>
    <w:rsid w:val="00235FCF"/>
    <w:rsid w:val="002405D7"/>
    <w:rsid w:val="002413B1"/>
    <w:rsid w:val="00244CCE"/>
    <w:rsid w:val="00246A64"/>
    <w:rsid w:val="002478E9"/>
    <w:rsid w:val="00250328"/>
    <w:rsid w:val="002510BF"/>
    <w:rsid w:val="00252634"/>
    <w:rsid w:val="00253B66"/>
    <w:rsid w:val="00254584"/>
    <w:rsid w:val="00254AA5"/>
    <w:rsid w:val="00254B49"/>
    <w:rsid w:val="00255ABA"/>
    <w:rsid w:val="002565C6"/>
    <w:rsid w:val="00261362"/>
    <w:rsid w:val="00261AC1"/>
    <w:rsid w:val="00262A6D"/>
    <w:rsid w:val="00263D67"/>
    <w:rsid w:val="00263DE2"/>
    <w:rsid w:val="002654F8"/>
    <w:rsid w:val="00265AA3"/>
    <w:rsid w:val="00266043"/>
    <w:rsid w:val="0026661D"/>
    <w:rsid w:val="002666B1"/>
    <w:rsid w:val="00267DC4"/>
    <w:rsid w:val="0027136D"/>
    <w:rsid w:val="00271A22"/>
    <w:rsid w:val="002807F9"/>
    <w:rsid w:val="0028174B"/>
    <w:rsid w:val="00283583"/>
    <w:rsid w:val="0028652A"/>
    <w:rsid w:val="002870B6"/>
    <w:rsid w:val="00293318"/>
    <w:rsid w:val="0029423B"/>
    <w:rsid w:val="00297A80"/>
    <w:rsid w:val="00297DF2"/>
    <w:rsid w:val="002A23D2"/>
    <w:rsid w:val="002A50B6"/>
    <w:rsid w:val="002B02FB"/>
    <w:rsid w:val="002B0946"/>
    <w:rsid w:val="002B0A19"/>
    <w:rsid w:val="002B2660"/>
    <w:rsid w:val="002B27E4"/>
    <w:rsid w:val="002B2CD5"/>
    <w:rsid w:val="002B3D84"/>
    <w:rsid w:val="002B47F9"/>
    <w:rsid w:val="002B52CA"/>
    <w:rsid w:val="002B5667"/>
    <w:rsid w:val="002B64FB"/>
    <w:rsid w:val="002C133A"/>
    <w:rsid w:val="002C1FFD"/>
    <w:rsid w:val="002C251C"/>
    <w:rsid w:val="002C3BC4"/>
    <w:rsid w:val="002C4A40"/>
    <w:rsid w:val="002C4AF0"/>
    <w:rsid w:val="002C4C11"/>
    <w:rsid w:val="002C60AC"/>
    <w:rsid w:val="002C6974"/>
    <w:rsid w:val="002C6C0A"/>
    <w:rsid w:val="002C7297"/>
    <w:rsid w:val="002C770F"/>
    <w:rsid w:val="002C7AEB"/>
    <w:rsid w:val="002D025F"/>
    <w:rsid w:val="002D06A3"/>
    <w:rsid w:val="002D0829"/>
    <w:rsid w:val="002D0D24"/>
    <w:rsid w:val="002D3040"/>
    <w:rsid w:val="002D4BE0"/>
    <w:rsid w:val="002D5D09"/>
    <w:rsid w:val="002D6995"/>
    <w:rsid w:val="002D70DC"/>
    <w:rsid w:val="002D7FBC"/>
    <w:rsid w:val="002E0110"/>
    <w:rsid w:val="002E063F"/>
    <w:rsid w:val="002E217E"/>
    <w:rsid w:val="002E7905"/>
    <w:rsid w:val="002E7BB8"/>
    <w:rsid w:val="002F0B00"/>
    <w:rsid w:val="002F0D1D"/>
    <w:rsid w:val="002F1942"/>
    <w:rsid w:val="002F2AA8"/>
    <w:rsid w:val="002F3013"/>
    <w:rsid w:val="002F3D9A"/>
    <w:rsid w:val="002F55F5"/>
    <w:rsid w:val="002F5945"/>
    <w:rsid w:val="002F7497"/>
    <w:rsid w:val="00300652"/>
    <w:rsid w:val="00300ED5"/>
    <w:rsid w:val="00302A57"/>
    <w:rsid w:val="00302EE7"/>
    <w:rsid w:val="00303BEA"/>
    <w:rsid w:val="00304071"/>
    <w:rsid w:val="003047DC"/>
    <w:rsid w:val="00304DEF"/>
    <w:rsid w:val="0030509B"/>
    <w:rsid w:val="00305590"/>
    <w:rsid w:val="0030588F"/>
    <w:rsid w:val="003062BA"/>
    <w:rsid w:val="00307983"/>
    <w:rsid w:val="00310530"/>
    <w:rsid w:val="00310C52"/>
    <w:rsid w:val="00311A8A"/>
    <w:rsid w:val="003126C2"/>
    <w:rsid w:val="003126EC"/>
    <w:rsid w:val="003127C7"/>
    <w:rsid w:val="003131A9"/>
    <w:rsid w:val="00314B14"/>
    <w:rsid w:val="0031611E"/>
    <w:rsid w:val="00317D3E"/>
    <w:rsid w:val="0032058C"/>
    <w:rsid w:val="00321082"/>
    <w:rsid w:val="00321E84"/>
    <w:rsid w:val="00323F63"/>
    <w:rsid w:val="003242BD"/>
    <w:rsid w:val="00324DFB"/>
    <w:rsid w:val="00325614"/>
    <w:rsid w:val="003258A7"/>
    <w:rsid w:val="0032644D"/>
    <w:rsid w:val="003266C9"/>
    <w:rsid w:val="00326B2C"/>
    <w:rsid w:val="00330D8E"/>
    <w:rsid w:val="003310F2"/>
    <w:rsid w:val="00331262"/>
    <w:rsid w:val="00333382"/>
    <w:rsid w:val="00333588"/>
    <w:rsid w:val="003348FF"/>
    <w:rsid w:val="00334D52"/>
    <w:rsid w:val="00334E41"/>
    <w:rsid w:val="00335DC1"/>
    <w:rsid w:val="0033709E"/>
    <w:rsid w:val="00337775"/>
    <w:rsid w:val="003405E8"/>
    <w:rsid w:val="00340C15"/>
    <w:rsid w:val="00342422"/>
    <w:rsid w:val="00342BF0"/>
    <w:rsid w:val="003440AE"/>
    <w:rsid w:val="003448B9"/>
    <w:rsid w:val="00345B13"/>
    <w:rsid w:val="003469FB"/>
    <w:rsid w:val="00346AE2"/>
    <w:rsid w:val="0034707B"/>
    <w:rsid w:val="00351099"/>
    <w:rsid w:val="00351805"/>
    <w:rsid w:val="00352B25"/>
    <w:rsid w:val="00353F31"/>
    <w:rsid w:val="00353F4F"/>
    <w:rsid w:val="003543C9"/>
    <w:rsid w:val="00354E29"/>
    <w:rsid w:val="00354E60"/>
    <w:rsid w:val="00355284"/>
    <w:rsid w:val="00356F56"/>
    <w:rsid w:val="00357847"/>
    <w:rsid w:val="00357EEA"/>
    <w:rsid w:val="003611C5"/>
    <w:rsid w:val="00361351"/>
    <w:rsid w:val="003618AD"/>
    <w:rsid w:val="00361D8A"/>
    <w:rsid w:val="003632FE"/>
    <w:rsid w:val="00364E50"/>
    <w:rsid w:val="0036636B"/>
    <w:rsid w:val="003719DA"/>
    <w:rsid w:val="0037240E"/>
    <w:rsid w:val="00372776"/>
    <w:rsid w:val="0037328F"/>
    <w:rsid w:val="003740A3"/>
    <w:rsid w:val="00374727"/>
    <w:rsid w:val="003758E4"/>
    <w:rsid w:val="003759B8"/>
    <w:rsid w:val="00377EB5"/>
    <w:rsid w:val="00380ABC"/>
    <w:rsid w:val="00381024"/>
    <w:rsid w:val="00382BBF"/>
    <w:rsid w:val="003846E0"/>
    <w:rsid w:val="00384830"/>
    <w:rsid w:val="00385EE7"/>
    <w:rsid w:val="003869CB"/>
    <w:rsid w:val="00387F0D"/>
    <w:rsid w:val="00390060"/>
    <w:rsid w:val="00390416"/>
    <w:rsid w:val="00390427"/>
    <w:rsid w:val="00390B52"/>
    <w:rsid w:val="00391008"/>
    <w:rsid w:val="00391377"/>
    <w:rsid w:val="00391383"/>
    <w:rsid w:val="00392255"/>
    <w:rsid w:val="00392C46"/>
    <w:rsid w:val="00393587"/>
    <w:rsid w:val="00395B3C"/>
    <w:rsid w:val="0039634E"/>
    <w:rsid w:val="003A0183"/>
    <w:rsid w:val="003A0E06"/>
    <w:rsid w:val="003A35CE"/>
    <w:rsid w:val="003A4837"/>
    <w:rsid w:val="003A64C2"/>
    <w:rsid w:val="003A6589"/>
    <w:rsid w:val="003B0B7C"/>
    <w:rsid w:val="003B3AB3"/>
    <w:rsid w:val="003B4176"/>
    <w:rsid w:val="003B473A"/>
    <w:rsid w:val="003B52D1"/>
    <w:rsid w:val="003B5B0F"/>
    <w:rsid w:val="003B764F"/>
    <w:rsid w:val="003C0DA8"/>
    <w:rsid w:val="003C10BE"/>
    <w:rsid w:val="003C1D95"/>
    <w:rsid w:val="003C3404"/>
    <w:rsid w:val="003C480B"/>
    <w:rsid w:val="003C50C3"/>
    <w:rsid w:val="003C5244"/>
    <w:rsid w:val="003C7A0C"/>
    <w:rsid w:val="003C7A43"/>
    <w:rsid w:val="003D0D60"/>
    <w:rsid w:val="003D1881"/>
    <w:rsid w:val="003D18A5"/>
    <w:rsid w:val="003D3560"/>
    <w:rsid w:val="003D3BA2"/>
    <w:rsid w:val="003D4305"/>
    <w:rsid w:val="003D4821"/>
    <w:rsid w:val="003D5775"/>
    <w:rsid w:val="003E1A36"/>
    <w:rsid w:val="003E336D"/>
    <w:rsid w:val="003E34CF"/>
    <w:rsid w:val="003E3824"/>
    <w:rsid w:val="003E39CA"/>
    <w:rsid w:val="003E477E"/>
    <w:rsid w:val="003E5998"/>
    <w:rsid w:val="003E6A98"/>
    <w:rsid w:val="003F043A"/>
    <w:rsid w:val="003F0554"/>
    <w:rsid w:val="003F06AF"/>
    <w:rsid w:val="003F07AF"/>
    <w:rsid w:val="003F1631"/>
    <w:rsid w:val="003F1C17"/>
    <w:rsid w:val="003F4F6E"/>
    <w:rsid w:val="003F5485"/>
    <w:rsid w:val="003F692B"/>
    <w:rsid w:val="003F79CE"/>
    <w:rsid w:val="0040447C"/>
    <w:rsid w:val="0040647B"/>
    <w:rsid w:val="00406BEF"/>
    <w:rsid w:val="0040770E"/>
    <w:rsid w:val="00410E68"/>
    <w:rsid w:val="0041111E"/>
    <w:rsid w:val="004129AF"/>
    <w:rsid w:val="0041308B"/>
    <w:rsid w:val="0041338B"/>
    <w:rsid w:val="00413448"/>
    <w:rsid w:val="00414247"/>
    <w:rsid w:val="0041617B"/>
    <w:rsid w:val="004162B3"/>
    <w:rsid w:val="00417D15"/>
    <w:rsid w:val="0042185B"/>
    <w:rsid w:val="004218A0"/>
    <w:rsid w:val="0042206A"/>
    <w:rsid w:val="00422493"/>
    <w:rsid w:val="00422672"/>
    <w:rsid w:val="00423600"/>
    <w:rsid w:val="00423A64"/>
    <w:rsid w:val="00424237"/>
    <w:rsid w:val="00424AB2"/>
    <w:rsid w:val="00424FA9"/>
    <w:rsid w:val="004266A5"/>
    <w:rsid w:val="00426F55"/>
    <w:rsid w:val="00427C49"/>
    <w:rsid w:val="00430567"/>
    <w:rsid w:val="00430CBA"/>
    <w:rsid w:val="00431778"/>
    <w:rsid w:val="004317F4"/>
    <w:rsid w:val="00432135"/>
    <w:rsid w:val="0043588F"/>
    <w:rsid w:val="0043634E"/>
    <w:rsid w:val="004401CF"/>
    <w:rsid w:val="00441271"/>
    <w:rsid w:val="00442FB4"/>
    <w:rsid w:val="004437BE"/>
    <w:rsid w:val="00443BC3"/>
    <w:rsid w:val="00443E67"/>
    <w:rsid w:val="004442B2"/>
    <w:rsid w:val="00445505"/>
    <w:rsid w:val="00446910"/>
    <w:rsid w:val="004520FC"/>
    <w:rsid w:val="0045253C"/>
    <w:rsid w:val="00456B6D"/>
    <w:rsid w:val="00456D17"/>
    <w:rsid w:val="00456E69"/>
    <w:rsid w:val="00457124"/>
    <w:rsid w:val="0046153F"/>
    <w:rsid w:val="0046207D"/>
    <w:rsid w:val="004623E3"/>
    <w:rsid w:val="00465C8A"/>
    <w:rsid w:val="00465F95"/>
    <w:rsid w:val="00466939"/>
    <w:rsid w:val="00467CED"/>
    <w:rsid w:val="004701D2"/>
    <w:rsid w:val="00471612"/>
    <w:rsid w:val="00472700"/>
    <w:rsid w:val="00472F1E"/>
    <w:rsid w:val="004739B3"/>
    <w:rsid w:val="004742F2"/>
    <w:rsid w:val="00475B74"/>
    <w:rsid w:val="00475CFF"/>
    <w:rsid w:val="00476046"/>
    <w:rsid w:val="0047681A"/>
    <w:rsid w:val="004773A8"/>
    <w:rsid w:val="004775D8"/>
    <w:rsid w:val="00477997"/>
    <w:rsid w:val="00477B35"/>
    <w:rsid w:val="00477F14"/>
    <w:rsid w:val="00477F23"/>
    <w:rsid w:val="00483699"/>
    <w:rsid w:val="0048383F"/>
    <w:rsid w:val="00494C7E"/>
    <w:rsid w:val="004970B8"/>
    <w:rsid w:val="004971FF"/>
    <w:rsid w:val="004A0A9D"/>
    <w:rsid w:val="004A20E9"/>
    <w:rsid w:val="004A2648"/>
    <w:rsid w:val="004A27BB"/>
    <w:rsid w:val="004A2A1D"/>
    <w:rsid w:val="004A333C"/>
    <w:rsid w:val="004A5A72"/>
    <w:rsid w:val="004A6EBA"/>
    <w:rsid w:val="004A730E"/>
    <w:rsid w:val="004A77EA"/>
    <w:rsid w:val="004B112B"/>
    <w:rsid w:val="004B2CFC"/>
    <w:rsid w:val="004B4AF0"/>
    <w:rsid w:val="004B4B05"/>
    <w:rsid w:val="004B5648"/>
    <w:rsid w:val="004B59ED"/>
    <w:rsid w:val="004B5B49"/>
    <w:rsid w:val="004B5C21"/>
    <w:rsid w:val="004B67E3"/>
    <w:rsid w:val="004C0236"/>
    <w:rsid w:val="004C1D11"/>
    <w:rsid w:val="004C3376"/>
    <w:rsid w:val="004C3E83"/>
    <w:rsid w:val="004C5000"/>
    <w:rsid w:val="004C6BA3"/>
    <w:rsid w:val="004C6C3E"/>
    <w:rsid w:val="004C71A9"/>
    <w:rsid w:val="004C7355"/>
    <w:rsid w:val="004C7412"/>
    <w:rsid w:val="004D0DA1"/>
    <w:rsid w:val="004D0ECD"/>
    <w:rsid w:val="004D5504"/>
    <w:rsid w:val="004D6235"/>
    <w:rsid w:val="004D719F"/>
    <w:rsid w:val="004E34E4"/>
    <w:rsid w:val="004E3D80"/>
    <w:rsid w:val="004E44D8"/>
    <w:rsid w:val="004E4F0F"/>
    <w:rsid w:val="004E6E89"/>
    <w:rsid w:val="004E7C75"/>
    <w:rsid w:val="004E7D0D"/>
    <w:rsid w:val="004F031A"/>
    <w:rsid w:val="004F17BE"/>
    <w:rsid w:val="004F1BCD"/>
    <w:rsid w:val="004F3C84"/>
    <w:rsid w:val="004F5621"/>
    <w:rsid w:val="004F6F31"/>
    <w:rsid w:val="005006D2"/>
    <w:rsid w:val="00501272"/>
    <w:rsid w:val="00501910"/>
    <w:rsid w:val="00501B85"/>
    <w:rsid w:val="00501D30"/>
    <w:rsid w:val="00502E96"/>
    <w:rsid w:val="00504748"/>
    <w:rsid w:val="0050495A"/>
    <w:rsid w:val="00504BF9"/>
    <w:rsid w:val="00504F62"/>
    <w:rsid w:val="00506354"/>
    <w:rsid w:val="00506C46"/>
    <w:rsid w:val="00506EE8"/>
    <w:rsid w:val="005076E0"/>
    <w:rsid w:val="00507AC6"/>
    <w:rsid w:val="00510026"/>
    <w:rsid w:val="00512F15"/>
    <w:rsid w:val="00513738"/>
    <w:rsid w:val="0051386A"/>
    <w:rsid w:val="00513887"/>
    <w:rsid w:val="0051420F"/>
    <w:rsid w:val="00515E74"/>
    <w:rsid w:val="0052084B"/>
    <w:rsid w:val="0052103D"/>
    <w:rsid w:val="0052417A"/>
    <w:rsid w:val="005258B2"/>
    <w:rsid w:val="00525F2F"/>
    <w:rsid w:val="00526B2A"/>
    <w:rsid w:val="00527E99"/>
    <w:rsid w:val="0053123E"/>
    <w:rsid w:val="00531AEB"/>
    <w:rsid w:val="00531FB3"/>
    <w:rsid w:val="00532752"/>
    <w:rsid w:val="00532D1A"/>
    <w:rsid w:val="00534B3C"/>
    <w:rsid w:val="00535CFB"/>
    <w:rsid w:val="00537734"/>
    <w:rsid w:val="00537E35"/>
    <w:rsid w:val="00540904"/>
    <w:rsid w:val="00541648"/>
    <w:rsid w:val="00542013"/>
    <w:rsid w:val="00542D12"/>
    <w:rsid w:val="00542E98"/>
    <w:rsid w:val="0054311B"/>
    <w:rsid w:val="00543128"/>
    <w:rsid w:val="00544398"/>
    <w:rsid w:val="00545FCB"/>
    <w:rsid w:val="005461C1"/>
    <w:rsid w:val="00550CDC"/>
    <w:rsid w:val="005513D7"/>
    <w:rsid w:val="00551805"/>
    <w:rsid w:val="00551C28"/>
    <w:rsid w:val="00552754"/>
    <w:rsid w:val="005560BB"/>
    <w:rsid w:val="00560ECA"/>
    <w:rsid w:val="005611E7"/>
    <w:rsid w:val="00562264"/>
    <w:rsid w:val="00563C7B"/>
    <w:rsid w:val="005640FE"/>
    <w:rsid w:val="005648C4"/>
    <w:rsid w:val="00564DA9"/>
    <w:rsid w:val="00564DCF"/>
    <w:rsid w:val="00565DFF"/>
    <w:rsid w:val="00565E89"/>
    <w:rsid w:val="0056619A"/>
    <w:rsid w:val="005714A8"/>
    <w:rsid w:val="00571E16"/>
    <w:rsid w:val="00573D76"/>
    <w:rsid w:val="00576969"/>
    <w:rsid w:val="00580004"/>
    <w:rsid w:val="00582BC9"/>
    <w:rsid w:val="005836AE"/>
    <w:rsid w:val="0058380C"/>
    <w:rsid w:val="00585CDC"/>
    <w:rsid w:val="00585F6B"/>
    <w:rsid w:val="00590245"/>
    <w:rsid w:val="005907F7"/>
    <w:rsid w:val="00591AF6"/>
    <w:rsid w:val="00592171"/>
    <w:rsid w:val="0059363D"/>
    <w:rsid w:val="00593E4C"/>
    <w:rsid w:val="005965FF"/>
    <w:rsid w:val="00596FF6"/>
    <w:rsid w:val="0059791F"/>
    <w:rsid w:val="005A11F4"/>
    <w:rsid w:val="005A18DE"/>
    <w:rsid w:val="005A26DB"/>
    <w:rsid w:val="005A2A7D"/>
    <w:rsid w:val="005A3047"/>
    <w:rsid w:val="005A37F1"/>
    <w:rsid w:val="005A4E8D"/>
    <w:rsid w:val="005A6E8E"/>
    <w:rsid w:val="005A78CC"/>
    <w:rsid w:val="005B07C7"/>
    <w:rsid w:val="005B3156"/>
    <w:rsid w:val="005B336B"/>
    <w:rsid w:val="005B419C"/>
    <w:rsid w:val="005B788F"/>
    <w:rsid w:val="005C2651"/>
    <w:rsid w:val="005C2BB2"/>
    <w:rsid w:val="005C2BBA"/>
    <w:rsid w:val="005C42DE"/>
    <w:rsid w:val="005C4869"/>
    <w:rsid w:val="005C52C4"/>
    <w:rsid w:val="005C57E7"/>
    <w:rsid w:val="005C6128"/>
    <w:rsid w:val="005C653D"/>
    <w:rsid w:val="005C6FD8"/>
    <w:rsid w:val="005C7362"/>
    <w:rsid w:val="005D0CFD"/>
    <w:rsid w:val="005D2718"/>
    <w:rsid w:val="005D3989"/>
    <w:rsid w:val="005D4AA7"/>
    <w:rsid w:val="005D6772"/>
    <w:rsid w:val="005D6C7E"/>
    <w:rsid w:val="005D70C0"/>
    <w:rsid w:val="005E0FE5"/>
    <w:rsid w:val="005E23A7"/>
    <w:rsid w:val="005E3E17"/>
    <w:rsid w:val="005E5E41"/>
    <w:rsid w:val="005E6F85"/>
    <w:rsid w:val="005E73D3"/>
    <w:rsid w:val="005F0407"/>
    <w:rsid w:val="005F07F7"/>
    <w:rsid w:val="005F1AEE"/>
    <w:rsid w:val="005F40FE"/>
    <w:rsid w:val="005F4C06"/>
    <w:rsid w:val="00600594"/>
    <w:rsid w:val="00602871"/>
    <w:rsid w:val="006034E8"/>
    <w:rsid w:val="0060377A"/>
    <w:rsid w:val="00610A44"/>
    <w:rsid w:val="00616A63"/>
    <w:rsid w:val="00617462"/>
    <w:rsid w:val="0061774D"/>
    <w:rsid w:val="006204F3"/>
    <w:rsid w:val="00620AAE"/>
    <w:rsid w:val="00622CB5"/>
    <w:rsid w:val="00623246"/>
    <w:rsid w:val="00623566"/>
    <w:rsid w:val="00623E7D"/>
    <w:rsid w:val="0062432D"/>
    <w:rsid w:val="00624D2A"/>
    <w:rsid w:val="00624EA1"/>
    <w:rsid w:val="00625C76"/>
    <w:rsid w:val="006268B4"/>
    <w:rsid w:val="00631ED7"/>
    <w:rsid w:val="0063317B"/>
    <w:rsid w:val="0063322A"/>
    <w:rsid w:val="00633588"/>
    <w:rsid w:val="00636013"/>
    <w:rsid w:val="006362AE"/>
    <w:rsid w:val="0064018B"/>
    <w:rsid w:val="0064069C"/>
    <w:rsid w:val="00641E6C"/>
    <w:rsid w:val="00642F66"/>
    <w:rsid w:val="00644679"/>
    <w:rsid w:val="00644DDE"/>
    <w:rsid w:val="0064702C"/>
    <w:rsid w:val="0064745F"/>
    <w:rsid w:val="00647F23"/>
    <w:rsid w:val="0065005E"/>
    <w:rsid w:val="00650475"/>
    <w:rsid w:val="00650E82"/>
    <w:rsid w:val="00650F9C"/>
    <w:rsid w:val="006530DF"/>
    <w:rsid w:val="0065500E"/>
    <w:rsid w:val="0065536C"/>
    <w:rsid w:val="00656E1B"/>
    <w:rsid w:val="00660FBF"/>
    <w:rsid w:val="00661ACA"/>
    <w:rsid w:val="00662926"/>
    <w:rsid w:val="006634B3"/>
    <w:rsid w:val="00665FAE"/>
    <w:rsid w:val="00667535"/>
    <w:rsid w:val="00667EE1"/>
    <w:rsid w:val="006726A5"/>
    <w:rsid w:val="00673CF0"/>
    <w:rsid w:val="006746F3"/>
    <w:rsid w:val="0067482D"/>
    <w:rsid w:val="00674ACE"/>
    <w:rsid w:val="00676390"/>
    <w:rsid w:val="0067680D"/>
    <w:rsid w:val="00682013"/>
    <w:rsid w:val="006839E5"/>
    <w:rsid w:val="00683AED"/>
    <w:rsid w:val="00685090"/>
    <w:rsid w:val="00686AEB"/>
    <w:rsid w:val="006875B0"/>
    <w:rsid w:val="00690812"/>
    <w:rsid w:val="00692DA7"/>
    <w:rsid w:val="00693FEA"/>
    <w:rsid w:val="00694811"/>
    <w:rsid w:val="00695A7E"/>
    <w:rsid w:val="00695DEE"/>
    <w:rsid w:val="0069701A"/>
    <w:rsid w:val="006973EA"/>
    <w:rsid w:val="006A0191"/>
    <w:rsid w:val="006A07EF"/>
    <w:rsid w:val="006A17D1"/>
    <w:rsid w:val="006A180B"/>
    <w:rsid w:val="006A19B9"/>
    <w:rsid w:val="006A1D7A"/>
    <w:rsid w:val="006A2609"/>
    <w:rsid w:val="006A6E70"/>
    <w:rsid w:val="006A7E12"/>
    <w:rsid w:val="006B0B75"/>
    <w:rsid w:val="006B2745"/>
    <w:rsid w:val="006B4378"/>
    <w:rsid w:val="006B559D"/>
    <w:rsid w:val="006B5BDA"/>
    <w:rsid w:val="006B700D"/>
    <w:rsid w:val="006C0115"/>
    <w:rsid w:val="006C0A6A"/>
    <w:rsid w:val="006C1E7D"/>
    <w:rsid w:val="006C364F"/>
    <w:rsid w:val="006C4A87"/>
    <w:rsid w:val="006C536E"/>
    <w:rsid w:val="006C5B80"/>
    <w:rsid w:val="006C5CF3"/>
    <w:rsid w:val="006C6FCD"/>
    <w:rsid w:val="006C7458"/>
    <w:rsid w:val="006C758C"/>
    <w:rsid w:val="006D032C"/>
    <w:rsid w:val="006D0482"/>
    <w:rsid w:val="006D05DB"/>
    <w:rsid w:val="006D236D"/>
    <w:rsid w:val="006D310E"/>
    <w:rsid w:val="006D6BB2"/>
    <w:rsid w:val="006D72E9"/>
    <w:rsid w:val="006E12A1"/>
    <w:rsid w:val="006E2067"/>
    <w:rsid w:val="006E292A"/>
    <w:rsid w:val="006E2944"/>
    <w:rsid w:val="006E434F"/>
    <w:rsid w:val="006E43B7"/>
    <w:rsid w:val="006E5993"/>
    <w:rsid w:val="006E5B36"/>
    <w:rsid w:val="006E6505"/>
    <w:rsid w:val="006F0EB5"/>
    <w:rsid w:val="006F157B"/>
    <w:rsid w:val="006F2F3D"/>
    <w:rsid w:val="006F39B6"/>
    <w:rsid w:val="006F575C"/>
    <w:rsid w:val="006F6C31"/>
    <w:rsid w:val="006F6C59"/>
    <w:rsid w:val="00701752"/>
    <w:rsid w:val="00701E03"/>
    <w:rsid w:val="00701E73"/>
    <w:rsid w:val="00702A2E"/>
    <w:rsid w:val="007038EE"/>
    <w:rsid w:val="00705CDD"/>
    <w:rsid w:val="0070613A"/>
    <w:rsid w:val="00706965"/>
    <w:rsid w:val="00710062"/>
    <w:rsid w:val="007135E8"/>
    <w:rsid w:val="007138E3"/>
    <w:rsid w:val="00713FB4"/>
    <w:rsid w:val="007154AA"/>
    <w:rsid w:val="007156F0"/>
    <w:rsid w:val="0071652A"/>
    <w:rsid w:val="0071687A"/>
    <w:rsid w:val="00716FFB"/>
    <w:rsid w:val="007172D8"/>
    <w:rsid w:val="00720A92"/>
    <w:rsid w:val="007226D1"/>
    <w:rsid w:val="00723952"/>
    <w:rsid w:val="007248BF"/>
    <w:rsid w:val="00726147"/>
    <w:rsid w:val="007278D0"/>
    <w:rsid w:val="00727DDD"/>
    <w:rsid w:val="00727DF3"/>
    <w:rsid w:val="007300C1"/>
    <w:rsid w:val="00730902"/>
    <w:rsid w:val="007310EE"/>
    <w:rsid w:val="00732396"/>
    <w:rsid w:val="007330F6"/>
    <w:rsid w:val="00733BE7"/>
    <w:rsid w:val="00734819"/>
    <w:rsid w:val="00734BC1"/>
    <w:rsid w:val="007356C5"/>
    <w:rsid w:val="00736199"/>
    <w:rsid w:val="00737529"/>
    <w:rsid w:val="00737706"/>
    <w:rsid w:val="007377F2"/>
    <w:rsid w:val="00740A69"/>
    <w:rsid w:val="00740D22"/>
    <w:rsid w:val="00740ECC"/>
    <w:rsid w:val="00742646"/>
    <w:rsid w:val="0074274F"/>
    <w:rsid w:val="007436EB"/>
    <w:rsid w:val="00744493"/>
    <w:rsid w:val="00744A07"/>
    <w:rsid w:val="00744B59"/>
    <w:rsid w:val="00750A05"/>
    <w:rsid w:val="00751A48"/>
    <w:rsid w:val="0075205E"/>
    <w:rsid w:val="00752E24"/>
    <w:rsid w:val="00754225"/>
    <w:rsid w:val="00761C74"/>
    <w:rsid w:val="0076267F"/>
    <w:rsid w:val="007634C2"/>
    <w:rsid w:val="00764F84"/>
    <w:rsid w:val="0076525F"/>
    <w:rsid w:val="00765417"/>
    <w:rsid w:val="0076541D"/>
    <w:rsid w:val="00766EE8"/>
    <w:rsid w:val="00770DB9"/>
    <w:rsid w:val="007710F5"/>
    <w:rsid w:val="00771810"/>
    <w:rsid w:val="00772263"/>
    <w:rsid w:val="007744F7"/>
    <w:rsid w:val="00774583"/>
    <w:rsid w:val="0077494B"/>
    <w:rsid w:val="00775B01"/>
    <w:rsid w:val="0077604E"/>
    <w:rsid w:val="007770F6"/>
    <w:rsid w:val="0078147C"/>
    <w:rsid w:val="00781A3E"/>
    <w:rsid w:val="00782656"/>
    <w:rsid w:val="00782D6F"/>
    <w:rsid w:val="0078372A"/>
    <w:rsid w:val="00784E16"/>
    <w:rsid w:val="00786EEF"/>
    <w:rsid w:val="00791EA6"/>
    <w:rsid w:val="00792193"/>
    <w:rsid w:val="0079332C"/>
    <w:rsid w:val="00793F79"/>
    <w:rsid w:val="00794EE7"/>
    <w:rsid w:val="00795B0A"/>
    <w:rsid w:val="00795C41"/>
    <w:rsid w:val="007962C3"/>
    <w:rsid w:val="00796A01"/>
    <w:rsid w:val="00796CF3"/>
    <w:rsid w:val="007A0CB9"/>
    <w:rsid w:val="007A0FE3"/>
    <w:rsid w:val="007A1298"/>
    <w:rsid w:val="007A153B"/>
    <w:rsid w:val="007A20F0"/>
    <w:rsid w:val="007A2214"/>
    <w:rsid w:val="007A2BC5"/>
    <w:rsid w:val="007A3C7C"/>
    <w:rsid w:val="007A4485"/>
    <w:rsid w:val="007A6807"/>
    <w:rsid w:val="007A6AC2"/>
    <w:rsid w:val="007A74B1"/>
    <w:rsid w:val="007A7A1A"/>
    <w:rsid w:val="007A7F18"/>
    <w:rsid w:val="007B09B5"/>
    <w:rsid w:val="007B18D7"/>
    <w:rsid w:val="007B6854"/>
    <w:rsid w:val="007B6B11"/>
    <w:rsid w:val="007B7635"/>
    <w:rsid w:val="007C0B5C"/>
    <w:rsid w:val="007C0D20"/>
    <w:rsid w:val="007C250F"/>
    <w:rsid w:val="007C299E"/>
    <w:rsid w:val="007C3D9F"/>
    <w:rsid w:val="007C44F1"/>
    <w:rsid w:val="007C47F0"/>
    <w:rsid w:val="007C5BC9"/>
    <w:rsid w:val="007C5C7C"/>
    <w:rsid w:val="007C6AC8"/>
    <w:rsid w:val="007D0922"/>
    <w:rsid w:val="007D1AAE"/>
    <w:rsid w:val="007D398D"/>
    <w:rsid w:val="007D4353"/>
    <w:rsid w:val="007D4689"/>
    <w:rsid w:val="007D5765"/>
    <w:rsid w:val="007D629B"/>
    <w:rsid w:val="007D6C9D"/>
    <w:rsid w:val="007E009B"/>
    <w:rsid w:val="007E0CB2"/>
    <w:rsid w:val="007E1610"/>
    <w:rsid w:val="007E167B"/>
    <w:rsid w:val="007E27C6"/>
    <w:rsid w:val="007E6655"/>
    <w:rsid w:val="007E7E42"/>
    <w:rsid w:val="007F202F"/>
    <w:rsid w:val="007F4473"/>
    <w:rsid w:val="007F4B54"/>
    <w:rsid w:val="007F6D1B"/>
    <w:rsid w:val="007F74E6"/>
    <w:rsid w:val="00801410"/>
    <w:rsid w:val="0080148A"/>
    <w:rsid w:val="00801962"/>
    <w:rsid w:val="00803B20"/>
    <w:rsid w:val="00804FE5"/>
    <w:rsid w:val="0080546D"/>
    <w:rsid w:val="00805530"/>
    <w:rsid w:val="00805E44"/>
    <w:rsid w:val="008067DC"/>
    <w:rsid w:val="0081000C"/>
    <w:rsid w:val="00810173"/>
    <w:rsid w:val="00811084"/>
    <w:rsid w:val="00811FF8"/>
    <w:rsid w:val="00812967"/>
    <w:rsid w:val="00812D0B"/>
    <w:rsid w:val="00814503"/>
    <w:rsid w:val="008209AA"/>
    <w:rsid w:val="008209C9"/>
    <w:rsid w:val="008219A9"/>
    <w:rsid w:val="008219CC"/>
    <w:rsid w:val="00822288"/>
    <w:rsid w:val="00822E1A"/>
    <w:rsid w:val="00822F64"/>
    <w:rsid w:val="00824806"/>
    <w:rsid w:val="00826169"/>
    <w:rsid w:val="00826BB1"/>
    <w:rsid w:val="00826C2F"/>
    <w:rsid w:val="00826E9A"/>
    <w:rsid w:val="008331B4"/>
    <w:rsid w:val="00833653"/>
    <w:rsid w:val="00833D9D"/>
    <w:rsid w:val="00835EA0"/>
    <w:rsid w:val="0083775E"/>
    <w:rsid w:val="00837C67"/>
    <w:rsid w:val="00840563"/>
    <w:rsid w:val="00840D9B"/>
    <w:rsid w:val="00841567"/>
    <w:rsid w:val="00842C0E"/>
    <w:rsid w:val="0084346C"/>
    <w:rsid w:val="00845193"/>
    <w:rsid w:val="00845BCD"/>
    <w:rsid w:val="00846B02"/>
    <w:rsid w:val="00846E74"/>
    <w:rsid w:val="00850EF9"/>
    <w:rsid w:val="00851D06"/>
    <w:rsid w:val="00851F10"/>
    <w:rsid w:val="00853532"/>
    <w:rsid w:val="00855F8E"/>
    <w:rsid w:val="00856996"/>
    <w:rsid w:val="00856A29"/>
    <w:rsid w:val="008579A1"/>
    <w:rsid w:val="00857F5E"/>
    <w:rsid w:val="00862478"/>
    <w:rsid w:val="00862B1B"/>
    <w:rsid w:val="00863105"/>
    <w:rsid w:val="00864321"/>
    <w:rsid w:val="00864E97"/>
    <w:rsid w:val="00864EB2"/>
    <w:rsid w:val="008658B1"/>
    <w:rsid w:val="00866747"/>
    <w:rsid w:val="00866B19"/>
    <w:rsid w:val="0086767B"/>
    <w:rsid w:val="008677A5"/>
    <w:rsid w:val="00867E3E"/>
    <w:rsid w:val="008718DF"/>
    <w:rsid w:val="00872201"/>
    <w:rsid w:val="00873FB8"/>
    <w:rsid w:val="00874F35"/>
    <w:rsid w:val="00875EB9"/>
    <w:rsid w:val="00876D26"/>
    <w:rsid w:val="00877861"/>
    <w:rsid w:val="0088152B"/>
    <w:rsid w:val="008816DD"/>
    <w:rsid w:val="00882321"/>
    <w:rsid w:val="00882C74"/>
    <w:rsid w:val="00884BEA"/>
    <w:rsid w:val="00885AE8"/>
    <w:rsid w:val="00885C0C"/>
    <w:rsid w:val="00885EEB"/>
    <w:rsid w:val="0088690C"/>
    <w:rsid w:val="00886F23"/>
    <w:rsid w:val="0088729F"/>
    <w:rsid w:val="00887A79"/>
    <w:rsid w:val="008901DC"/>
    <w:rsid w:val="008906FE"/>
    <w:rsid w:val="0089121D"/>
    <w:rsid w:val="008932D8"/>
    <w:rsid w:val="008949E1"/>
    <w:rsid w:val="00895358"/>
    <w:rsid w:val="00896441"/>
    <w:rsid w:val="00896A18"/>
    <w:rsid w:val="008A10C9"/>
    <w:rsid w:val="008A1971"/>
    <w:rsid w:val="008A1AF3"/>
    <w:rsid w:val="008A2598"/>
    <w:rsid w:val="008A2765"/>
    <w:rsid w:val="008A326D"/>
    <w:rsid w:val="008A6E41"/>
    <w:rsid w:val="008A73DA"/>
    <w:rsid w:val="008B0BD0"/>
    <w:rsid w:val="008B211B"/>
    <w:rsid w:val="008B2819"/>
    <w:rsid w:val="008B2984"/>
    <w:rsid w:val="008B3C37"/>
    <w:rsid w:val="008B57E6"/>
    <w:rsid w:val="008B672A"/>
    <w:rsid w:val="008B6F69"/>
    <w:rsid w:val="008B7F9F"/>
    <w:rsid w:val="008C04E3"/>
    <w:rsid w:val="008C0DBF"/>
    <w:rsid w:val="008C15BC"/>
    <w:rsid w:val="008C1EAF"/>
    <w:rsid w:val="008C1ED0"/>
    <w:rsid w:val="008C3052"/>
    <w:rsid w:val="008C36DE"/>
    <w:rsid w:val="008C37C7"/>
    <w:rsid w:val="008C3AEF"/>
    <w:rsid w:val="008C3FEA"/>
    <w:rsid w:val="008C4412"/>
    <w:rsid w:val="008C4FE7"/>
    <w:rsid w:val="008C598F"/>
    <w:rsid w:val="008C5BE3"/>
    <w:rsid w:val="008C75C9"/>
    <w:rsid w:val="008D017A"/>
    <w:rsid w:val="008D0564"/>
    <w:rsid w:val="008D05C3"/>
    <w:rsid w:val="008D1089"/>
    <w:rsid w:val="008D110B"/>
    <w:rsid w:val="008D1671"/>
    <w:rsid w:val="008D305A"/>
    <w:rsid w:val="008D505F"/>
    <w:rsid w:val="008D6AC3"/>
    <w:rsid w:val="008E27DF"/>
    <w:rsid w:val="008E4367"/>
    <w:rsid w:val="008E4961"/>
    <w:rsid w:val="008E6C99"/>
    <w:rsid w:val="008E78B2"/>
    <w:rsid w:val="008E7D12"/>
    <w:rsid w:val="008F07EE"/>
    <w:rsid w:val="008F2009"/>
    <w:rsid w:val="008F2C26"/>
    <w:rsid w:val="008F2C7A"/>
    <w:rsid w:val="008F3E73"/>
    <w:rsid w:val="008F4883"/>
    <w:rsid w:val="008F5240"/>
    <w:rsid w:val="008F53A2"/>
    <w:rsid w:val="008F61F1"/>
    <w:rsid w:val="008F6A25"/>
    <w:rsid w:val="008F6B7A"/>
    <w:rsid w:val="00900333"/>
    <w:rsid w:val="009006B9"/>
    <w:rsid w:val="00900C38"/>
    <w:rsid w:val="009012A1"/>
    <w:rsid w:val="00903825"/>
    <w:rsid w:val="00905CB4"/>
    <w:rsid w:val="00906A37"/>
    <w:rsid w:val="00906D37"/>
    <w:rsid w:val="0090728D"/>
    <w:rsid w:val="009107FE"/>
    <w:rsid w:val="00912827"/>
    <w:rsid w:val="00914A1D"/>
    <w:rsid w:val="00915CBA"/>
    <w:rsid w:val="00917ECA"/>
    <w:rsid w:val="0092045F"/>
    <w:rsid w:val="0092364C"/>
    <w:rsid w:val="0092404F"/>
    <w:rsid w:val="00924084"/>
    <w:rsid w:val="00926E8C"/>
    <w:rsid w:val="00926EBC"/>
    <w:rsid w:val="0093005A"/>
    <w:rsid w:val="00930E2F"/>
    <w:rsid w:val="00931017"/>
    <w:rsid w:val="00931FC7"/>
    <w:rsid w:val="00932F2D"/>
    <w:rsid w:val="00934BC8"/>
    <w:rsid w:val="00934EE6"/>
    <w:rsid w:val="009357B2"/>
    <w:rsid w:val="009359A6"/>
    <w:rsid w:val="00940AD9"/>
    <w:rsid w:val="00941673"/>
    <w:rsid w:val="0094192C"/>
    <w:rsid w:val="00942884"/>
    <w:rsid w:val="00943407"/>
    <w:rsid w:val="00943E45"/>
    <w:rsid w:val="00943E8F"/>
    <w:rsid w:val="009441BE"/>
    <w:rsid w:val="0094432D"/>
    <w:rsid w:val="00945141"/>
    <w:rsid w:val="00946180"/>
    <w:rsid w:val="00950AE9"/>
    <w:rsid w:val="00953062"/>
    <w:rsid w:val="009534A5"/>
    <w:rsid w:val="009540D7"/>
    <w:rsid w:val="00955BC2"/>
    <w:rsid w:val="00956476"/>
    <w:rsid w:val="00957E29"/>
    <w:rsid w:val="00960D67"/>
    <w:rsid w:val="0096178F"/>
    <w:rsid w:val="009657D2"/>
    <w:rsid w:val="00967282"/>
    <w:rsid w:val="00970473"/>
    <w:rsid w:val="00971579"/>
    <w:rsid w:val="00971CA0"/>
    <w:rsid w:val="0097267C"/>
    <w:rsid w:val="0097307C"/>
    <w:rsid w:val="00973E47"/>
    <w:rsid w:val="00974501"/>
    <w:rsid w:val="00975298"/>
    <w:rsid w:val="009753FC"/>
    <w:rsid w:val="0097573B"/>
    <w:rsid w:val="00977048"/>
    <w:rsid w:val="00977752"/>
    <w:rsid w:val="009779B3"/>
    <w:rsid w:val="0098008A"/>
    <w:rsid w:val="00980427"/>
    <w:rsid w:val="00982F2E"/>
    <w:rsid w:val="009836C3"/>
    <w:rsid w:val="00984450"/>
    <w:rsid w:val="00985ADB"/>
    <w:rsid w:val="009862C7"/>
    <w:rsid w:val="009870B9"/>
    <w:rsid w:val="009902F3"/>
    <w:rsid w:val="00990D00"/>
    <w:rsid w:val="009925C9"/>
    <w:rsid w:val="00995772"/>
    <w:rsid w:val="009959ED"/>
    <w:rsid w:val="00996A22"/>
    <w:rsid w:val="00996E53"/>
    <w:rsid w:val="00996FD1"/>
    <w:rsid w:val="009A01B1"/>
    <w:rsid w:val="009A2B8F"/>
    <w:rsid w:val="009A3DD4"/>
    <w:rsid w:val="009A4541"/>
    <w:rsid w:val="009A4684"/>
    <w:rsid w:val="009A5E89"/>
    <w:rsid w:val="009B06BC"/>
    <w:rsid w:val="009B1E42"/>
    <w:rsid w:val="009B2183"/>
    <w:rsid w:val="009B3C08"/>
    <w:rsid w:val="009B3C31"/>
    <w:rsid w:val="009B3FC5"/>
    <w:rsid w:val="009B49EF"/>
    <w:rsid w:val="009B5932"/>
    <w:rsid w:val="009B65C0"/>
    <w:rsid w:val="009B6C48"/>
    <w:rsid w:val="009B6FB4"/>
    <w:rsid w:val="009B7317"/>
    <w:rsid w:val="009B7E6F"/>
    <w:rsid w:val="009C1F82"/>
    <w:rsid w:val="009C274C"/>
    <w:rsid w:val="009C35D9"/>
    <w:rsid w:val="009C43A9"/>
    <w:rsid w:val="009C5276"/>
    <w:rsid w:val="009C5574"/>
    <w:rsid w:val="009C6155"/>
    <w:rsid w:val="009C6503"/>
    <w:rsid w:val="009C6DDA"/>
    <w:rsid w:val="009D0211"/>
    <w:rsid w:val="009D0410"/>
    <w:rsid w:val="009D121B"/>
    <w:rsid w:val="009D1647"/>
    <w:rsid w:val="009D1BFD"/>
    <w:rsid w:val="009D209B"/>
    <w:rsid w:val="009D2F26"/>
    <w:rsid w:val="009D334F"/>
    <w:rsid w:val="009D525C"/>
    <w:rsid w:val="009D5A7B"/>
    <w:rsid w:val="009D6653"/>
    <w:rsid w:val="009D672C"/>
    <w:rsid w:val="009D72E0"/>
    <w:rsid w:val="009D76F5"/>
    <w:rsid w:val="009E040D"/>
    <w:rsid w:val="009E08CA"/>
    <w:rsid w:val="009E1062"/>
    <w:rsid w:val="009E1C76"/>
    <w:rsid w:val="009E26C9"/>
    <w:rsid w:val="009E2E50"/>
    <w:rsid w:val="009E397A"/>
    <w:rsid w:val="009E5277"/>
    <w:rsid w:val="009F0342"/>
    <w:rsid w:val="009F0433"/>
    <w:rsid w:val="009F068F"/>
    <w:rsid w:val="009F1E87"/>
    <w:rsid w:val="009F4B89"/>
    <w:rsid w:val="00A00825"/>
    <w:rsid w:val="00A00CC8"/>
    <w:rsid w:val="00A01F63"/>
    <w:rsid w:val="00A03F09"/>
    <w:rsid w:val="00A04006"/>
    <w:rsid w:val="00A04ADB"/>
    <w:rsid w:val="00A05925"/>
    <w:rsid w:val="00A06E06"/>
    <w:rsid w:val="00A10BA8"/>
    <w:rsid w:val="00A123F9"/>
    <w:rsid w:val="00A13C72"/>
    <w:rsid w:val="00A141BA"/>
    <w:rsid w:val="00A14D9B"/>
    <w:rsid w:val="00A15161"/>
    <w:rsid w:val="00A16C3D"/>
    <w:rsid w:val="00A1721B"/>
    <w:rsid w:val="00A17716"/>
    <w:rsid w:val="00A17991"/>
    <w:rsid w:val="00A17EE8"/>
    <w:rsid w:val="00A20298"/>
    <w:rsid w:val="00A204BB"/>
    <w:rsid w:val="00A204D7"/>
    <w:rsid w:val="00A21EC2"/>
    <w:rsid w:val="00A22496"/>
    <w:rsid w:val="00A228F3"/>
    <w:rsid w:val="00A232C9"/>
    <w:rsid w:val="00A25227"/>
    <w:rsid w:val="00A25228"/>
    <w:rsid w:val="00A26148"/>
    <w:rsid w:val="00A2653A"/>
    <w:rsid w:val="00A309DC"/>
    <w:rsid w:val="00A31081"/>
    <w:rsid w:val="00A316C7"/>
    <w:rsid w:val="00A32C05"/>
    <w:rsid w:val="00A335ED"/>
    <w:rsid w:val="00A34086"/>
    <w:rsid w:val="00A3673C"/>
    <w:rsid w:val="00A4123A"/>
    <w:rsid w:val="00A41510"/>
    <w:rsid w:val="00A4192D"/>
    <w:rsid w:val="00A42D77"/>
    <w:rsid w:val="00A44D91"/>
    <w:rsid w:val="00A45224"/>
    <w:rsid w:val="00A454C2"/>
    <w:rsid w:val="00A47D2F"/>
    <w:rsid w:val="00A52005"/>
    <w:rsid w:val="00A52F77"/>
    <w:rsid w:val="00A54303"/>
    <w:rsid w:val="00A54429"/>
    <w:rsid w:val="00A544CE"/>
    <w:rsid w:val="00A55147"/>
    <w:rsid w:val="00A5792C"/>
    <w:rsid w:val="00A615A7"/>
    <w:rsid w:val="00A62613"/>
    <w:rsid w:val="00A64D0C"/>
    <w:rsid w:val="00A65F37"/>
    <w:rsid w:val="00A66B8A"/>
    <w:rsid w:val="00A70D86"/>
    <w:rsid w:val="00A715BF"/>
    <w:rsid w:val="00A729C2"/>
    <w:rsid w:val="00A73932"/>
    <w:rsid w:val="00A74DC5"/>
    <w:rsid w:val="00A77059"/>
    <w:rsid w:val="00A77695"/>
    <w:rsid w:val="00A77BCF"/>
    <w:rsid w:val="00A806D8"/>
    <w:rsid w:val="00A80E93"/>
    <w:rsid w:val="00A827AE"/>
    <w:rsid w:val="00A82A80"/>
    <w:rsid w:val="00A82D19"/>
    <w:rsid w:val="00A84936"/>
    <w:rsid w:val="00A850C9"/>
    <w:rsid w:val="00A85324"/>
    <w:rsid w:val="00A85A9C"/>
    <w:rsid w:val="00A9128C"/>
    <w:rsid w:val="00A95756"/>
    <w:rsid w:val="00A95C67"/>
    <w:rsid w:val="00A9678B"/>
    <w:rsid w:val="00A96873"/>
    <w:rsid w:val="00AA4585"/>
    <w:rsid w:val="00AA484B"/>
    <w:rsid w:val="00AA4B17"/>
    <w:rsid w:val="00AA60F0"/>
    <w:rsid w:val="00AA6DCF"/>
    <w:rsid w:val="00AA6F69"/>
    <w:rsid w:val="00AB1B2A"/>
    <w:rsid w:val="00AB3336"/>
    <w:rsid w:val="00AB4D6C"/>
    <w:rsid w:val="00AB6416"/>
    <w:rsid w:val="00AB68AE"/>
    <w:rsid w:val="00AB6E87"/>
    <w:rsid w:val="00AB7377"/>
    <w:rsid w:val="00AC0A14"/>
    <w:rsid w:val="00AC294B"/>
    <w:rsid w:val="00AC2D59"/>
    <w:rsid w:val="00AC2F5A"/>
    <w:rsid w:val="00AC37D9"/>
    <w:rsid w:val="00AC5C22"/>
    <w:rsid w:val="00AD017C"/>
    <w:rsid w:val="00AD18AA"/>
    <w:rsid w:val="00AD216F"/>
    <w:rsid w:val="00AD34FE"/>
    <w:rsid w:val="00AD3F18"/>
    <w:rsid w:val="00AD40C9"/>
    <w:rsid w:val="00AD64EA"/>
    <w:rsid w:val="00AD74E9"/>
    <w:rsid w:val="00AE02E4"/>
    <w:rsid w:val="00AE049B"/>
    <w:rsid w:val="00AE0F21"/>
    <w:rsid w:val="00AE24F0"/>
    <w:rsid w:val="00AE2F56"/>
    <w:rsid w:val="00AE4503"/>
    <w:rsid w:val="00AE5740"/>
    <w:rsid w:val="00AE5D05"/>
    <w:rsid w:val="00AF0957"/>
    <w:rsid w:val="00AF0BFC"/>
    <w:rsid w:val="00AF2DB7"/>
    <w:rsid w:val="00AF5CFE"/>
    <w:rsid w:val="00AF6534"/>
    <w:rsid w:val="00AF6ED4"/>
    <w:rsid w:val="00B0002D"/>
    <w:rsid w:val="00B01CB3"/>
    <w:rsid w:val="00B03D64"/>
    <w:rsid w:val="00B0403F"/>
    <w:rsid w:val="00B04EEF"/>
    <w:rsid w:val="00B06D32"/>
    <w:rsid w:val="00B06EC5"/>
    <w:rsid w:val="00B106E8"/>
    <w:rsid w:val="00B1120A"/>
    <w:rsid w:val="00B12E70"/>
    <w:rsid w:val="00B13C5C"/>
    <w:rsid w:val="00B13E5C"/>
    <w:rsid w:val="00B16519"/>
    <w:rsid w:val="00B1732D"/>
    <w:rsid w:val="00B17568"/>
    <w:rsid w:val="00B17F51"/>
    <w:rsid w:val="00B215DF"/>
    <w:rsid w:val="00B23CD0"/>
    <w:rsid w:val="00B2544D"/>
    <w:rsid w:val="00B25F49"/>
    <w:rsid w:val="00B26585"/>
    <w:rsid w:val="00B27855"/>
    <w:rsid w:val="00B3027D"/>
    <w:rsid w:val="00B30682"/>
    <w:rsid w:val="00B31688"/>
    <w:rsid w:val="00B31D43"/>
    <w:rsid w:val="00B41F72"/>
    <w:rsid w:val="00B441AD"/>
    <w:rsid w:val="00B51D7E"/>
    <w:rsid w:val="00B5248B"/>
    <w:rsid w:val="00B53215"/>
    <w:rsid w:val="00B55395"/>
    <w:rsid w:val="00B570DC"/>
    <w:rsid w:val="00B578BC"/>
    <w:rsid w:val="00B602FC"/>
    <w:rsid w:val="00B60E48"/>
    <w:rsid w:val="00B610A0"/>
    <w:rsid w:val="00B645D2"/>
    <w:rsid w:val="00B64C36"/>
    <w:rsid w:val="00B651ED"/>
    <w:rsid w:val="00B6567F"/>
    <w:rsid w:val="00B65684"/>
    <w:rsid w:val="00B657A1"/>
    <w:rsid w:val="00B65A50"/>
    <w:rsid w:val="00B661B9"/>
    <w:rsid w:val="00B70500"/>
    <w:rsid w:val="00B71256"/>
    <w:rsid w:val="00B719D6"/>
    <w:rsid w:val="00B730C3"/>
    <w:rsid w:val="00B73673"/>
    <w:rsid w:val="00B747C3"/>
    <w:rsid w:val="00B751E6"/>
    <w:rsid w:val="00B7614E"/>
    <w:rsid w:val="00B76B39"/>
    <w:rsid w:val="00B8075C"/>
    <w:rsid w:val="00B80ECB"/>
    <w:rsid w:val="00B8182B"/>
    <w:rsid w:val="00B8226F"/>
    <w:rsid w:val="00B867B3"/>
    <w:rsid w:val="00B86E06"/>
    <w:rsid w:val="00B90827"/>
    <w:rsid w:val="00B9087B"/>
    <w:rsid w:val="00B93C16"/>
    <w:rsid w:val="00B96C48"/>
    <w:rsid w:val="00B97ADE"/>
    <w:rsid w:val="00BA0CE0"/>
    <w:rsid w:val="00BA3171"/>
    <w:rsid w:val="00BA4198"/>
    <w:rsid w:val="00BA5B8E"/>
    <w:rsid w:val="00BA5BF7"/>
    <w:rsid w:val="00BA6AB9"/>
    <w:rsid w:val="00BA7B0C"/>
    <w:rsid w:val="00BA7DCA"/>
    <w:rsid w:val="00BB0B0A"/>
    <w:rsid w:val="00BB1C7A"/>
    <w:rsid w:val="00BB2A9E"/>
    <w:rsid w:val="00BB3F04"/>
    <w:rsid w:val="00BB4DA4"/>
    <w:rsid w:val="00BB4E53"/>
    <w:rsid w:val="00BB502D"/>
    <w:rsid w:val="00BB73C9"/>
    <w:rsid w:val="00BB749F"/>
    <w:rsid w:val="00BC1AEF"/>
    <w:rsid w:val="00BC2A38"/>
    <w:rsid w:val="00BC326C"/>
    <w:rsid w:val="00BC32BD"/>
    <w:rsid w:val="00BC428F"/>
    <w:rsid w:val="00BC63DE"/>
    <w:rsid w:val="00BD1D9C"/>
    <w:rsid w:val="00BD2618"/>
    <w:rsid w:val="00BD333D"/>
    <w:rsid w:val="00BD3DAE"/>
    <w:rsid w:val="00BD434A"/>
    <w:rsid w:val="00BD4664"/>
    <w:rsid w:val="00BD4D6D"/>
    <w:rsid w:val="00BD579B"/>
    <w:rsid w:val="00BD76DF"/>
    <w:rsid w:val="00BD7FDE"/>
    <w:rsid w:val="00BE0706"/>
    <w:rsid w:val="00BE0888"/>
    <w:rsid w:val="00BE25CF"/>
    <w:rsid w:val="00BE2685"/>
    <w:rsid w:val="00BE4410"/>
    <w:rsid w:val="00BE4991"/>
    <w:rsid w:val="00BE606D"/>
    <w:rsid w:val="00BE68F4"/>
    <w:rsid w:val="00BE69F2"/>
    <w:rsid w:val="00BE7238"/>
    <w:rsid w:val="00BE7AA1"/>
    <w:rsid w:val="00BE7D5C"/>
    <w:rsid w:val="00BF19AB"/>
    <w:rsid w:val="00BF2866"/>
    <w:rsid w:val="00BF2BF4"/>
    <w:rsid w:val="00BF3388"/>
    <w:rsid w:val="00BF4809"/>
    <w:rsid w:val="00BF637F"/>
    <w:rsid w:val="00C014E2"/>
    <w:rsid w:val="00C01B71"/>
    <w:rsid w:val="00C02EB3"/>
    <w:rsid w:val="00C03FC9"/>
    <w:rsid w:val="00C066DE"/>
    <w:rsid w:val="00C0697B"/>
    <w:rsid w:val="00C06E32"/>
    <w:rsid w:val="00C06FFD"/>
    <w:rsid w:val="00C07909"/>
    <w:rsid w:val="00C100C7"/>
    <w:rsid w:val="00C110DC"/>
    <w:rsid w:val="00C1118A"/>
    <w:rsid w:val="00C12BD0"/>
    <w:rsid w:val="00C13185"/>
    <w:rsid w:val="00C143BA"/>
    <w:rsid w:val="00C14C97"/>
    <w:rsid w:val="00C15AEB"/>
    <w:rsid w:val="00C1648F"/>
    <w:rsid w:val="00C22544"/>
    <w:rsid w:val="00C24074"/>
    <w:rsid w:val="00C24BC6"/>
    <w:rsid w:val="00C2515A"/>
    <w:rsid w:val="00C269B8"/>
    <w:rsid w:val="00C272A4"/>
    <w:rsid w:val="00C3090B"/>
    <w:rsid w:val="00C31314"/>
    <w:rsid w:val="00C32624"/>
    <w:rsid w:val="00C32848"/>
    <w:rsid w:val="00C33E65"/>
    <w:rsid w:val="00C35608"/>
    <w:rsid w:val="00C360F3"/>
    <w:rsid w:val="00C36859"/>
    <w:rsid w:val="00C42C79"/>
    <w:rsid w:val="00C44543"/>
    <w:rsid w:val="00C44AA2"/>
    <w:rsid w:val="00C452F1"/>
    <w:rsid w:val="00C45E44"/>
    <w:rsid w:val="00C46A71"/>
    <w:rsid w:val="00C46E0A"/>
    <w:rsid w:val="00C47065"/>
    <w:rsid w:val="00C53597"/>
    <w:rsid w:val="00C53A5F"/>
    <w:rsid w:val="00C5427C"/>
    <w:rsid w:val="00C548B9"/>
    <w:rsid w:val="00C5506F"/>
    <w:rsid w:val="00C56882"/>
    <w:rsid w:val="00C61FCE"/>
    <w:rsid w:val="00C649EA"/>
    <w:rsid w:val="00C64C38"/>
    <w:rsid w:val="00C67C7E"/>
    <w:rsid w:val="00C700EB"/>
    <w:rsid w:val="00C70C79"/>
    <w:rsid w:val="00C715E0"/>
    <w:rsid w:val="00C716F2"/>
    <w:rsid w:val="00C71E7B"/>
    <w:rsid w:val="00C72154"/>
    <w:rsid w:val="00C72DCB"/>
    <w:rsid w:val="00C735E7"/>
    <w:rsid w:val="00C736D0"/>
    <w:rsid w:val="00C75E6F"/>
    <w:rsid w:val="00C766D4"/>
    <w:rsid w:val="00C76B14"/>
    <w:rsid w:val="00C8033E"/>
    <w:rsid w:val="00C80C90"/>
    <w:rsid w:val="00C81183"/>
    <w:rsid w:val="00C821E0"/>
    <w:rsid w:val="00C83D8F"/>
    <w:rsid w:val="00C854D0"/>
    <w:rsid w:val="00C85964"/>
    <w:rsid w:val="00C86E76"/>
    <w:rsid w:val="00C90BA0"/>
    <w:rsid w:val="00C92ECC"/>
    <w:rsid w:val="00C961C4"/>
    <w:rsid w:val="00C96CCA"/>
    <w:rsid w:val="00C9711A"/>
    <w:rsid w:val="00C97A5A"/>
    <w:rsid w:val="00CA0150"/>
    <w:rsid w:val="00CA0A04"/>
    <w:rsid w:val="00CA2E4F"/>
    <w:rsid w:val="00CA39F9"/>
    <w:rsid w:val="00CA559C"/>
    <w:rsid w:val="00CA6C16"/>
    <w:rsid w:val="00CA799C"/>
    <w:rsid w:val="00CB0666"/>
    <w:rsid w:val="00CB1146"/>
    <w:rsid w:val="00CB2F25"/>
    <w:rsid w:val="00CB4231"/>
    <w:rsid w:val="00CB451F"/>
    <w:rsid w:val="00CB51A5"/>
    <w:rsid w:val="00CB53FB"/>
    <w:rsid w:val="00CB64AD"/>
    <w:rsid w:val="00CB6AD6"/>
    <w:rsid w:val="00CB6B03"/>
    <w:rsid w:val="00CB6EA2"/>
    <w:rsid w:val="00CB76C7"/>
    <w:rsid w:val="00CB77EA"/>
    <w:rsid w:val="00CC185A"/>
    <w:rsid w:val="00CC37E0"/>
    <w:rsid w:val="00CC4613"/>
    <w:rsid w:val="00CC4674"/>
    <w:rsid w:val="00CC5143"/>
    <w:rsid w:val="00CC5957"/>
    <w:rsid w:val="00CC7CF0"/>
    <w:rsid w:val="00CD08FD"/>
    <w:rsid w:val="00CD0FE9"/>
    <w:rsid w:val="00CD2933"/>
    <w:rsid w:val="00CD3787"/>
    <w:rsid w:val="00CD474E"/>
    <w:rsid w:val="00CD508F"/>
    <w:rsid w:val="00CD53A1"/>
    <w:rsid w:val="00CD6BF2"/>
    <w:rsid w:val="00CD7529"/>
    <w:rsid w:val="00CD7548"/>
    <w:rsid w:val="00CD7A3B"/>
    <w:rsid w:val="00CE0E7E"/>
    <w:rsid w:val="00CE111F"/>
    <w:rsid w:val="00CE5163"/>
    <w:rsid w:val="00CE5682"/>
    <w:rsid w:val="00CE76E9"/>
    <w:rsid w:val="00CF0B3B"/>
    <w:rsid w:val="00CF1AA7"/>
    <w:rsid w:val="00CF2949"/>
    <w:rsid w:val="00CF2B5E"/>
    <w:rsid w:val="00CF59C3"/>
    <w:rsid w:val="00CF5F60"/>
    <w:rsid w:val="00D00CC3"/>
    <w:rsid w:val="00D00DF7"/>
    <w:rsid w:val="00D047B8"/>
    <w:rsid w:val="00D04F5D"/>
    <w:rsid w:val="00D06272"/>
    <w:rsid w:val="00D064CE"/>
    <w:rsid w:val="00D06D74"/>
    <w:rsid w:val="00D07938"/>
    <w:rsid w:val="00D10332"/>
    <w:rsid w:val="00D1165B"/>
    <w:rsid w:val="00D12BD9"/>
    <w:rsid w:val="00D140E7"/>
    <w:rsid w:val="00D149E7"/>
    <w:rsid w:val="00D14B75"/>
    <w:rsid w:val="00D16FF9"/>
    <w:rsid w:val="00D17CC0"/>
    <w:rsid w:val="00D20372"/>
    <w:rsid w:val="00D21344"/>
    <w:rsid w:val="00D2198D"/>
    <w:rsid w:val="00D22BDB"/>
    <w:rsid w:val="00D252C8"/>
    <w:rsid w:val="00D26881"/>
    <w:rsid w:val="00D26956"/>
    <w:rsid w:val="00D307FA"/>
    <w:rsid w:val="00D33DCB"/>
    <w:rsid w:val="00D342A4"/>
    <w:rsid w:val="00D3432A"/>
    <w:rsid w:val="00D34EEF"/>
    <w:rsid w:val="00D35D7E"/>
    <w:rsid w:val="00D35DF9"/>
    <w:rsid w:val="00D4248F"/>
    <w:rsid w:val="00D42C08"/>
    <w:rsid w:val="00D43CA2"/>
    <w:rsid w:val="00D43E32"/>
    <w:rsid w:val="00D4411D"/>
    <w:rsid w:val="00D45054"/>
    <w:rsid w:val="00D4568E"/>
    <w:rsid w:val="00D5186D"/>
    <w:rsid w:val="00D51C19"/>
    <w:rsid w:val="00D52FAE"/>
    <w:rsid w:val="00D5371C"/>
    <w:rsid w:val="00D537F6"/>
    <w:rsid w:val="00D53A66"/>
    <w:rsid w:val="00D5692B"/>
    <w:rsid w:val="00D570BD"/>
    <w:rsid w:val="00D57B02"/>
    <w:rsid w:val="00D57EE4"/>
    <w:rsid w:val="00D60613"/>
    <w:rsid w:val="00D61DCA"/>
    <w:rsid w:val="00D62DFC"/>
    <w:rsid w:val="00D62F71"/>
    <w:rsid w:val="00D65A92"/>
    <w:rsid w:val="00D670CF"/>
    <w:rsid w:val="00D727BA"/>
    <w:rsid w:val="00D7506C"/>
    <w:rsid w:val="00D75A13"/>
    <w:rsid w:val="00D806DE"/>
    <w:rsid w:val="00D8073A"/>
    <w:rsid w:val="00D80F4F"/>
    <w:rsid w:val="00D822AC"/>
    <w:rsid w:val="00D82B64"/>
    <w:rsid w:val="00D82F63"/>
    <w:rsid w:val="00D854A8"/>
    <w:rsid w:val="00D85BC2"/>
    <w:rsid w:val="00D876D2"/>
    <w:rsid w:val="00D90D11"/>
    <w:rsid w:val="00D91387"/>
    <w:rsid w:val="00D92CFD"/>
    <w:rsid w:val="00D93505"/>
    <w:rsid w:val="00D9530F"/>
    <w:rsid w:val="00D95612"/>
    <w:rsid w:val="00D95EB9"/>
    <w:rsid w:val="00D96344"/>
    <w:rsid w:val="00D9697F"/>
    <w:rsid w:val="00DA1B0D"/>
    <w:rsid w:val="00DA1ED4"/>
    <w:rsid w:val="00DA3A21"/>
    <w:rsid w:val="00DA5632"/>
    <w:rsid w:val="00DA65E0"/>
    <w:rsid w:val="00DA6D9D"/>
    <w:rsid w:val="00DA6FE7"/>
    <w:rsid w:val="00DB012B"/>
    <w:rsid w:val="00DB1F8C"/>
    <w:rsid w:val="00DB3A58"/>
    <w:rsid w:val="00DB4966"/>
    <w:rsid w:val="00DB668F"/>
    <w:rsid w:val="00DB6D43"/>
    <w:rsid w:val="00DB7488"/>
    <w:rsid w:val="00DC1477"/>
    <w:rsid w:val="00DC1A42"/>
    <w:rsid w:val="00DC25F9"/>
    <w:rsid w:val="00DC2A55"/>
    <w:rsid w:val="00DC2AB9"/>
    <w:rsid w:val="00DC337A"/>
    <w:rsid w:val="00DC3CFA"/>
    <w:rsid w:val="00DC4587"/>
    <w:rsid w:val="00DC531E"/>
    <w:rsid w:val="00DC539D"/>
    <w:rsid w:val="00DC617B"/>
    <w:rsid w:val="00DC62F1"/>
    <w:rsid w:val="00DC65AF"/>
    <w:rsid w:val="00DC69CA"/>
    <w:rsid w:val="00DC6E4C"/>
    <w:rsid w:val="00DC758E"/>
    <w:rsid w:val="00DD02FC"/>
    <w:rsid w:val="00DD152D"/>
    <w:rsid w:val="00DD176A"/>
    <w:rsid w:val="00DD1E47"/>
    <w:rsid w:val="00DD1F26"/>
    <w:rsid w:val="00DD3544"/>
    <w:rsid w:val="00DD3A13"/>
    <w:rsid w:val="00DD555E"/>
    <w:rsid w:val="00DD7B2C"/>
    <w:rsid w:val="00DE09C7"/>
    <w:rsid w:val="00DE131B"/>
    <w:rsid w:val="00DE14E3"/>
    <w:rsid w:val="00DE213B"/>
    <w:rsid w:val="00DE21CA"/>
    <w:rsid w:val="00DE240A"/>
    <w:rsid w:val="00DE26A5"/>
    <w:rsid w:val="00DE2D73"/>
    <w:rsid w:val="00DE358C"/>
    <w:rsid w:val="00DE3940"/>
    <w:rsid w:val="00DE42E3"/>
    <w:rsid w:val="00DE4A9A"/>
    <w:rsid w:val="00DE6A6D"/>
    <w:rsid w:val="00DE6D8D"/>
    <w:rsid w:val="00DE7075"/>
    <w:rsid w:val="00DE75A7"/>
    <w:rsid w:val="00DF341D"/>
    <w:rsid w:val="00DF47B6"/>
    <w:rsid w:val="00DF5635"/>
    <w:rsid w:val="00DF5D61"/>
    <w:rsid w:val="00E016A9"/>
    <w:rsid w:val="00E02481"/>
    <w:rsid w:val="00E0488F"/>
    <w:rsid w:val="00E05BE8"/>
    <w:rsid w:val="00E06030"/>
    <w:rsid w:val="00E06407"/>
    <w:rsid w:val="00E06C88"/>
    <w:rsid w:val="00E0706C"/>
    <w:rsid w:val="00E07E5C"/>
    <w:rsid w:val="00E11D09"/>
    <w:rsid w:val="00E12743"/>
    <w:rsid w:val="00E12A80"/>
    <w:rsid w:val="00E1354A"/>
    <w:rsid w:val="00E1359E"/>
    <w:rsid w:val="00E13934"/>
    <w:rsid w:val="00E1535E"/>
    <w:rsid w:val="00E1564F"/>
    <w:rsid w:val="00E21C7E"/>
    <w:rsid w:val="00E22900"/>
    <w:rsid w:val="00E235BC"/>
    <w:rsid w:val="00E2397D"/>
    <w:rsid w:val="00E30660"/>
    <w:rsid w:val="00E3070F"/>
    <w:rsid w:val="00E312CE"/>
    <w:rsid w:val="00E3195A"/>
    <w:rsid w:val="00E33364"/>
    <w:rsid w:val="00E3512A"/>
    <w:rsid w:val="00E35953"/>
    <w:rsid w:val="00E36633"/>
    <w:rsid w:val="00E37E6F"/>
    <w:rsid w:val="00E404E8"/>
    <w:rsid w:val="00E41075"/>
    <w:rsid w:val="00E42EEA"/>
    <w:rsid w:val="00E441C0"/>
    <w:rsid w:val="00E44D44"/>
    <w:rsid w:val="00E463A4"/>
    <w:rsid w:val="00E464D5"/>
    <w:rsid w:val="00E4692D"/>
    <w:rsid w:val="00E47961"/>
    <w:rsid w:val="00E50589"/>
    <w:rsid w:val="00E508AD"/>
    <w:rsid w:val="00E5198A"/>
    <w:rsid w:val="00E53795"/>
    <w:rsid w:val="00E53B96"/>
    <w:rsid w:val="00E545DE"/>
    <w:rsid w:val="00E54A81"/>
    <w:rsid w:val="00E553A7"/>
    <w:rsid w:val="00E56F13"/>
    <w:rsid w:val="00E57512"/>
    <w:rsid w:val="00E612E4"/>
    <w:rsid w:val="00E61933"/>
    <w:rsid w:val="00E61BA3"/>
    <w:rsid w:val="00E6237B"/>
    <w:rsid w:val="00E63008"/>
    <w:rsid w:val="00E6416A"/>
    <w:rsid w:val="00E647C7"/>
    <w:rsid w:val="00E65564"/>
    <w:rsid w:val="00E657BD"/>
    <w:rsid w:val="00E65AE2"/>
    <w:rsid w:val="00E66369"/>
    <w:rsid w:val="00E667A4"/>
    <w:rsid w:val="00E66EC9"/>
    <w:rsid w:val="00E706A6"/>
    <w:rsid w:val="00E70B1B"/>
    <w:rsid w:val="00E73086"/>
    <w:rsid w:val="00E730CA"/>
    <w:rsid w:val="00E73660"/>
    <w:rsid w:val="00E74B7E"/>
    <w:rsid w:val="00E74BB7"/>
    <w:rsid w:val="00E75719"/>
    <w:rsid w:val="00E77201"/>
    <w:rsid w:val="00E824FC"/>
    <w:rsid w:val="00E8291B"/>
    <w:rsid w:val="00E82B07"/>
    <w:rsid w:val="00E83084"/>
    <w:rsid w:val="00E85D41"/>
    <w:rsid w:val="00E87C84"/>
    <w:rsid w:val="00E87D2E"/>
    <w:rsid w:val="00E90EC4"/>
    <w:rsid w:val="00E92ADE"/>
    <w:rsid w:val="00E92F95"/>
    <w:rsid w:val="00E9472D"/>
    <w:rsid w:val="00E96619"/>
    <w:rsid w:val="00E96B04"/>
    <w:rsid w:val="00E96CEE"/>
    <w:rsid w:val="00E97BF6"/>
    <w:rsid w:val="00EA002F"/>
    <w:rsid w:val="00EA02AC"/>
    <w:rsid w:val="00EA0561"/>
    <w:rsid w:val="00EA074D"/>
    <w:rsid w:val="00EA2A69"/>
    <w:rsid w:val="00EA439A"/>
    <w:rsid w:val="00EA4963"/>
    <w:rsid w:val="00EA500A"/>
    <w:rsid w:val="00EA57AB"/>
    <w:rsid w:val="00EA587D"/>
    <w:rsid w:val="00EA63A0"/>
    <w:rsid w:val="00EA7350"/>
    <w:rsid w:val="00EB155C"/>
    <w:rsid w:val="00EB2BD4"/>
    <w:rsid w:val="00EB43BF"/>
    <w:rsid w:val="00EB5A62"/>
    <w:rsid w:val="00EB5E1E"/>
    <w:rsid w:val="00EB6BFF"/>
    <w:rsid w:val="00EB734D"/>
    <w:rsid w:val="00EC1189"/>
    <w:rsid w:val="00EC12D7"/>
    <w:rsid w:val="00EC2BE4"/>
    <w:rsid w:val="00EC2C5F"/>
    <w:rsid w:val="00EC2FBD"/>
    <w:rsid w:val="00EC35D5"/>
    <w:rsid w:val="00EC3657"/>
    <w:rsid w:val="00EC3CCE"/>
    <w:rsid w:val="00EC40B1"/>
    <w:rsid w:val="00EC6AC9"/>
    <w:rsid w:val="00EC75A0"/>
    <w:rsid w:val="00EC7DDE"/>
    <w:rsid w:val="00ED1421"/>
    <w:rsid w:val="00ED1D13"/>
    <w:rsid w:val="00ED3337"/>
    <w:rsid w:val="00ED7766"/>
    <w:rsid w:val="00ED7D74"/>
    <w:rsid w:val="00ED7F8F"/>
    <w:rsid w:val="00EE1E10"/>
    <w:rsid w:val="00EE29D1"/>
    <w:rsid w:val="00EE3E1E"/>
    <w:rsid w:val="00EE4B4F"/>
    <w:rsid w:val="00EE6571"/>
    <w:rsid w:val="00EE6E0F"/>
    <w:rsid w:val="00EF139C"/>
    <w:rsid w:val="00EF172A"/>
    <w:rsid w:val="00EF1CAA"/>
    <w:rsid w:val="00EF3883"/>
    <w:rsid w:val="00EF4D11"/>
    <w:rsid w:val="00EF635C"/>
    <w:rsid w:val="00EF7279"/>
    <w:rsid w:val="00EF7F4D"/>
    <w:rsid w:val="00F00C88"/>
    <w:rsid w:val="00F01AAC"/>
    <w:rsid w:val="00F0204A"/>
    <w:rsid w:val="00F03E24"/>
    <w:rsid w:val="00F056B6"/>
    <w:rsid w:val="00F05A6D"/>
    <w:rsid w:val="00F06769"/>
    <w:rsid w:val="00F075A3"/>
    <w:rsid w:val="00F10BC0"/>
    <w:rsid w:val="00F10C90"/>
    <w:rsid w:val="00F11ACC"/>
    <w:rsid w:val="00F11AF7"/>
    <w:rsid w:val="00F12BBF"/>
    <w:rsid w:val="00F13F3C"/>
    <w:rsid w:val="00F149D9"/>
    <w:rsid w:val="00F14BE1"/>
    <w:rsid w:val="00F152E5"/>
    <w:rsid w:val="00F15FF7"/>
    <w:rsid w:val="00F22EBC"/>
    <w:rsid w:val="00F25232"/>
    <w:rsid w:val="00F27992"/>
    <w:rsid w:val="00F3048A"/>
    <w:rsid w:val="00F30BB1"/>
    <w:rsid w:val="00F317BB"/>
    <w:rsid w:val="00F32520"/>
    <w:rsid w:val="00F32C3D"/>
    <w:rsid w:val="00F3341A"/>
    <w:rsid w:val="00F33DFB"/>
    <w:rsid w:val="00F33E48"/>
    <w:rsid w:val="00F34CB7"/>
    <w:rsid w:val="00F352C2"/>
    <w:rsid w:val="00F35FEF"/>
    <w:rsid w:val="00F367B2"/>
    <w:rsid w:val="00F36863"/>
    <w:rsid w:val="00F40198"/>
    <w:rsid w:val="00F4136F"/>
    <w:rsid w:val="00F42154"/>
    <w:rsid w:val="00F448AD"/>
    <w:rsid w:val="00F452BB"/>
    <w:rsid w:val="00F46343"/>
    <w:rsid w:val="00F46892"/>
    <w:rsid w:val="00F50154"/>
    <w:rsid w:val="00F505FD"/>
    <w:rsid w:val="00F51A45"/>
    <w:rsid w:val="00F53591"/>
    <w:rsid w:val="00F542DE"/>
    <w:rsid w:val="00F5504F"/>
    <w:rsid w:val="00F55945"/>
    <w:rsid w:val="00F56367"/>
    <w:rsid w:val="00F6122A"/>
    <w:rsid w:val="00F67176"/>
    <w:rsid w:val="00F70375"/>
    <w:rsid w:val="00F71B48"/>
    <w:rsid w:val="00F71C66"/>
    <w:rsid w:val="00F71DEF"/>
    <w:rsid w:val="00F72957"/>
    <w:rsid w:val="00F732AC"/>
    <w:rsid w:val="00F747C4"/>
    <w:rsid w:val="00F74BE1"/>
    <w:rsid w:val="00F74D4B"/>
    <w:rsid w:val="00F76839"/>
    <w:rsid w:val="00F77750"/>
    <w:rsid w:val="00F81504"/>
    <w:rsid w:val="00F81BC1"/>
    <w:rsid w:val="00F81C53"/>
    <w:rsid w:val="00F82622"/>
    <w:rsid w:val="00F85452"/>
    <w:rsid w:val="00F85F9D"/>
    <w:rsid w:val="00F87E3E"/>
    <w:rsid w:val="00F90B10"/>
    <w:rsid w:val="00F91619"/>
    <w:rsid w:val="00F91E53"/>
    <w:rsid w:val="00F9202B"/>
    <w:rsid w:val="00F926E4"/>
    <w:rsid w:val="00F92DE0"/>
    <w:rsid w:val="00F94D65"/>
    <w:rsid w:val="00F94FAB"/>
    <w:rsid w:val="00F95332"/>
    <w:rsid w:val="00F9586A"/>
    <w:rsid w:val="00F95EFB"/>
    <w:rsid w:val="00F976E1"/>
    <w:rsid w:val="00FA0848"/>
    <w:rsid w:val="00FA1BDF"/>
    <w:rsid w:val="00FA293F"/>
    <w:rsid w:val="00FA493A"/>
    <w:rsid w:val="00FA57FF"/>
    <w:rsid w:val="00FA65C5"/>
    <w:rsid w:val="00FA6DD8"/>
    <w:rsid w:val="00FA72C9"/>
    <w:rsid w:val="00FA7763"/>
    <w:rsid w:val="00FA7A65"/>
    <w:rsid w:val="00FA7D81"/>
    <w:rsid w:val="00FB0BB8"/>
    <w:rsid w:val="00FB3804"/>
    <w:rsid w:val="00FB3C8F"/>
    <w:rsid w:val="00FB4344"/>
    <w:rsid w:val="00FB4619"/>
    <w:rsid w:val="00FB5749"/>
    <w:rsid w:val="00FB5876"/>
    <w:rsid w:val="00FB7698"/>
    <w:rsid w:val="00FC11F9"/>
    <w:rsid w:val="00FC4054"/>
    <w:rsid w:val="00FC4826"/>
    <w:rsid w:val="00FC4B60"/>
    <w:rsid w:val="00FC7AB9"/>
    <w:rsid w:val="00FD02EF"/>
    <w:rsid w:val="00FD1BE8"/>
    <w:rsid w:val="00FD4ED8"/>
    <w:rsid w:val="00FD53EB"/>
    <w:rsid w:val="00FD5B26"/>
    <w:rsid w:val="00FD5D26"/>
    <w:rsid w:val="00FD5EB2"/>
    <w:rsid w:val="00FD6946"/>
    <w:rsid w:val="00FE0154"/>
    <w:rsid w:val="00FE067D"/>
    <w:rsid w:val="00FE26EF"/>
    <w:rsid w:val="00FE2DDD"/>
    <w:rsid w:val="00FE3357"/>
    <w:rsid w:val="00FE4AA4"/>
    <w:rsid w:val="00FE660A"/>
    <w:rsid w:val="00FF05B0"/>
    <w:rsid w:val="00FF1538"/>
    <w:rsid w:val="00FF23DD"/>
    <w:rsid w:val="00FF3EB8"/>
    <w:rsid w:val="00FF6F8F"/>
    <w:rsid w:val="00FF70FE"/>
    <w:rsid w:val="00FF78E3"/>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9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8B6F69"/>
    <w:pPr>
      <w:widowControl w:val="0"/>
      <w:ind w:firstLine="720"/>
      <w:contextualSpacing/>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uiPriority w:val="99"/>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8B6F69"/>
    <w:pPr>
      <w:widowControl w:val="0"/>
      <w:ind w:firstLine="720"/>
      <w:contextualSpacing/>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uiPriority w:val="99"/>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59">
      <w:bodyDiv w:val="1"/>
      <w:marLeft w:val="0"/>
      <w:marRight w:val="0"/>
      <w:marTop w:val="0"/>
      <w:marBottom w:val="0"/>
      <w:divBdr>
        <w:top w:val="none" w:sz="0" w:space="0" w:color="auto"/>
        <w:left w:val="none" w:sz="0" w:space="0" w:color="auto"/>
        <w:bottom w:val="none" w:sz="0" w:space="0" w:color="auto"/>
        <w:right w:val="none" w:sz="0" w:space="0" w:color="auto"/>
      </w:divBdr>
    </w:div>
    <w:div w:id="216166470">
      <w:bodyDiv w:val="1"/>
      <w:marLeft w:val="0"/>
      <w:marRight w:val="0"/>
      <w:marTop w:val="0"/>
      <w:marBottom w:val="0"/>
      <w:divBdr>
        <w:top w:val="none" w:sz="0" w:space="0" w:color="auto"/>
        <w:left w:val="none" w:sz="0" w:space="0" w:color="auto"/>
        <w:bottom w:val="none" w:sz="0" w:space="0" w:color="auto"/>
        <w:right w:val="none" w:sz="0" w:space="0" w:color="auto"/>
      </w:divBdr>
    </w:div>
    <w:div w:id="356076876">
      <w:bodyDiv w:val="1"/>
      <w:marLeft w:val="0"/>
      <w:marRight w:val="0"/>
      <w:marTop w:val="0"/>
      <w:marBottom w:val="0"/>
      <w:divBdr>
        <w:top w:val="none" w:sz="0" w:space="0" w:color="auto"/>
        <w:left w:val="none" w:sz="0" w:space="0" w:color="auto"/>
        <w:bottom w:val="none" w:sz="0" w:space="0" w:color="auto"/>
        <w:right w:val="none" w:sz="0" w:space="0" w:color="auto"/>
      </w:divBdr>
    </w:div>
    <w:div w:id="522717117">
      <w:bodyDiv w:val="1"/>
      <w:marLeft w:val="0"/>
      <w:marRight w:val="0"/>
      <w:marTop w:val="0"/>
      <w:marBottom w:val="0"/>
      <w:divBdr>
        <w:top w:val="none" w:sz="0" w:space="0" w:color="auto"/>
        <w:left w:val="none" w:sz="0" w:space="0" w:color="auto"/>
        <w:bottom w:val="none" w:sz="0" w:space="0" w:color="auto"/>
        <w:right w:val="none" w:sz="0" w:space="0" w:color="auto"/>
      </w:divBdr>
    </w:div>
    <w:div w:id="661395790">
      <w:bodyDiv w:val="1"/>
      <w:marLeft w:val="0"/>
      <w:marRight w:val="0"/>
      <w:marTop w:val="0"/>
      <w:marBottom w:val="0"/>
      <w:divBdr>
        <w:top w:val="none" w:sz="0" w:space="0" w:color="auto"/>
        <w:left w:val="none" w:sz="0" w:space="0" w:color="auto"/>
        <w:bottom w:val="none" w:sz="0" w:space="0" w:color="auto"/>
        <w:right w:val="none" w:sz="0" w:space="0" w:color="auto"/>
      </w:divBdr>
    </w:div>
    <w:div w:id="695541014">
      <w:bodyDiv w:val="1"/>
      <w:marLeft w:val="0"/>
      <w:marRight w:val="0"/>
      <w:marTop w:val="0"/>
      <w:marBottom w:val="0"/>
      <w:divBdr>
        <w:top w:val="none" w:sz="0" w:space="0" w:color="auto"/>
        <w:left w:val="none" w:sz="0" w:space="0" w:color="auto"/>
        <w:bottom w:val="none" w:sz="0" w:space="0" w:color="auto"/>
        <w:right w:val="none" w:sz="0" w:space="0" w:color="auto"/>
      </w:divBdr>
    </w:div>
    <w:div w:id="899898941">
      <w:bodyDiv w:val="1"/>
      <w:marLeft w:val="0"/>
      <w:marRight w:val="0"/>
      <w:marTop w:val="0"/>
      <w:marBottom w:val="0"/>
      <w:divBdr>
        <w:top w:val="none" w:sz="0" w:space="0" w:color="auto"/>
        <w:left w:val="none" w:sz="0" w:space="0" w:color="auto"/>
        <w:bottom w:val="none" w:sz="0" w:space="0" w:color="auto"/>
        <w:right w:val="none" w:sz="0" w:space="0" w:color="auto"/>
      </w:divBdr>
    </w:div>
    <w:div w:id="1353263505">
      <w:bodyDiv w:val="1"/>
      <w:marLeft w:val="0"/>
      <w:marRight w:val="0"/>
      <w:marTop w:val="0"/>
      <w:marBottom w:val="0"/>
      <w:divBdr>
        <w:top w:val="none" w:sz="0" w:space="0" w:color="auto"/>
        <w:left w:val="none" w:sz="0" w:space="0" w:color="auto"/>
        <w:bottom w:val="none" w:sz="0" w:space="0" w:color="auto"/>
        <w:right w:val="none" w:sz="0" w:space="0" w:color="auto"/>
      </w:divBdr>
    </w:div>
    <w:div w:id="1527669188">
      <w:bodyDiv w:val="1"/>
      <w:marLeft w:val="0"/>
      <w:marRight w:val="0"/>
      <w:marTop w:val="0"/>
      <w:marBottom w:val="0"/>
      <w:divBdr>
        <w:top w:val="none" w:sz="0" w:space="0" w:color="auto"/>
        <w:left w:val="none" w:sz="0" w:space="0" w:color="auto"/>
        <w:bottom w:val="none" w:sz="0" w:space="0" w:color="auto"/>
        <w:right w:val="none" w:sz="0" w:space="0" w:color="auto"/>
      </w:divBdr>
    </w:div>
    <w:div w:id="1709333493">
      <w:bodyDiv w:val="1"/>
      <w:marLeft w:val="0"/>
      <w:marRight w:val="0"/>
      <w:marTop w:val="0"/>
      <w:marBottom w:val="0"/>
      <w:divBdr>
        <w:top w:val="none" w:sz="0" w:space="0" w:color="auto"/>
        <w:left w:val="none" w:sz="0" w:space="0" w:color="auto"/>
        <w:bottom w:val="none" w:sz="0" w:space="0" w:color="auto"/>
        <w:right w:val="none" w:sz="0" w:space="0" w:color="auto"/>
      </w:divBdr>
    </w:div>
    <w:div w:id="1820683926">
      <w:bodyDiv w:val="1"/>
      <w:marLeft w:val="0"/>
      <w:marRight w:val="0"/>
      <w:marTop w:val="0"/>
      <w:marBottom w:val="0"/>
      <w:divBdr>
        <w:top w:val="none" w:sz="0" w:space="0" w:color="auto"/>
        <w:left w:val="none" w:sz="0" w:space="0" w:color="auto"/>
        <w:bottom w:val="none" w:sz="0" w:space="0" w:color="auto"/>
        <w:right w:val="none" w:sz="0" w:space="0" w:color="auto"/>
      </w:divBdr>
    </w:div>
    <w:div w:id="1868518836">
      <w:bodyDiv w:val="1"/>
      <w:marLeft w:val="0"/>
      <w:marRight w:val="0"/>
      <w:marTop w:val="0"/>
      <w:marBottom w:val="0"/>
      <w:divBdr>
        <w:top w:val="none" w:sz="0" w:space="0" w:color="auto"/>
        <w:left w:val="none" w:sz="0" w:space="0" w:color="auto"/>
        <w:bottom w:val="none" w:sz="0" w:space="0" w:color="auto"/>
        <w:right w:val="none" w:sz="0" w:space="0" w:color="auto"/>
      </w:divBdr>
    </w:div>
    <w:div w:id="1931087654">
      <w:bodyDiv w:val="1"/>
      <w:marLeft w:val="0"/>
      <w:marRight w:val="0"/>
      <w:marTop w:val="0"/>
      <w:marBottom w:val="0"/>
      <w:divBdr>
        <w:top w:val="none" w:sz="0" w:space="0" w:color="auto"/>
        <w:left w:val="none" w:sz="0" w:space="0" w:color="auto"/>
        <w:bottom w:val="none" w:sz="0" w:space="0" w:color="auto"/>
        <w:right w:val="none" w:sz="0" w:space="0" w:color="auto"/>
      </w:divBdr>
    </w:div>
    <w:div w:id="1951430568">
      <w:bodyDiv w:val="1"/>
      <w:marLeft w:val="0"/>
      <w:marRight w:val="0"/>
      <w:marTop w:val="0"/>
      <w:marBottom w:val="0"/>
      <w:divBdr>
        <w:top w:val="none" w:sz="0" w:space="0" w:color="auto"/>
        <w:left w:val="none" w:sz="0" w:space="0" w:color="auto"/>
        <w:bottom w:val="none" w:sz="0" w:space="0" w:color="auto"/>
        <w:right w:val="none" w:sz="0" w:space="0" w:color="auto"/>
      </w:divBdr>
    </w:div>
    <w:div w:id="20010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2496</Words>
  <Characters>13511</Characters>
  <Application>Microsoft Office Word</Application>
  <DocSecurity>0</DocSecurity>
  <Lines>215</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2017-08-14T13:36:00Z</dcterms:created>
  <dcterms:modified xsi:type="dcterms:W3CDTF">2017-08-14T13:36:00Z</dcterms:modified>
  <cp:category> </cp:category>
  <cp:contentStatus> </cp:contentStatus>
</cp:coreProperties>
</file>