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FC033E" w:rsidRDefault="004C2EE3" w:rsidP="00FC033E">
      <w:pPr>
        <w:pStyle w:val="StyleBoldCentered"/>
        <w:rPr>
          <w:caps w:val="0"/>
        </w:rPr>
      </w:pPr>
      <w:bookmarkStart w:id="0" w:name="_GoBack"/>
      <w:bookmarkEnd w:id="0"/>
      <w:r w:rsidRPr="00FC033E">
        <w:rPr>
          <w:caps w:val="0"/>
        </w:rPr>
        <w:t>Before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9576" w:type="dxa"/>
        <w:tblLayout w:type="fixed"/>
        <w:tblLook w:val="0000" w:firstRow="0" w:lastRow="0" w:firstColumn="0" w:lastColumn="0" w:noHBand="0" w:noVBand="0"/>
      </w:tblPr>
      <w:tblGrid>
        <w:gridCol w:w="4698"/>
        <w:gridCol w:w="630"/>
        <w:gridCol w:w="4248"/>
      </w:tblGrid>
      <w:tr w:rsidR="004C2EE3" w:rsidTr="00494D6C">
        <w:tc>
          <w:tcPr>
            <w:tcW w:w="4698" w:type="dxa"/>
          </w:tcPr>
          <w:p w:rsidR="004C2EE3" w:rsidRPr="00341843" w:rsidRDefault="004C2EE3" w:rsidP="00876D6C">
            <w:pPr>
              <w:spacing w:line="227" w:lineRule="auto"/>
              <w:rPr>
                <w:spacing w:val="-2"/>
              </w:rPr>
            </w:pPr>
            <w:r w:rsidRPr="00341843">
              <w:rPr>
                <w:spacing w:val="-2"/>
              </w:rPr>
              <w:t>In the Matter of</w:t>
            </w:r>
          </w:p>
          <w:p w:rsidR="004C2EE3" w:rsidRPr="00341843" w:rsidRDefault="004C2EE3" w:rsidP="00876D6C">
            <w:pPr>
              <w:spacing w:line="227" w:lineRule="auto"/>
              <w:rPr>
                <w:spacing w:val="-2"/>
              </w:rPr>
            </w:pPr>
          </w:p>
          <w:p w:rsidR="00494D6C" w:rsidRPr="00F45417" w:rsidRDefault="00494D6C" w:rsidP="00876D6C">
            <w:r w:rsidRPr="00F45417">
              <w:t xml:space="preserve">Structure and Practices of the Video Relay Service Program </w:t>
            </w:r>
          </w:p>
          <w:p w:rsidR="004C2EE3" w:rsidRDefault="004C2EE3" w:rsidP="00876D6C">
            <w:pPr>
              <w:tabs>
                <w:tab w:val="center" w:pos="4680"/>
              </w:tabs>
              <w:suppressAutoHyphens/>
              <w:rPr>
                <w:spacing w:val="-2"/>
              </w:rPr>
            </w:pPr>
          </w:p>
          <w:p w:rsidR="00494D6C" w:rsidRPr="007115F7" w:rsidRDefault="00494D6C" w:rsidP="00876D6C">
            <w:pPr>
              <w:tabs>
                <w:tab w:val="center" w:pos="4680"/>
              </w:tabs>
              <w:suppressAutoHyphens/>
              <w:rPr>
                <w:spacing w:val="-2"/>
              </w:rPr>
            </w:pPr>
            <w:r w:rsidRPr="00F45417">
              <w:t>Telecommunications Relay Services and Speech-to-Speech Services for Individuals with Hearing and Speech Disabilities</w:t>
            </w:r>
          </w:p>
        </w:tc>
        <w:tc>
          <w:tcPr>
            <w:tcW w:w="630" w:type="dxa"/>
          </w:tcPr>
          <w:p w:rsidR="004C2EE3" w:rsidRPr="00341843" w:rsidRDefault="004C2EE3" w:rsidP="00341843">
            <w:pPr>
              <w:spacing w:line="227" w:lineRule="auto"/>
              <w:rPr>
                <w:b/>
                <w:bCs/>
                <w:spacing w:val="-2"/>
              </w:rPr>
            </w:pPr>
            <w:r w:rsidRPr="00341843">
              <w:rPr>
                <w:b/>
                <w:bCs/>
                <w:spacing w:val="-2"/>
              </w:rPr>
              <w:t>)</w:t>
            </w:r>
          </w:p>
          <w:p w:rsidR="004C2EE3" w:rsidRPr="00341843" w:rsidRDefault="004C2EE3" w:rsidP="00341843">
            <w:pPr>
              <w:spacing w:line="227" w:lineRule="auto"/>
              <w:rPr>
                <w:b/>
                <w:bCs/>
                <w:spacing w:val="-2"/>
              </w:rPr>
            </w:pPr>
            <w:r w:rsidRPr="00341843">
              <w:rPr>
                <w:b/>
                <w:bCs/>
                <w:spacing w:val="-2"/>
              </w:rPr>
              <w:t>)</w:t>
            </w:r>
          </w:p>
          <w:p w:rsidR="004C2EE3" w:rsidRPr="00341843" w:rsidRDefault="004C2EE3" w:rsidP="00341843">
            <w:pPr>
              <w:spacing w:line="227" w:lineRule="auto"/>
              <w:rPr>
                <w:b/>
                <w:bCs/>
                <w:spacing w:val="-2"/>
              </w:rPr>
            </w:pPr>
            <w:r w:rsidRPr="00341843">
              <w:rPr>
                <w:b/>
                <w:bCs/>
                <w:spacing w:val="-2"/>
              </w:rPr>
              <w:t>)</w:t>
            </w:r>
          </w:p>
          <w:p w:rsidR="004C2EE3" w:rsidRPr="00341843" w:rsidRDefault="004C2EE3" w:rsidP="00341843">
            <w:pPr>
              <w:spacing w:line="227" w:lineRule="auto"/>
              <w:rPr>
                <w:b/>
                <w:bCs/>
                <w:spacing w:val="-2"/>
              </w:rPr>
            </w:pPr>
            <w:r w:rsidRPr="00341843">
              <w:rPr>
                <w:b/>
                <w:bCs/>
                <w:spacing w:val="-2"/>
              </w:rPr>
              <w:t>)</w:t>
            </w:r>
          </w:p>
          <w:p w:rsidR="004C2EE3" w:rsidRPr="00341843" w:rsidRDefault="004C2EE3" w:rsidP="00341843">
            <w:pPr>
              <w:spacing w:line="227" w:lineRule="auto"/>
              <w:rPr>
                <w:b/>
                <w:bCs/>
                <w:spacing w:val="-2"/>
              </w:rPr>
            </w:pPr>
            <w:r w:rsidRPr="00341843">
              <w:rPr>
                <w:b/>
                <w:bCs/>
                <w:spacing w:val="-2"/>
              </w:rPr>
              <w:t>)</w:t>
            </w:r>
          </w:p>
          <w:p w:rsidR="004C2EE3" w:rsidRPr="00341843" w:rsidRDefault="004C2EE3" w:rsidP="00341843">
            <w:pPr>
              <w:spacing w:line="227" w:lineRule="auto"/>
              <w:rPr>
                <w:b/>
                <w:bCs/>
                <w:spacing w:val="-2"/>
              </w:rPr>
            </w:pPr>
            <w:r w:rsidRPr="00341843">
              <w:rPr>
                <w:b/>
                <w:bCs/>
                <w:spacing w:val="-2"/>
              </w:rPr>
              <w:t>)</w:t>
            </w:r>
          </w:p>
          <w:p w:rsidR="004C2EE3" w:rsidRPr="00341843" w:rsidRDefault="004C2EE3" w:rsidP="00341843">
            <w:pPr>
              <w:spacing w:line="227" w:lineRule="auto"/>
              <w:rPr>
                <w:b/>
                <w:bCs/>
                <w:spacing w:val="-2"/>
              </w:rPr>
            </w:pPr>
            <w:r w:rsidRPr="00341843">
              <w:rPr>
                <w:b/>
                <w:bCs/>
                <w:spacing w:val="-2"/>
              </w:rPr>
              <w:t>)</w:t>
            </w:r>
          </w:p>
          <w:p w:rsidR="004C2EE3" w:rsidRPr="00341843" w:rsidRDefault="004C2EE3" w:rsidP="00341843">
            <w:pPr>
              <w:spacing w:line="227" w:lineRule="auto"/>
              <w:rPr>
                <w:b/>
                <w:bCs/>
                <w:spacing w:val="-2"/>
              </w:rPr>
            </w:pPr>
            <w:r w:rsidRPr="00341843">
              <w:rPr>
                <w:b/>
                <w:bCs/>
                <w:spacing w:val="-2"/>
              </w:rPr>
              <w:t>)</w:t>
            </w:r>
          </w:p>
          <w:p w:rsidR="004C2EE3" w:rsidRPr="00FC033E" w:rsidRDefault="004C2EE3" w:rsidP="00FC033E">
            <w:pPr>
              <w:spacing w:line="227" w:lineRule="auto"/>
              <w:rPr>
                <w:b/>
                <w:bCs/>
                <w:spacing w:val="-2"/>
              </w:rPr>
            </w:pPr>
            <w:r w:rsidRPr="00FC033E">
              <w:rPr>
                <w:b/>
                <w:bCs/>
                <w:spacing w:val="-2"/>
              </w:rPr>
              <w:t>)</w:t>
            </w:r>
          </w:p>
        </w:tc>
        <w:tc>
          <w:tcPr>
            <w:tcW w:w="4248" w:type="dxa"/>
          </w:tcPr>
          <w:p w:rsidR="004C2EE3" w:rsidRPr="00341843" w:rsidRDefault="004C2EE3" w:rsidP="00341843">
            <w:pPr>
              <w:spacing w:line="227" w:lineRule="auto"/>
              <w:rPr>
                <w:spacing w:val="-2"/>
              </w:rPr>
            </w:pPr>
          </w:p>
          <w:p w:rsidR="004C2EE3" w:rsidRPr="00FC033E" w:rsidRDefault="004C2EE3">
            <w:pPr>
              <w:pStyle w:val="TOAHeading"/>
              <w:tabs>
                <w:tab w:val="clear" w:pos="9360"/>
                <w:tab w:val="center" w:pos="4680"/>
              </w:tabs>
            </w:pPr>
          </w:p>
          <w:p w:rsidR="00494D6C" w:rsidRPr="00F45417" w:rsidRDefault="00494D6C" w:rsidP="00876D6C">
            <w:pPr>
              <w:suppressAutoHyphens/>
            </w:pPr>
            <w:r w:rsidRPr="00F45417">
              <w:t>CG Docket No. 10-51</w:t>
            </w:r>
          </w:p>
          <w:p w:rsidR="00494D6C" w:rsidRPr="00F45417" w:rsidRDefault="00494D6C" w:rsidP="00876D6C">
            <w:pPr>
              <w:suppressAutoHyphens/>
            </w:pPr>
          </w:p>
          <w:p w:rsidR="00494D6C" w:rsidRPr="00F45417" w:rsidRDefault="00494D6C" w:rsidP="00876D6C">
            <w:pPr>
              <w:suppressAutoHyphens/>
            </w:pPr>
          </w:p>
          <w:p w:rsidR="004C2EE3" w:rsidRDefault="00494D6C" w:rsidP="00876D6C">
            <w:pPr>
              <w:suppressAutoHyphens/>
              <w:rPr>
                <w:spacing w:val="-2"/>
              </w:rPr>
            </w:pPr>
            <w:r w:rsidRPr="00F45417">
              <w:t>CG Docket No. 03-123</w:t>
            </w:r>
          </w:p>
        </w:tc>
      </w:tr>
    </w:tbl>
    <w:p w:rsidR="004C2EE3" w:rsidRDefault="004C2EE3" w:rsidP="0070224F"/>
    <w:p w:rsidR="009E584A" w:rsidRDefault="004719A8" w:rsidP="00F021FA">
      <w:pPr>
        <w:pStyle w:val="StyleBoldCentered"/>
      </w:pPr>
      <w:r>
        <w:t>REPORT AND ORDER</w:t>
      </w:r>
    </w:p>
    <w:p w:rsidR="00841AB1" w:rsidRDefault="00876D6C" w:rsidP="00F021FA">
      <w:pPr>
        <w:pStyle w:val="StyleBoldCentered"/>
      </w:pPr>
      <w:r>
        <w:t xml:space="preserve"> </w:t>
      </w:r>
      <w:r w:rsidR="006A20F6">
        <w:t xml:space="preserve">and </w:t>
      </w:r>
      <w:r w:rsidR="004719A8">
        <w:t>FURTHER NOTICE OF PROPOSED RULEMAKING</w:t>
      </w:r>
    </w:p>
    <w:p w:rsidR="004C2EE3" w:rsidRPr="00341843" w:rsidRDefault="004C2EE3">
      <w:pPr>
        <w:tabs>
          <w:tab w:val="left" w:pos="-720"/>
        </w:tabs>
        <w:suppressAutoHyphens/>
        <w:spacing w:line="227" w:lineRule="auto"/>
        <w:rPr>
          <w:spacing w:val="-2"/>
        </w:rPr>
      </w:pPr>
    </w:p>
    <w:p w:rsidR="004C2EE3" w:rsidRPr="00341843" w:rsidRDefault="004C2EE3" w:rsidP="00876D6C">
      <w:pPr>
        <w:tabs>
          <w:tab w:val="right" w:pos="9360"/>
        </w:tabs>
        <w:spacing w:line="227" w:lineRule="auto"/>
        <w:rPr>
          <w:b/>
          <w:bCs/>
          <w:spacing w:val="-2"/>
        </w:rPr>
      </w:pPr>
      <w:r w:rsidRPr="00341843">
        <w:rPr>
          <w:b/>
          <w:bCs/>
          <w:spacing w:val="-2"/>
        </w:rPr>
        <w:t xml:space="preserve">Adopted:  </w:t>
      </w:r>
      <w:r w:rsidR="00511F98">
        <w:rPr>
          <w:b/>
          <w:bCs/>
          <w:spacing w:val="-2"/>
        </w:rPr>
        <w:t>January</w:t>
      </w:r>
      <w:r w:rsidR="006251F5">
        <w:rPr>
          <w:b/>
          <w:bCs/>
          <w:spacing w:val="-2"/>
        </w:rPr>
        <w:t xml:space="preserve"> 17, 2017</w:t>
      </w:r>
      <w:r w:rsidR="006251F5">
        <w:rPr>
          <w:b/>
          <w:bCs/>
          <w:spacing w:val="-2"/>
        </w:rPr>
        <w:tab/>
      </w:r>
      <w:r w:rsidR="00822CE0" w:rsidRPr="00341843">
        <w:rPr>
          <w:b/>
          <w:bCs/>
          <w:spacing w:val="-2"/>
        </w:rPr>
        <w:t>Released</w:t>
      </w:r>
      <w:r w:rsidRPr="00341843">
        <w:rPr>
          <w:b/>
          <w:bCs/>
          <w:spacing w:val="-2"/>
        </w:rPr>
        <w:t>:</w:t>
      </w:r>
      <w:r w:rsidR="00876D6C">
        <w:rPr>
          <w:b/>
          <w:bCs/>
          <w:spacing w:val="-2"/>
        </w:rPr>
        <w:t xml:space="preserve"> </w:t>
      </w:r>
      <w:r w:rsidR="00822CE0" w:rsidRPr="00341843">
        <w:rPr>
          <w:b/>
          <w:bCs/>
          <w:spacing w:val="-2"/>
        </w:rPr>
        <w:t xml:space="preserve"> </w:t>
      </w:r>
      <w:r w:rsidR="00511F98">
        <w:rPr>
          <w:b/>
          <w:bCs/>
          <w:spacing w:val="-2"/>
        </w:rPr>
        <w:t>January</w:t>
      </w:r>
      <w:r w:rsidR="006251F5">
        <w:rPr>
          <w:b/>
          <w:bCs/>
          <w:spacing w:val="-2"/>
        </w:rPr>
        <w:t xml:space="preserve"> 17, 2017</w:t>
      </w:r>
    </w:p>
    <w:p w:rsidR="00822CE0" w:rsidRDefault="00822CE0"/>
    <w:p w:rsidR="00BD7075" w:rsidRDefault="00BD7075" w:rsidP="00BD7075">
      <w:pPr>
        <w:widowControl/>
        <w:rPr>
          <w:rFonts w:eastAsiaTheme="minorEastAsia"/>
          <w:b/>
          <w:bCs/>
          <w:snapToGrid/>
          <w:kern w:val="0"/>
        </w:rPr>
      </w:pPr>
      <w:r w:rsidRPr="004B5B3A">
        <w:rPr>
          <w:rFonts w:eastAsiaTheme="minorEastAsia"/>
          <w:b/>
          <w:bCs/>
          <w:snapToGrid/>
          <w:kern w:val="0"/>
        </w:rPr>
        <w:t>Comment Date:  [</w:t>
      </w:r>
      <w:r w:rsidR="004F21D3">
        <w:rPr>
          <w:rFonts w:eastAsiaTheme="minorEastAsia"/>
          <w:b/>
          <w:bCs/>
          <w:snapToGrid/>
          <w:kern w:val="0"/>
        </w:rPr>
        <w:t>45</w:t>
      </w:r>
      <w:r w:rsidRPr="004B5B3A">
        <w:rPr>
          <w:rFonts w:eastAsiaTheme="minorEastAsia"/>
          <w:b/>
          <w:bCs/>
          <w:snapToGrid/>
          <w:kern w:val="0"/>
        </w:rPr>
        <w:t xml:space="preserve"> days after date of publication in the Federal Register]</w:t>
      </w:r>
    </w:p>
    <w:p w:rsidR="004F21D3" w:rsidRPr="004B5B3A" w:rsidRDefault="004F21D3" w:rsidP="00BD7075">
      <w:pPr>
        <w:widowControl/>
        <w:rPr>
          <w:rFonts w:eastAsiaTheme="minorHAnsi"/>
          <w:b/>
          <w:snapToGrid/>
          <w:kern w:val="0"/>
          <w:szCs w:val="24"/>
        </w:rPr>
      </w:pPr>
      <w:r>
        <w:rPr>
          <w:rFonts w:eastAsiaTheme="minorEastAsia"/>
          <w:b/>
          <w:bCs/>
          <w:snapToGrid/>
          <w:kern w:val="0"/>
        </w:rPr>
        <w:t>Reply Comment Date:  [75 days after date of publication in the Federal Register]</w:t>
      </w:r>
    </w:p>
    <w:p w:rsidR="00BD7075" w:rsidRPr="001B3896" w:rsidRDefault="00BD7075" w:rsidP="00FC033E">
      <w:pPr>
        <w:rPr>
          <w:rFonts w:eastAsiaTheme="minorHAnsi"/>
          <w:snapToGrid/>
        </w:rPr>
      </w:pPr>
    </w:p>
    <w:p w:rsidR="004C2EE3" w:rsidRPr="00341843" w:rsidRDefault="004C2EE3" w:rsidP="00341843">
      <w:pPr>
        <w:spacing w:line="227" w:lineRule="auto"/>
        <w:rPr>
          <w:spacing w:val="-2"/>
        </w:rPr>
      </w:pPr>
      <w:r w:rsidRPr="00341843">
        <w:rPr>
          <w:spacing w:val="-2"/>
        </w:rPr>
        <w:t xml:space="preserve">By </w:t>
      </w:r>
      <w:r w:rsidR="004E4A22" w:rsidRPr="00341843">
        <w:rPr>
          <w:spacing w:val="-2"/>
        </w:rPr>
        <w:t>the</w:t>
      </w:r>
      <w:r w:rsidR="002A2D2E" w:rsidRPr="00341843">
        <w:rPr>
          <w:spacing w:val="-2"/>
        </w:rPr>
        <w:t xml:space="preserve"> </w:t>
      </w:r>
      <w:r w:rsidR="00BD7075" w:rsidRPr="00341843">
        <w:rPr>
          <w:spacing w:val="-2"/>
        </w:rPr>
        <w:t>Chief, Consumer and Governmental Affairs Bureau</w:t>
      </w:r>
      <w:r w:rsidRPr="00341843">
        <w:rPr>
          <w:spacing w:val="-2"/>
        </w:rPr>
        <w:t>:</w:t>
      </w:r>
    </w:p>
    <w:p w:rsidR="00822CE0" w:rsidRPr="00341843" w:rsidRDefault="00822CE0" w:rsidP="00341843">
      <w:pPr>
        <w:spacing w:line="227" w:lineRule="auto"/>
        <w:rPr>
          <w:spacing w:val="-2"/>
        </w:rPr>
      </w:pPr>
    </w:p>
    <w:p w:rsidR="00BD7075" w:rsidRDefault="00BD7075" w:rsidP="007A3311">
      <w:pPr>
        <w:pStyle w:val="Heading1"/>
      </w:pPr>
      <w:r>
        <w:t>INTRODUCTION</w:t>
      </w:r>
      <w:r w:rsidR="00A6400E">
        <w:t xml:space="preserve"> </w:t>
      </w:r>
    </w:p>
    <w:p w:rsidR="000127A9" w:rsidRPr="000127A9" w:rsidRDefault="001F4A35" w:rsidP="00876D6C">
      <w:pPr>
        <w:pStyle w:val="ParaNum"/>
      </w:pPr>
      <w:r>
        <w:t>In this Report and Order</w:t>
      </w:r>
      <w:r w:rsidR="00873B09">
        <w:t xml:space="preserve"> and</w:t>
      </w:r>
      <w:r>
        <w:t xml:space="preserve"> Further Notice of Proposed Rulemaking (FNPRM</w:t>
      </w:r>
      <w:r w:rsidR="00873B09">
        <w:t>)</w:t>
      </w:r>
      <w:r>
        <w:t xml:space="preserve">, the Consumer and Governmental Affairs Bureau (Bureau or CGB), pursuant to delegated authority, adopts a Report and Order amending the </w:t>
      </w:r>
      <w:r w:rsidRPr="00CC04B2">
        <w:t>telecommunication relay service</w:t>
      </w:r>
      <w:r w:rsidRPr="0027768B">
        <w:t xml:space="preserve"> </w:t>
      </w:r>
      <w:r>
        <w:t>(</w:t>
      </w:r>
      <w:r w:rsidRPr="0027768B">
        <w:t>TRS</w:t>
      </w:r>
      <w:r>
        <w:t>) rules to incorporate by reference certain technical standards for the interoperability and portability of services, equipment, and software</w:t>
      </w:r>
      <w:r w:rsidRPr="00DD6AF3">
        <w:t xml:space="preserve"> </w:t>
      </w:r>
      <w:r>
        <w:t xml:space="preserve">used for video relay service (VRS).  In the FNPRM portion of the document, the Bureau seeks additional comment on the scope of application of the technical standard for user equipment and software.       </w:t>
      </w:r>
    </w:p>
    <w:p w:rsidR="00265020" w:rsidRDefault="00265020" w:rsidP="00265020">
      <w:pPr>
        <w:pStyle w:val="Heading1"/>
      </w:pPr>
      <w:bookmarkStart w:id="1" w:name="_Toc352766757"/>
      <w:r>
        <w:t>REPORT AND ORDER</w:t>
      </w:r>
    </w:p>
    <w:p w:rsidR="00A6400E" w:rsidRDefault="00A6400E" w:rsidP="00DB4066">
      <w:pPr>
        <w:pStyle w:val="Heading2"/>
      </w:pPr>
      <w:r>
        <w:t>Background</w:t>
      </w:r>
    </w:p>
    <w:p w:rsidR="00DE1D28" w:rsidRDefault="003320C8" w:rsidP="00876D6C">
      <w:pPr>
        <w:pStyle w:val="ParaNum"/>
      </w:pPr>
      <w:r>
        <w:t>In 2013, the Federal Communications Commission (FCC or Commission) amended its rules to</w:t>
      </w:r>
      <w:r w:rsidRPr="004B5B3A">
        <w:t xml:space="preserve"> improve the structure, efficiency, and quality of the </w:t>
      </w:r>
      <w:r w:rsidR="00CF45C3">
        <w:t xml:space="preserve">VRS </w:t>
      </w:r>
      <w:r>
        <w:t>program.</w:t>
      </w:r>
      <w:r>
        <w:rPr>
          <w:rStyle w:val="FootnoteReference"/>
        </w:rPr>
        <w:footnoteReference w:id="2"/>
      </w:r>
      <w:r w:rsidRPr="3055A5F8">
        <w:t xml:space="preserve"> </w:t>
      </w:r>
      <w:r>
        <w:t xml:space="preserve"> Among other things, the Commission took steps to improve the effectiveness of its interoperability and portability rules, in order to </w:t>
      </w:r>
      <w:r w:rsidR="00B65799">
        <w:t xml:space="preserve">enhance </w:t>
      </w:r>
      <w:r w:rsidRPr="0027768B">
        <w:t>functional equivalence and VRS availability for consumers, ease of compliance by providers, and overall efficiency in the operation of the</w:t>
      </w:r>
      <w:r w:rsidR="00653D83">
        <w:t xml:space="preserve"> </w:t>
      </w:r>
      <w:r w:rsidR="00653D83" w:rsidRPr="00CC04B2">
        <w:t>telecommunication</w:t>
      </w:r>
      <w:r w:rsidR="00331D18">
        <w:t>s</w:t>
      </w:r>
      <w:r w:rsidR="00653D83" w:rsidRPr="00CC04B2">
        <w:t xml:space="preserve"> relay service</w:t>
      </w:r>
      <w:r w:rsidRPr="0027768B">
        <w:t xml:space="preserve"> </w:t>
      </w:r>
      <w:r w:rsidR="00653D83">
        <w:t>(</w:t>
      </w:r>
      <w:r w:rsidRPr="0027768B">
        <w:t>TRS</w:t>
      </w:r>
      <w:r w:rsidR="00653D83">
        <w:t>)</w:t>
      </w:r>
      <w:r w:rsidRPr="0027768B">
        <w:t xml:space="preserve"> program</w:t>
      </w:r>
      <w:r w:rsidRPr="004B5B3A">
        <w:t>.</w:t>
      </w:r>
      <w:r>
        <w:rPr>
          <w:rStyle w:val="FootnoteReference"/>
        </w:rPr>
        <w:footnoteReference w:id="3"/>
      </w:r>
      <w:r>
        <w:t xml:space="preserve">  </w:t>
      </w:r>
    </w:p>
    <w:p w:rsidR="000127A9" w:rsidRDefault="000127A9" w:rsidP="00876D6C">
      <w:pPr>
        <w:pStyle w:val="ParaNum"/>
      </w:pPr>
      <w:r>
        <w:lastRenderedPageBreak/>
        <w:t>The</w:t>
      </w:r>
      <w:r w:rsidR="00DE1D28">
        <w:t xml:space="preserve"> VRS</w:t>
      </w:r>
      <w:r w:rsidR="000F1B45">
        <w:t xml:space="preserve"> interoperability and portability</w:t>
      </w:r>
      <w:r>
        <w:t xml:space="preserve"> </w:t>
      </w:r>
      <w:r w:rsidR="000F1B45">
        <w:t>requirements</w:t>
      </w:r>
      <w:r>
        <w:t xml:space="preserve"> are intended </w:t>
      </w:r>
      <w:r w:rsidR="00A6400E" w:rsidRPr="00F45417">
        <w:t xml:space="preserve">(i) </w:t>
      </w:r>
      <w:r>
        <w:t xml:space="preserve">to </w:t>
      </w:r>
      <w:r w:rsidR="00A6400E" w:rsidRPr="00F45417">
        <w:t>allow VRS users to make and receive calls through any VRS provider, and to choose a different default provider, without changing the</w:t>
      </w:r>
      <w:r w:rsidR="00D610A4">
        <w:t xml:space="preserve"> </w:t>
      </w:r>
      <w:r w:rsidR="003320C8">
        <w:t>access technology</w:t>
      </w:r>
      <w:r w:rsidR="00D610A4">
        <w:t xml:space="preserve"> used</w:t>
      </w:r>
      <w:r w:rsidR="00A6400E" w:rsidRPr="00F45417">
        <w:t xml:space="preserve"> to place calls, and (ii) </w:t>
      </w:r>
      <w:r>
        <w:t xml:space="preserve">to </w:t>
      </w:r>
      <w:r w:rsidR="00A6400E" w:rsidRPr="00F45417">
        <w:t>ensure that VRS users can make point-to-point calls to all other VRS users, irrespective of the default provider of the calling and called party.</w:t>
      </w:r>
      <w:r w:rsidR="00A6400E" w:rsidRPr="00F45417">
        <w:rPr>
          <w:rStyle w:val="FootnoteReference"/>
        </w:rPr>
        <w:footnoteReference w:id="4"/>
      </w:r>
      <w:r w:rsidR="00A6400E" w:rsidRPr="00F45417">
        <w:t xml:space="preserve">  Providers must ensure that videophone equipment that they distribute retain</w:t>
      </w:r>
      <w:r w:rsidR="00A6400E">
        <w:t>s</w:t>
      </w:r>
      <w:r w:rsidR="00A6400E" w:rsidRPr="00F45417">
        <w:t xml:space="preserve"> certain</w:t>
      </w:r>
      <w:r w:rsidR="00A6400E">
        <w:t xml:space="preserve"> </w:t>
      </w:r>
      <w:r w:rsidR="00A6400E" w:rsidRPr="00F45417">
        <w:t xml:space="preserve">features when a user ports </w:t>
      </w:r>
      <w:r w:rsidR="00A6400E">
        <w:t xml:space="preserve">his or </w:t>
      </w:r>
      <w:r w:rsidR="00A6400E" w:rsidRPr="00F45417">
        <w:t xml:space="preserve">her </w:t>
      </w:r>
      <w:r w:rsidR="00A6400E">
        <w:t>ten</w:t>
      </w:r>
      <w:r w:rsidR="001A06FE">
        <w:t>-</w:t>
      </w:r>
      <w:r w:rsidR="00A6400E">
        <w:t xml:space="preserve">digit VRS </w:t>
      </w:r>
      <w:r w:rsidR="00A6400E" w:rsidRPr="00F45417">
        <w:t>number to a new default provider.</w:t>
      </w:r>
      <w:r w:rsidR="00A6400E">
        <w:rPr>
          <w:rStyle w:val="FootnoteReference"/>
        </w:rPr>
        <w:footnoteReference w:id="5"/>
      </w:r>
      <w:r w:rsidR="00A6400E">
        <w:t xml:space="preserve">  </w:t>
      </w:r>
      <w:r w:rsidR="00B65799">
        <w:t xml:space="preserve">In the 2013 </w:t>
      </w:r>
      <w:r w:rsidR="00B65799" w:rsidRPr="00B65799">
        <w:rPr>
          <w:i/>
        </w:rPr>
        <w:t>VRS Reform Order</w:t>
      </w:r>
      <w:r w:rsidR="00B65799">
        <w:t xml:space="preserve">, </w:t>
      </w:r>
      <w:r w:rsidR="00075549">
        <w:t xml:space="preserve">the Commission </w:t>
      </w:r>
      <w:r w:rsidR="00F00D71">
        <w:t xml:space="preserve">recognized </w:t>
      </w:r>
      <w:r w:rsidR="000B3383">
        <w:t>that ineffective interoperability rules appeared to be both hindering VRS provider competition and frustrating users’ access to off-the-shelf VRS access technology</w:t>
      </w:r>
      <w:r w:rsidR="00075549">
        <w:t>.</w:t>
      </w:r>
      <w:r w:rsidR="000B3383" w:rsidRPr="000B3383">
        <w:rPr>
          <w:vertAlign w:val="superscript"/>
        </w:rPr>
        <w:footnoteReference w:id="6"/>
      </w:r>
      <w:r w:rsidR="000B3383" w:rsidRPr="000B3383">
        <w:t xml:space="preserve"> </w:t>
      </w:r>
      <w:r w:rsidR="00075549">
        <w:t xml:space="preserve"> It therefore</w:t>
      </w:r>
      <w:r w:rsidR="00DE1D28">
        <w:t xml:space="preserve"> </w:t>
      </w:r>
      <w:r w:rsidR="003F4687">
        <w:t xml:space="preserve">(1) codified existing interoperability and portability requirements, (2) </w:t>
      </w:r>
      <w:r w:rsidR="003F4687" w:rsidRPr="003F4687">
        <w:t>clarif</w:t>
      </w:r>
      <w:r w:rsidR="003F4687">
        <w:t>ied</w:t>
      </w:r>
      <w:r w:rsidR="003F4687" w:rsidRPr="003F4687">
        <w:t xml:space="preserve"> </w:t>
      </w:r>
      <w:r w:rsidR="003F4687">
        <w:t>that such</w:t>
      </w:r>
      <w:r w:rsidR="003F4687" w:rsidRPr="003F4687">
        <w:t xml:space="preserve"> </w:t>
      </w:r>
      <w:r w:rsidR="003F4687">
        <w:t xml:space="preserve">requirements apply to software as well as equipment, (3) took </w:t>
      </w:r>
      <w:r w:rsidR="003F4687" w:rsidRPr="003F4687">
        <w:t>steps to support the development of voluntary, consensus standards to facilitate</w:t>
      </w:r>
      <w:r w:rsidR="003F4687">
        <w:t xml:space="preserve"> </w:t>
      </w:r>
      <w:r w:rsidR="003F4687" w:rsidRPr="003F4687">
        <w:t>interoperability and portability; and (</w:t>
      </w:r>
      <w:r w:rsidR="003F4687">
        <w:t>4</w:t>
      </w:r>
      <w:r w:rsidR="003F4687" w:rsidRPr="003F4687">
        <w:t>) direct</w:t>
      </w:r>
      <w:r w:rsidR="003F4687">
        <w:t>ed</w:t>
      </w:r>
      <w:r w:rsidR="003F4687" w:rsidRPr="003F4687">
        <w:t xml:space="preserve"> that a “VRS access technology reference platform” be</w:t>
      </w:r>
      <w:r w:rsidR="003F4687">
        <w:t xml:space="preserve"> </w:t>
      </w:r>
      <w:r w:rsidR="003F4687" w:rsidRPr="003F4687">
        <w:t>developed to provide a benchmark for interoperability.</w:t>
      </w:r>
    </w:p>
    <w:p w:rsidR="00A6400E" w:rsidRDefault="00E46989" w:rsidP="00876D6C">
      <w:pPr>
        <w:pStyle w:val="ParaNum"/>
      </w:pPr>
      <w:r>
        <w:t>To support the development of voluntary, consensus interoperability and portability standards</w:t>
      </w:r>
      <w:r w:rsidR="000127A9">
        <w:t xml:space="preserve">, the Commission strongly encouraged the continuation of </w:t>
      </w:r>
      <w:r w:rsidR="00B65799">
        <w:t xml:space="preserve">existing </w:t>
      </w:r>
      <w:r w:rsidR="000127A9">
        <w:t xml:space="preserve">efforts </w:t>
      </w:r>
      <w:r w:rsidR="00B65799">
        <w:t xml:space="preserve">by </w:t>
      </w:r>
      <w:r w:rsidR="000127A9" w:rsidRPr="007A3311">
        <w:t>the Session Initiation Protocol (SIP) Forum’s VRS Task Group to develop voluntary, consensus standards to facilitate interoperability and portability</w:t>
      </w:r>
      <w:r w:rsidR="000127A9">
        <w:t xml:space="preserve">.  </w:t>
      </w:r>
      <w:bookmarkStart w:id="2" w:name="_Toc352766756"/>
      <w:bookmarkEnd w:id="2"/>
      <w:r w:rsidR="0073125D">
        <w:t>T</w:t>
      </w:r>
      <w:r w:rsidR="00624F80">
        <w:t>he Commission</w:t>
      </w:r>
      <w:r w:rsidR="00624F80" w:rsidRPr="00624F80">
        <w:t xml:space="preserve"> </w:t>
      </w:r>
      <w:r w:rsidR="0073125D">
        <w:t xml:space="preserve">also </w:t>
      </w:r>
      <w:r w:rsidR="00624F80" w:rsidRPr="00624F80">
        <w:t>direct</w:t>
      </w:r>
      <w:r w:rsidR="00624F80">
        <w:t xml:space="preserve">ed its Chief Technology Officer (CTO) </w:t>
      </w:r>
      <w:r w:rsidR="00624F80" w:rsidRPr="00624F80">
        <w:t xml:space="preserve">and the Chief of </w:t>
      </w:r>
      <w:r w:rsidR="00624F80">
        <w:t>the Office of Engineering and Technology (OET)</w:t>
      </w:r>
      <w:r w:rsidR="00624F80" w:rsidRPr="00624F80">
        <w:t>, in consultation with the Chief of CGB, to coordinate Commission support of and participation in that process in order to ensure the timely development of voluntary, consensus standards to facilitate interoperability and portability.</w:t>
      </w:r>
      <w:r w:rsidR="00624F80" w:rsidRPr="00624F80">
        <w:rPr>
          <w:vertAlign w:val="superscript"/>
        </w:rPr>
        <w:footnoteReference w:id="7"/>
      </w:r>
      <w:r w:rsidR="00B65799">
        <w:t xml:space="preserve">  </w:t>
      </w:r>
      <w:r>
        <w:t xml:space="preserve">Further, the Commission delegated authority </w:t>
      </w:r>
      <w:r w:rsidR="00A6400E">
        <w:t>to CGB</w:t>
      </w:r>
      <w:r w:rsidR="0073125D">
        <w:t xml:space="preserve"> </w:t>
      </w:r>
      <w:r w:rsidR="00A6400E">
        <w:t xml:space="preserve">to </w:t>
      </w:r>
      <w:r w:rsidR="00B264D1">
        <w:t>adopt</w:t>
      </w:r>
      <w:r w:rsidR="0020129B" w:rsidRPr="0020129B">
        <w:t xml:space="preserve"> </w:t>
      </w:r>
      <w:r w:rsidR="00A6400E">
        <w:t>interoperability and portability standards</w:t>
      </w:r>
      <w:r w:rsidR="0020129B">
        <w:t>,</w:t>
      </w:r>
      <w:r w:rsidR="00A6400E">
        <w:t xml:space="preserve"> </w:t>
      </w:r>
      <w:r w:rsidR="0020129B">
        <w:t>as well as</w:t>
      </w:r>
      <w:r w:rsidR="00A6400E">
        <w:t xml:space="preserve"> </w:t>
      </w:r>
      <w:r w:rsidR="0020129B">
        <w:t>other</w:t>
      </w:r>
      <w:r w:rsidR="00A6400E" w:rsidRPr="00F45417">
        <w:t xml:space="preserve"> standards or recommended standards developed </w:t>
      </w:r>
      <w:r w:rsidR="0020129B">
        <w:t>under the auspices of</w:t>
      </w:r>
      <w:r w:rsidR="00A6400E" w:rsidRPr="00F45417">
        <w:t xml:space="preserve"> the SIP Forum or other voluntary, consensus standard organization</w:t>
      </w:r>
      <w:r w:rsidR="00F00D71">
        <w:t>s</w:t>
      </w:r>
      <w:r w:rsidR="0020129B">
        <w:t>, if</w:t>
      </w:r>
      <w:r w:rsidR="00A6400E" w:rsidRPr="00F45417">
        <w:t xml:space="preserve"> the Chief of CGB finds </w:t>
      </w:r>
      <w:r w:rsidR="0020129B">
        <w:t xml:space="preserve">that such standards </w:t>
      </w:r>
      <w:r w:rsidR="00A6400E" w:rsidRPr="00F45417">
        <w:t>will advance the statutory functional equivalency mandate or improve the availability of TRS in the most efficient manner.</w:t>
      </w:r>
      <w:r w:rsidR="00A6400E">
        <w:rPr>
          <w:rStyle w:val="FootnoteReference"/>
        </w:rPr>
        <w:footnoteReference w:id="8"/>
      </w:r>
      <w:r w:rsidR="00866A3C">
        <w:t xml:space="preserve">  The Commission specified that such interoperability and portability standards should include standards for the portability of address book and speed dial features.</w:t>
      </w:r>
      <w:r w:rsidR="00866A3C">
        <w:rPr>
          <w:rStyle w:val="FootnoteReference"/>
        </w:rPr>
        <w:footnoteReference w:id="9"/>
      </w:r>
    </w:p>
    <w:p w:rsidR="00EC58DE" w:rsidRPr="00F45417" w:rsidRDefault="00EC58DE" w:rsidP="00876D6C">
      <w:pPr>
        <w:pStyle w:val="ParaNum"/>
      </w:pPr>
      <w:r>
        <w:t>Finally, the Commission directed the Managing Director, in consultation with the CTO and the Chief of OET, to select a neutral party to develop a VRS access technology reference platform</w:t>
      </w:r>
      <w:r w:rsidR="00767F04">
        <w:t>.</w:t>
      </w:r>
      <w:r w:rsidR="00767F04">
        <w:rPr>
          <w:rStyle w:val="FootnoteReference"/>
        </w:rPr>
        <w:footnoteReference w:id="10"/>
      </w:r>
      <w:r w:rsidR="00767F04">
        <w:t xml:space="preserve">  This reference platform is described in the </w:t>
      </w:r>
      <w:r w:rsidR="00767F04" w:rsidRPr="00767F04">
        <w:rPr>
          <w:i/>
        </w:rPr>
        <w:t>VRS Reform Order</w:t>
      </w:r>
      <w:r w:rsidR="00767F04">
        <w:t xml:space="preserve"> as</w:t>
      </w:r>
      <w:r>
        <w:t xml:space="preserve"> a software product that is compliant with VRS interoperability and portability standards, </w:t>
      </w:r>
      <w:r w:rsidR="00767F04">
        <w:t xml:space="preserve">is </w:t>
      </w:r>
      <w:r>
        <w:t>usable on commonly available off-the-shelf equipment and operating systems,</w:t>
      </w:r>
      <w:r w:rsidR="00866A3C">
        <w:t xml:space="preserve"> </w:t>
      </w:r>
      <w:r w:rsidR="00767F04">
        <w:t xml:space="preserve">and provides users with the ability </w:t>
      </w:r>
      <w:r w:rsidR="00767F04" w:rsidRPr="00767F04">
        <w:t>to place VRS and point-to-point calls</w:t>
      </w:r>
      <w:r w:rsidR="00767F04">
        <w:t xml:space="preserve"> with any provider, as well as the other VRS capabilities required by the Commission’s rules</w:t>
      </w:r>
      <w:r w:rsidR="00767F04" w:rsidRPr="00767F04">
        <w:t>.</w:t>
      </w:r>
      <w:r>
        <w:rPr>
          <w:rStyle w:val="FootnoteReference"/>
        </w:rPr>
        <w:footnoteReference w:id="11"/>
      </w:r>
      <w:r w:rsidRPr="003F36C2">
        <w:t xml:space="preserve">  </w:t>
      </w:r>
      <w:r w:rsidR="004C5225">
        <w:t>A</w:t>
      </w:r>
      <w:r w:rsidR="00767F04">
        <w:t>vailable for use by the public and by software developers,</w:t>
      </w:r>
      <w:r w:rsidR="00767F04" w:rsidRPr="00767F04">
        <w:rPr>
          <w:sz w:val="20"/>
          <w:vertAlign w:val="superscript"/>
        </w:rPr>
        <w:t xml:space="preserve"> </w:t>
      </w:r>
      <w:r w:rsidR="004C5225">
        <w:t xml:space="preserve">the reference platform is intended to facilitate the use of off-the-shelf equipment to access VRS and to enable VRS providers and software developers to test user equipment and software products </w:t>
      </w:r>
      <w:r w:rsidR="005F29D0">
        <w:t xml:space="preserve">and upgrades </w:t>
      </w:r>
      <w:r w:rsidR="004C5225">
        <w:t xml:space="preserve">prior to introducing them into the market, to ensure that </w:t>
      </w:r>
      <w:r w:rsidR="004C5225">
        <w:lastRenderedPageBreak/>
        <w:t>they are standards compliant.</w:t>
      </w:r>
      <w:r w:rsidR="005F29D0">
        <w:rPr>
          <w:rStyle w:val="FootnoteReference"/>
        </w:rPr>
        <w:footnoteReference w:id="12"/>
      </w:r>
      <w:r w:rsidR="004C5225">
        <w:t xml:space="preserve">  </w:t>
      </w:r>
      <w:r w:rsidR="00866A3C">
        <w:t>The Commission determined that “interoperability with the VRS access technology reference platform will be a minimum condition for a provider’s VSR access technology to be in compliance with our rules, and thus will be a minimum condition for receiving compensation from the Fund for calls using such technology.”</w:t>
      </w:r>
      <w:r w:rsidR="00866A3C">
        <w:rPr>
          <w:rStyle w:val="FootnoteReference"/>
        </w:rPr>
        <w:footnoteReference w:id="13"/>
      </w:r>
      <w:r w:rsidR="009A07C2">
        <w:t xml:space="preserve">  The </w:t>
      </w:r>
      <w:r w:rsidR="009A07C2" w:rsidRPr="009A07C2">
        <w:t>VRS access technology reference platform</w:t>
      </w:r>
      <w:r w:rsidR="009A07C2">
        <w:t xml:space="preserve">, now known as the Accessible Communications for Everyone (ACE) Application, or “ACE App,” </w:t>
      </w:r>
      <w:r w:rsidR="00653D83">
        <w:t xml:space="preserve">is </w:t>
      </w:r>
      <w:r w:rsidR="009A07C2">
        <w:t>be</w:t>
      </w:r>
      <w:r w:rsidR="00653D83">
        <w:t>ing</w:t>
      </w:r>
      <w:r w:rsidR="009A07C2">
        <w:t xml:space="preserve"> completed</w:t>
      </w:r>
      <w:r w:rsidR="0036196C">
        <w:t>,</w:t>
      </w:r>
      <w:r w:rsidR="009A07C2">
        <w:t xml:space="preserve"> and</w:t>
      </w:r>
      <w:r w:rsidR="0036196C">
        <w:t xml:space="preserve"> the relevant interoperability profiles have been developed, as discussed in the next paragraph</w:t>
      </w:r>
      <w:r w:rsidR="009A07C2">
        <w:t>.</w:t>
      </w:r>
    </w:p>
    <w:p w:rsidR="00D610A4" w:rsidRPr="00D610A4" w:rsidRDefault="00836E0D" w:rsidP="00876D6C">
      <w:pPr>
        <w:pStyle w:val="ParaNum"/>
      </w:pPr>
      <w:r>
        <w:t>In August 2015, t</w:t>
      </w:r>
      <w:r w:rsidR="00BD7075">
        <w:t xml:space="preserve">he </w:t>
      </w:r>
      <w:r w:rsidR="00186A23">
        <w:t xml:space="preserve">VRS Task Group of the </w:t>
      </w:r>
      <w:r w:rsidR="00BD7075">
        <w:t>SIP Forum</w:t>
      </w:r>
      <w:r w:rsidR="00440B2B">
        <w:t xml:space="preserve"> </w:t>
      </w:r>
      <w:r>
        <w:t>completed</w:t>
      </w:r>
      <w:r w:rsidR="00BD7075">
        <w:t xml:space="preserve"> </w:t>
      </w:r>
      <w:r>
        <w:t>a technical</w:t>
      </w:r>
      <w:r w:rsidR="00BD7075">
        <w:t xml:space="preserve"> standard</w:t>
      </w:r>
      <w:r w:rsidR="005028C5">
        <w:t xml:space="preserve"> </w:t>
      </w:r>
      <w:r w:rsidR="00CF45C3">
        <w:t xml:space="preserve">addressing interoperability between VRS providers, </w:t>
      </w:r>
      <w:r>
        <w:t>entitled</w:t>
      </w:r>
      <w:r w:rsidR="00754615" w:rsidRPr="00754615">
        <w:t xml:space="preserve"> the </w:t>
      </w:r>
      <w:r w:rsidR="009A07C2">
        <w:t>VRS</w:t>
      </w:r>
      <w:r w:rsidR="00754615" w:rsidRPr="00754615">
        <w:rPr>
          <w:b/>
        </w:rPr>
        <w:t xml:space="preserve"> </w:t>
      </w:r>
      <w:r w:rsidR="00754615" w:rsidRPr="00754615">
        <w:t>Provider Interoperability Profile (</w:t>
      </w:r>
      <w:r w:rsidR="009A07C2">
        <w:t xml:space="preserve">Provider </w:t>
      </w:r>
      <w:r w:rsidR="00754615" w:rsidRPr="00754615">
        <w:t>Interoperability Profile)</w:t>
      </w:r>
      <w:r>
        <w:t>.</w:t>
      </w:r>
      <w:r>
        <w:rPr>
          <w:rStyle w:val="FootnoteReference"/>
          <w:bCs/>
          <w:iCs/>
        </w:rPr>
        <w:footnoteReference w:id="14"/>
      </w:r>
      <w:r>
        <w:t xml:space="preserve">  Subsequently, </w:t>
      </w:r>
      <w:r w:rsidR="00CF45C3">
        <w:t xml:space="preserve">the VRS providers formed another group, </w:t>
      </w:r>
      <w:r>
        <w:t xml:space="preserve">the </w:t>
      </w:r>
      <w:r w:rsidRPr="00754615">
        <w:t>Relay User Equipment Forum (RUE Forum)</w:t>
      </w:r>
      <w:r w:rsidR="00F2146F">
        <w:t>,</w:t>
      </w:r>
      <w:r w:rsidR="00754615" w:rsidRPr="00754615">
        <w:t xml:space="preserve"> </w:t>
      </w:r>
      <w:r w:rsidR="00CF45C3">
        <w:t xml:space="preserve">which </w:t>
      </w:r>
      <w:r>
        <w:t>published a second technical standard</w:t>
      </w:r>
      <w:r w:rsidR="00CF45C3">
        <w:t xml:space="preserve"> addressing interoperability between a VRS provider and user equipment and software</w:t>
      </w:r>
      <w:r>
        <w:t xml:space="preserve">, </w:t>
      </w:r>
      <w:r w:rsidR="00CF45C3">
        <w:t xml:space="preserve">entitled </w:t>
      </w:r>
      <w:r>
        <w:t>the</w:t>
      </w:r>
      <w:r w:rsidR="00754615" w:rsidRPr="00754615">
        <w:t xml:space="preserve"> Interoperability Profile for Relay User Equipment (RUE Profile)</w:t>
      </w:r>
      <w:r w:rsidR="00BD7075">
        <w:t>.</w:t>
      </w:r>
      <w:r w:rsidR="00D20DD2">
        <w:rPr>
          <w:rStyle w:val="FootnoteReference"/>
        </w:rPr>
        <w:footnoteReference w:id="15"/>
      </w:r>
      <w:r w:rsidR="00F2146F" w:rsidRPr="00F2146F">
        <w:t xml:space="preserve"> </w:t>
      </w:r>
      <w:r w:rsidR="00BD7075">
        <w:t xml:space="preserve"> </w:t>
      </w:r>
      <w:r w:rsidR="004719A8">
        <w:t>In a notice of proposed rulemaking issued August 4, 2016</w:t>
      </w:r>
      <w:r w:rsidR="00BD7075">
        <w:t xml:space="preserve">, </w:t>
      </w:r>
      <w:r w:rsidR="004719A8">
        <w:t xml:space="preserve">pursuant to a delegation of authority in the </w:t>
      </w:r>
      <w:r w:rsidR="004719A8" w:rsidRPr="004C6BF3">
        <w:rPr>
          <w:i/>
        </w:rPr>
        <w:t>VRS Reform Order</w:t>
      </w:r>
      <w:r w:rsidR="004719A8">
        <w:t>,</w:t>
      </w:r>
      <w:r w:rsidR="004719A8">
        <w:rPr>
          <w:rStyle w:val="FootnoteReference"/>
        </w:rPr>
        <w:footnoteReference w:id="16"/>
      </w:r>
      <w:r w:rsidR="004719A8">
        <w:t xml:space="preserve"> </w:t>
      </w:r>
      <w:r w:rsidR="00BD7075">
        <w:t>the Consumer and Governmental Affairs Bureau (</w:t>
      </w:r>
      <w:r w:rsidR="00972CE3">
        <w:t xml:space="preserve">CGB or </w:t>
      </w:r>
      <w:r w:rsidR="00BD7075">
        <w:t>Bureau)</w:t>
      </w:r>
      <w:r w:rsidR="00BD7075" w:rsidRPr="002A317F">
        <w:t xml:space="preserve"> </w:t>
      </w:r>
      <w:r w:rsidR="00BD7075">
        <w:t>propose</w:t>
      </w:r>
      <w:r w:rsidR="004719A8">
        <w:t>d</w:t>
      </w:r>
      <w:r w:rsidR="00BD7075">
        <w:t xml:space="preserve"> to incorporate </w:t>
      </w:r>
      <w:r w:rsidR="00754615">
        <w:t>both</w:t>
      </w:r>
      <w:r w:rsidR="004C6BF3">
        <w:t xml:space="preserve"> s</w:t>
      </w:r>
      <w:r w:rsidR="00BD7075">
        <w:t xml:space="preserve">tandards by reference into </w:t>
      </w:r>
      <w:r w:rsidR="004719A8">
        <w:t>the Commission’s</w:t>
      </w:r>
      <w:r w:rsidR="00BD7075">
        <w:t xml:space="preserve"> VRS interoperability rule</w:t>
      </w:r>
      <w:r w:rsidR="004719A8">
        <w:t>.</w:t>
      </w:r>
      <w:r w:rsidR="00BD7075">
        <w:rPr>
          <w:rStyle w:val="FootnoteReference"/>
        </w:rPr>
        <w:footnoteReference w:id="17"/>
      </w:r>
      <w:r w:rsidR="0021497B">
        <w:t xml:space="preserve">  </w:t>
      </w:r>
      <w:r w:rsidR="00C701E9" w:rsidRPr="001F0EE2">
        <w:t xml:space="preserve">We address each of </w:t>
      </w:r>
      <w:r w:rsidR="001F0EE2">
        <w:t>the two standards</w:t>
      </w:r>
      <w:r w:rsidR="00C701E9" w:rsidRPr="001F0EE2">
        <w:t xml:space="preserve"> in turn.</w:t>
      </w:r>
    </w:p>
    <w:p w:rsidR="00754615" w:rsidRDefault="00D21D74" w:rsidP="00DB4066">
      <w:pPr>
        <w:pStyle w:val="Heading2"/>
      </w:pPr>
      <w:r>
        <w:t xml:space="preserve">Provider </w:t>
      </w:r>
      <w:r w:rsidR="00F2146F">
        <w:t>Interoperability</w:t>
      </w:r>
      <w:r w:rsidR="00754615">
        <w:t xml:space="preserve"> Profile</w:t>
      </w:r>
    </w:p>
    <w:p w:rsidR="00754615" w:rsidRPr="00A6400E" w:rsidRDefault="004A7AB0" w:rsidP="00876D6C">
      <w:pPr>
        <w:pStyle w:val="ParaNum"/>
      </w:pPr>
      <w:r w:rsidRPr="004A7AB0">
        <w:t xml:space="preserve">The </w:t>
      </w:r>
      <w:r w:rsidR="00773D88">
        <w:t xml:space="preserve">Provider </w:t>
      </w:r>
      <w:r w:rsidRPr="004A7AB0">
        <w:t xml:space="preserve">Interoperability Profile provides technical specifications for the interface between </w:t>
      </w:r>
      <w:r w:rsidR="00D21D74">
        <w:t xml:space="preserve">two </w:t>
      </w:r>
      <w:r w:rsidRPr="004A7AB0">
        <w:t>VRS providers</w:t>
      </w:r>
      <w:r w:rsidR="00D21D74">
        <w:t>, as well as</w:t>
      </w:r>
      <w:r w:rsidRPr="004A7AB0">
        <w:t xml:space="preserve"> the interface between a VRS provider and the TRS Numbering Directory.</w:t>
      </w:r>
      <w:r w:rsidRPr="004A7AB0">
        <w:rPr>
          <w:vertAlign w:val="superscript"/>
        </w:rPr>
        <w:footnoteReference w:id="18"/>
      </w:r>
      <w:r>
        <w:t xml:space="preserve">  All commenters support the incorporation of this standard by reference into the Commission’s VRS interoperability rule.</w:t>
      </w:r>
      <w:r>
        <w:rPr>
          <w:rStyle w:val="FootnoteReference"/>
          <w:bCs/>
          <w:iCs/>
        </w:rPr>
        <w:footnoteReference w:id="19"/>
      </w:r>
      <w:r w:rsidR="00A6400E">
        <w:t xml:space="preserve">  </w:t>
      </w:r>
      <w:r w:rsidR="00D54A24" w:rsidRPr="00D54A24">
        <w:t xml:space="preserve">We conclude that the </w:t>
      </w:r>
      <w:r w:rsidR="00D54A24" w:rsidRPr="00D54A24">
        <w:rPr>
          <w:bCs/>
          <w:iCs/>
        </w:rPr>
        <w:t>Provider Interoperability Profile</w:t>
      </w:r>
      <w:r w:rsidR="00D54A24" w:rsidRPr="00D54A24">
        <w:t xml:space="preserve"> will </w:t>
      </w:r>
      <w:r w:rsidR="0057524D" w:rsidRPr="00430590">
        <w:t>advance</w:t>
      </w:r>
      <w:r w:rsidR="00D54A24" w:rsidRPr="00D54A24">
        <w:t xml:space="preserve"> the Commission’s goals of ensuring interoperability and portability, as required by the </w:t>
      </w:r>
      <w:r w:rsidR="00D54A24" w:rsidRPr="00D54A24">
        <w:rPr>
          <w:i/>
          <w:iCs/>
        </w:rPr>
        <w:t>VRS Reform Order</w:t>
      </w:r>
      <w:r w:rsidR="00D54A24" w:rsidRPr="00D54A24">
        <w:t xml:space="preserve">.  Specifically, </w:t>
      </w:r>
      <w:r w:rsidR="00430590">
        <w:t xml:space="preserve">this standard will provide a common framework for </w:t>
      </w:r>
      <w:r w:rsidR="00430590" w:rsidRPr="00430590">
        <w:t xml:space="preserve">provider compliance </w:t>
      </w:r>
      <w:r w:rsidR="00430590">
        <w:t>and specific criteria for assessing such compliance.  Incorporation of this standard will thereby increase the certainty that</w:t>
      </w:r>
      <w:r w:rsidR="00D54A24" w:rsidRPr="00D54A24">
        <w:t xml:space="preserve"> </w:t>
      </w:r>
      <w:r w:rsidR="00430590">
        <w:t xml:space="preserve">all </w:t>
      </w:r>
      <w:r w:rsidR="00D54A24" w:rsidRPr="00D54A24">
        <w:t>VRS user</w:t>
      </w:r>
      <w:r w:rsidR="00430590">
        <w:t>s</w:t>
      </w:r>
      <w:r w:rsidR="00D54A24" w:rsidRPr="00D54A24">
        <w:t xml:space="preserve"> </w:t>
      </w:r>
      <w:r w:rsidR="00430590">
        <w:t>can</w:t>
      </w:r>
      <w:r w:rsidR="00D54A24" w:rsidRPr="00D54A24">
        <w:t xml:space="preserve"> place and receive calls through any VRS provider and make point-to-point calls to all other VRS users, irrespective of the default provider of the parties to the call, and without the caller having to change the VRS access technology used to make such calls.  </w:t>
      </w:r>
      <w:r w:rsidR="00753059">
        <w:t xml:space="preserve">In addition, because the </w:t>
      </w:r>
      <w:r w:rsidR="00D54A24" w:rsidRPr="00056A92">
        <w:rPr>
          <w:bCs/>
          <w:iCs/>
        </w:rPr>
        <w:t>Provider Interoperability Profile</w:t>
      </w:r>
      <w:r w:rsidR="00753059">
        <w:t xml:space="preserve"> </w:t>
      </w:r>
      <w:r w:rsidR="00056A92">
        <w:t>specifies</w:t>
      </w:r>
      <w:r w:rsidR="00753059">
        <w:t xml:space="preserve"> the use of the SIP and H.264 protocols, </w:t>
      </w:r>
      <w:r w:rsidR="00056A92">
        <w:t>it will provide more advanced video compression</w:t>
      </w:r>
      <w:r w:rsidR="00BF0DE4">
        <w:t>, which will improve video quality</w:t>
      </w:r>
      <w:r w:rsidR="00F00D71">
        <w:t>.</w:t>
      </w:r>
      <w:r w:rsidR="00056A92">
        <w:rPr>
          <w:rStyle w:val="FootnoteReference"/>
        </w:rPr>
        <w:footnoteReference w:id="20"/>
      </w:r>
      <w:r w:rsidR="00056A92">
        <w:t xml:space="preserve">  </w:t>
      </w:r>
      <w:r w:rsidR="00D54A24" w:rsidRPr="00D54A24">
        <w:t xml:space="preserve">We further note that all current VRS providers participated in the process leading to adoption of the </w:t>
      </w:r>
      <w:r w:rsidR="0057524D" w:rsidRPr="0057524D">
        <w:rPr>
          <w:bCs/>
          <w:iCs/>
        </w:rPr>
        <w:t>Provider Interoperability Profile</w:t>
      </w:r>
      <w:r w:rsidR="00865A26">
        <w:rPr>
          <w:bCs/>
          <w:iCs/>
        </w:rPr>
        <w:t>.</w:t>
      </w:r>
      <w:r w:rsidR="0057524D" w:rsidRPr="0057524D">
        <w:rPr>
          <w:vertAlign w:val="superscript"/>
        </w:rPr>
        <w:footnoteReference w:id="21"/>
      </w:r>
      <w:r w:rsidR="00D54A24" w:rsidRPr="00D54A24">
        <w:t xml:space="preserve"> </w:t>
      </w:r>
      <w:r w:rsidR="00865A26">
        <w:t xml:space="preserve"> </w:t>
      </w:r>
      <w:r w:rsidR="00BF0DE4" w:rsidRPr="00D54A24">
        <w:t xml:space="preserve">In these various ways, these standards will “advance the statutory functional equivalency mandate [and] improve the availability of TRS, in the most efficient manner,” in accordance with the </w:t>
      </w:r>
      <w:r w:rsidR="00BF0DE4" w:rsidRPr="00D54A24">
        <w:rPr>
          <w:i/>
        </w:rPr>
        <w:t>VRS Reform Order</w:t>
      </w:r>
      <w:r w:rsidR="00BF0DE4">
        <w:t>,</w:t>
      </w:r>
      <w:r w:rsidR="00BF0DE4" w:rsidRPr="00D54A24">
        <w:rPr>
          <w:vertAlign w:val="superscript"/>
        </w:rPr>
        <w:footnoteReference w:id="22"/>
      </w:r>
      <w:r w:rsidR="00BF0DE4">
        <w:t xml:space="preserve"> and we therefore </w:t>
      </w:r>
      <w:r w:rsidR="00A6400E">
        <w:t>adopt the proposal to incorporate the Provider Interoperability Profile by reference.</w:t>
      </w:r>
    </w:p>
    <w:p w:rsidR="00A6400E" w:rsidRDefault="00A6400E" w:rsidP="00876D6C">
      <w:pPr>
        <w:pStyle w:val="ParaNum"/>
      </w:pPr>
      <w:r w:rsidRPr="00007A0E">
        <w:rPr>
          <w:i/>
        </w:rPr>
        <w:t>Effective Date</w:t>
      </w:r>
      <w:r>
        <w:t xml:space="preserve">.  </w:t>
      </w:r>
      <w:r w:rsidR="00B65799">
        <w:t>T</w:t>
      </w:r>
      <w:r w:rsidR="00007A0E">
        <w:t xml:space="preserve">he </w:t>
      </w:r>
      <w:r w:rsidR="00E96606" w:rsidRPr="00E96606">
        <w:rPr>
          <w:i/>
        </w:rPr>
        <w:t>CGB 2016</w:t>
      </w:r>
      <w:r w:rsidR="00E96606">
        <w:t xml:space="preserve"> </w:t>
      </w:r>
      <w:r w:rsidR="00E10B02" w:rsidRPr="00F00D71">
        <w:rPr>
          <w:i/>
        </w:rPr>
        <w:t>FNPRM</w:t>
      </w:r>
      <w:r w:rsidR="00E10B02">
        <w:t xml:space="preserve"> </w:t>
      </w:r>
      <w:r w:rsidR="00007A0E">
        <w:t xml:space="preserve">proposed that the rule </w:t>
      </w:r>
      <w:r w:rsidR="00007A0E" w:rsidRPr="00007A0E">
        <w:t xml:space="preserve">amendment incorporating the </w:t>
      </w:r>
      <w:r w:rsidR="001A577C">
        <w:t xml:space="preserve">Provider Interoperability Profile </w:t>
      </w:r>
      <w:r w:rsidR="00007A0E" w:rsidRPr="00007A0E">
        <w:t>into section 64.621 of the Commission’s rules become</w:t>
      </w:r>
      <w:r w:rsidR="00007A0E">
        <w:t xml:space="preserve"> </w:t>
      </w:r>
      <w:r w:rsidR="00007A0E" w:rsidRPr="00007A0E">
        <w:t>effective 60 days after publication in the Federal Register of the amended rule</w:t>
      </w:r>
      <w:r w:rsidR="00A966A8">
        <w:t>.</w:t>
      </w:r>
      <w:r w:rsidR="00A966A8">
        <w:rPr>
          <w:rStyle w:val="FootnoteReference"/>
        </w:rPr>
        <w:footnoteReference w:id="23"/>
      </w:r>
      <w:r w:rsidR="00007A0E">
        <w:t xml:space="preserve"> </w:t>
      </w:r>
      <w:r w:rsidR="00CB4FF1">
        <w:t xml:space="preserve"> </w:t>
      </w:r>
      <w:r w:rsidR="00ED345D">
        <w:t>In their comments, the</w:t>
      </w:r>
      <w:r w:rsidR="00CB4FF1">
        <w:t xml:space="preserve"> </w:t>
      </w:r>
      <w:r w:rsidR="00516D1D">
        <w:t xml:space="preserve">VRS providers </w:t>
      </w:r>
      <w:r w:rsidR="00ED345D">
        <w:t xml:space="preserve">initially projected </w:t>
      </w:r>
      <w:r w:rsidR="00516D1D">
        <w:t xml:space="preserve">that they </w:t>
      </w:r>
      <w:r w:rsidR="00ED345D">
        <w:t xml:space="preserve">would </w:t>
      </w:r>
      <w:r w:rsidR="00516D1D">
        <w:t>need at least 120 days to finish implementation and testing</w:t>
      </w:r>
      <w:r w:rsidR="00331D18">
        <w:t>.</w:t>
      </w:r>
      <w:r w:rsidR="00516D1D">
        <w:rPr>
          <w:rStyle w:val="FootnoteReference"/>
        </w:rPr>
        <w:footnoteReference w:id="24"/>
      </w:r>
      <w:r w:rsidR="00CB4FF1">
        <w:t xml:space="preserve"> </w:t>
      </w:r>
      <w:r w:rsidR="00331D18">
        <w:t xml:space="preserve"> </w:t>
      </w:r>
      <w:r w:rsidR="003A2AED">
        <w:t xml:space="preserve">Accordingly, </w:t>
      </w:r>
      <w:r w:rsidR="00E96606">
        <w:t xml:space="preserve">the compliance date for the </w:t>
      </w:r>
      <w:r w:rsidR="003A2AED" w:rsidRPr="003A2AED">
        <w:t>Provider Interoperability</w:t>
      </w:r>
      <w:r w:rsidR="003A2AED">
        <w:t xml:space="preserve"> Profile </w:t>
      </w:r>
      <w:r w:rsidR="00E96606">
        <w:t xml:space="preserve">will be </w:t>
      </w:r>
      <w:r w:rsidR="00331D18">
        <w:t>12</w:t>
      </w:r>
      <w:r w:rsidR="00EB7FBB">
        <w:t xml:space="preserve">0 days after publication of this Report and Order in the </w:t>
      </w:r>
      <w:r w:rsidR="00EB7FBB" w:rsidRPr="00E96606">
        <w:rPr>
          <w:i/>
        </w:rPr>
        <w:t>Federal Register</w:t>
      </w:r>
      <w:r w:rsidR="003A2AED">
        <w:t>.</w:t>
      </w:r>
      <w:r w:rsidR="00CC35A2">
        <w:rPr>
          <w:rStyle w:val="FootnoteReference"/>
        </w:rPr>
        <w:footnoteReference w:id="25"/>
      </w:r>
      <w:r w:rsidR="003A2AED">
        <w:t xml:space="preserve"> </w:t>
      </w:r>
    </w:p>
    <w:p w:rsidR="003D75B0" w:rsidRDefault="003D75B0" w:rsidP="00DB4066">
      <w:pPr>
        <w:pStyle w:val="Heading2"/>
      </w:pPr>
      <w:r>
        <w:t>RUE Profile</w:t>
      </w:r>
    </w:p>
    <w:p w:rsidR="00692740" w:rsidRDefault="00CD6482" w:rsidP="00876D6C">
      <w:pPr>
        <w:pStyle w:val="ParaNum"/>
      </w:pPr>
      <w:bookmarkStart w:id="3" w:name="_Ref354416851"/>
      <w:bookmarkEnd w:id="1"/>
      <w:r>
        <w:t>The RUE Profile provides technical specifications that define a standard interface between a relay user’s equipment and the services offered by relay service providers.</w:t>
      </w:r>
      <w:r>
        <w:rPr>
          <w:rStyle w:val="FootnoteReference"/>
        </w:rPr>
        <w:footnoteReference w:id="26"/>
      </w:r>
      <w:r w:rsidR="00D5183A">
        <w:t xml:space="preserve">  </w:t>
      </w:r>
      <w:r w:rsidR="00103959">
        <w:t>T</w:t>
      </w:r>
      <w:r w:rsidR="002906C2">
        <w:t xml:space="preserve">he RUE Profile </w:t>
      </w:r>
      <w:r w:rsidR="00103959">
        <w:t xml:space="preserve">thus </w:t>
      </w:r>
      <w:r w:rsidR="00E72CC6">
        <w:t xml:space="preserve">addresses a number of technical issues not governed by the </w:t>
      </w:r>
      <w:r w:rsidR="00E72CC6" w:rsidRPr="00E72CC6">
        <w:t>Provider Interoperability Profile</w:t>
      </w:r>
      <w:r w:rsidR="00103959">
        <w:t>, such as the portability of users’ personal contacts lists and speed dial lists</w:t>
      </w:r>
      <w:r w:rsidR="00E72CC6">
        <w:t>.</w:t>
      </w:r>
      <w:r w:rsidR="00FC0D18">
        <w:rPr>
          <w:rStyle w:val="FootnoteReference"/>
        </w:rPr>
        <w:footnoteReference w:id="27"/>
      </w:r>
      <w:r w:rsidR="00103959">
        <w:t xml:space="preserve"> </w:t>
      </w:r>
      <w:r w:rsidR="00F24E7C">
        <w:t xml:space="preserve"> </w:t>
      </w:r>
      <w:r w:rsidR="00681035">
        <w:t>Adoption of the RUE Profile will enable</w:t>
      </w:r>
      <w:r w:rsidR="00A07B16">
        <w:t xml:space="preserve"> a </w:t>
      </w:r>
      <w:r w:rsidR="00870018">
        <w:t>consumer</w:t>
      </w:r>
      <w:r w:rsidR="00A07B16">
        <w:t xml:space="preserve"> to continue using such lists, compiled on an </w:t>
      </w:r>
      <w:r w:rsidR="00A07B16" w:rsidRPr="00A07B16">
        <w:t>existing default provider’s server</w:t>
      </w:r>
      <w:r w:rsidR="00A07B16">
        <w:t>, after selecting</w:t>
      </w:r>
      <w:r w:rsidR="00A07B16" w:rsidRPr="00A07B16">
        <w:t xml:space="preserve"> a new default provider</w:t>
      </w:r>
      <w:r w:rsidR="00A07B16">
        <w:t>.</w:t>
      </w:r>
      <w:r w:rsidR="00A07B16" w:rsidRPr="00A07B16">
        <w:t> </w:t>
      </w:r>
      <w:r w:rsidR="002906C2">
        <w:t xml:space="preserve"> </w:t>
      </w:r>
      <w:r w:rsidR="00AD3ED4">
        <w:t>T</w:t>
      </w:r>
      <w:r w:rsidR="0017405B">
        <w:t xml:space="preserve">he RUE Profile </w:t>
      </w:r>
      <w:r w:rsidR="00AD3ED4">
        <w:t xml:space="preserve">also </w:t>
      </w:r>
      <w:r w:rsidR="0017405B">
        <w:t xml:space="preserve">specifies </w:t>
      </w:r>
      <w:r w:rsidR="00FC0D18">
        <w:t xml:space="preserve">other aspects of </w:t>
      </w:r>
      <w:r w:rsidR="0017405B">
        <w:t>the interface between a provider and relay user equipment</w:t>
      </w:r>
      <w:r w:rsidR="00DE25FF">
        <w:t>.</w:t>
      </w:r>
      <w:r w:rsidR="00B80127">
        <w:rPr>
          <w:rStyle w:val="FootnoteReference"/>
        </w:rPr>
        <w:footnoteReference w:id="28"/>
      </w:r>
      <w:r w:rsidR="00B80127">
        <w:t xml:space="preserve"> </w:t>
      </w:r>
      <w:r w:rsidR="005674A9">
        <w:t xml:space="preserve"> </w:t>
      </w:r>
    </w:p>
    <w:p w:rsidR="00CA5C3B" w:rsidRPr="00CA5C3B" w:rsidRDefault="00927557" w:rsidP="00876D6C">
      <w:pPr>
        <w:pStyle w:val="ParaNum"/>
        <w:rPr>
          <w:bCs/>
          <w:iCs/>
        </w:rPr>
      </w:pPr>
      <w:r>
        <w:t>Although</w:t>
      </w:r>
      <w:r w:rsidRPr="00927557">
        <w:t xml:space="preserve"> the Consumer Groups support the incorporation by reference of </w:t>
      </w:r>
      <w:r w:rsidR="001F68CB">
        <w:t>the RUE Profile in the VRS interoperability rule</w:t>
      </w:r>
      <w:r>
        <w:t>,</w:t>
      </w:r>
      <w:r>
        <w:rPr>
          <w:rStyle w:val="FootnoteReference"/>
        </w:rPr>
        <w:footnoteReference w:id="29"/>
      </w:r>
      <w:r w:rsidRPr="00927557">
        <w:t xml:space="preserve"> </w:t>
      </w:r>
      <w:r w:rsidR="00D5183A">
        <w:t xml:space="preserve">VRS providers </w:t>
      </w:r>
      <w:r w:rsidR="00B65799">
        <w:t>contend</w:t>
      </w:r>
      <w:r w:rsidR="00D5183A">
        <w:t xml:space="preserve"> </w:t>
      </w:r>
      <w:r w:rsidR="00B65799">
        <w:t xml:space="preserve">that a rule </w:t>
      </w:r>
      <w:r w:rsidR="00B65799" w:rsidRPr="00BC3CA2">
        <w:t xml:space="preserve">requiring </w:t>
      </w:r>
      <w:r w:rsidR="00B65799" w:rsidRPr="00BC3CA2">
        <w:rPr>
          <w:i/>
        </w:rPr>
        <w:t>all</w:t>
      </w:r>
      <w:r w:rsidR="00B65799" w:rsidRPr="00BC3CA2">
        <w:t xml:space="preserve"> provider-distributed VRS user hardware and software </w:t>
      </w:r>
      <w:r w:rsidR="00B65799">
        <w:t>to</w:t>
      </w:r>
      <w:r w:rsidR="00B65799" w:rsidRPr="00BC3CA2">
        <w:t xml:space="preserve"> comply with the RUE Profile would impose </w:t>
      </w:r>
      <w:r w:rsidR="00B65799">
        <w:t xml:space="preserve">major </w:t>
      </w:r>
      <w:r w:rsidR="00B65799" w:rsidRPr="00BC3CA2">
        <w:t>costs and burdens on VRS providers</w:t>
      </w:r>
      <w:r w:rsidR="00B65799">
        <w:t xml:space="preserve">.  </w:t>
      </w:r>
      <w:r w:rsidR="00DE25FF">
        <w:t xml:space="preserve">The providers claim </w:t>
      </w:r>
      <w:r w:rsidR="00D5183A">
        <w:t>that</w:t>
      </w:r>
      <w:r w:rsidR="008F0DDE">
        <w:t xml:space="preserve"> the purpose of the RUE Profile, as developed, </w:t>
      </w:r>
      <w:r w:rsidR="00323FC9">
        <w:t>is</w:t>
      </w:r>
      <w:r w:rsidR="00D5183A">
        <w:t xml:space="preserve"> </w:t>
      </w:r>
      <w:r w:rsidR="001F68CB">
        <w:t>limited</w:t>
      </w:r>
      <w:r w:rsidR="00D5183A">
        <w:t xml:space="preserve"> to defin</w:t>
      </w:r>
      <w:r w:rsidR="001F68CB">
        <w:t>ing</w:t>
      </w:r>
      <w:r w:rsidR="00D5183A">
        <w:t xml:space="preserve"> an interface between user equipment utilizing the ACE </w:t>
      </w:r>
      <w:r w:rsidR="00D43285">
        <w:t>App</w:t>
      </w:r>
      <w:r w:rsidR="00D5183A">
        <w:t xml:space="preserve"> and VRS providers’ networks</w:t>
      </w:r>
      <w:r w:rsidR="00DE25FF">
        <w:t>.</w:t>
      </w:r>
      <w:r w:rsidR="00EC3FE1">
        <w:rPr>
          <w:rStyle w:val="FootnoteReference"/>
        </w:rPr>
        <w:footnoteReference w:id="30"/>
      </w:r>
      <w:r w:rsidR="00DE25FF">
        <w:t xml:space="preserve">  </w:t>
      </w:r>
      <w:r w:rsidR="00EC3FE1">
        <w:t>Four providers</w:t>
      </w:r>
      <w:r w:rsidR="003A6280" w:rsidRPr="00BC3CA2">
        <w:t xml:space="preserve"> </w:t>
      </w:r>
      <w:r w:rsidR="00B65799">
        <w:t xml:space="preserve">further </w:t>
      </w:r>
      <w:r w:rsidR="003A6280" w:rsidRPr="00BC3CA2">
        <w:t xml:space="preserve">assert that “forcing provider endpoints to adhere to the RUE Profile would require that providers </w:t>
      </w:r>
      <w:r w:rsidR="003A6280" w:rsidRPr="00BC3CA2">
        <w:rPr>
          <w:i/>
        </w:rPr>
        <w:t>remove</w:t>
      </w:r>
      <w:r w:rsidR="003A6280" w:rsidRPr="00BC3CA2">
        <w:t xml:space="preserve"> any innovative or useful features of their endpoints that are not specified in the RUE Profile and subject their networks to lower security than they employ today.”</w:t>
      </w:r>
      <w:r w:rsidR="003A6280" w:rsidRPr="00BC3CA2">
        <w:rPr>
          <w:vertAlign w:val="superscript"/>
        </w:rPr>
        <w:footnoteReference w:id="31"/>
      </w:r>
      <w:r w:rsidR="003A6280" w:rsidRPr="00BC3CA2">
        <w:t xml:space="preserve"> </w:t>
      </w:r>
      <w:r w:rsidR="00495036">
        <w:t xml:space="preserve"> </w:t>
      </w:r>
      <w:r w:rsidR="00E96606">
        <w:t>The same</w:t>
      </w:r>
      <w:r w:rsidR="00BC3CA2">
        <w:t xml:space="preserve"> </w:t>
      </w:r>
      <w:r w:rsidR="00E96606">
        <w:t>four</w:t>
      </w:r>
      <w:r w:rsidR="001F68CB">
        <w:t xml:space="preserve"> VRS providers argue</w:t>
      </w:r>
      <w:r w:rsidR="001F68CB" w:rsidRPr="00323FC9">
        <w:t xml:space="preserve"> that the process by which the RUE Profile was developed was not that of a voluntary, consensus standard organization</w:t>
      </w:r>
      <w:r w:rsidR="001F68CB">
        <w:t xml:space="preserve"> and that</w:t>
      </w:r>
      <w:r w:rsidR="00773D88">
        <w:t xml:space="preserve"> to incorporate </w:t>
      </w:r>
      <w:r w:rsidR="00E96606">
        <w:t>the RUE</w:t>
      </w:r>
      <w:r w:rsidR="00773D88">
        <w:t xml:space="preserve"> </w:t>
      </w:r>
      <w:r w:rsidR="00E96606">
        <w:t>P</w:t>
      </w:r>
      <w:r w:rsidR="00773D88">
        <w:t>rofile</w:t>
      </w:r>
      <w:r w:rsidR="001F68CB" w:rsidRPr="00323FC9">
        <w:t xml:space="preserve"> in a rule generally applicable to all </w:t>
      </w:r>
      <w:r w:rsidR="00773D88">
        <w:t xml:space="preserve">user </w:t>
      </w:r>
      <w:r w:rsidR="001F68CB" w:rsidRPr="00323FC9">
        <w:t xml:space="preserve">equipment </w:t>
      </w:r>
      <w:r w:rsidR="001F68CB">
        <w:t xml:space="preserve">would </w:t>
      </w:r>
      <w:r w:rsidR="001F68CB" w:rsidRPr="00323FC9">
        <w:t>exceed the Bureau’s delegated authority</w:t>
      </w:r>
      <w:r w:rsidR="00DE25FF">
        <w:t>.</w:t>
      </w:r>
      <w:r w:rsidR="001F68CB" w:rsidRPr="00323FC9">
        <w:rPr>
          <w:vertAlign w:val="superscript"/>
        </w:rPr>
        <w:footnoteReference w:id="32"/>
      </w:r>
      <w:r w:rsidR="001F68CB" w:rsidRPr="00323FC9">
        <w:t xml:space="preserve"> </w:t>
      </w:r>
    </w:p>
    <w:p w:rsidR="006C0797" w:rsidRPr="00381E39" w:rsidRDefault="007B4B8A" w:rsidP="006C0797">
      <w:pPr>
        <w:pStyle w:val="Heading3"/>
      </w:pPr>
      <w:r>
        <w:t xml:space="preserve">Limited Incorporation of the </w:t>
      </w:r>
      <w:r w:rsidR="006C0797">
        <w:t>RUE Profile</w:t>
      </w:r>
    </w:p>
    <w:p w:rsidR="007B4B8A" w:rsidRPr="007B4B8A" w:rsidRDefault="007B4B8A" w:rsidP="00876D6C">
      <w:pPr>
        <w:pStyle w:val="ParaNum"/>
        <w:rPr>
          <w:bCs/>
          <w:iCs/>
        </w:rPr>
      </w:pPr>
      <w:r>
        <w:t xml:space="preserve">In this Report and Order, we incorporate the RUE Profile by reference into the interoperability rule, but on a limited basis that preserves providers’ flexibility to continue offering user equipment and software that does not conform to the RUE Profile in all respects, pending further determinations in this proceeding.  </w:t>
      </w:r>
      <w:r w:rsidR="00865FE3">
        <w:t xml:space="preserve">Specifically, the rule we adopt requires VRS providers to comply </w:t>
      </w:r>
      <w:r w:rsidR="006251F5">
        <w:t>with the</w:t>
      </w:r>
      <w:r w:rsidR="00865FE3">
        <w:t xml:space="preserve"> RUE Profile only for purposes of ensuring provider interoperability with the ACE App.  We do not make the RUE Profile applicable to user equipment and software supplied by VRS providers.   </w:t>
      </w:r>
    </w:p>
    <w:p w:rsidR="003A6280" w:rsidRPr="008F0DDE" w:rsidRDefault="00B65B88" w:rsidP="00876D6C">
      <w:pPr>
        <w:pStyle w:val="ParaNum"/>
        <w:rPr>
          <w:bCs/>
          <w:iCs/>
        </w:rPr>
      </w:pPr>
      <w:r>
        <w:t xml:space="preserve">As </w:t>
      </w:r>
      <w:r w:rsidR="00623961">
        <w:t xml:space="preserve">the Commission stated in the </w:t>
      </w:r>
      <w:r w:rsidR="007B4B8A" w:rsidRPr="00623961">
        <w:rPr>
          <w:i/>
        </w:rPr>
        <w:t>VRS Reform Order</w:t>
      </w:r>
      <w:r w:rsidR="00623961">
        <w:t>,</w:t>
      </w:r>
      <w:r w:rsidR="007B4B8A">
        <w:t xml:space="preserve"> </w:t>
      </w:r>
      <w:r w:rsidR="00623961">
        <w:t xml:space="preserve">its interoperability and portability rules are </w:t>
      </w:r>
      <w:r w:rsidR="007B4B8A">
        <w:t>intended</w:t>
      </w:r>
      <w:r w:rsidR="00623961">
        <w:t xml:space="preserve">, among other things, to “allow VRS users to make and receive calls through any VRS provider, and to choose a different default provider, </w:t>
      </w:r>
      <w:r w:rsidR="00623961" w:rsidRPr="00623961">
        <w:rPr>
          <w:i/>
        </w:rPr>
        <w:t>without changing the VRS access technology they use to place calls</w:t>
      </w:r>
      <w:r w:rsidR="00623961">
        <w:t>.”</w:t>
      </w:r>
      <w:r w:rsidR="00623961">
        <w:rPr>
          <w:rStyle w:val="FootnoteReference"/>
        </w:rPr>
        <w:footnoteReference w:id="33"/>
      </w:r>
      <w:r w:rsidR="00623961">
        <w:t xml:space="preserve">  </w:t>
      </w:r>
      <w:r w:rsidR="00F14E84">
        <w:t xml:space="preserve">To the extent that </w:t>
      </w:r>
      <w:r w:rsidR="008F0DDE">
        <w:t>user equipment and software is unusable or less usable</w:t>
      </w:r>
      <w:r w:rsidR="00DE25FF" w:rsidRPr="00DE25FF">
        <w:t xml:space="preserve"> </w:t>
      </w:r>
      <w:r w:rsidR="00DE25FF">
        <w:t>if the user switches to a new default provider</w:t>
      </w:r>
      <w:r w:rsidR="00F14E84">
        <w:t xml:space="preserve"> </w:t>
      </w:r>
      <w:r w:rsidR="00B07647">
        <w:t xml:space="preserve">– </w:t>
      </w:r>
      <w:r w:rsidR="008F0DDE">
        <w:t xml:space="preserve">e.g., by </w:t>
      </w:r>
      <w:r w:rsidR="003120C0">
        <w:t>hinder</w:t>
      </w:r>
      <w:r w:rsidR="008F0DDE">
        <w:t>ing</w:t>
      </w:r>
      <w:r w:rsidR="00B07647">
        <w:t xml:space="preserve"> the user’s ability to make and receive calls with functional equivalence</w:t>
      </w:r>
      <w:r w:rsidR="005A7FEF">
        <w:t xml:space="preserve"> or </w:t>
      </w:r>
      <w:r w:rsidR="003120C0">
        <w:t>by losing access</w:t>
      </w:r>
      <w:r w:rsidR="005A7FEF">
        <w:t xml:space="preserve"> </w:t>
      </w:r>
      <w:r w:rsidR="003120C0">
        <w:t>to contact list</w:t>
      </w:r>
      <w:r w:rsidR="005A7FEF">
        <w:t xml:space="preserve"> information</w:t>
      </w:r>
      <w:r w:rsidR="00B07647">
        <w:t xml:space="preserve"> –</w:t>
      </w:r>
      <w:r w:rsidR="00DE25FF">
        <w:t xml:space="preserve"> </w:t>
      </w:r>
      <w:r w:rsidR="00F14E84">
        <w:t xml:space="preserve">the intent of the interoperability and portability rule is frustrated. </w:t>
      </w:r>
      <w:r w:rsidR="007B4B8A">
        <w:t xml:space="preserve"> </w:t>
      </w:r>
      <w:r w:rsidR="0036196C">
        <w:t xml:space="preserve">This concern can potentially be addressed </w:t>
      </w:r>
      <w:r w:rsidR="00E96606">
        <w:t xml:space="preserve">by </w:t>
      </w:r>
      <w:r w:rsidR="0036196C">
        <w:t xml:space="preserve">either third party or provider-delivered user software that provides a convenient and usable interface to other providers after number porting.  </w:t>
      </w:r>
      <w:r w:rsidR="00B07647">
        <w:t>The RUE Profile addresses this problem by specifying a basic interface that is usable</w:t>
      </w:r>
      <w:r w:rsidR="00773D88">
        <w:t xml:space="preserve"> with any provider,</w:t>
      </w:r>
      <w:r w:rsidR="00B07647">
        <w:t xml:space="preserve"> </w:t>
      </w:r>
      <w:r w:rsidR="00773D88">
        <w:t xml:space="preserve">so that </w:t>
      </w:r>
      <w:r w:rsidR="00B40E5B">
        <w:t xml:space="preserve">a user can freely access any provider and switch to a different default provider, without </w:t>
      </w:r>
      <w:r w:rsidR="00773D88">
        <w:t>the</w:t>
      </w:r>
      <w:r w:rsidR="00773D88" w:rsidRPr="003F36C2">
        <w:t xml:space="preserve"> </w:t>
      </w:r>
      <w:r w:rsidR="00B40E5B">
        <w:t>need to change equipment or software and without experiencing any inconvenience or disruption of communications functions</w:t>
      </w:r>
      <w:r w:rsidR="00495036">
        <w:t xml:space="preserve">.  In this respect, </w:t>
      </w:r>
      <w:r w:rsidR="00070F4A">
        <w:t xml:space="preserve">implementation of </w:t>
      </w:r>
      <w:r w:rsidR="00495036">
        <w:t xml:space="preserve">the RUE Profile </w:t>
      </w:r>
      <w:r w:rsidR="00070F4A">
        <w:t xml:space="preserve">appears to </w:t>
      </w:r>
      <w:r w:rsidR="00773D88">
        <w:t>advance the goal of</w:t>
      </w:r>
      <w:r w:rsidR="00495036">
        <w:t xml:space="preserve"> full functional equivalence</w:t>
      </w:r>
      <w:r w:rsidR="00070F4A">
        <w:t>,</w:t>
      </w:r>
      <w:r w:rsidR="00495036">
        <w:t xml:space="preserve"> </w:t>
      </w:r>
      <w:r w:rsidR="00070F4A">
        <w:t xml:space="preserve">potentially allowing VRS consumers </w:t>
      </w:r>
      <w:r w:rsidR="00495036">
        <w:t xml:space="preserve">the same degree of equipment portability that wireline </w:t>
      </w:r>
      <w:r w:rsidR="00692740" w:rsidRPr="003F36C2">
        <w:t xml:space="preserve">voice communications users have enjoyed for </w:t>
      </w:r>
      <w:r w:rsidR="00495036">
        <w:t>decades</w:t>
      </w:r>
      <w:r w:rsidR="00692740" w:rsidRPr="003F36C2">
        <w:t>.</w:t>
      </w:r>
    </w:p>
    <w:p w:rsidR="00CD6482" w:rsidRPr="008F0DDE" w:rsidRDefault="003A6280" w:rsidP="00876D6C">
      <w:pPr>
        <w:pStyle w:val="ParaNum"/>
        <w:rPr>
          <w:bCs/>
          <w:iCs/>
        </w:rPr>
      </w:pPr>
      <w:r w:rsidRPr="003A6280">
        <w:t xml:space="preserve">The </w:t>
      </w:r>
      <w:r>
        <w:t>providers, however, state that their</w:t>
      </w:r>
      <w:r w:rsidRPr="003A6280">
        <w:t xml:space="preserve"> understanding was that the RUE Profile would govern the interface between a provider’s network and user equipment employing ACE software but would not govern the interface between a provider’s network and provider-distributed user equipment and software.</w:t>
      </w:r>
      <w:r w:rsidRPr="003A6280">
        <w:rPr>
          <w:vertAlign w:val="superscript"/>
        </w:rPr>
        <w:footnoteReference w:id="34"/>
      </w:r>
      <w:r w:rsidRPr="003A6280">
        <w:t xml:space="preserve">  </w:t>
      </w:r>
      <w:r w:rsidR="00BC3CA2">
        <w:t>W</w:t>
      </w:r>
      <w:r w:rsidR="00B07647">
        <w:t>e recognize the concerns raised by the providers that immediate application of the RUE Profile as a whole to all user equipment and software may not be feasible without resulting in significant disruption of existing user arrangements.</w:t>
      </w:r>
      <w:r>
        <w:rPr>
          <w:rStyle w:val="FootnoteReference"/>
        </w:rPr>
        <w:footnoteReference w:id="35"/>
      </w:r>
      <w:r w:rsidR="00B07647">
        <w:t xml:space="preserve">  Accordingly, we defer to the accompanying FNPRM the question of to what extent, and on what timetable, the RUE Profile should be </w:t>
      </w:r>
      <w:r w:rsidR="008F0DDE">
        <w:t xml:space="preserve">more </w:t>
      </w:r>
      <w:r w:rsidR="00B07647">
        <w:t>broadly applied to existing and prospective access technology offered by providers.</w:t>
      </w:r>
      <w:r w:rsidR="00B65B88">
        <w:t xml:space="preserve">  </w:t>
      </w:r>
    </w:p>
    <w:p w:rsidR="00312812" w:rsidRPr="007C1133" w:rsidRDefault="00A548AE" w:rsidP="00876D6C">
      <w:pPr>
        <w:pStyle w:val="ParaNum"/>
        <w:rPr>
          <w:bCs/>
          <w:iCs/>
        </w:rPr>
      </w:pPr>
      <w:r>
        <w:t>Notwithstanding our deferral of the broader issue,</w:t>
      </w:r>
      <w:r w:rsidR="00CD1A31" w:rsidRPr="00CD1A31">
        <w:t xml:space="preserve"> </w:t>
      </w:r>
      <w:r w:rsidR="00CD1A31">
        <w:t>the providers agree that the RUE Profile may be used to specify a technical standard for the interface between a provider and the ACE App.</w:t>
      </w:r>
      <w:r w:rsidR="00CD1A31">
        <w:rPr>
          <w:rStyle w:val="FootnoteReference"/>
        </w:rPr>
        <w:footnoteReference w:id="36"/>
      </w:r>
      <w:r w:rsidR="00CD1A31">
        <w:t xml:space="preserve">  </w:t>
      </w:r>
      <w:r w:rsidR="007C1133">
        <w:t xml:space="preserve">The Commission </w:t>
      </w:r>
      <w:r w:rsidR="00526165">
        <w:t>previously</w:t>
      </w:r>
      <w:r w:rsidR="007C1133">
        <w:t xml:space="preserve"> amended its rules to require VRS providers to “ensure that their VRS access technologies and their video communications service platforms are interoperable with the [ACE App].”</w:t>
      </w:r>
      <w:r w:rsidR="007C1133">
        <w:rPr>
          <w:rStyle w:val="FootnoteReference"/>
        </w:rPr>
        <w:footnoteReference w:id="37"/>
      </w:r>
      <w:r w:rsidR="007C1133">
        <w:t xml:space="preserve"> </w:t>
      </w:r>
      <w:r w:rsidR="00526165">
        <w:t xml:space="preserve"> </w:t>
      </w:r>
      <w:r w:rsidR="00255B2E">
        <w:t xml:space="preserve">To ensure that </w:t>
      </w:r>
      <w:r w:rsidR="007C1133">
        <w:t xml:space="preserve">the ACE App interoperability </w:t>
      </w:r>
      <w:r w:rsidR="00255B2E">
        <w:t xml:space="preserve">requirement is enforceable, </w:t>
      </w:r>
      <w:r w:rsidR="0054590B">
        <w:t>we adopt a rule that incorporates the RUE Profile by reference into the existing rule requiring</w:t>
      </w:r>
      <w:r w:rsidR="00255B2E">
        <w:t xml:space="preserve"> interoperability between provider services and the </w:t>
      </w:r>
      <w:r w:rsidR="0054590B">
        <w:t>ACE App</w:t>
      </w:r>
      <w:r w:rsidR="00255B2E">
        <w:t xml:space="preserve">. </w:t>
      </w:r>
      <w:r w:rsidR="00381E39">
        <w:t xml:space="preserve"> </w:t>
      </w:r>
      <w:r w:rsidR="00F870D5">
        <w:t>As we expect that the A</w:t>
      </w:r>
      <w:r w:rsidR="00CA2D41">
        <w:t>CE</w:t>
      </w:r>
      <w:r w:rsidR="00F870D5">
        <w:t xml:space="preserve"> App will be released in the near future in a version suitable for interoperability testing, we conclude that it is reasonable to allow one year for VRS providers to complete software development, testing, and deployment to ensure that their networks are interoperable with the ACE App</w:t>
      </w:r>
      <w:r w:rsidR="006F6C1F">
        <w:t>.</w:t>
      </w:r>
      <w:r w:rsidR="00F870D5">
        <w:t xml:space="preserve">  Therefore, we set a compliance date for this purpose at one year after </w:t>
      </w:r>
      <w:r w:rsidR="00F870D5" w:rsidRPr="00F870D5">
        <w:rPr>
          <w:i/>
        </w:rPr>
        <w:t>Federal Register</w:t>
      </w:r>
      <w:r w:rsidR="00F870D5">
        <w:t xml:space="preserve"> publication of this Report and Order.</w:t>
      </w:r>
      <w:r w:rsidR="00F870D5">
        <w:rPr>
          <w:rStyle w:val="FootnoteReference"/>
        </w:rPr>
        <w:footnoteReference w:id="38"/>
      </w:r>
    </w:p>
    <w:p w:rsidR="00EE0032" w:rsidRPr="00B04469" w:rsidRDefault="00EE0032" w:rsidP="00EE0032">
      <w:pPr>
        <w:pStyle w:val="Heading3"/>
      </w:pPr>
      <w:r>
        <w:t>Contact Lists and Speed Dial Lists</w:t>
      </w:r>
    </w:p>
    <w:p w:rsidR="00EE0032" w:rsidRDefault="00EE0032" w:rsidP="00876D6C">
      <w:pPr>
        <w:pStyle w:val="ParaNum"/>
      </w:pPr>
      <w:r>
        <w:t xml:space="preserve">In the </w:t>
      </w:r>
      <w:r w:rsidRPr="00EC5CAF">
        <w:rPr>
          <w:i/>
        </w:rPr>
        <w:t>VRS Reform Order</w:t>
      </w:r>
      <w:r>
        <w:t xml:space="preserve">, the Commission made clear that a key element of VRS interoperability and portability is the use of </w:t>
      </w:r>
      <w:r w:rsidRPr="000D6150">
        <w:t>a standard data interchange format for exporting and importing user personal contacts lists (</w:t>
      </w:r>
      <w:r w:rsidRPr="000D6150">
        <w:rPr>
          <w:i/>
        </w:rPr>
        <w:t>i.e.</w:t>
      </w:r>
      <w:r w:rsidRPr="000D6150">
        <w:t>, address books) and user speed dial lists</w:t>
      </w:r>
      <w:r>
        <w:t>.</w:t>
      </w:r>
      <w:r>
        <w:rPr>
          <w:rStyle w:val="FootnoteReference"/>
        </w:rPr>
        <w:footnoteReference w:id="39"/>
      </w:r>
      <w:r w:rsidRPr="000D6150">
        <w:t xml:space="preserve"> </w:t>
      </w:r>
      <w:r>
        <w:t xml:space="preserve"> The Commission therefore mandated that standards for the transfer of users’ contact and speed dial lists be broadly applicable to all VRS access technologies.</w:t>
      </w:r>
      <w:r>
        <w:rPr>
          <w:rStyle w:val="FootnoteReference"/>
        </w:rPr>
        <w:footnoteReference w:id="40"/>
      </w:r>
      <w:r>
        <w:t xml:space="preserve">  Further, in the event that </w:t>
      </w:r>
      <w:r w:rsidRPr="000D6150">
        <w:t xml:space="preserve">standards developed </w:t>
      </w:r>
      <w:r>
        <w:t xml:space="preserve">through voluntary consensus did not require support of a standardized format, the Commission </w:t>
      </w:r>
      <w:r w:rsidR="00C86466">
        <w:t xml:space="preserve">authorized and </w:t>
      </w:r>
      <w:r>
        <w:t xml:space="preserve">directed CGB </w:t>
      </w:r>
      <w:r w:rsidRPr="000D6150">
        <w:t>to conduct an accelerated rulemaking to adopt such standards.</w:t>
      </w:r>
      <w:r>
        <w:rPr>
          <w:rStyle w:val="FootnoteReference"/>
        </w:rPr>
        <w:footnoteReference w:id="41"/>
      </w:r>
      <w:r>
        <w:t xml:space="preserve">  As noted above</w:t>
      </w:r>
      <w:r w:rsidRPr="00B04469">
        <w:t>, the RUE Profile specifies</w:t>
      </w:r>
      <w:r>
        <w:t xml:space="preserve"> such</w:t>
      </w:r>
      <w:r w:rsidRPr="00B04469">
        <w:t xml:space="preserve"> a standard data interchange format</w:t>
      </w:r>
      <w:r w:rsidR="008D298B">
        <w:t>, RFC 6351</w:t>
      </w:r>
      <w:r w:rsidRPr="00B04469">
        <w:t>.</w:t>
      </w:r>
      <w:r>
        <w:rPr>
          <w:rStyle w:val="FootnoteReference"/>
        </w:rPr>
        <w:footnoteReference w:id="42"/>
      </w:r>
      <w:r w:rsidRPr="00B04469">
        <w:t xml:space="preserve">  </w:t>
      </w:r>
    </w:p>
    <w:p w:rsidR="00EE0032" w:rsidRPr="00C86466" w:rsidRDefault="00EE0032" w:rsidP="00876D6C">
      <w:pPr>
        <w:pStyle w:val="ParaNum"/>
      </w:pPr>
      <w:r>
        <w:t xml:space="preserve">In light of this clear mandate, we will not defer the adoption of a generally applicable requirement </w:t>
      </w:r>
      <w:r w:rsidR="00865FE3">
        <w:t xml:space="preserve">that VRS providers </w:t>
      </w:r>
      <w:r>
        <w:t xml:space="preserve">make </w:t>
      </w:r>
      <w:r w:rsidR="00865FE3">
        <w:t xml:space="preserve">users’ </w:t>
      </w:r>
      <w:r>
        <w:t>contact lists available to users in the xCard format referenced in the RUE Profile.  Further, all VRS providers agree that they can and will adhere to that format.</w:t>
      </w:r>
      <w:r>
        <w:rPr>
          <w:rStyle w:val="FootnoteReference"/>
        </w:rPr>
        <w:footnoteReference w:id="43"/>
      </w:r>
      <w:r>
        <w:t xml:space="preserve">  Accordingly, we amend the rules to incorporate into the existing interoperability and portability rules the xCard specification referenced in the RUE Profile.  Compliance with this rule amendment will be required </w:t>
      </w:r>
      <w:r w:rsidR="00CC35A2">
        <w:t xml:space="preserve">180 </w:t>
      </w:r>
      <w:r>
        <w:t xml:space="preserve">days after publication of this Report and Order in the </w:t>
      </w:r>
      <w:r w:rsidRPr="00241B3D">
        <w:rPr>
          <w:i/>
        </w:rPr>
        <w:t>Federal Register</w:t>
      </w:r>
      <w:r>
        <w:t>.</w:t>
      </w:r>
      <w:r>
        <w:rPr>
          <w:rStyle w:val="FootnoteReference"/>
        </w:rPr>
        <w:footnoteReference w:id="44"/>
      </w:r>
    </w:p>
    <w:p w:rsidR="00B65B88" w:rsidRPr="00660349" w:rsidRDefault="00D00CE0" w:rsidP="00DB4066">
      <w:pPr>
        <w:pStyle w:val="Heading2"/>
      </w:pPr>
      <w:r>
        <w:t>Updating the Standards</w:t>
      </w:r>
    </w:p>
    <w:p w:rsidR="00526165" w:rsidRDefault="007F76F5" w:rsidP="00876D6C">
      <w:pPr>
        <w:pStyle w:val="ParaNum"/>
      </w:pPr>
      <w:r>
        <w:t xml:space="preserve">In the </w:t>
      </w:r>
      <w:r w:rsidRPr="007F76F5">
        <w:rPr>
          <w:i/>
        </w:rPr>
        <w:t>FNPRM</w:t>
      </w:r>
      <w:r>
        <w:t>, we</w:t>
      </w:r>
      <w:r w:rsidR="00D17068">
        <w:t xml:space="preserve"> propose</w:t>
      </w:r>
      <w:r>
        <w:t>d</w:t>
      </w:r>
      <w:r w:rsidR="00D17068">
        <w:t xml:space="preserve"> to follow</w:t>
      </w:r>
      <w:r>
        <w:t xml:space="preserve"> </w:t>
      </w:r>
      <w:r w:rsidR="00D17068">
        <w:t xml:space="preserve">a procedure </w:t>
      </w:r>
      <w:r>
        <w:t>for incorporating</w:t>
      </w:r>
      <w:r w:rsidR="00D17068">
        <w:t xml:space="preserve"> amendments or changes to the </w:t>
      </w:r>
      <w:r>
        <w:t>Provider Interoperability Profile and the RUE Profile</w:t>
      </w:r>
      <w:r w:rsidR="00D17068">
        <w:t xml:space="preserve"> into our rules in a timely and efficient manner.  </w:t>
      </w:r>
      <w:r>
        <w:t>Under this procedure</w:t>
      </w:r>
      <w:r w:rsidR="00D17068">
        <w:t xml:space="preserve">, </w:t>
      </w:r>
      <w:r>
        <w:t>CGB</w:t>
      </w:r>
      <w:r w:rsidR="00D17068">
        <w:t xml:space="preserve"> will </w:t>
      </w:r>
      <w:r>
        <w:t xml:space="preserve">make the updated standard available to the public online and </w:t>
      </w:r>
      <w:r w:rsidR="00D17068">
        <w:t xml:space="preserve">issue a public notice seeking comment on such modifications, followed by an order incorporating into the VRS rules amendments or changes by reference if justified based on the resulting record.  When such revised standards are completed and accepted by the Bureau, a second public notice will be issued containing information on how to access the modified standards and establishing an implementation schedule.  </w:t>
      </w:r>
      <w:r w:rsidR="00C71F00">
        <w:t>The Consumer Groups, the only parties commenting on this proposal, support the issuance of a public notice seeking comment on modifications of the standards.</w:t>
      </w:r>
      <w:r w:rsidR="00C71F00">
        <w:rPr>
          <w:rStyle w:val="FootnoteReference"/>
        </w:rPr>
        <w:footnoteReference w:id="45"/>
      </w:r>
      <w:r w:rsidR="00C71F00">
        <w:t xml:space="preserve">  We conclude that the proposed procedure will enable incorporation of amendments or changes to the standards in a timely manner, </w:t>
      </w:r>
      <w:r w:rsidR="00B13520">
        <w:t xml:space="preserve">and </w:t>
      </w:r>
      <w:r w:rsidR="00C71F00">
        <w:t>we adopt the procedure as proposed.</w:t>
      </w:r>
    </w:p>
    <w:p w:rsidR="000E7254" w:rsidRDefault="000E7254" w:rsidP="00DB4066">
      <w:pPr>
        <w:pStyle w:val="Heading2"/>
      </w:pPr>
      <w:r>
        <w:t>Incorporation by Reference</w:t>
      </w:r>
    </w:p>
    <w:p w:rsidR="00380CAE" w:rsidRPr="003C7055" w:rsidRDefault="00380CAE" w:rsidP="00876D6C">
      <w:pPr>
        <w:pStyle w:val="ParaNum"/>
      </w:pPr>
      <w:r w:rsidRPr="003C7055">
        <w:t xml:space="preserve">The Office of Federal Register (OFR) recently revised its regulations to require that agencies must discuss in the preamble of a rule </w:t>
      </w:r>
      <w:r>
        <w:t xml:space="preserve">the </w:t>
      </w:r>
      <w:r w:rsidRPr="003C7055">
        <w:t xml:space="preserve">ways that the materials </w:t>
      </w:r>
      <w:r>
        <w:t>incorporated</w:t>
      </w:r>
      <w:r w:rsidRPr="003C7055">
        <w:t xml:space="preserve"> by reference are reasonably available to interested parties or how it worked to make those materials reasonably available to interested parties.  In addition, the preamble of the proposed rule must summarize the material.</w:t>
      </w:r>
      <w:r w:rsidRPr="003C7055">
        <w:rPr>
          <w:sz w:val="20"/>
          <w:vertAlign w:val="superscript"/>
        </w:rPr>
        <w:footnoteReference w:id="46"/>
      </w:r>
      <w:r w:rsidRPr="003C7055">
        <w:t xml:space="preserve">  In accordance with OFR's requirements, the discussion in the following two paragraphs summarize and indicate the availability of the VRS </w:t>
      </w:r>
      <w:r w:rsidRPr="003C7055">
        <w:rPr>
          <w:bCs/>
          <w:iCs/>
        </w:rPr>
        <w:t>Provider Interoperability Profile</w:t>
      </w:r>
      <w:r w:rsidRPr="003C7055">
        <w:t xml:space="preserve"> and the RUE Profile.</w:t>
      </w:r>
    </w:p>
    <w:p w:rsidR="00380CAE" w:rsidRPr="003C7055" w:rsidRDefault="00380CAE" w:rsidP="00876D6C">
      <w:pPr>
        <w:pStyle w:val="ParaNum"/>
      </w:pPr>
      <w:r w:rsidRPr="003C7055">
        <w:t xml:space="preserve"> The US Video Relay Service (VRS)</w:t>
      </w:r>
      <w:r w:rsidRPr="003C7055">
        <w:rPr>
          <w:b/>
        </w:rPr>
        <w:t xml:space="preserve"> </w:t>
      </w:r>
      <w:r w:rsidRPr="003C7055">
        <w:t>Provider Interoperability Profile, Version 15, SIP Forum Document Number: VRS US Providers Profile TWG-6-</w:t>
      </w:r>
      <w:r w:rsidR="00275D90">
        <w:t>1</w:t>
      </w:r>
      <w:r w:rsidRPr="003C7055">
        <w:t xml:space="preserve"> (</w:t>
      </w:r>
      <w:r w:rsidR="00275D90">
        <w:t>Oct</w:t>
      </w:r>
      <w:r w:rsidRPr="003C7055">
        <w:t xml:space="preserve">. </w:t>
      </w:r>
      <w:r w:rsidR="00275D90">
        <w:t>14</w:t>
      </w:r>
      <w:r w:rsidRPr="003C7055">
        <w:t xml:space="preserve">, 2015) (VRS Provider Interoperability Profile), is available from </w:t>
      </w:r>
      <w:r w:rsidR="008D298B">
        <w:t>the Federal Communications Commission</w:t>
      </w:r>
      <w:r w:rsidR="00C75907">
        <w:t xml:space="preserve">, </w:t>
      </w:r>
      <w:r w:rsidR="00C75907" w:rsidRPr="00C75907">
        <w:rPr>
          <w:snapToGrid/>
        </w:rPr>
        <w:t>445 12th Street, SW, Washington, DC 20554</w:t>
      </w:r>
      <w:r w:rsidR="00C75907">
        <w:t>,</w:t>
      </w:r>
      <w:r w:rsidRPr="003C7055">
        <w:t xml:space="preserve"> at </w:t>
      </w:r>
      <w:hyperlink r:id="rId8" w:history="1">
        <w:r w:rsidR="00E464F6" w:rsidRPr="009B463D">
          <w:rPr>
            <w:rStyle w:val="Hyperlink"/>
          </w:rPr>
          <w:t>https://www.fcc.gov/files/sip-forum-vrs-us-providers-profile-twg-6-1</w:t>
        </w:r>
      </w:hyperlink>
      <w:r w:rsidRPr="003C7055">
        <w:t>.</w:t>
      </w:r>
      <w:r w:rsidR="00E464F6">
        <w:t xml:space="preserve"> </w:t>
      </w:r>
      <w:r w:rsidRPr="003C7055">
        <w:t xml:space="preserve"> The Provider Interoperability Profile provides technical specifications for the interface between VRS providers and the interface between a VRS provider and the TRS Numbering Directory.</w:t>
      </w:r>
    </w:p>
    <w:p w:rsidR="00B04469" w:rsidRDefault="00380CAE" w:rsidP="00876D6C">
      <w:pPr>
        <w:pStyle w:val="ParaNum"/>
      </w:pPr>
      <w:r w:rsidRPr="003C7055">
        <w:t xml:space="preserve">The Interoperability Profile for Relay User Equipment, draft-vrs-rue-dispatch-00 (July 20, 2016) (RUE Profile), is available from IETF Secretariat, 5177 Brandin Court, Fremont, CA 94538, 510-492-4080, at </w:t>
      </w:r>
      <w:hyperlink r:id="rId9" w:history="1">
        <w:r w:rsidR="00447C66" w:rsidRPr="00447C66">
          <w:rPr>
            <w:rStyle w:val="Hyperlink"/>
          </w:rPr>
          <w:t>https://datatracker.ietf.org/doc/draft-vrs-rue-dispatch/</w:t>
        </w:r>
      </w:hyperlink>
      <w:r w:rsidRPr="003C7055">
        <w:rPr>
          <w:bCs/>
          <w:iCs/>
        </w:rPr>
        <w:t xml:space="preserve">. </w:t>
      </w:r>
      <w:r w:rsidRPr="003C7055">
        <w:t xml:space="preserve"> The RUE Profile provides technical specifications that define a standard interface between a relay user’s equipment and the services offered by relay service providers.</w:t>
      </w:r>
    </w:p>
    <w:p w:rsidR="008D298B" w:rsidRPr="004A52E9" w:rsidRDefault="008D298B" w:rsidP="00876D6C">
      <w:pPr>
        <w:pStyle w:val="ParaNum"/>
      </w:pPr>
      <w:r w:rsidRPr="008D298B">
        <w:t xml:space="preserve">Internet Engineering Task Force (IETF) Request for Comments (RFC) 6351, </w:t>
      </w:r>
      <w:r w:rsidRPr="008D298B">
        <w:rPr>
          <w:bCs/>
        </w:rPr>
        <w:t>xCard: vCard XML Representation</w:t>
      </w:r>
      <w:r w:rsidRPr="008D298B">
        <w:t xml:space="preserve"> (August 2011) (xCard XML Format), </w:t>
      </w:r>
      <w:r>
        <w:t xml:space="preserve">is available from </w:t>
      </w:r>
      <w:r w:rsidRPr="003C7055">
        <w:t>IETF Secretariat, 5177 Brandin Court, Fremont, CA 94538, 510-492-4080, at</w:t>
      </w:r>
      <w:r>
        <w:t xml:space="preserve"> </w:t>
      </w:r>
      <w:hyperlink r:id="rId10" w:history="1">
        <w:r w:rsidRPr="00E36D91">
          <w:rPr>
            <w:color w:val="0563C1"/>
            <w:u w:val="single"/>
          </w:rPr>
          <w:t>https://tools.ietf.org/html/rfc6351</w:t>
        </w:r>
      </w:hyperlink>
      <w:r w:rsidRPr="00C75907">
        <w:t>.</w:t>
      </w:r>
      <w:r w:rsidR="00C75907" w:rsidRPr="00C75907">
        <w:t xml:space="preserve">  The</w:t>
      </w:r>
      <w:r w:rsidR="00C75907">
        <w:rPr>
          <w:u w:val="single"/>
        </w:rPr>
        <w:t xml:space="preserve"> </w:t>
      </w:r>
      <w:r w:rsidR="00C75907" w:rsidRPr="008D298B">
        <w:t>xCard XML Format</w:t>
      </w:r>
      <w:r w:rsidR="00C75907" w:rsidRPr="000D6150">
        <w:t xml:space="preserve"> </w:t>
      </w:r>
      <w:r w:rsidR="00C75907">
        <w:t xml:space="preserve">specifies </w:t>
      </w:r>
      <w:r w:rsidR="00C75907" w:rsidRPr="000D6150">
        <w:t>a standard data interchange format for exporting and importing user personal contacts lists (</w:t>
      </w:r>
      <w:r w:rsidR="00C75907" w:rsidRPr="000D6150">
        <w:rPr>
          <w:i/>
        </w:rPr>
        <w:t>i.e.</w:t>
      </w:r>
      <w:r w:rsidR="00C75907" w:rsidRPr="000D6150">
        <w:t>, address books) and user speed dial lists</w:t>
      </w:r>
      <w:r w:rsidR="00C75907">
        <w:t>.</w:t>
      </w:r>
    </w:p>
    <w:p w:rsidR="00735335" w:rsidRDefault="005E704B" w:rsidP="005E704B">
      <w:pPr>
        <w:pStyle w:val="Heading1"/>
      </w:pPr>
      <w:r>
        <w:t>FURTHER NOTICE OF RULEMAKING</w:t>
      </w:r>
    </w:p>
    <w:p w:rsidR="0000603E" w:rsidRPr="0000603E" w:rsidRDefault="0000603E" w:rsidP="00876D6C">
      <w:pPr>
        <w:pStyle w:val="ParaNum"/>
      </w:pPr>
      <w:r w:rsidRPr="0000603E">
        <w:t xml:space="preserve">As </w:t>
      </w:r>
      <w:r w:rsidR="00CF6316">
        <w:t>discussed above, the Commission’s TRS</w:t>
      </w:r>
      <w:r w:rsidRPr="0000603E">
        <w:t xml:space="preserve"> interoperability and portability rules are intended, among other things, to “allow VRS users to make and receive calls through any VRS provider, and to choose a different default provider, without changing the VRS access technology they use to place calls.”</w:t>
      </w:r>
      <w:r>
        <w:rPr>
          <w:rStyle w:val="FootnoteReference"/>
        </w:rPr>
        <w:footnoteReference w:id="47"/>
      </w:r>
      <w:r w:rsidRPr="0000603E">
        <w:t xml:space="preserve">  The RUE Profile addresses this problem by specifying a basic interface that </w:t>
      </w:r>
      <w:r w:rsidR="004052B8">
        <w:t xml:space="preserve">is intended to </w:t>
      </w:r>
      <w:r>
        <w:t>enable a user</w:t>
      </w:r>
      <w:r w:rsidRPr="0000603E">
        <w:t xml:space="preserve"> to </w:t>
      </w:r>
      <w:r>
        <w:t>use the same equipment and software with</w:t>
      </w:r>
      <w:r w:rsidRPr="0000603E">
        <w:t xml:space="preserve"> </w:t>
      </w:r>
      <w:r w:rsidR="004052B8">
        <w:t>any</w:t>
      </w:r>
      <w:r w:rsidRPr="0000603E">
        <w:t xml:space="preserve"> default provider without experiencing any inconvenience or disruption of basic communications functions.  </w:t>
      </w:r>
    </w:p>
    <w:p w:rsidR="004C6A78" w:rsidRDefault="00CF6316" w:rsidP="00876D6C">
      <w:pPr>
        <w:pStyle w:val="ParaNum"/>
      </w:pPr>
      <w:r w:rsidRPr="003F4687">
        <w:t>In</w:t>
      </w:r>
      <w:r>
        <w:t xml:space="preserve"> the accompanying Report and Order, we defer </w:t>
      </w:r>
      <w:r w:rsidR="00056A92">
        <w:t xml:space="preserve">the adoption of a rule applying </w:t>
      </w:r>
      <w:r>
        <w:t xml:space="preserve">the RUE Profile to provider-distributed </w:t>
      </w:r>
      <w:r w:rsidRPr="00B65B88">
        <w:t xml:space="preserve">VRS user </w:t>
      </w:r>
      <w:r w:rsidR="00056A92">
        <w:t>equipment and software</w:t>
      </w:r>
      <w:r>
        <w:t xml:space="preserve"> pending further consideration</w:t>
      </w:r>
      <w:r w:rsidR="00056A92">
        <w:t xml:space="preserve"> of the issues raised in comments</w:t>
      </w:r>
      <w:r>
        <w:t xml:space="preserve">.  </w:t>
      </w:r>
      <w:r w:rsidR="00056A92">
        <w:t>In this Further Notice o</w:t>
      </w:r>
      <w:r w:rsidR="004C6A78">
        <w:t>f</w:t>
      </w:r>
      <w:r w:rsidR="00056A92">
        <w:t xml:space="preserve"> Proposed Rulemaking, we seek additional comment on</w:t>
      </w:r>
      <w:r w:rsidR="00576256">
        <w:t xml:space="preserve"> </w:t>
      </w:r>
      <w:r w:rsidR="004C6A78">
        <w:t xml:space="preserve">the extent to which such a rule </w:t>
      </w:r>
      <w:r w:rsidR="00576256">
        <w:t xml:space="preserve">is necessary </w:t>
      </w:r>
      <w:r w:rsidR="004052B8">
        <w:t xml:space="preserve">and appropriate </w:t>
      </w:r>
      <w:r w:rsidR="004C6A78">
        <w:t>for</w:t>
      </w:r>
      <w:r w:rsidR="00576256">
        <w:t xml:space="preserve"> functionally equivalent communication.</w:t>
      </w:r>
      <w:r w:rsidR="005071EC">
        <w:t xml:space="preserve">  </w:t>
      </w:r>
    </w:p>
    <w:p w:rsidR="006E49E1" w:rsidRDefault="00576256" w:rsidP="00876D6C">
      <w:pPr>
        <w:pStyle w:val="ParaNum"/>
      </w:pPr>
      <w:r>
        <w:t xml:space="preserve">First, we seek </w:t>
      </w:r>
      <w:r w:rsidR="004C6A78">
        <w:t xml:space="preserve">additional </w:t>
      </w:r>
      <w:r>
        <w:t>comment on the user experience with provider-supplied user equipment and software.  To what extent can users</w:t>
      </w:r>
      <w:r w:rsidR="005071EC">
        <w:t xml:space="preserve"> </w:t>
      </w:r>
      <w:r>
        <w:t xml:space="preserve">currently use the features and functions of provider-supplied equipment and software when </w:t>
      </w:r>
      <w:r w:rsidR="005071EC" w:rsidRPr="00B65B88">
        <w:t>mak</w:t>
      </w:r>
      <w:r>
        <w:t>ing</w:t>
      </w:r>
      <w:r w:rsidR="005071EC" w:rsidRPr="00B65B88">
        <w:t xml:space="preserve"> and receiv</w:t>
      </w:r>
      <w:r>
        <w:t>ing</w:t>
      </w:r>
      <w:r w:rsidR="005071EC" w:rsidRPr="00B65B88">
        <w:t xml:space="preserve"> calls through </w:t>
      </w:r>
      <w:r w:rsidR="005071EC">
        <w:t>other provider</w:t>
      </w:r>
      <w:r>
        <w:t>s, or</w:t>
      </w:r>
      <w:r w:rsidR="00495036">
        <w:t xml:space="preserve"> </w:t>
      </w:r>
      <w:r>
        <w:t>after switching</w:t>
      </w:r>
      <w:r w:rsidR="003F6CCA">
        <w:t xml:space="preserve"> to another</w:t>
      </w:r>
      <w:r w:rsidR="003F6CCA" w:rsidRPr="00B65B88">
        <w:t xml:space="preserve"> default provider</w:t>
      </w:r>
      <w:r w:rsidR="003F6CCA">
        <w:t xml:space="preserve">?  To the extent that user equipment and software </w:t>
      </w:r>
      <w:r>
        <w:t xml:space="preserve">supplied by one provider </w:t>
      </w:r>
      <w:r w:rsidR="003F6CCA">
        <w:t>perform</w:t>
      </w:r>
      <w:r>
        <w:t>s</w:t>
      </w:r>
      <w:r w:rsidR="003F6CCA">
        <w:t xml:space="preserve"> less effectively</w:t>
      </w:r>
      <w:r>
        <w:t xml:space="preserve"> with other providers</w:t>
      </w:r>
      <w:r w:rsidR="003F6CCA">
        <w:t xml:space="preserve">, which functions are </w:t>
      </w:r>
      <w:r>
        <w:t xml:space="preserve">most </w:t>
      </w:r>
      <w:r w:rsidR="003F6CCA">
        <w:t>problematic</w:t>
      </w:r>
      <w:r w:rsidR="00495036">
        <w:t xml:space="preserve">?  </w:t>
      </w:r>
      <w:r w:rsidR="004052B8">
        <w:t>Do</w:t>
      </w:r>
      <w:r w:rsidR="005071EC">
        <w:t xml:space="preserve"> the answer</w:t>
      </w:r>
      <w:r>
        <w:t>s</w:t>
      </w:r>
      <w:r w:rsidR="005071EC">
        <w:t xml:space="preserve"> to these questions vary </w:t>
      </w:r>
      <w:r w:rsidR="007C1133">
        <w:t>depending on the specific user equipment and software used by a consumer</w:t>
      </w:r>
      <w:r w:rsidR="004052B8">
        <w:t>, and if so, how</w:t>
      </w:r>
      <w:r w:rsidR="007C1133">
        <w:t xml:space="preserve">? </w:t>
      </w:r>
      <w:r w:rsidR="003120C0">
        <w:t xml:space="preserve"> </w:t>
      </w:r>
      <w:r w:rsidR="00D746AF">
        <w:t>How feasible</w:t>
      </w:r>
      <w:r w:rsidR="005B4487">
        <w:t xml:space="preserve"> is it</w:t>
      </w:r>
      <w:r w:rsidR="00D746AF">
        <w:t xml:space="preserve"> currently</w:t>
      </w:r>
      <w:r w:rsidR="005B4487">
        <w:t xml:space="preserve"> for third parties</w:t>
      </w:r>
      <w:r w:rsidR="00D746AF">
        <w:t>, including open source and academic institutions,</w:t>
      </w:r>
      <w:r w:rsidR="005B4487">
        <w:t xml:space="preserve"> to innovate in providing new relay user equipment or to provide relay user equipment tailored to specific user groups or application scenarios, such as customer service or government call centers or public safety answering points (PSAPs)?</w:t>
      </w:r>
    </w:p>
    <w:p w:rsidR="00FE73A5" w:rsidRDefault="007B3073" w:rsidP="00876D6C">
      <w:pPr>
        <w:pStyle w:val="ParaNum"/>
      </w:pPr>
      <w:r>
        <w:t xml:space="preserve">Second, we seek comment on the appropriate scope of </w:t>
      </w:r>
      <w:r w:rsidR="004052B8">
        <w:t xml:space="preserve">application of </w:t>
      </w:r>
      <w:r>
        <w:t xml:space="preserve">the RUE Profile.  </w:t>
      </w:r>
      <w:r w:rsidR="004052B8">
        <w:t xml:space="preserve">There are a number of possible approaches.  </w:t>
      </w:r>
      <w:r w:rsidR="006B4F28">
        <w:t xml:space="preserve">One </w:t>
      </w:r>
      <w:r w:rsidR="004052B8">
        <w:t xml:space="preserve">possible </w:t>
      </w:r>
      <w:r w:rsidR="006B4F28">
        <w:t xml:space="preserve">approach </w:t>
      </w:r>
      <w:r w:rsidR="004052B8">
        <w:t>c</w:t>
      </w:r>
      <w:r w:rsidR="006B4F28">
        <w:t>ould be to require RUE compliance for all</w:t>
      </w:r>
      <w:r>
        <w:t xml:space="preserve"> user equipment and software, </w:t>
      </w:r>
      <w:r w:rsidR="006B4F28">
        <w:t xml:space="preserve">including equipment and software provided prior to the designated compliance deadline.  As an alternative, </w:t>
      </w:r>
      <w:r w:rsidR="00C20BA0">
        <w:t xml:space="preserve">to avoid imposing retrofitting costs on VRS providers, </w:t>
      </w:r>
      <w:r w:rsidR="004052B8">
        <w:t xml:space="preserve">the Commission </w:t>
      </w:r>
      <w:r w:rsidR="006B4F28">
        <w:t>could require</w:t>
      </w:r>
      <w:r w:rsidR="006B4F28" w:rsidRPr="006B4F28">
        <w:t xml:space="preserve"> </w:t>
      </w:r>
      <w:r w:rsidR="006B4F28">
        <w:t>RUE compliance</w:t>
      </w:r>
      <w:r>
        <w:t xml:space="preserve"> only </w:t>
      </w:r>
      <w:r w:rsidR="006B4F28">
        <w:t>for</w:t>
      </w:r>
      <w:r>
        <w:t xml:space="preserve"> new user equipment and </w:t>
      </w:r>
      <w:r w:rsidR="00C20BA0">
        <w:t>for new versions of user software.  Under a third, more limited alternative</w:t>
      </w:r>
      <w:r>
        <w:t xml:space="preserve">, </w:t>
      </w:r>
      <w:r w:rsidR="004052B8">
        <w:t>the Commission c</w:t>
      </w:r>
      <w:r w:rsidR="00C20BA0">
        <w:t xml:space="preserve">ould require </w:t>
      </w:r>
      <w:r w:rsidR="006B4F28">
        <w:t xml:space="preserve">VRS providers </w:t>
      </w:r>
      <w:r w:rsidR="00C20BA0">
        <w:t xml:space="preserve">to </w:t>
      </w:r>
      <w:r w:rsidR="006B4F28">
        <w:t>make RUE-Profile-compliant user equipment</w:t>
      </w:r>
      <w:r w:rsidR="005B4487">
        <w:t xml:space="preserve"> or</w:t>
      </w:r>
      <w:r w:rsidR="006B4F28">
        <w:t xml:space="preserve"> software available to </w:t>
      </w:r>
      <w:r w:rsidR="00C20BA0">
        <w:t>those users affirmatively requesting such equipment</w:t>
      </w:r>
      <w:r w:rsidR="005B4487">
        <w:t xml:space="preserve"> or</w:t>
      </w:r>
      <w:r w:rsidR="00C20BA0">
        <w:t xml:space="preserve"> software,</w:t>
      </w:r>
      <w:r w:rsidR="006B4F28">
        <w:t xml:space="preserve"> </w:t>
      </w:r>
      <w:r w:rsidR="00C20BA0">
        <w:t>as well as</w:t>
      </w:r>
      <w:r w:rsidR="006B4F28">
        <w:t xml:space="preserve"> </w:t>
      </w:r>
      <w:r w:rsidR="00C20BA0">
        <w:t xml:space="preserve">to </w:t>
      </w:r>
      <w:r w:rsidR="006B4F28">
        <w:t>provide information on their websites indicating how to obtain such user equipment and software</w:t>
      </w:r>
      <w:r w:rsidR="00C20BA0">
        <w:t>.</w:t>
      </w:r>
      <w:r w:rsidR="006B4F28">
        <w:t xml:space="preserve">  </w:t>
      </w:r>
      <w:r w:rsidR="005B4487">
        <w:t>Which operating system platforms should be supported under this alternative?</w:t>
      </w:r>
      <w:r w:rsidR="00C20BA0">
        <w:t xml:space="preserve"> </w:t>
      </w:r>
      <w:r w:rsidR="004052B8">
        <w:t xml:space="preserve"> Under a fourth alternative, the Commission could make no further changes to its VRS interoperability and portability requirements.  </w:t>
      </w:r>
      <w:r w:rsidR="00C20BA0">
        <w:t>We seek comments on the relative costs and benefits of these alternatives.</w:t>
      </w:r>
      <w:r w:rsidR="00D1155F" w:rsidRPr="00D1155F">
        <w:t xml:space="preserve"> </w:t>
      </w:r>
      <w:r w:rsidR="00D1155F">
        <w:t xml:space="preserve"> In this regard, we invite commenters to submit additional specific cost information quantifying the costs of the three alternatives outlined above</w:t>
      </w:r>
      <w:r w:rsidR="00D1155F" w:rsidRPr="00B65B88">
        <w:t xml:space="preserve">. </w:t>
      </w:r>
      <w:r w:rsidR="00D96D0C">
        <w:t xml:space="preserve"> W</w:t>
      </w:r>
      <w:r w:rsidR="00D1155F">
        <w:t xml:space="preserve">e </w:t>
      </w:r>
      <w:r w:rsidR="00D96D0C">
        <w:t xml:space="preserve">also </w:t>
      </w:r>
      <w:r w:rsidR="00D1155F">
        <w:t xml:space="preserve">seek comment on </w:t>
      </w:r>
      <w:r w:rsidR="006E49E1">
        <w:t>the providers’ claim that</w:t>
      </w:r>
      <w:r w:rsidR="00B65B88" w:rsidRPr="00B65B88">
        <w:t xml:space="preserve"> “forcing provider endpoints to adhere to the RUE Profile would require that providers </w:t>
      </w:r>
      <w:r w:rsidR="00B65B88" w:rsidRPr="004C6A78">
        <w:rPr>
          <w:i/>
        </w:rPr>
        <w:t>remove</w:t>
      </w:r>
      <w:r w:rsidR="00B65B88" w:rsidRPr="00B65B88">
        <w:t xml:space="preserve"> any innovative or useful features of their endpoints that are not specified in the RUE Profile and subject their networks to lower security than they employ today.”</w:t>
      </w:r>
      <w:r w:rsidR="00B65B88" w:rsidRPr="00B65B88">
        <w:rPr>
          <w:vertAlign w:val="superscript"/>
        </w:rPr>
        <w:footnoteReference w:id="48"/>
      </w:r>
      <w:r w:rsidR="00B65B88" w:rsidRPr="00B65B88">
        <w:t xml:space="preserve">  </w:t>
      </w:r>
      <w:r w:rsidR="006E49E1">
        <w:t xml:space="preserve">What specific aspects of the RUE Profile would require removal of </w:t>
      </w:r>
      <w:r w:rsidR="004C6A78">
        <w:t xml:space="preserve">innovative or useful features, and what kinds of innovative or useful features would need to be removed?  </w:t>
      </w:r>
      <w:r w:rsidR="006E49E1">
        <w:t xml:space="preserve">What specific aspects of the RUE Profile would subject networks to lower security?  </w:t>
      </w:r>
    </w:p>
    <w:bookmarkEnd w:id="3"/>
    <w:p w:rsidR="003C7055" w:rsidRPr="003C7055" w:rsidRDefault="003C7055" w:rsidP="003F4687">
      <w:pPr>
        <w:keepNext/>
        <w:numPr>
          <w:ilvl w:val="0"/>
          <w:numId w:val="2"/>
        </w:numPr>
        <w:tabs>
          <w:tab w:val="left" w:pos="720"/>
        </w:tabs>
        <w:suppressAutoHyphens/>
        <w:spacing w:after="120"/>
        <w:outlineLvl w:val="0"/>
        <w:rPr>
          <w:rFonts w:ascii="Times New Roman Bold" w:hAnsi="Times New Roman Bold"/>
          <w:b/>
          <w:caps/>
        </w:rPr>
      </w:pPr>
      <w:r w:rsidRPr="003C7055">
        <w:rPr>
          <w:rFonts w:ascii="Times New Roman Bold" w:hAnsi="Times New Roman Bold"/>
          <w:b/>
          <w:caps/>
        </w:rPr>
        <w:t>PROCEDURAL ISSUES</w:t>
      </w:r>
    </w:p>
    <w:p w:rsidR="003C7055" w:rsidRPr="003C7055" w:rsidRDefault="003C7055" w:rsidP="003F4687">
      <w:pPr>
        <w:keepNext/>
        <w:numPr>
          <w:ilvl w:val="1"/>
          <w:numId w:val="2"/>
        </w:numPr>
        <w:spacing w:after="120"/>
        <w:outlineLvl w:val="1"/>
        <w:rPr>
          <w:b/>
        </w:rPr>
      </w:pPr>
      <w:r w:rsidRPr="003C7055">
        <w:rPr>
          <w:b/>
        </w:rPr>
        <w:t xml:space="preserve"> Paperwork Reduction Act Analysis</w:t>
      </w:r>
    </w:p>
    <w:p w:rsidR="003C7055" w:rsidRPr="003C7055" w:rsidRDefault="003C7055" w:rsidP="00876D6C">
      <w:pPr>
        <w:pStyle w:val="ParaNum"/>
      </w:pPr>
      <w:r w:rsidRPr="003C7055">
        <w:t>This document does not contain proposed information collection requirements subject to the Paperwork Reduction Act of 1995, Public Law 104-13. In addition, therefore, it does not contain any proposed information collection burden for small business concerns with fewer than 25 employees, pursuant to the Small Business Paperwork Relief Act of 2002</w:t>
      </w:r>
      <w:r w:rsidR="004D7061">
        <w:t>.</w:t>
      </w:r>
      <w:r w:rsidR="004D7061">
        <w:rPr>
          <w:rStyle w:val="FootnoteReference"/>
        </w:rPr>
        <w:footnoteReference w:id="49"/>
      </w:r>
    </w:p>
    <w:p w:rsidR="003C7055" w:rsidRPr="003C7055" w:rsidRDefault="003C7055" w:rsidP="003F4687">
      <w:pPr>
        <w:keepNext/>
        <w:numPr>
          <w:ilvl w:val="1"/>
          <w:numId w:val="2"/>
        </w:numPr>
        <w:spacing w:after="120"/>
        <w:outlineLvl w:val="1"/>
        <w:rPr>
          <w:b/>
        </w:rPr>
      </w:pPr>
      <w:bookmarkStart w:id="4" w:name="_Toc337549329"/>
      <w:bookmarkStart w:id="5" w:name="_Toc337549370"/>
      <w:bookmarkStart w:id="6" w:name="_Toc339461406"/>
      <w:bookmarkStart w:id="7" w:name="_Toc343086649"/>
      <w:bookmarkStart w:id="8" w:name="_Toc354561810"/>
      <w:bookmarkStart w:id="9" w:name="_Toc354567518"/>
      <w:bookmarkStart w:id="10" w:name="_Toc358122679"/>
      <w:bookmarkStart w:id="11" w:name="_Toc358124814"/>
      <w:bookmarkStart w:id="12" w:name="_Toc358125378"/>
      <w:bookmarkStart w:id="13" w:name="_Toc358128668"/>
      <w:bookmarkStart w:id="14" w:name="_Toc358130603"/>
      <w:bookmarkStart w:id="15" w:name="_Toc358130708"/>
      <w:bookmarkStart w:id="16" w:name="_Toc358131391"/>
      <w:r w:rsidRPr="003C7055">
        <w:rPr>
          <w:b/>
        </w:rPr>
        <w:t>Regulatory Flexibility Analysis</w:t>
      </w:r>
      <w:bookmarkEnd w:id="4"/>
      <w:bookmarkEnd w:id="5"/>
      <w:bookmarkEnd w:id="6"/>
      <w:bookmarkEnd w:id="7"/>
      <w:bookmarkEnd w:id="8"/>
      <w:bookmarkEnd w:id="9"/>
      <w:bookmarkEnd w:id="10"/>
      <w:bookmarkEnd w:id="11"/>
      <w:bookmarkEnd w:id="12"/>
      <w:bookmarkEnd w:id="13"/>
      <w:bookmarkEnd w:id="14"/>
      <w:bookmarkEnd w:id="15"/>
      <w:bookmarkEnd w:id="16"/>
    </w:p>
    <w:p w:rsidR="00625E88" w:rsidRDefault="00625E88" w:rsidP="00876D6C">
      <w:pPr>
        <w:pStyle w:val="ParaNum"/>
      </w:pPr>
      <w:r>
        <w:rPr>
          <w:i/>
        </w:rPr>
        <w:t xml:space="preserve">Final Regulatory Flexibility Analysis. </w:t>
      </w:r>
      <w:r>
        <w:t xml:space="preserve"> As required by the Regulatory Flexibility Act of 1980, as amended (RFA),</w:t>
      </w:r>
      <w:r>
        <w:rPr>
          <w:rStyle w:val="FootnoteReference"/>
        </w:rPr>
        <w:footnoteReference w:id="50"/>
      </w:r>
      <w:r>
        <w:t xml:space="preserve"> the Commission has prepared a Final Regulatory Flexibility Analysis (FRFA) relating to this Report and Order.  The FRFA is set forth in Appendix C.</w:t>
      </w:r>
    </w:p>
    <w:p w:rsidR="003C7055" w:rsidRPr="003C7055" w:rsidRDefault="00625E88" w:rsidP="00876D6C">
      <w:pPr>
        <w:pStyle w:val="ParaNum"/>
      </w:pPr>
      <w:r>
        <w:rPr>
          <w:i/>
        </w:rPr>
        <w:t>Initial Regulatory Flexibility Analysis.</w:t>
      </w:r>
      <w:r>
        <w:t xml:space="preserve">  </w:t>
      </w:r>
      <w:r w:rsidR="003C7055" w:rsidRPr="003C7055">
        <w:t xml:space="preserve">As required by the </w:t>
      </w:r>
      <w:r>
        <w:t>RFA</w:t>
      </w:r>
      <w:r w:rsidR="003C7055" w:rsidRPr="003C7055">
        <w:t>, the Commission has prepared an Initial Regulatory Flexibility Analysis (IRFA) of the possible significant economic impact on small entities of the policies and rules addressed in this document.</w:t>
      </w:r>
      <w:r w:rsidR="003C7055" w:rsidRPr="003C7055">
        <w:rPr>
          <w:sz w:val="20"/>
          <w:vertAlign w:val="superscript"/>
        </w:rPr>
        <w:footnoteReference w:id="51"/>
      </w:r>
      <w:r w:rsidR="003C7055" w:rsidRPr="003C7055">
        <w:t xml:space="preserve">  The IRFA is set forth in Appendix </w:t>
      </w:r>
      <w:r w:rsidR="004D7061">
        <w:t>D</w:t>
      </w:r>
      <w:r w:rsidR="003C7055" w:rsidRPr="003C7055">
        <w:t>.  Written public comments are requested on this IRFA.  Comments must be identified as responses to the IRFA and must be filed by the deadlines for comments on the Further Notice of Proposed Rulemaking provided on or before the dates indicated on the first page of this FNPRM.  The Commission will send a copy of the Further Notice, including this IRFA, to the Chief Counsel for Advocacy of the Small Business Administration.</w:t>
      </w:r>
      <w:r w:rsidR="003C7055" w:rsidRPr="003C7055">
        <w:rPr>
          <w:sz w:val="20"/>
          <w:vertAlign w:val="superscript"/>
        </w:rPr>
        <w:footnoteReference w:id="52"/>
      </w:r>
      <w:r w:rsidR="003C7055" w:rsidRPr="003C7055">
        <w:t xml:space="preserve">  In addition, the FNPRM and IRFA (or summaries thereof) will be published in the Federal Register.</w:t>
      </w:r>
      <w:r w:rsidR="003C7055" w:rsidRPr="003C7055">
        <w:rPr>
          <w:sz w:val="20"/>
          <w:vertAlign w:val="superscript"/>
        </w:rPr>
        <w:footnoteReference w:id="53"/>
      </w:r>
      <w:r w:rsidR="003C7055" w:rsidRPr="003C7055">
        <w:t xml:space="preserve">  </w:t>
      </w:r>
    </w:p>
    <w:p w:rsidR="003C7055" w:rsidRPr="003C7055" w:rsidRDefault="003C7055" w:rsidP="003F4687">
      <w:pPr>
        <w:keepNext/>
        <w:numPr>
          <w:ilvl w:val="1"/>
          <w:numId w:val="2"/>
        </w:numPr>
        <w:spacing w:after="120"/>
        <w:outlineLvl w:val="1"/>
        <w:rPr>
          <w:b/>
        </w:rPr>
      </w:pPr>
      <w:r w:rsidRPr="003C7055">
        <w:rPr>
          <w:b/>
        </w:rPr>
        <w:t>Comments</w:t>
      </w:r>
    </w:p>
    <w:p w:rsidR="003C7055" w:rsidRPr="003C7055" w:rsidRDefault="003C7055" w:rsidP="00876D6C">
      <w:pPr>
        <w:pStyle w:val="ParaNum"/>
      </w:pPr>
      <w:r w:rsidRPr="004162AB">
        <w:rPr>
          <w:i/>
          <w:iCs/>
        </w:rPr>
        <w:t>Comments.</w:t>
      </w:r>
      <w:r w:rsidRPr="003C7055">
        <w:t xml:space="preserve">  Pursuant to sections 1.415 and 1.419 of the Commission’s rules, 47 CFR §§ 1.415, 1.419, interested parties may file comments on or before the date</w:t>
      </w:r>
      <w:r w:rsidR="00D96D0C">
        <w:t>s</w:t>
      </w:r>
      <w:r w:rsidRPr="003C7055">
        <w:t xml:space="preserve"> indicated on the first page of this document.  Comments may be filed using the Commission’s Electronic Comment Filing System (ECFS).  </w:t>
      </w:r>
      <w:r w:rsidRPr="004162AB">
        <w:rPr>
          <w:i/>
          <w:iCs/>
        </w:rPr>
        <w:t>See Electronic Filing of Documents in Rulemaking Proceedings</w:t>
      </w:r>
      <w:r w:rsidRPr="003C7055">
        <w:t xml:space="preserve">, 63 FR 24121 (1998).    </w:t>
      </w:r>
    </w:p>
    <w:p w:rsidR="003C7055" w:rsidRPr="003C7055" w:rsidRDefault="003C7055" w:rsidP="003F4687">
      <w:pPr>
        <w:numPr>
          <w:ilvl w:val="0"/>
          <w:numId w:val="4"/>
        </w:numPr>
        <w:ind w:left="1080"/>
        <w:contextualSpacing/>
        <w:rPr>
          <w:snapToGrid/>
        </w:rPr>
      </w:pPr>
      <w:r w:rsidRPr="003C7055">
        <w:rPr>
          <w:snapToGrid/>
        </w:rPr>
        <w:t xml:space="preserve">Electronic Filers:  Comments may be filed electronically using the Internet by accessing the ECFS:  </w:t>
      </w:r>
      <w:hyperlink r:id="rId11" w:history="1">
        <w:r w:rsidR="0094205D" w:rsidRPr="009B463D">
          <w:rPr>
            <w:rStyle w:val="Hyperlink"/>
            <w:snapToGrid/>
          </w:rPr>
          <w:t>http://fjallfoss.fcc.gov/ecfs2/</w:t>
        </w:r>
      </w:hyperlink>
      <w:r w:rsidRPr="003C7055">
        <w:rPr>
          <w:snapToGrid/>
        </w:rPr>
        <w:t>.</w:t>
      </w:r>
      <w:r w:rsidR="0094205D">
        <w:rPr>
          <w:snapToGrid/>
        </w:rPr>
        <w:t xml:space="preserve"> </w:t>
      </w:r>
      <w:r w:rsidRPr="003C7055">
        <w:rPr>
          <w:snapToGrid/>
        </w:rPr>
        <w:t xml:space="preserve"> </w:t>
      </w:r>
    </w:p>
    <w:p w:rsidR="003C7055" w:rsidRPr="003C7055" w:rsidRDefault="003C7055" w:rsidP="003F4687">
      <w:pPr>
        <w:numPr>
          <w:ilvl w:val="0"/>
          <w:numId w:val="4"/>
        </w:numPr>
        <w:ind w:left="1080"/>
        <w:contextualSpacing/>
        <w:rPr>
          <w:snapToGrid/>
        </w:rPr>
      </w:pPr>
      <w:r w:rsidRPr="003C7055">
        <w:rPr>
          <w:snapToGrid/>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3C7055" w:rsidRPr="003C7055" w:rsidRDefault="003C7055" w:rsidP="003C7055">
      <w:pPr>
        <w:ind w:left="1080"/>
      </w:pPr>
      <w:r w:rsidRPr="003C7055">
        <w:t>Filings can be sent by hand or messenger delivery, by commercial overnight courier, or by first-class or overnight U.S. Postal Service mail.  All filings must be addressed to the Commission’s Secretary, Office of the Secretary, Federal Communications Commission.</w:t>
      </w:r>
    </w:p>
    <w:p w:rsidR="003C7055" w:rsidRPr="003C7055" w:rsidRDefault="003C7055" w:rsidP="003F4687">
      <w:pPr>
        <w:numPr>
          <w:ilvl w:val="0"/>
          <w:numId w:val="3"/>
        </w:numPr>
      </w:pPr>
      <w:r w:rsidRPr="003C7055">
        <w:t>All hand-delivered or messenger-delivered paper filings for the Commission’s Secretary must be delivered to FCC Headquarters at 445 12</w:t>
      </w:r>
      <w:r w:rsidRPr="003C7055">
        <w:rPr>
          <w:vertAlign w:val="superscript"/>
        </w:rPr>
        <w:t>th</w:t>
      </w:r>
      <w:r w:rsidRPr="003C7055">
        <w:t xml:space="preserve"> St., SW, Room TW-A325, Washington, DC 20554.  The filing hours are 8:00 a.m. to 7:00 p.m.  All hand deliveries must be held together with rubber bands or fasteners.  Any envelopes and boxes must be disposed of </w:t>
      </w:r>
      <w:r w:rsidRPr="003C7055">
        <w:rPr>
          <w:u w:val="single"/>
        </w:rPr>
        <w:t>before</w:t>
      </w:r>
      <w:r w:rsidRPr="003C7055">
        <w:t xml:space="preserve"> entering the building.  </w:t>
      </w:r>
    </w:p>
    <w:p w:rsidR="003C7055" w:rsidRPr="003C7055" w:rsidRDefault="003C7055" w:rsidP="003F4687">
      <w:pPr>
        <w:numPr>
          <w:ilvl w:val="0"/>
          <w:numId w:val="3"/>
        </w:numPr>
      </w:pPr>
      <w:r w:rsidRPr="003C7055">
        <w:t>Commercial overnight mail (other than U.S. Postal Service Express Mail and Priority Mail) must be sent to 9300 East Hampton Drive, Capitol Heights, MD  20743.</w:t>
      </w:r>
    </w:p>
    <w:p w:rsidR="003C7055" w:rsidRDefault="003C7055" w:rsidP="00244260">
      <w:pPr>
        <w:numPr>
          <w:ilvl w:val="0"/>
          <w:numId w:val="3"/>
        </w:numPr>
        <w:spacing w:after="120"/>
      </w:pPr>
      <w:r w:rsidRPr="003C7055">
        <w:t>U.S. Postal Service first-class, Express, and Priority mail must be addressed to 445 12</w:t>
      </w:r>
      <w:r w:rsidRPr="003C7055">
        <w:rPr>
          <w:vertAlign w:val="superscript"/>
        </w:rPr>
        <w:t>th</w:t>
      </w:r>
      <w:r w:rsidRPr="003C7055">
        <w:t xml:space="preserve"> Street, SW, Washington DC  20554.</w:t>
      </w:r>
    </w:p>
    <w:p w:rsidR="003C7055" w:rsidRPr="003C7055" w:rsidRDefault="003C7055" w:rsidP="00876D6C">
      <w:pPr>
        <w:pStyle w:val="ParaNum"/>
      </w:pPr>
      <w:r w:rsidRPr="003C7055">
        <w:rPr>
          <w:i/>
        </w:rPr>
        <w:t>People with Disabilities</w:t>
      </w:r>
      <w:r w:rsidRPr="003C7055">
        <w:t>:  To request materials in accessible formats for people with disabilities (Braille, large print, electronic files, audio format), send an e-mail to fcc504@fcc.gov or call the Consumer &amp; Governmental Affairs Bureau at 202-418-0530 (voice), 202-418-0432 (tty).</w:t>
      </w:r>
    </w:p>
    <w:p w:rsidR="003C7055" w:rsidRPr="003C7055" w:rsidRDefault="003C7055" w:rsidP="00876D6C">
      <w:pPr>
        <w:pStyle w:val="ParaNum"/>
      </w:pPr>
      <w:r w:rsidRPr="003C7055">
        <w:rPr>
          <w:i/>
          <w:iCs/>
        </w:rPr>
        <w:t>Ex Parte Rules.</w:t>
      </w:r>
      <w:r w:rsidRPr="003C7055">
        <w:t xml:space="preserve">  The proceeding this FNPRM initiates shall be treated as a “permit-but-disclose” proceeding in accordance with the Commission’s </w:t>
      </w:r>
      <w:r w:rsidRPr="003C7055">
        <w:rPr>
          <w:i/>
          <w:iCs/>
        </w:rPr>
        <w:t xml:space="preserve">ex parte </w:t>
      </w:r>
      <w:r w:rsidRPr="003C7055">
        <w:t>rules.</w:t>
      </w:r>
      <w:r w:rsidRPr="003C7055">
        <w:rPr>
          <w:sz w:val="20"/>
          <w:vertAlign w:val="superscript"/>
        </w:rPr>
        <w:footnoteReference w:id="54"/>
      </w:r>
      <w:r w:rsidRPr="003C7055">
        <w:t xml:space="preserve">  Persons making </w:t>
      </w:r>
      <w:r w:rsidRPr="003C7055">
        <w:rPr>
          <w:i/>
          <w:iCs/>
        </w:rPr>
        <w:t xml:space="preserve">ex parte </w:t>
      </w:r>
      <w:r w:rsidRPr="003C705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C7055">
        <w:rPr>
          <w:i/>
          <w:iCs/>
        </w:rPr>
        <w:t xml:space="preserve">ex parte </w:t>
      </w:r>
      <w:r w:rsidRPr="003C7055">
        <w:t xml:space="preserve">presentations are reminded that memoranda summarizing the presentation must (1) list all persons attending or otherwise participating in the meeting at which the </w:t>
      </w:r>
      <w:r w:rsidRPr="003C7055">
        <w:rPr>
          <w:i/>
          <w:iCs/>
        </w:rPr>
        <w:t xml:space="preserve">ex parte </w:t>
      </w:r>
      <w:r w:rsidRPr="003C705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C7055">
        <w:rPr>
          <w:i/>
          <w:iCs/>
        </w:rPr>
        <w:t xml:space="preserve">ex parte </w:t>
      </w:r>
      <w:r w:rsidRPr="003C7055">
        <w:t xml:space="preserve">meetings are deemed to be written </w:t>
      </w:r>
      <w:r w:rsidRPr="003C7055">
        <w:rPr>
          <w:i/>
          <w:iCs/>
        </w:rPr>
        <w:t>ex parte</w:t>
      </w:r>
      <w:r w:rsidRPr="003C7055">
        <w:t xml:space="preserve"> presentations and must be filed consistent with rule 1.1206(b).  In proceedings governed by rule 1.49(f) or for which the Commission has made available a method of electronic filing, written </w:t>
      </w:r>
      <w:r w:rsidRPr="003C7055">
        <w:rPr>
          <w:i/>
          <w:iCs/>
        </w:rPr>
        <w:t xml:space="preserve">ex parte </w:t>
      </w:r>
      <w:r w:rsidRPr="003C7055">
        <w:t xml:space="preserve">presentations and memoranda summarizing oral </w:t>
      </w:r>
      <w:r w:rsidRPr="003C7055">
        <w:rPr>
          <w:i/>
          <w:iCs/>
        </w:rPr>
        <w:t xml:space="preserve">ex parte </w:t>
      </w:r>
      <w:r w:rsidRPr="003C7055">
        <w:t>presentations, and all attachments thereto, must be filed through the electronic comment filing system available for that proceeding, and must be filed in their native format (</w:t>
      </w:r>
      <w:r w:rsidRPr="003C7055">
        <w:rPr>
          <w:i/>
          <w:iCs/>
        </w:rPr>
        <w:t>e.g.</w:t>
      </w:r>
      <w:r w:rsidRPr="003C7055">
        <w:t xml:space="preserve">, .doc, .xml, .ppt, searchable .pdf).  Participants in this proceeding should familiarize themselves with the Commission’s </w:t>
      </w:r>
      <w:r w:rsidRPr="003C7055">
        <w:rPr>
          <w:i/>
          <w:iCs/>
        </w:rPr>
        <w:t xml:space="preserve">ex parte </w:t>
      </w:r>
      <w:r w:rsidRPr="003C7055">
        <w:t>rules.</w:t>
      </w:r>
    </w:p>
    <w:p w:rsidR="003C7055" w:rsidRPr="003C7055" w:rsidRDefault="003C7055" w:rsidP="003F4687">
      <w:pPr>
        <w:keepNext/>
        <w:numPr>
          <w:ilvl w:val="0"/>
          <w:numId w:val="2"/>
        </w:numPr>
        <w:tabs>
          <w:tab w:val="left" w:pos="720"/>
        </w:tabs>
        <w:suppressAutoHyphens/>
        <w:spacing w:after="120"/>
        <w:outlineLvl w:val="0"/>
        <w:rPr>
          <w:rFonts w:ascii="Times New Roman Bold" w:hAnsi="Times New Roman Bold"/>
          <w:b/>
          <w:caps/>
        </w:rPr>
      </w:pPr>
      <w:bookmarkStart w:id="17" w:name="_Ref199744579"/>
      <w:r w:rsidRPr="003C7055">
        <w:rPr>
          <w:rFonts w:ascii="Times New Roman Bold" w:hAnsi="Times New Roman Bold"/>
          <w:b/>
          <w:caps/>
        </w:rPr>
        <w:t>ORDERING CLAUSES</w:t>
      </w:r>
    </w:p>
    <w:bookmarkEnd w:id="17"/>
    <w:p w:rsidR="00492D27" w:rsidRDefault="00492D27" w:rsidP="00876D6C">
      <w:pPr>
        <w:pStyle w:val="ParaNum"/>
      </w:pPr>
      <w:r w:rsidRPr="003C7055">
        <w:t xml:space="preserve">Accordingly, IT IS ORDERED that, pursuant to sections 1, 2, 4(i), 4(j), 225 and 303(r) of the Communications Act of 1934, as amended, 47 U.S.C. §§ 151, 152, 154(i), 154(j), 225, 303(r), </w:t>
      </w:r>
      <w:r>
        <w:t xml:space="preserve">and </w:t>
      </w:r>
      <w:r w:rsidRPr="004B5B3A">
        <w:rPr>
          <w:i/>
          <w:iCs/>
        </w:rPr>
        <w:t>Structure and Practices of the Video Relay Service Program</w:t>
      </w:r>
      <w:r>
        <w:rPr>
          <w:i/>
          <w:iCs/>
        </w:rPr>
        <w:t xml:space="preserve"> et al.</w:t>
      </w:r>
      <w:r w:rsidRPr="004B5B3A">
        <w:t>, Report and Order and Further Notice of Proposed Rulemaking, 28 FCC Rcd 8618</w:t>
      </w:r>
      <w:r>
        <w:t xml:space="preserve">, 8643, paras. 49-50 (2013), </w:t>
      </w:r>
      <w:r w:rsidRPr="003C7055">
        <w:t xml:space="preserve">this </w:t>
      </w:r>
      <w:r>
        <w:t>Report and Order</w:t>
      </w:r>
      <w:r w:rsidR="00D96D0C">
        <w:t xml:space="preserve"> and </w:t>
      </w:r>
      <w:r w:rsidRPr="003C7055">
        <w:t>Further Notice of Proposed Rulemaking IS ADOPTED</w:t>
      </w:r>
      <w:r>
        <w:t>, and the Commission’s rules are hereby AMENDED as set forth in Appendix B</w:t>
      </w:r>
      <w:r w:rsidRPr="003C7055">
        <w:t xml:space="preserve">. </w:t>
      </w:r>
    </w:p>
    <w:p w:rsidR="00492D27" w:rsidRPr="00BF58CF" w:rsidRDefault="00492D27" w:rsidP="00876D6C">
      <w:pPr>
        <w:pStyle w:val="ParaNum"/>
        <w:rPr>
          <w:rFonts w:eastAsiaTheme="minorHAnsi"/>
          <w:snapToGrid/>
        </w:rPr>
      </w:pPr>
      <w:r>
        <w:t>IT IS FURTHER ORDERED</w:t>
      </w:r>
      <w:r w:rsidRPr="00BF58CF">
        <w:rPr>
          <w:rFonts w:eastAsiaTheme="minorHAnsi"/>
          <w:snapToGrid/>
        </w:rPr>
        <w:t xml:space="preserve"> that this Report and Order SHALL BE EFFECTIVE 30</w:t>
      </w:r>
      <w:r>
        <w:rPr>
          <w:rFonts w:eastAsiaTheme="minorHAnsi"/>
          <w:snapToGrid/>
        </w:rPr>
        <w:t xml:space="preserve"> </w:t>
      </w:r>
      <w:r w:rsidRPr="00BF58CF">
        <w:rPr>
          <w:rFonts w:eastAsiaTheme="minorHAnsi"/>
          <w:snapToGrid/>
        </w:rPr>
        <w:t>days after publication of a summary in the Federal Register</w:t>
      </w:r>
      <w:r w:rsidR="00D66750">
        <w:rPr>
          <w:rFonts w:eastAsiaTheme="minorHAnsi"/>
          <w:snapToGrid/>
        </w:rPr>
        <w:t>.</w:t>
      </w:r>
    </w:p>
    <w:p w:rsidR="00D66750" w:rsidRDefault="00492D27" w:rsidP="00876D6C">
      <w:pPr>
        <w:pStyle w:val="ParaNum"/>
      </w:pPr>
      <w:r>
        <w:t>IT IS FURTHER ORDERED that the Commission SHALL SEND a copy of this Report and Order and Further Notice of Proposed Rulemaking in a report to be sent to Congress and the Government Accountability Office pursuant to the Congressional Review Act, 5 U.S.C. § 801(a)(1)(A).</w:t>
      </w:r>
    </w:p>
    <w:p w:rsidR="003C7055" w:rsidRPr="003C7055" w:rsidRDefault="00492D27" w:rsidP="00876D6C">
      <w:pPr>
        <w:pStyle w:val="ParaNum"/>
        <w:keepNext/>
      </w:pPr>
      <w:r>
        <w:t>IT IS FURTHER ORDERED that the Commission’s Consumer and Governmental Affairs Bureau, Reference Information Center, SHALL SEND a copy of this Report and Order and Notice of Proposed Rulemaking, including the Final Regulatory Flexibility Analysis and the Initial Regulatory Flexibility Analysis, to the Chief Counsel for Advocacy of the Small Business Administration.</w:t>
      </w:r>
    </w:p>
    <w:p w:rsidR="00876D6C" w:rsidRDefault="00876D6C" w:rsidP="00876D6C">
      <w:pPr>
        <w:keepNext/>
        <w:widowControl/>
      </w:pPr>
    </w:p>
    <w:p w:rsidR="003C7055" w:rsidRPr="003C7055" w:rsidRDefault="003C7055" w:rsidP="00876D6C">
      <w:pPr>
        <w:keepNext/>
        <w:widowControl/>
        <w:ind w:left="4320"/>
      </w:pPr>
      <w:r w:rsidRPr="003C7055">
        <w:t>FEDERAL COMMUNICATIONS COMMISSION</w:t>
      </w:r>
    </w:p>
    <w:p w:rsidR="003C7055" w:rsidRPr="003C7055" w:rsidRDefault="003C7055" w:rsidP="00876D6C">
      <w:pPr>
        <w:keepNext/>
        <w:widowControl/>
      </w:pPr>
    </w:p>
    <w:p w:rsidR="003C7055" w:rsidRPr="003C7055" w:rsidRDefault="003C7055" w:rsidP="00876D6C">
      <w:pPr>
        <w:keepNext/>
        <w:widowControl/>
      </w:pPr>
    </w:p>
    <w:p w:rsidR="003C7055" w:rsidRPr="003C7055" w:rsidRDefault="003C7055" w:rsidP="00876D6C">
      <w:pPr>
        <w:keepNext/>
        <w:widowControl/>
      </w:pPr>
    </w:p>
    <w:p w:rsidR="00876D6C" w:rsidRDefault="00876D6C" w:rsidP="00876D6C"/>
    <w:p w:rsidR="003C7055" w:rsidRPr="003C7055" w:rsidRDefault="003C7055" w:rsidP="003C7055">
      <w:pPr>
        <w:ind w:left="4320"/>
      </w:pPr>
      <w:r w:rsidRPr="003C7055">
        <w:t>Alison Kutler</w:t>
      </w:r>
      <w:r w:rsidRPr="003C7055">
        <w:br/>
        <w:t>Chief</w:t>
      </w:r>
    </w:p>
    <w:p w:rsidR="00306339" w:rsidRDefault="003C7055" w:rsidP="00BD7075">
      <w:pPr>
        <w:ind w:left="4320"/>
      </w:pPr>
      <w:r w:rsidRPr="003C7055">
        <w:t>Consumer and Governmental Affairs Bureau</w:t>
      </w:r>
    </w:p>
    <w:p w:rsidR="00876D6C" w:rsidRDefault="00876D6C" w:rsidP="00876D6C"/>
    <w:p w:rsidR="00876D6C" w:rsidRDefault="00876D6C" w:rsidP="00876D6C">
      <w:pPr>
        <w:sectPr w:rsidR="00876D6C" w:rsidSect="001A06FE">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pgMar w:top="1440" w:right="1440" w:bottom="720" w:left="1440" w:header="720" w:footer="720" w:gutter="0"/>
          <w:cols w:space="720"/>
          <w:noEndnote/>
          <w:titlePg/>
          <w:docGrid w:linePitch="299"/>
        </w:sectPr>
      </w:pPr>
    </w:p>
    <w:p w:rsidR="00306339" w:rsidRPr="00341843" w:rsidRDefault="00306339" w:rsidP="00306339">
      <w:pPr>
        <w:spacing w:after="120"/>
        <w:jc w:val="center"/>
        <w:rPr>
          <w:b/>
          <w:bCs/>
          <w:kern w:val="0"/>
        </w:rPr>
      </w:pPr>
      <w:r w:rsidRPr="00341843">
        <w:rPr>
          <w:b/>
          <w:bCs/>
          <w:kern w:val="0"/>
        </w:rPr>
        <w:t xml:space="preserve">APPENDIX </w:t>
      </w:r>
      <w:r>
        <w:rPr>
          <w:b/>
          <w:bCs/>
          <w:kern w:val="0"/>
        </w:rPr>
        <w:t>A</w:t>
      </w:r>
    </w:p>
    <w:p w:rsidR="00306339" w:rsidRDefault="00306339" w:rsidP="00306339">
      <w:pPr>
        <w:spacing w:after="120"/>
        <w:jc w:val="center"/>
        <w:rPr>
          <w:b/>
          <w:bCs/>
          <w:kern w:val="0"/>
        </w:rPr>
      </w:pPr>
      <w:r>
        <w:rPr>
          <w:b/>
          <w:bCs/>
          <w:kern w:val="0"/>
        </w:rPr>
        <w:t>List of Commenters</w:t>
      </w:r>
    </w:p>
    <w:p w:rsidR="00306339" w:rsidRDefault="00306339" w:rsidP="00306339"/>
    <w:p w:rsidR="00913697" w:rsidRDefault="00913697" w:rsidP="00306339">
      <w:r>
        <w:t>ASL Services Holdings, LLC, d/b/a GlobalVRS</w:t>
      </w:r>
    </w:p>
    <w:p w:rsidR="00913697" w:rsidRDefault="00913697" w:rsidP="00306339"/>
    <w:p w:rsidR="00913697" w:rsidRDefault="00913697" w:rsidP="00306339">
      <w:r>
        <w:t>Consumer groups, comprising</w:t>
      </w:r>
    </w:p>
    <w:p w:rsidR="00913697" w:rsidRDefault="00913697" w:rsidP="00913697">
      <w:pPr>
        <w:ind w:firstLine="720"/>
      </w:pPr>
      <w:r>
        <w:t>Telecommunications for the Deaf and Hard of Hearing, Inc.</w:t>
      </w:r>
    </w:p>
    <w:p w:rsidR="00913697" w:rsidRDefault="00913697" w:rsidP="00913697">
      <w:pPr>
        <w:ind w:firstLine="720"/>
      </w:pPr>
      <w:r>
        <w:t>National Association of the Deaf</w:t>
      </w:r>
    </w:p>
    <w:p w:rsidR="00913697" w:rsidRDefault="00913697" w:rsidP="00913697">
      <w:pPr>
        <w:ind w:firstLine="720"/>
      </w:pPr>
      <w:r>
        <w:t>Deaf and Hard of Hearing Consumer Advocacy Network</w:t>
      </w:r>
    </w:p>
    <w:p w:rsidR="00913697" w:rsidRDefault="00913697" w:rsidP="00913697">
      <w:pPr>
        <w:ind w:firstLine="720"/>
      </w:pPr>
      <w:r>
        <w:t>Association of Late-Deafened Adults, Inc.</w:t>
      </w:r>
    </w:p>
    <w:p w:rsidR="00913697" w:rsidRDefault="00913697" w:rsidP="00913697">
      <w:pPr>
        <w:ind w:firstLine="720"/>
      </w:pPr>
      <w:r>
        <w:t>Cerebral Palsy and Deaf Organization</w:t>
      </w:r>
    </w:p>
    <w:p w:rsidR="00913697" w:rsidRDefault="00913697" w:rsidP="00913697"/>
    <w:p w:rsidR="00913697" w:rsidRDefault="00913697" w:rsidP="00913697">
      <w:r>
        <w:t>CSDVRS, LLC d/b/a ZVRS</w:t>
      </w:r>
    </w:p>
    <w:p w:rsidR="00913697" w:rsidRDefault="00913697" w:rsidP="00913697"/>
    <w:p w:rsidR="00913697" w:rsidRDefault="00913697" w:rsidP="00913697">
      <w:r>
        <w:t>Rehabilitation Engineering Research Center on Technology for the Deaf and Hard of Hearing, and Omnitor</w:t>
      </w:r>
    </w:p>
    <w:p w:rsidR="00913697" w:rsidRDefault="00913697" w:rsidP="00913697"/>
    <w:p w:rsidR="00913697" w:rsidRDefault="00913697" w:rsidP="00913697">
      <w:r>
        <w:t xml:space="preserve">VRS providers filing jointly, comprising </w:t>
      </w:r>
    </w:p>
    <w:p w:rsidR="00913697" w:rsidRDefault="00913697" w:rsidP="00913697">
      <w:pPr>
        <w:ind w:firstLine="720"/>
      </w:pPr>
      <w:r>
        <w:t>Convo Communications, LLC</w:t>
      </w:r>
    </w:p>
    <w:p w:rsidR="00913697" w:rsidRDefault="00913697" w:rsidP="00913697">
      <w:pPr>
        <w:ind w:firstLine="720"/>
      </w:pPr>
      <w:r>
        <w:t>CSDVRS, LLC, d/b/a ZVRS</w:t>
      </w:r>
    </w:p>
    <w:p w:rsidR="00913697" w:rsidRDefault="00913697" w:rsidP="00913697">
      <w:pPr>
        <w:ind w:firstLine="720"/>
      </w:pPr>
      <w:r>
        <w:t>Purple Communications, Inc.</w:t>
      </w:r>
    </w:p>
    <w:p w:rsidR="00913697" w:rsidRDefault="00913697" w:rsidP="00913697">
      <w:pPr>
        <w:ind w:firstLine="720"/>
      </w:pPr>
      <w:r>
        <w:t xml:space="preserve">Sorenson Communications, Inc. </w:t>
      </w:r>
    </w:p>
    <w:p w:rsidR="00306339" w:rsidRPr="0029200A" w:rsidRDefault="00306339" w:rsidP="00306339">
      <w:pPr>
        <w:tabs>
          <w:tab w:val="center" w:pos="4680"/>
        </w:tabs>
        <w:sectPr w:rsidR="00306339" w:rsidRPr="0029200A" w:rsidSect="0089400B">
          <w:headerReference w:type="default" r:id="rId18"/>
          <w:footerReference w:type="default" r:id="rId19"/>
          <w:footnotePr>
            <w:numRestart w:val="eachSect"/>
          </w:footnotePr>
          <w:endnotePr>
            <w:numFmt w:val="decimal"/>
          </w:endnotePr>
          <w:pgSz w:w="12240" w:h="15840"/>
          <w:pgMar w:top="1440" w:right="1440" w:bottom="720" w:left="1440" w:header="720" w:footer="720" w:gutter="0"/>
          <w:cols w:space="720"/>
          <w:noEndnote/>
          <w:docGrid w:linePitch="299"/>
        </w:sectPr>
      </w:pPr>
    </w:p>
    <w:p w:rsidR="00306339" w:rsidRPr="00341843" w:rsidRDefault="00306339" w:rsidP="00306339">
      <w:pPr>
        <w:spacing w:after="120"/>
        <w:jc w:val="center"/>
        <w:rPr>
          <w:b/>
          <w:bCs/>
          <w:kern w:val="0"/>
        </w:rPr>
      </w:pPr>
      <w:r w:rsidRPr="00341843">
        <w:rPr>
          <w:b/>
          <w:bCs/>
          <w:kern w:val="0"/>
        </w:rPr>
        <w:t xml:space="preserve">APPENDIX </w:t>
      </w:r>
      <w:r>
        <w:rPr>
          <w:b/>
          <w:bCs/>
          <w:kern w:val="0"/>
        </w:rPr>
        <w:t>B</w:t>
      </w:r>
    </w:p>
    <w:p w:rsidR="00306339" w:rsidRDefault="00306339" w:rsidP="00876D6C">
      <w:pPr>
        <w:jc w:val="center"/>
        <w:rPr>
          <w:b/>
          <w:bCs/>
          <w:kern w:val="0"/>
        </w:rPr>
      </w:pPr>
      <w:r>
        <w:rPr>
          <w:b/>
          <w:bCs/>
          <w:kern w:val="0"/>
        </w:rPr>
        <w:t>Final Rules</w:t>
      </w:r>
    </w:p>
    <w:p w:rsidR="00876D6C" w:rsidRDefault="00876D6C" w:rsidP="00876D6C">
      <w:pPr>
        <w:jc w:val="center"/>
        <w:rPr>
          <w:b/>
          <w:bCs/>
          <w:kern w:val="0"/>
        </w:rPr>
      </w:pPr>
    </w:p>
    <w:p w:rsidR="00306339" w:rsidRPr="001F073C" w:rsidRDefault="00306339" w:rsidP="00244260">
      <w:pPr>
        <w:spacing w:after="120"/>
        <w:rPr>
          <w:snapToGrid/>
        </w:rPr>
      </w:pPr>
      <w:r w:rsidRPr="001F073C">
        <w:rPr>
          <w:snapToGrid/>
        </w:rPr>
        <w:t xml:space="preserve">For the reasons stated in the preamble, the Federal Communications Commission </w:t>
      </w:r>
      <w:r>
        <w:rPr>
          <w:snapToGrid/>
        </w:rPr>
        <w:t>amends</w:t>
      </w:r>
      <w:r w:rsidRPr="001F073C">
        <w:rPr>
          <w:snapToGrid/>
        </w:rPr>
        <w:t xml:space="preserve"> Title 47 of the Code of Federal Regulations as follows:</w:t>
      </w:r>
    </w:p>
    <w:p w:rsidR="00306339" w:rsidRPr="001F073C" w:rsidRDefault="00306339" w:rsidP="00244260">
      <w:pPr>
        <w:spacing w:after="120"/>
        <w:rPr>
          <w:b/>
          <w:bCs/>
          <w:snapToGrid/>
          <w:szCs w:val="22"/>
        </w:rPr>
      </w:pPr>
      <w:r w:rsidRPr="001F073C">
        <w:rPr>
          <w:b/>
          <w:bCs/>
          <w:snapToGrid/>
          <w:szCs w:val="22"/>
        </w:rPr>
        <w:t>Part 64 – MISCELLANEOUS RULES RELATING TO COMMON CARRIERS</w:t>
      </w:r>
    </w:p>
    <w:p w:rsidR="00306339" w:rsidRPr="001F073C" w:rsidRDefault="00306339" w:rsidP="00244260">
      <w:pPr>
        <w:spacing w:after="120"/>
        <w:rPr>
          <w:snapToGrid/>
        </w:rPr>
      </w:pPr>
      <w:r w:rsidRPr="001F073C">
        <w:rPr>
          <w:snapToGrid/>
        </w:rPr>
        <w:t>1.  The authority citation for part 64 continues to read as follows:</w:t>
      </w:r>
    </w:p>
    <w:p w:rsidR="00306339" w:rsidRDefault="00306339" w:rsidP="00244260">
      <w:pPr>
        <w:spacing w:after="120"/>
        <w:rPr>
          <w:snapToGrid/>
        </w:rPr>
      </w:pPr>
      <w:r w:rsidRPr="001F073C">
        <w:rPr>
          <w:b/>
          <w:snapToGrid/>
        </w:rPr>
        <w:t>Authority:</w:t>
      </w:r>
      <w:r w:rsidRPr="001F073C">
        <w:rPr>
          <w:snapToGrid/>
        </w:rPr>
        <w:t xml:space="preserve">  47 U.S.C. 154, 254(k); 403(b)(2)(B), (c), Pub. L. 104-104, 110 Stat. 56.  Interpret or apply 47 U.S.C. 201, 218, 222, 225, 226, 227, 228, 254(k), 616, 620, and the Middle Class Tax Relief and Job Creation Act of 2012, Pub. L. 112-96, unless otherwise noted. </w:t>
      </w:r>
    </w:p>
    <w:p w:rsidR="00306339" w:rsidRPr="001F073C" w:rsidRDefault="00306339" w:rsidP="00244260">
      <w:pPr>
        <w:spacing w:after="120"/>
        <w:rPr>
          <w:snapToGrid/>
        </w:rPr>
      </w:pPr>
      <w:r w:rsidRPr="001F073C">
        <w:rPr>
          <w:snapToGrid/>
        </w:rPr>
        <w:t xml:space="preserve">2.  Amend section 64.621 </w:t>
      </w:r>
      <w:r>
        <w:rPr>
          <w:snapToGrid/>
        </w:rPr>
        <w:t xml:space="preserve">by revising paragraphs (a)(3) and (b) </w:t>
      </w:r>
      <w:r w:rsidRPr="001F073C">
        <w:rPr>
          <w:snapToGrid/>
        </w:rPr>
        <w:t>to read as follows:</w:t>
      </w:r>
    </w:p>
    <w:p w:rsidR="00306339" w:rsidRPr="001F073C" w:rsidRDefault="00306339" w:rsidP="00244260">
      <w:pPr>
        <w:spacing w:after="120"/>
        <w:rPr>
          <w:b/>
          <w:bCs/>
          <w:snapToGrid/>
          <w:szCs w:val="22"/>
        </w:rPr>
      </w:pPr>
      <w:r w:rsidRPr="001F073C">
        <w:rPr>
          <w:b/>
          <w:bCs/>
          <w:snapToGrid/>
          <w:szCs w:val="22"/>
        </w:rPr>
        <w:t>§ 64.621 Interoperability and portability.</w:t>
      </w:r>
    </w:p>
    <w:p w:rsidR="00306339" w:rsidRDefault="00306339" w:rsidP="00244260">
      <w:pPr>
        <w:spacing w:after="120"/>
        <w:rPr>
          <w:snapToGrid/>
        </w:rPr>
      </w:pPr>
      <w:r w:rsidRPr="00734A1F">
        <w:t xml:space="preserve">(a) </w:t>
      </w:r>
      <w:r w:rsidRPr="00426485">
        <w:rPr>
          <w:i/>
        </w:rPr>
        <w:t>General obligations of VRS providers.</w:t>
      </w:r>
      <w:r w:rsidRPr="00734A1F">
        <w:rPr>
          <w:snapToGrid/>
        </w:rPr>
        <w:t xml:space="preserve"> </w:t>
      </w:r>
    </w:p>
    <w:p w:rsidR="00306339" w:rsidRDefault="00306339" w:rsidP="00244260">
      <w:pPr>
        <w:spacing w:after="120"/>
        <w:rPr>
          <w:snapToGrid/>
        </w:rPr>
      </w:pPr>
      <w:r>
        <w:rPr>
          <w:snapToGrid/>
        </w:rPr>
        <w:t>*</w:t>
      </w:r>
      <w:r w:rsidR="00426485">
        <w:rPr>
          <w:snapToGrid/>
        </w:rPr>
        <w:t xml:space="preserve"> </w:t>
      </w:r>
      <w:r>
        <w:rPr>
          <w:snapToGrid/>
        </w:rPr>
        <w:t>*</w:t>
      </w:r>
      <w:r w:rsidR="00426485">
        <w:rPr>
          <w:snapToGrid/>
        </w:rPr>
        <w:t xml:space="preserve"> </w:t>
      </w:r>
      <w:r>
        <w:rPr>
          <w:snapToGrid/>
        </w:rPr>
        <w:t>*</w:t>
      </w:r>
      <w:r w:rsidR="00426485">
        <w:rPr>
          <w:snapToGrid/>
        </w:rPr>
        <w:t xml:space="preserve"> </w:t>
      </w:r>
      <w:r>
        <w:rPr>
          <w:snapToGrid/>
        </w:rPr>
        <w:t>*</w:t>
      </w:r>
      <w:r w:rsidR="00426485">
        <w:rPr>
          <w:snapToGrid/>
        </w:rPr>
        <w:t xml:space="preserve"> *</w:t>
      </w:r>
    </w:p>
    <w:p w:rsidR="00306339" w:rsidRPr="00426485" w:rsidRDefault="00306339" w:rsidP="00244260">
      <w:pPr>
        <w:spacing w:after="120"/>
      </w:pPr>
      <w:bookmarkStart w:id="18" w:name="35350258"/>
      <w:bookmarkStart w:id="19" w:name="orphan-150"/>
      <w:bookmarkStart w:id="20" w:name="35350218"/>
      <w:bookmarkStart w:id="21" w:name="a585"/>
      <w:bookmarkStart w:id="22" w:name="cfr_47_64_621_a_"/>
      <w:bookmarkStart w:id="23" w:name="35350260"/>
      <w:bookmarkStart w:id="24" w:name="orphan-152"/>
      <w:bookmarkStart w:id="25" w:name="35350219"/>
      <w:bookmarkStart w:id="26" w:name="a586"/>
      <w:bookmarkStart w:id="27" w:name="cfr_47_64_621_a_1_"/>
      <w:bookmarkStart w:id="28" w:name="35350220"/>
      <w:bookmarkStart w:id="29" w:name="a587"/>
      <w:bookmarkStart w:id="30" w:name="cfr_47_64_621_a_2_"/>
      <w:bookmarkStart w:id="31" w:name="35350221"/>
      <w:bookmarkStart w:id="32" w:name="a588"/>
      <w:bookmarkStart w:id="33" w:name="cfr_47_64_621_a_3_"/>
      <w:bookmarkStart w:id="34" w:name="35350222"/>
      <w:bookmarkStart w:id="35" w:name="a589"/>
      <w:bookmarkStart w:id="36" w:name="cfr_47_64_621_a_4_"/>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426485">
        <w:rPr>
          <w:snapToGrid/>
        </w:rPr>
        <w:t xml:space="preserve">(3) </w:t>
      </w:r>
      <w:r w:rsidR="0050475E" w:rsidRPr="00426485">
        <w:rPr>
          <w:snapToGrid/>
        </w:rPr>
        <w:t>Beginning no later than one year after [DATE OF</w:t>
      </w:r>
      <w:r w:rsidR="00832F9C">
        <w:rPr>
          <w:snapToGrid/>
        </w:rPr>
        <w:t xml:space="preserve"> PUBLICATION IN THE</w:t>
      </w:r>
      <w:r w:rsidR="0050475E" w:rsidRPr="00426485">
        <w:rPr>
          <w:snapToGrid/>
        </w:rPr>
        <w:t xml:space="preserve"> FEDERAL REGISTER]</w:t>
      </w:r>
      <w:r w:rsidR="00D66750" w:rsidRPr="00426485">
        <w:rPr>
          <w:snapToGrid/>
        </w:rPr>
        <w:t xml:space="preserve">, </w:t>
      </w:r>
      <w:r w:rsidR="00D66750" w:rsidRPr="00426485">
        <w:t>a</w:t>
      </w:r>
      <w:r w:rsidRPr="00426485">
        <w:t xml:space="preserve">ll VRS providers must ensure that their VRS access technologies and their video communication service platforms are interoperable with the VRS Access Technology Reference Platform, including for point-to-point calls, in accordance with </w:t>
      </w:r>
      <w:r w:rsidRPr="00426485">
        <w:rPr>
          <w:snapToGrid/>
        </w:rPr>
        <w:t>the Interoperability Profile for Relay User Equipment (RUE Profile),</w:t>
      </w:r>
      <w:r w:rsidRPr="00426485">
        <w:rPr>
          <w:snapToGrid/>
          <w:kern w:val="0"/>
        </w:rPr>
        <w:t xml:space="preserve"> </w:t>
      </w:r>
      <w:r w:rsidRPr="00426485">
        <w:rPr>
          <w:snapToGrid/>
        </w:rPr>
        <w:t xml:space="preserve">(July 20, 2016), </w:t>
      </w:r>
      <w:hyperlink r:id="rId20" w:history="1">
        <w:r w:rsidR="00447C66" w:rsidRPr="00426485">
          <w:rPr>
            <w:rFonts w:eastAsia="Calibri"/>
            <w:snapToGrid/>
            <w:color w:val="0563C1"/>
            <w:kern w:val="0"/>
            <w:szCs w:val="22"/>
          </w:rPr>
          <w:t>https://datatracker.ietf.org/doc/draft-vrs-rue-dispatch/</w:t>
        </w:r>
      </w:hyperlink>
      <w:r w:rsidRPr="00426485">
        <w:rPr>
          <w:snapToGrid/>
        </w:rPr>
        <w:t>.</w:t>
      </w:r>
      <w:r w:rsidRPr="00426485">
        <w:t xml:space="preserve">  No VRS provider shall be compensated for minutes of use involving their VRS access technologies or video communication service platforms that are not interoperable with the VRS Access Technology Reference Platform. </w:t>
      </w:r>
    </w:p>
    <w:p w:rsidR="00306339" w:rsidRPr="00734A1F" w:rsidRDefault="00306339" w:rsidP="00244260">
      <w:pPr>
        <w:spacing w:after="120"/>
        <w:rPr>
          <w:snapToGrid/>
        </w:rPr>
      </w:pPr>
      <w:r>
        <w:t>****</w:t>
      </w:r>
    </w:p>
    <w:p w:rsidR="00306339" w:rsidRPr="00244260" w:rsidRDefault="00306339" w:rsidP="00244260">
      <w:pPr>
        <w:spacing w:after="120"/>
        <w:rPr>
          <w:snapToGrid/>
        </w:rPr>
      </w:pPr>
      <w:bookmarkStart w:id="37" w:name="36931352"/>
      <w:bookmarkStart w:id="38" w:name="a590"/>
      <w:bookmarkStart w:id="39" w:name="cfr_47_64_621_b_"/>
      <w:bookmarkEnd w:id="37"/>
      <w:bookmarkEnd w:id="38"/>
      <w:bookmarkEnd w:id="39"/>
      <w:r w:rsidRPr="00244260">
        <w:rPr>
          <w:snapToGrid/>
        </w:rPr>
        <w:t xml:space="preserve">(b) </w:t>
      </w:r>
      <w:r w:rsidRPr="00244260">
        <w:rPr>
          <w:i/>
          <w:snapToGrid/>
        </w:rPr>
        <w:t>Technical Standards for Interoperability and Portability.</w:t>
      </w:r>
      <w:r w:rsidRPr="00244260">
        <w:rPr>
          <w:snapToGrid/>
        </w:rPr>
        <w:t xml:space="preserve">  </w:t>
      </w:r>
    </w:p>
    <w:p w:rsidR="00306339" w:rsidRPr="00244260" w:rsidRDefault="00306339" w:rsidP="00244260">
      <w:pPr>
        <w:spacing w:after="120"/>
        <w:rPr>
          <w:rStyle w:val="Hyperlink"/>
          <w:bCs/>
          <w:iCs/>
          <w:snapToGrid/>
          <w:szCs w:val="22"/>
          <w:u w:val="none"/>
        </w:rPr>
      </w:pPr>
      <w:r w:rsidRPr="00244260">
        <w:rPr>
          <w:snapToGrid/>
        </w:rPr>
        <w:t xml:space="preserve">(1) </w:t>
      </w:r>
      <w:r w:rsidR="00A553A5" w:rsidRPr="00244260">
        <w:rPr>
          <w:rStyle w:val="Hyperlink"/>
          <w:bCs/>
          <w:iCs/>
          <w:snapToGrid/>
          <w:color w:val="auto"/>
          <w:szCs w:val="22"/>
          <w:u w:val="none"/>
        </w:rPr>
        <w:t xml:space="preserve">Beginning no later than </w:t>
      </w:r>
      <w:r w:rsidR="00A553A5">
        <w:rPr>
          <w:rStyle w:val="Hyperlink"/>
          <w:bCs/>
          <w:iCs/>
          <w:snapToGrid/>
          <w:color w:val="auto"/>
          <w:szCs w:val="22"/>
          <w:u w:val="none"/>
        </w:rPr>
        <w:t>one hundred twenty</w:t>
      </w:r>
      <w:r w:rsidR="00A553A5" w:rsidRPr="00244260">
        <w:rPr>
          <w:rStyle w:val="Hyperlink"/>
          <w:bCs/>
          <w:iCs/>
          <w:snapToGrid/>
          <w:color w:val="auto"/>
          <w:szCs w:val="22"/>
          <w:u w:val="none"/>
        </w:rPr>
        <w:t xml:space="preserve"> (</w:t>
      </w:r>
      <w:r w:rsidR="00A553A5">
        <w:rPr>
          <w:rStyle w:val="Hyperlink"/>
          <w:bCs/>
          <w:iCs/>
          <w:snapToGrid/>
          <w:color w:val="auto"/>
          <w:szCs w:val="22"/>
          <w:u w:val="none"/>
        </w:rPr>
        <w:t>12</w:t>
      </w:r>
      <w:r w:rsidR="00A553A5" w:rsidRPr="00244260">
        <w:rPr>
          <w:rStyle w:val="Hyperlink"/>
          <w:bCs/>
          <w:iCs/>
          <w:snapToGrid/>
          <w:color w:val="auto"/>
          <w:szCs w:val="22"/>
          <w:u w:val="none"/>
        </w:rPr>
        <w:t xml:space="preserve">0) days after </w:t>
      </w:r>
      <w:r w:rsidR="00A553A5" w:rsidRPr="00244260">
        <w:rPr>
          <w:snapToGrid/>
        </w:rPr>
        <w:t>[DATE OF</w:t>
      </w:r>
      <w:r w:rsidR="00A553A5">
        <w:rPr>
          <w:snapToGrid/>
        </w:rPr>
        <w:t xml:space="preserve"> PUBLICATION IN THE</w:t>
      </w:r>
      <w:r w:rsidR="00A553A5" w:rsidRPr="00244260">
        <w:rPr>
          <w:snapToGrid/>
        </w:rPr>
        <w:t xml:space="preserve"> FEDERAL REGISTER], </w:t>
      </w:r>
      <w:r w:rsidRPr="00244260">
        <w:rPr>
          <w:snapToGrid/>
        </w:rPr>
        <w:t xml:space="preserve">VRS providers shall ensure that their </w:t>
      </w:r>
      <w:r w:rsidRPr="00244260">
        <w:t>provision of VRS and video communications, including their</w:t>
      </w:r>
      <w:r w:rsidRPr="00244260">
        <w:rPr>
          <w:snapToGrid/>
        </w:rPr>
        <w:t xml:space="preserve"> access technology, meets the requirements of the US </w:t>
      </w:r>
      <w:r w:rsidRPr="00244260">
        <w:rPr>
          <w:bCs/>
          <w:snapToGrid/>
        </w:rPr>
        <w:t>Video Relay Service (VRS)</w:t>
      </w:r>
      <w:r w:rsidRPr="00244260">
        <w:rPr>
          <w:b/>
          <w:bCs/>
          <w:snapToGrid/>
        </w:rPr>
        <w:t xml:space="preserve"> </w:t>
      </w:r>
      <w:r w:rsidRPr="00244260">
        <w:rPr>
          <w:bCs/>
          <w:iCs/>
          <w:snapToGrid/>
        </w:rPr>
        <w:t xml:space="preserve">Provider Interoperability Profile, SIP Forum Document Number: VRS US Providers Profile TWG-6-1. (Oct. 14, 2015) (VRS Provider Interoperability Profile), </w:t>
      </w:r>
      <w:hyperlink r:id="rId21" w:history="1">
        <w:r w:rsidR="0089400B" w:rsidRPr="00244260">
          <w:rPr>
            <w:rStyle w:val="Hyperlink"/>
            <w:u w:val="none"/>
          </w:rPr>
          <w:t>https://www.fcc.gov/files/sip-forum-vrs-us-providers-profile-twg-6-1</w:t>
        </w:r>
      </w:hyperlink>
      <w:r w:rsidRPr="00426485">
        <w:rPr>
          <w:rStyle w:val="Hyperlink"/>
          <w:bCs/>
          <w:iCs/>
          <w:snapToGrid/>
          <w:szCs w:val="22"/>
          <w:u w:val="none"/>
        </w:rPr>
        <w:t>.</w:t>
      </w:r>
      <w:r w:rsidR="0089400B" w:rsidRPr="00426485">
        <w:rPr>
          <w:rStyle w:val="Hyperlink"/>
          <w:bCs/>
          <w:iCs/>
          <w:snapToGrid/>
          <w:szCs w:val="22"/>
          <w:u w:val="none"/>
        </w:rPr>
        <w:t xml:space="preserve"> </w:t>
      </w:r>
    </w:p>
    <w:p w:rsidR="00306339" w:rsidRPr="00426485" w:rsidRDefault="00306339" w:rsidP="00244260">
      <w:pPr>
        <w:spacing w:after="120"/>
      </w:pPr>
      <w:r w:rsidRPr="00244260">
        <w:rPr>
          <w:rStyle w:val="Hyperlink"/>
          <w:bCs/>
          <w:iCs/>
          <w:snapToGrid/>
          <w:color w:val="auto"/>
          <w:szCs w:val="22"/>
          <w:u w:val="none"/>
        </w:rPr>
        <w:t xml:space="preserve">(2) </w:t>
      </w:r>
      <w:r w:rsidR="0050475E" w:rsidRPr="00244260">
        <w:rPr>
          <w:rStyle w:val="Hyperlink"/>
          <w:bCs/>
          <w:iCs/>
          <w:snapToGrid/>
          <w:color w:val="auto"/>
          <w:szCs w:val="22"/>
          <w:u w:val="none"/>
        </w:rPr>
        <w:t xml:space="preserve">Beginning no later than </w:t>
      </w:r>
      <w:r w:rsidR="00832F9C">
        <w:rPr>
          <w:rStyle w:val="Hyperlink"/>
          <w:bCs/>
          <w:iCs/>
          <w:snapToGrid/>
          <w:color w:val="auto"/>
          <w:szCs w:val="22"/>
          <w:u w:val="none"/>
        </w:rPr>
        <w:t xml:space="preserve">one hundred </w:t>
      </w:r>
      <w:r w:rsidR="00A553A5">
        <w:rPr>
          <w:rStyle w:val="Hyperlink"/>
          <w:bCs/>
          <w:iCs/>
          <w:snapToGrid/>
          <w:color w:val="auto"/>
          <w:szCs w:val="22"/>
          <w:u w:val="none"/>
        </w:rPr>
        <w:t>eighty</w:t>
      </w:r>
      <w:r w:rsidR="0050475E" w:rsidRPr="00244260">
        <w:rPr>
          <w:rStyle w:val="Hyperlink"/>
          <w:bCs/>
          <w:iCs/>
          <w:snapToGrid/>
          <w:color w:val="auto"/>
          <w:szCs w:val="22"/>
          <w:u w:val="none"/>
        </w:rPr>
        <w:t xml:space="preserve"> (</w:t>
      </w:r>
      <w:r w:rsidR="00832F9C">
        <w:rPr>
          <w:rStyle w:val="Hyperlink"/>
          <w:bCs/>
          <w:iCs/>
          <w:snapToGrid/>
          <w:color w:val="auto"/>
          <w:szCs w:val="22"/>
          <w:u w:val="none"/>
        </w:rPr>
        <w:t>1</w:t>
      </w:r>
      <w:r w:rsidR="00A553A5">
        <w:rPr>
          <w:rStyle w:val="Hyperlink"/>
          <w:bCs/>
          <w:iCs/>
          <w:snapToGrid/>
          <w:color w:val="auto"/>
          <w:szCs w:val="22"/>
          <w:u w:val="none"/>
        </w:rPr>
        <w:t>8</w:t>
      </w:r>
      <w:r w:rsidR="0050475E" w:rsidRPr="00244260">
        <w:rPr>
          <w:rStyle w:val="Hyperlink"/>
          <w:bCs/>
          <w:iCs/>
          <w:snapToGrid/>
          <w:color w:val="auto"/>
          <w:szCs w:val="22"/>
          <w:u w:val="none"/>
        </w:rPr>
        <w:t xml:space="preserve">0) days after </w:t>
      </w:r>
      <w:r w:rsidR="0050475E" w:rsidRPr="00244260">
        <w:rPr>
          <w:snapToGrid/>
        </w:rPr>
        <w:t>[DATE OF</w:t>
      </w:r>
      <w:r w:rsidR="00832F9C">
        <w:rPr>
          <w:snapToGrid/>
        </w:rPr>
        <w:t xml:space="preserve"> PUBLICATION IN THE</w:t>
      </w:r>
      <w:r w:rsidR="0050475E" w:rsidRPr="00244260">
        <w:rPr>
          <w:snapToGrid/>
        </w:rPr>
        <w:t xml:space="preserve"> FEDERAL REGISTER], </w:t>
      </w:r>
      <w:r w:rsidRPr="00244260">
        <w:t xml:space="preserve">VRS providers shall provide a standard xCard export interface to enable users to import their lists of contacts in xCard XML format, in accordance with Internet Engineering Task Force (IETF) Request for Comments (RFC) 6351, </w:t>
      </w:r>
      <w:r w:rsidRPr="00244260">
        <w:rPr>
          <w:bCs/>
        </w:rPr>
        <w:t>xCard: vCard XML Representation</w:t>
      </w:r>
      <w:r w:rsidRPr="00244260">
        <w:t xml:space="preserve"> (August 2011) (xCard XML Format), </w:t>
      </w:r>
      <w:hyperlink r:id="rId22" w:history="1">
        <w:r w:rsidRPr="00244260">
          <w:rPr>
            <w:color w:val="0563C1"/>
          </w:rPr>
          <w:t>https://tools.ietf.org/html/rfc6351</w:t>
        </w:r>
      </w:hyperlink>
      <w:r w:rsidRPr="00244260">
        <w:t>.</w:t>
      </w:r>
    </w:p>
    <w:p w:rsidR="00426485" w:rsidRPr="00244260" w:rsidRDefault="00306339" w:rsidP="00244260">
      <w:pPr>
        <w:spacing w:after="120"/>
        <w:rPr>
          <w:snapToGrid/>
        </w:rPr>
      </w:pPr>
      <w:r w:rsidRPr="00244260">
        <w:rPr>
          <w:snapToGrid/>
        </w:rPr>
        <w:t xml:space="preserve">(c) </w:t>
      </w:r>
      <w:r w:rsidR="00426485" w:rsidRPr="00244260">
        <w:rPr>
          <w:i/>
          <w:snapToGrid/>
        </w:rPr>
        <w:t>Incorporation by reference.</w:t>
      </w:r>
    </w:p>
    <w:p w:rsidR="008A4502" w:rsidRDefault="00426485" w:rsidP="00244260">
      <w:pPr>
        <w:spacing w:after="120"/>
        <w:rPr>
          <w:snapToGrid/>
        </w:rPr>
      </w:pPr>
      <w:r>
        <w:rPr>
          <w:snapToGrid/>
        </w:rPr>
        <w:t xml:space="preserve">(1) </w:t>
      </w:r>
      <w:r w:rsidR="008A4502">
        <w:rPr>
          <w:snapToGrid/>
        </w:rPr>
        <w:t>Certain material is</w:t>
      </w:r>
      <w:r w:rsidR="008A4502" w:rsidRPr="00244260">
        <w:rPr>
          <w:snapToGrid/>
        </w:rPr>
        <w:t xml:space="preserve"> </w:t>
      </w:r>
      <w:r w:rsidR="00306339" w:rsidRPr="00244260">
        <w:rPr>
          <w:snapToGrid/>
        </w:rPr>
        <w:t>incorporat</w:t>
      </w:r>
      <w:r w:rsidR="008A4502">
        <w:rPr>
          <w:snapToGrid/>
        </w:rPr>
        <w:t>ed</w:t>
      </w:r>
      <w:r w:rsidR="00306339" w:rsidRPr="00244260">
        <w:rPr>
          <w:snapToGrid/>
        </w:rPr>
        <w:t xml:space="preserve"> by reference in</w:t>
      </w:r>
      <w:r w:rsidR="008A4502">
        <w:rPr>
          <w:snapToGrid/>
        </w:rPr>
        <w:t>to</w:t>
      </w:r>
      <w:r w:rsidR="00306339" w:rsidRPr="00244260">
        <w:rPr>
          <w:snapToGrid/>
        </w:rPr>
        <w:t xml:space="preserve"> this section </w:t>
      </w:r>
      <w:r w:rsidR="008A4502">
        <w:rPr>
          <w:snapToGrid/>
        </w:rPr>
        <w:t>with the approval of</w:t>
      </w:r>
      <w:r w:rsidR="00306339" w:rsidRPr="00244260">
        <w:rPr>
          <w:snapToGrid/>
        </w:rPr>
        <w:t xml:space="preserve"> the Director of the Federal Register </w:t>
      </w:r>
      <w:r w:rsidR="008A4502">
        <w:rPr>
          <w:snapToGrid/>
        </w:rPr>
        <w:t>under</w:t>
      </w:r>
      <w:r w:rsidR="00306339" w:rsidRPr="00244260">
        <w:rPr>
          <w:snapToGrid/>
        </w:rPr>
        <w:t xml:space="preserve"> 5 U.S.C. 552(a) and 1 CFR part 51.</w:t>
      </w:r>
      <w:r w:rsidR="008A4502">
        <w:rPr>
          <w:snapToGrid/>
        </w:rPr>
        <w:t xml:space="preserve">  All approved material is available for inspection at the Federal Communications Commission, </w:t>
      </w:r>
      <w:r w:rsidR="00CB0B8A" w:rsidRPr="00AD5665">
        <w:rPr>
          <w:rFonts w:eastAsia="Calibri"/>
          <w:bCs/>
          <w:szCs w:val="22"/>
        </w:rPr>
        <w:t>445 12th St., S.W., Reference Information Center, Room CY-A257, Washington, DC 20554, (202) 418-0270</w:t>
      </w:r>
      <w:r w:rsidR="00CB0B8A" w:rsidRPr="006A515C">
        <w:rPr>
          <w:szCs w:val="22"/>
        </w:rPr>
        <w:t>,</w:t>
      </w:r>
      <w:r w:rsidR="008A4502">
        <w:rPr>
          <w:snapToGrid/>
        </w:rPr>
        <w:t xml:space="preserve"> and is available from the sources listed below.  </w:t>
      </w:r>
      <w:r w:rsidR="008A4502" w:rsidRPr="006A515C">
        <w:rPr>
          <w:szCs w:val="22"/>
        </w:rPr>
        <w:t xml:space="preserve">It is also available for inspection at the National Archives and Records Administration (NARA). </w:t>
      </w:r>
      <w:r w:rsidR="008A4502">
        <w:rPr>
          <w:szCs w:val="22"/>
        </w:rPr>
        <w:t xml:space="preserve"> </w:t>
      </w:r>
      <w:r w:rsidR="008A4502" w:rsidRPr="006A515C">
        <w:rPr>
          <w:szCs w:val="22"/>
        </w:rPr>
        <w:t xml:space="preserve">For information on the availability of this material at NARA, call 202-741-6030 or go to </w:t>
      </w:r>
      <w:hyperlink r:id="rId23" w:history="1">
        <w:r w:rsidR="008A4502" w:rsidRPr="00DC0DDE">
          <w:rPr>
            <w:rStyle w:val="Hyperlink"/>
            <w:szCs w:val="22"/>
          </w:rPr>
          <w:t>http://www.archives.gov/federal_register/code_of_federal_regulations/ibr_locations.html</w:t>
        </w:r>
      </w:hyperlink>
      <w:r w:rsidR="008A4502" w:rsidRPr="006A515C">
        <w:rPr>
          <w:szCs w:val="22"/>
        </w:rPr>
        <w:t>.</w:t>
      </w:r>
      <w:r w:rsidR="00306339" w:rsidRPr="00244260">
        <w:rPr>
          <w:snapToGrid/>
        </w:rPr>
        <w:t xml:space="preserve">  </w:t>
      </w:r>
    </w:p>
    <w:p w:rsidR="00CB0B8A" w:rsidRDefault="008A4502" w:rsidP="00244260">
      <w:pPr>
        <w:spacing w:after="120"/>
      </w:pPr>
      <w:r>
        <w:rPr>
          <w:snapToGrid/>
        </w:rPr>
        <w:t xml:space="preserve">(2) </w:t>
      </w:r>
      <w:r w:rsidR="00CB0B8A">
        <w:rPr>
          <w:snapToGrid/>
        </w:rPr>
        <w:t>T</w:t>
      </w:r>
      <w:r w:rsidR="00CB0B8A">
        <w:t xml:space="preserve">he Federal Communications Commission, </w:t>
      </w:r>
      <w:r w:rsidR="00CB0B8A" w:rsidRPr="00C75907">
        <w:rPr>
          <w:snapToGrid/>
        </w:rPr>
        <w:t>445 12th Street, SW, Washington, DC 20554</w:t>
      </w:r>
      <w:r w:rsidR="00CB0B8A">
        <w:t>, (888) 225-5322 (voice), (844) 432-2275 (videophone), (888) 835-5322 (TTY)</w:t>
      </w:r>
      <w:r w:rsidR="00244260">
        <w:t xml:space="preserve">, at </w:t>
      </w:r>
      <w:hyperlink r:id="rId24" w:history="1">
        <w:r w:rsidR="00244260" w:rsidRPr="009B463D">
          <w:rPr>
            <w:rStyle w:val="Hyperlink"/>
          </w:rPr>
          <w:t>https://www.fcc.gov/files/sip-forum-vrs-us-providers-profile-twg-6-1</w:t>
        </w:r>
      </w:hyperlink>
      <w:r w:rsidR="00CB0B8A">
        <w:t>.</w:t>
      </w:r>
      <w:r w:rsidR="00244260">
        <w:t xml:space="preserve"> </w:t>
      </w:r>
    </w:p>
    <w:p w:rsidR="00244260" w:rsidRDefault="00244260" w:rsidP="00244260">
      <w:pPr>
        <w:spacing w:after="120"/>
        <w:rPr>
          <w:snapToGrid/>
        </w:rPr>
      </w:pPr>
      <w:r>
        <w:t xml:space="preserve">(i) </w:t>
      </w:r>
      <w:r w:rsidRPr="003C7055">
        <w:t>The US Video Relay Service (VRS)</w:t>
      </w:r>
      <w:r w:rsidRPr="003C7055">
        <w:rPr>
          <w:b/>
        </w:rPr>
        <w:t xml:space="preserve"> </w:t>
      </w:r>
      <w:r w:rsidRPr="003C7055">
        <w:t>Provider Interoperability Profile, Version 15, SIP Forum Document Number: VRS US Providers Profile TWG-6-</w:t>
      </w:r>
      <w:r>
        <w:t>1</w:t>
      </w:r>
      <w:r w:rsidRPr="003C7055">
        <w:t xml:space="preserve"> (</w:t>
      </w:r>
      <w:r>
        <w:t>Oct</w:t>
      </w:r>
      <w:r w:rsidRPr="003C7055">
        <w:t xml:space="preserve">. </w:t>
      </w:r>
      <w:r>
        <w:t>14</w:t>
      </w:r>
      <w:r w:rsidRPr="003C7055">
        <w:t>, 2015)</w:t>
      </w:r>
      <w:r>
        <w:t>.</w:t>
      </w:r>
    </w:p>
    <w:p w:rsidR="00244260" w:rsidRDefault="00244260" w:rsidP="00244260">
      <w:pPr>
        <w:spacing w:after="120"/>
        <w:rPr>
          <w:snapToGrid/>
        </w:rPr>
      </w:pPr>
      <w:r>
        <w:rPr>
          <w:snapToGrid/>
        </w:rPr>
        <w:t xml:space="preserve">(3) </w:t>
      </w:r>
      <w:r w:rsidRPr="008D298B">
        <w:t>Internet Engineering Task Force (IETF)</w:t>
      </w:r>
      <w:r w:rsidRPr="00F24461">
        <w:rPr>
          <w:snapToGrid/>
        </w:rPr>
        <w:t xml:space="preserve"> Secretariat, 5177 Brandin Court, Fremont, CA 94538, 510-492-4080, at</w:t>
      </w:r>
      <w:r>
        <w:rPr>
          <w:snapToGrid/>
        </w:rPr>
        <w:t xml:space="preserve"> </w:t>
      </w:r>
      <w:hyperlink r:id="rId25" w:history="1">
        <w:r w:rsidRPr="00F24461">
          <w:rPr>
            <w:rFonts w:eastAsia="Calibri"/>
            <w:snapToGrid/>
            <w:color w:val="0563C1"/>
            <w:kern w:val="0"/>
            <w:szCs w:val="22"/>
          </w:rPr>
          <w:t>https://datatracker.ietf.org/doc/draft-vrs-rue-dispatch/</w:t>
        </w:r>
      </w:hyperlink>
      <w:r>
        <w:rPr>
          <w:rFonts w:eastAsia="Calibri"/>
          <w:snapToGrid/>
          <w:color w:val="1F497D"/>
          <w:kern w:val="0"/>
          <w:szCs w:val="22"/>
        </w:rPr>
        <w:t xml:space="preserve"> and</w:t>
      </w:r>
      <w:r w:rsidRPr="00F24461">
        <w:rPr>
          <w:snapToGrid/>
        </w:rPr>
        <w:t xml:space="preserve"> </w:t>
      </w:r>
      <w:hyperlink r:id="rId26" w:history="1">
        <w:r w:rsidRPr="00F24461">
          <w:rPr>
            <w:rStyle w:val="Hyperlink"/>
            <w:snapToGrid/>
            <w:szCs w:val="22"/>
            <w:u w:val="none"/>
          </w:rPr>
          <w:t>https://tools.ietf.org/html/rfc6351</w:t>
        </w:r>
      </w:hyperlink>
      <w:r w:rsidRPr="00F24461">
        <w:rPr>
          <w:snapToGrid/>
        </w:rPr>
        <w:t>.</w:t>
      </w:r>
      <w:r>
        <w:rPr>
          <w:snapToGrid/>
        </w:rPr>
        <w:t xml:space="preserve"> </w:t>
      </w:r>
    </w:p>
    <w:p w:rsidR="00244260" w:rsidRDefault="00244260" w:rsidP="00244260">
      <w:pPr>
        <w:spacing w:after="120"/>
      </w:pPr>
      <w:r>
        <w:rPr>
          <w:snapToGrid/>
        </w:rPr>
        <w:t>(i)</w:t>
      </w:r>
      <w:r w:rsidR="00306339" w:rsidRPr="00244260">
        <w:rPr>
          <w:snapToGrid/>
        </w:rPr>
        <w:t xml:space="preserve"> </w:t>
      </w:r>
      <w:r w:rsidRPr="003C7055">
        <w:t>The Interoperability Profile for Relay User Equipment, draft-vrs-rue-dispatch-00 (July 20, 2016) (RUE Profile)</w:t>
      </w:r>
      <w:r>
        <w:t>.</w:t>
      </w:r>
    </w:p>
    <w:p w:rsidR="00306339" w:rsidRPr="00D960B1" w:rsidRDefault="00244260" w:rsidP="00244260">
      <w:pPr>
        <w:spacing w:after="120"/>
        <w:rPr>
          <w:u w:val="single"/>
        </w:rPr>
      </w:pPr>
      <w:r>
        <w:t xml:space="preserve">(ii) </w:t>
      </w:r>
      <w:r w:rsidRPr="008D298B">
        <w:t xml:space="preserve">Internet Engineering Task Force (IETF) Request for Comments (RFC) 6351, </w:t>
      </w:r>
      <w:r w:rsidRPr="008D298B">
        <w:rPr>
          <w:bCs/>
        </w:rPr>
        <w:t>xCard: vCard XML Representation</w:t>
      </w:r>
      <w:r w:rsidRPr="008D298B">
        <w:t xml:space="preserve"> (August 2011) (xCard XML Format)</w:t>
      </w:r>
      <w:r>
        <w:t>.</w:t>
      </w:r>
    </w:p>
    <w:p w:rsidR="00306339" w:rsidRPr="00FC033E" w:rsidRDefault="00306339" w:rsidP="00306339"/>
    <w:p w:rsidR="00306339" w:rsidRDefault="00306339" w:rsidP="00306339">
      <w:pPr>
        <w:sectPr w:rsidR="00306339" w:rsidSect="00312812">
          <w:headerReference w:type="default" r:id="rId27"/>
          <w:footerReference w:type="default" r:id="rId28"/>
          <w:footnotePr>
            <w:numRestart w:val="eachSect"/>
          </w:footnotePr>
          <w:endnotePr>
            <w:numFmt w:val="decimal"/>
          </w:endnotePr>
          <w:pgSz w:w="12240" w:h="15840"/>
          <w:pgMar w:top="1440" w:right="1440" w:bottom="720" w:left="1440" w:header="720" w:footer="720" w:gutter="0"/>
          <w:cols w:space="720"/>
          <w:noEndnote/>
          <w:docGrid w:linePitch="299"/>
        </w:sectPr>
      </w:pPr>
    </w:p>
    <w:p w:rsidR="00306339" w:rsidRPr="00341843" w:rsidRDefault="00306339" w:rsidP="00306339">
      <w:pPr>
        <w:spacing w:after="120"/>
        <w:jc w:val="center"/>
        <w:rPr>
          <w:b/>
          <w:bCs/>
          <w:kern w:val="0"/>
        </w:rPr>
      </w:pPr>
      <w:r w:rsidRPr="00341843">
        <w:rPr>
          <w:b/>
          <w:bCs/>
          <w:kern w:val="0"/>
        </w:rPr>
        <w:t xml:space="preserve">APPENDIX </w:t>
      </w:r>
      <w:r>
        <w:rPr>
          <w:b/>
          <w:bCs/>
          <w:kern w:val="0"/>
        </w:rPr>
        <w:t>C</w:t>
      </w:r>
    </w:p>
    <w:p w:rsidR="00306339" w:rsidRPr="00341843" w:rsidRDefault="00306339" w:rsidP="009E584A">
      <w:pPr>
        <w:spacing w:after="240"/>
        <w:jc w:val="center"/>
        <w:rPr>
          <w:b/>
          <w:bCs/>
          <w:kern w:val="0"/>
        </w:rPr>
      </w:pPr>
      <w:bookmarkStart w:id="40" w:name="_Toc297800008"/>
      <w:bookmarkStart w:id="41" w:name="_Toc297830454"/>
      <w:bookmarkStart w:id="42" w:name="_Toc299968814"/>
      <w:bookmarkStart w:id="43" w:name="_Toc301534976"/>
      <w:bookmarkStart w:id="44" w:name="_Toc302734619"/>
      <w:bookmarkStart w:id="45" w:name="_Toc302830122"/>
      <w:bookmarkStart w:id="46" w:name="_Toc303080449"/>
      <w:bookmarkStart w:id="47" w:name="_Toc303173717"/>
      <w:r>
        <w:rPr>
          <w:b/>
          <w:bCs/>
          <w:kern w:val="0"/>
        </w:rPr>
        <w:t xml:space="preserve">Final </w:t>
      </w:r>
      <w:r w:rsidRPr="00341843">
        <w:rPr>
          <w:b/>
          <w:bCs/>
          <w:kern w:val="0"/>
        </w:rPr>
        <w:t>Regulatory Flexibility Analysis</w:t>
      </w:r>
    </w:p>
    <w:bookmarkEnd w:id="40"/>
    <w:bookmarkEnd w:id="41"/>
    <w:bookmarkEnd w:id="42"/>
    <w:bookmarkEnd w:id="43"/>
    <w:bookmarkEnd w:id="44"/>
    <w:bookmarkEnd w:id="45"/>
    <w:bookmarkEnd w:id="46"/>
    <w:bookmarkEnd w:id="47"/>
    <w:p w:rsidR="00306339" w:rsidRPr="003C0B24" w:rsidRDefault="00306339" w:rsidP="00876D6C">
      <w:pPr>
        <w:pStyle w:val="ParaNum"/>
        <w:numPr>
          <w:ilvl w:val="0"/>
          <w:numId w:val="11"/>
        </w:numPr>
      </w:pPr>
      <w:r w:rsidRPr="003C0B24">
        <w:t xml:space="preserve">As required by the Regulatory Flexibility Act </w:t>
      </w:r>
      <w:r>
        <w:t xml:space="preserve">of 1980, as amended </w:t>
      </w:r>
      <w:r w:rsidRPr="003C0B24">
        <w:t>(RFA),</w:t>
      </w:r>
      <w:r w:rsidRPr="00125F4E">
        <w:rPr>
          <w:rStyle w:val="FootnoteReference"/>
        </w:rPr>
        <w:footnoteReference w:id="55"/>
      </w:r>
      <w:r w:rsidRPr="003C0B24">
        <w:t xml:space="preserve"> the </w:t>
      </w:r>
      <w:r>
        <w:t>Consumer and Governmental Affairs Bureau (Bureau or CGB)</w:t>
      </w:r>
      <w:r w:rsidRPr="003C0B24">
        <w:t xml:space="preserve"> </w:t>
      </w:r>
      <w:r w:rsidRPr="00B255C2">
        <w:t xml:space="preserve">incorporated an Initial Regulatory Flexibility Analyses (IRFA) into the </w:t>
      </w:r>
      <w:r>
        <w:t xml:space="preserve">Further </w:t>
      </w:r>
      <w:r w:rsidRPr="00B255C2">
        <w:t>Notice of Proposed Rulemaking</w:t>
      </w:r>
      <w:r w:rsidRPr="00876D6C">
        <w:rPr>
          <w:i/>
        </w:rPr>
        <w:t xml:space="preserve"> </w:t>
      </w:r>
      <w:r w:rsidRPr="00B255C2">
        <w:t>(</w:t>
      </w:r>
      <w:r w:rsidRPr="00876D6C">
        <w:rPr>
          <w:i/>
        </w:rPr>
        <w:t>FNPRM</w:t>
      </w:r>
      <w:r w:rsidRPr="00B255C2">
        <w:t>).</w:t>
      </w:r>
      <w:r w:rsidRPr="00B255C2">
        <w:rPr>
          <w:vertAlign w:val="superscript"/>
        </w:rPr>
        <w:footnoteReference w:id="56"/>
      </w:r>
      <w:r w:rsidRPr="00B255C2">
        <w:t xml:space="preserve">  The Commission sought written public comment on the proposals in the </w:t>
      </w:r>
      <w:r w:rsidRPr="00876D6C">
        <w:rPr>
          <w:i/>
        </w:rPr>
        <w:t>Notice</w:t>
      </w:r>
      <w:r w:rsidRPr="00B255C2">
        <w:t>,</w:t>
      </w:r>
      <w:r w:rsidRPr="00876D6C">
        <w:rPr>
          <w:i/>
        </w:rPr>
        <w:t xml:space="preserve"> </w:t>
      </w:r>
      <w:r w:rsidRPr="00B255C2">
        <w:t xml:space="preserve">including comment on the IRFA.  </w:t>
      </w:r>
      <w:r w:rsidRPr="00AE625D">
        <w:t xml:space="preserve">The Commission sought written public comment on the proposals in the </w:t>
      </w:r>
      <w:r w:rsidRPr="00876D6C">
        <w:rPr>
          <w:i/>
        </w:rPr>
        <w:t>Notice</w:t>
      </w:r>
      <w:r w:rsidRPr="00AE625D">
        <w:t>,</w:t>
      </w:r>
      <w:r w:rsidRPr="00876D6C">
        <w:rPr>
          <w:i/>
        </w:rPr>
        <w:t xml:space="preserve"> </w:t>
      </w:r>
      <w:r w:rsidRPr="00AE625D">
        <w:t>including comment on the IRFA.  No comments were received on the IRFA.  This Final Regulatory Flexibility Analysis (FRFA) conforms to the RFA.</w:t>
      </w:r>
      <w:r w:rsidRPr="00415710">
        <w:rPr>
          <w:rStyle w:val="FootnoteReference"/>
        </w:rPr>
        <w:footnoteReference w:id="57"/>
      </w:r>
      <w:r w:rsidRPr="00AE625D">
        <w:t xml:space="preserve">  The Report and Order and FRFA (or summaries thereof) will be published in the Federal Register.</w:t>
      </w:r>
      <w:r w:rsidRPr="00415710">
        <w:rPr>
          <w:rStyle w:val="FootnoteReference"/>
        </w:rPr>
        <w:footnoteReference w:id="58"/>
      </w:r>
      <w:r>
        <w:t xml:space="preserve">  </w:t>
      </w:r>
      <w:r w:rsidRPr="003C0B24">
        <w:t xml:space="preserve">  </w:t>
      </w:r>
    </w:p>
    <w:p w:rsidR="00306339" w:rsidRDefault="00E629E4" w:rsidP="00DB4066">
      <w:pPr>
        <w:pStyle w:val="Heading2"/>
      </w:pPr>
      <w:bookmarkStart w:id="48" w:name="_Toc358122688"/>
      <w:bookmarkStart w:id="49" w:name="_Toc358124823"/>
      <w:bookmarkStart w:id="50" w:name="_Toc358125387"/>
      <w:bookmarkStart w:id="51" w:name="_Toc358128677"/>
      <w:r>
        <w:t>Need for, and Objectives of, the Proposed Rules</w:t>
      </w:r>
      <w:bookmarkEnd w:id="48"/>
      <w:bookmarkEnd w:id="49"/>
      <w:bookmarkEnd w:id="50"/>
      <w:bookmarkEnd w:id="51"/>
      <w:r>
        <w:t xml:space="preserve"> </w:t>
      </w:r>
      <w:r w:rsidR="00306339">
        <w:t xml:space="preserve"> </w:t>
      </w:r>
    </w:p>
    <w:p w:rsidR="00306339" w:rsidRDefault="00306339" w:rsidP="00876D6C">
      <w:pPr>
        <w:pStyle w:val="ParaNum"/>
      </w:pPr>
      <w:r w:rsidRPr="00EE4A5F">
        <w:t>Under Title IV of the</w:t>
      </w:r>
      <w:r>
        <w:t xml:space="preserve"> Americans with Disabilities Act</w:t>
      </w:r>
      <w:r w:rsidRPr="00EE4A5F">
        <w:t xml:space="preserve"> </w:t>
      </w:r>
      <w:r>
        <w:t>(</w:t>
      </w:r>
      <w:r w:rsidRPr="00EE4A5F">
        <w:t>ADA</w:t>
      </w:r>
      <w:r>
        <w:t>)</w:t>
      </w:r>
      <w:r w:rsidRPr="00EE4A5F">
        <w:t>, the Commission must ensure that relay services “are available, to the extent possible and in the most efficient manner” to persons in the United States with hearing or speech disabilities.</w:t>
      </w:r>
      <w:r w:rsidRPr="00EE4A5F">
        <w:rPr>
          <w:vertAlign w:val="superscript"/>
        </w:rPr>
        <w:footnoteReference w:id="59"/>
      </w:r>
      <w:r w:rsidRPr="00EE4A5F">
        <w:t xml:space="preserve">  Section 225</w:t>
      </w:r>
      <w:r>
        <w:t xml:space="preserve"> of the Communications Act of 1934, as amended (Act)</w:t>
      </w:r>
      <w:r w:rsidRPr="00EE4A5F">
        <w:t xml:space="preserve"> </w:t>
      </w:r>
      <w:r>
        <w:t>defines Telecommunications Relay Service</w:t>
      </w:r>
      <w:r w:rsidRPr="00EE4A5F">
        <w:t xml:space="preserve"> </w:t>
      </w:r>
      <w:r>
        <w:t>(</w:t>
      </w:r>
      <w:r w:rsidRPr="00EE4A5F">
        <w:t>TRS</w:t>
      </w:r>
      <w:r>
        <w:t>)</w:t>
      </w:r>
      <w:r w:rsidRPr="00EE4A5F">
        <w:t xml:space="preserve"> </w:t>
      </w:r>
      <w:r>
        <w:t>as a service provided in a manner that is</w:t>
      </w:r>
      <w:r w:rsidRPr="00EE4A5F">
        <w:t xml:space="preserve"> “functionally equivalent” to voice telephone services</w:t>
      </w:r>
      <w:r w:rsidRPr="00EE4A5F">
        <w:rPr>
          <w:rStyle w:val="FootnoteReference"/>
        </w:rPr>
        <w:footnoteReference w:id="60"/>
      </w:r>
      <w:r w:rsidRPr="00EE4A5F">
        <w:t xml:space="preserve"> and directs the Commission to establish functional requirements, minimum standards, and other regulations to carry out the statutory mandate.</w:t>
      </w:r>
      <w:r w:rsidRPr="00EE4A5F">
        <w:rPr>
          <w:rStyle w:val="FootnoteReference"/>
        </w:rPr>
        <w:footnoteReference w:id="61"/>
      </w:r>
      <w:r w:rsidRPr="00EE4A5F">
        <w:t xml:space="preserve">  In addition, the Commission’s regulations must encourage the use of existing technology and must not discourage the development of new technology.</w:t>
      </w:r>
      <w:r w:rsidRPr="00EE4A5F">
        <w:rPr>
          <w:vertAlign w:val="superscript"/>
        </w:rPr>
        <w:footnoteReference w:id="62"/>
      </w:r>
      <w:r w:rsidRPr="00EE4A5F">
        <w:t xml:space="preserve">  </w:t>
      </w:r>
      <w:r>
        <w:t>Video relay service (</w:t>
      </w:r>
      <w:r w:rsidRPr="006333AF">
        <w:t>VRS</w:t>
      </w:r>
      <w:r>
        <w:t>) is a form of TRS that</w:t>
      </w:r>
      <w:r w:rsidRPr="006333AF">
        <w:t xml:space="preserve"> allows persons with hearing or speech disabilities to use </w:t>
      </w:r>
      <w:r>
        <w:t>s</w:t>
      </w:r>
      <w:r w:rsidRPr="006333AF">
        <w:t xml:space="preserve">ign </w:t>
      </w:r>
      <w:r>
        <w:t>l</w:t>
      </w:r>
      <w:r w:rsidRPr="006333AF">
        <w:t>anguage to communicate in near real time through a communications assistant (CA), via video over a broadband Internet connection.</w:t>
      </w:r>
      <w:r w:rsidRPr="006333AF">
        <w:rPr>
          <w:vertAlign w:val="superscript"/>
        </w:rPr>
        <w:footnoteReference w:id="63"/>
      </w:r>
    </w:p>
    <w:p w:rsidR="00E4315A" w:rsidRDefault="00306339" w:rsidP="00876D6C">
      <w:pPr>
        <w:pStyle w:val="ParaNum"/>
      </w:pPr>
      <w:r>
        <w:t xml:space="preserve">In the Report and Order, issued pursuant to the Commission’s mandate in the </w:t>
      </w:r>
      <w:r w:rsidRPr="00244250">
        <w:rPr>
          <w:i/>
        </w:rPr>
        <w:t>VRS Reform Order</w:t>
      </w:r>
      <w:r>
        <w:rPr>
          <w:rStyle w:val="FootnoteReference"/>
        </w:rPr>
        <w:footnoteReference w:id="64"/>
      </w:r>
      <w:r>
        <w:t xml:space="preserve"> to improve the effectiveness of the Commission’s TRS interoperability and portability rules, the </w:t>
      </w:r>
      <w:r w:rsidR="00E629E4">
        <w:t xml:space="preserve">TRS rules </w:t>
      </w:r>
      <w:r>
        <w:t>are amended to incorporate by reference the technical standards for interoperability and portability of VRS services and equipment developed by the Session Initiation Protocol (</w:t>
      </w:r>
      <w:r w:rsidRPr="00244250">
        <w:t>SIP</w:t>
      </w:r>
      <w:r>
        <w:t>)</w:t>
      </w:r>
      <w:r>
        <w:rPr>
          <w:rStyle w:val="FootnoteReference"/>
        </w:rPr>
        <w:footnoteReference w:id="65"/>
      </w:r>
      <w:r w:rsidRPr="00244250">
        <w:t xml:space="preserve"> Forum’s</w:t>
      </w:r>
      <w:r>
        <w:t xml:space="preserve"> VRS Task Group to and a successor group, the Relay User Equipment (RUE) </w:t>
      </w:r>
      <w:r w:rsidR="00E629E4">
        <w:t>Forum.</w:t>
      </w:r>
    </w:p>
    <w:p w:rsidR="00E4315A" w:rsidRDefault="005E763A" w:rsidP="00876D6C">
      <w:pPr>
        <w:pStyle w:val="ParaNum"/>
      </w:pPr>
      <w:r w:rsidRPr="004A7AB0">
        <w:t xml:space="preserve">The </w:t>
      </w:r>
      <w:r>
        <w:t xml:space="preserve">Provider </w:t>
      </w:r>
      <w:r w:rsidRPr="004A7AB0">
        <w:t xml:space="preserve">Interoperability Profile provides technical specifications for the interface between </w:t>
      </w:r>
      <w:r>
        <w:t xml:space="preserve">two </w:t>
      </w:r>
      <w:r w:rsidRPr="004A7AB0">
        <w:t>VRS providers</w:t>
      </w:r>
      <w:r>
        <w:t>, as well as</w:t>
      </w:r>
      <w:r w:rsidRPr="004A7AB0">
        <w:t xml:space="preserve"> the interface between a VRS provider and the TRS Numbering Directory.</w:t>
      </w:r>
      <w:r w:rsidRPr="004A7AB0">
        <w:rPr>
          <w:vertAlign w:val="superscript"/>
        </w:rPr>
        <w:footnoteReference w:id="66"/>
      </w:r>
      <w:r>
        <w:t xml:space="preserve">  The Bureau </w:t>
      </w:r>
      <w:r w:rsidRPr="00D54A24">
        <w:t>conclude</w:t>
      </w:r>
      <w:r>
        <w:t>s</w:t>
      </w:r>
      <w:r w:rsidRPr="00D54A24">
        <w:t xml:space="preserve"> that </w:t>
      </w:r>
      <w:r>
        <w:t xml:space="preserve">incorporation of </w:t>
      </w:r>
      <w:r w:rsidRPr="00D54A24">
        <w:t xml:space="preserve">the </w:t>
      </w:r>
      <w:r w:rsidRPr="00D54A24">
        <w:rPr>
          <w:bCs/>
          <w:iCs/>
        </w:rPr>
        <w:t>Provider Interoperability Profile</w:t>
      </w:r>
      <w:r w:rsidRPr="00D54A24">
        <w:t xml:space="preserve"> will </w:t>
      </w:r>
      <w:r w:rsidRPr="00430590">
        <w:t>advance</w:t>
      </w:r>
      <w:r w:rsidRPr="00D54A24">
        <w:t xml:space="preserve"> the Commission’s goals of ensuring interoperability and portability, as required by the </w:t>
      </w:r>
      <w:r w:rsidRPr="00D54A24">
        <w:rPr>
          <w:i/>
          <w:iCs/>
        </w:rPr>
        <w:t>VRS Reform Order</w:t>
      </w:r>
      <w:r w:rsidR="00E4315A">
        <w:t>,</w:t>
      </w:r>
      <w:r w:rsidRPr="00D54A24">
        <w:t xml:space="preserve"> </w:t>
      </w:r>
      <w:r w:rsidR="00E4315A">
        <w:t>b</w:t>
      </w:r>
      <w:r>
        <w:t xml:space="preserve">y providing a common framework for interoperability </w:t>
      </w:r>
      <w:r w:rsidRPr="00430590">
        <w:t xml:space="preserve">compliance </w:t>
      </w:r>
      <w:r>
        <w:t xml:space="preserve">and specific criteria for assessing such compliance.  </w:t>
      </w:r>
    </w:p>
    <w:p w:rsidR="00821921" w:rsidRDefault="005E763A" w:rsidP="00876D6C">
      <w:pPr>
        <w:pStyle w:val="ParaNum"/>
      </w:pPr>
      <w:r>
        <w:t>The RUE Profile specifies a technical standard for the interface between a provider and user software</w:t>
      </w:r>
      <w:r w:rsidR="00E4315A">
        <w:t>.</w:t>
      </w:r>
      <w:r w:rsidR="00447C66">
        <w:rPr>
          <w:rStyle w:val="FootnoteReference"/>
        </w:rPr>
        <w:footnoteReference w:id="67"/>
      </w:r>
      <w:r>
        <w:t xml:space="preserve">  </w:t>
      </w:r>
      <w:r w:rsidR="00E4315A">
        <w:t>Because the Commission mandated that standards for the transfer of users’ contact and speed dial lists be broadly applicable to all VRS access technologies, we amend the interoperability rule to incorporate by reference the xCard specification referenced in the RUE Profile, which the providers agree that they can and will adhere to.</w:t>
      </w:r>
      <w:r w:rsidR="00447C66">
        <w:rPr>
          <w:rStyle w:val="FootnoteReference"/>
        </w:rPr>
        <w:footnoteReference w:id="68"/>
      </w:r>
      <w:r w:rsidR="00E4315A">
        <w:t xml:space="preserve">  </w:t>
      </w:r>
      <w:r w:rsidR="00821921">
        <w:t>Further, t</w:t>
      </w:r>
      <w:r>
        <w:t xml:space="preserve">he </w:t>
      </w:r>
      <w:r w:rsidR="00821921">
        <w:t xml:space="preserve">VRS </w:t>
      </w:r>
      <w:r>
        <w:t xml:space="preserve">providers agree that </w:t>
      </w:r>
      <w:r w:rsidR="00E4315A">
        <w:t xml:space="preserve">the </w:t>
      </w:r>
      <w:r>
        <w:t xml:space="preserve">RUE Profile may be used to specify a technical standard for the interface between a provider and the </w:t>
      </w:r>
      <w:r w:rsidR="00821921">
        <w:t xml:space="preserve">Commission-mandated </w:t>
      </w:r>
      <w:r w:rsidR="00E4315A">
        <w:t xml:space="preserve">VRS access </w:t>
      </w:r>
      <w:r w:rsidR="00821921">
        <w:t xml:space="preserve">technology reference platform, or </w:t>
      </w:r>
      <w:r>
        <w:t>ACE App</w:t>
      </w:r>
      <w:r w:rsidR="00E4315A">
        <w:t xml:space="preserve">, we incorporate </w:t>
      </w:r>
      <w:r w:rsidR="00821921">
        <w:t>the complete RUE Profile</w:t>
      </w:r>
      <w:r w:rsidR="00E4315A">
        <w:t xml:space="preserve"> </w:t>
      </w:r>
      <w:r w:rsidR="00821921">
        <w:t xml:space="preserve">into the requirement that VRS providers </w:t>
      </w:r>
      <w:r w:rsidR="00E4315A">
        <w:t>“ensure that their VRS access technologies and their video communications service platforms are interoperable with the [ACE App].”</w:t>
      </w:r>
      <w:r w:rsidR="00E4315A">
        <w:rPr>
          <w:rStyle w:val="FootnoteReference"/>
        </w:rPr>
        <w:footnoteReference w:id="69"/>
      </w:r>
      <w:r w:rsidR="00E4315A">
        <w:t xml:space="preserve">  </w:t>
      </w:r>
    </w:p>
    <w:p w:rsidR="00306339" w:rsidRDefault="00306339" w:rsidP="00876D6C">
      <w:pPr>
        <w:pStyle w:val="ParaNum"/>
      </w:pPr>
      <w:r>
        <w:t>In addition, this Report and Order adopts a process that will readily enable revisions to this rule to reflect future amendments or changes in these standards by issuing a public notice seeking comment on such modifications, followed by an order incorporating into the VRS rules amendments or changes by reference if justified based on the resulting record, after which a second public notice will be issued containing information on how to access the modified standards online and establishing an implementation schedule.</w:t>
      </w:r>
    </w:p>
    <w:p w:rsidR="00306339" w:rsidRPr="00FC0346" w:rsidRDefault="00306339" w:rsidP="00DB4066">
      <w:pPr>
        <w:pStyle w:val="Heading2"/>
        <w:rPr>
          <w:rFonts w:eastAsia="Calibri"/>
          <w:snapToGrid/>
        </w:rPr>
      </w:pPr>
      <w:bookmarkStart w:id="52" w:name="_Toc469484233"/>
      <w:bookmarkStart w:id="53" w:name="_Toc469484781"/>
      <w:bookmarkStart w:id="54" w:name="_Toc469485530"/>
      <w:bookmarkStart w:id="55" w:name="_Toc358122689"/>
      <w:bookmarkStart w:id="56" w:name="_Toc358124824"/>
      <w:bookmarkStart w:id="57" w:name="_Toc358125388"/>
      <w:bookmarkStart w:id="58" w:name="_Toc358128678"/>
      <w:r w:rsidRPr="00FC0346">
        <w:rPr>
          <w:rFonts w:eastAsia="Calibri"/>
          <w:snapToGrid/>
        </w:rPr>
        <w:t>Summary of Significant Issues Raised by Public Comments in Response to the IRFA.</w:t>
      </w:r>
      <w:bookmarkEnd w:id="52"/>
      <w:bookmarkEnd w:id="53"/>
      <w:bookmarkEnd w:id="54"/>
    </w:p>
    <w:p w:rsidR="00306339" w:rsidRPr="00FC0346" w:rsidRDefault="00306339" w:rsidP="00876D6C">
      <w:pPr>
        <w:pStyle w:val="ParaNum"/>
      </w:pPr>
      <w:r w:rsidRPr="00FC0346">
        <w:t>No comments were filed in response to the IRFA.</w:t>
      </w:r>
    </w:p>
    <w:p w:rsidR="00306339" w:rsidRPr="00745E71" w:rsidRDefault="00306339" w:rsidP="00DB4066">
      <w:pPr>
        <w:pStyle w:val="Heading2"/>
      </w:pPr>
      <w:bookmarkStart w:id="59" w:name="_Toc358122690"/>
      <w:bookmarkStart w:id="60" w:name="_Toc358124825"/>
      <w:bookmarkStart w:id="61" w:name="_Toc358125389"/>
      <w:bookmarkStart w:id="62" w:name="_Toc358128679"/>
      <w:bookmarkEnd w:id="55"/>
      <w:bookmarkEnd w:id="56"/>
      <w:bookmarkEnd w:id="57"/>
      <w:bookmarkEnd w:id="58"/>
      <w:r w:rsidRPr="00082447">
        <w:t>Description</w:t>
      </w:r>
      <w:r w:rsidRPr="00745E71">
        <w:t xml:space="preserve"> and Estimate of the Number of Small Entities </w:t>
      </w:r>
      <w:bookmarkEnd w:id="59"/>
      <w:bookmarkEnd w:id="60"/>
      <w:bookmarkEnd w:id="61"/>
      <w:bookmarkEnd w:id="62"/>
      <w:r w:rsidR="00076DA2">
        <w:t>Impacted</w:t>
      </w:r>
      <w:r w:rsidRPr="00745E71">
        <w:t xml:space="preserve">  </w:t>
      </w:r>
    </w:p>
    <w:p w:rsidR="00306339" w:rsidRDefault="00306339" w:rsidP="00876D6C">
      <w:pPr>
        <w:pStyle w:val="ParaNum"/>
      </w:pPr>
      <w:r>
        <w:t>The RFA directs agencies to provide a description of, and where feasible, an estimate of the number of small entities that may be affected by the rules.</w:t>
      </w:r>
      <w:r>
        <w:rPr>
          <w:rStyle w:val="FootnoteReference"/>
        </w:rPr>
        <w:footnoteReference w:id="70"/>
      </w:r>
      <w:r>
        <w:rPr>
          <w:rStyle w:val="FootnoteReference"/>
        </w:rPr>
        <w:t xml:space="preserve"> </w:t>
      </w:r>
      <w:r>
        <w:t xml:space="preserve"> The RFA generally defines the term “small entity” as having the same meaning as the terms “small business,” “small organization,” and “small governmental jurisdiction.”</w:t>
      </w:r>
      <w:r>
        <w:rPr>
          <w:rStyle w:val="FootnoteReference"/>
        </w:rPr>
        <w:footnoteReference w:id="71"/>
      </w:r>
      <w:r>
        <w:rPr>
          <w:rStyle w:val="FootnoteReference"/>
        </w:rPr>
        <w:t xml:space="preserve"> </w:t>
      </w:r>
      <w:r>
        <w:t xml:space="preserve"> In addition, the term “small business” has the same meaning as the term “small business concern” under the Small Business Act.</w:t>
      </w:r>
      <w:r>
        <w:rPr>
          <w:rStyle w:val="FootnoteReference"/>
        </w:rPr>
        <w:footnoteReference w:id="72"/>
      </w:r>
      <w:r>
        <w:t xml:space="preserve">  A small business concern is one which:  (1) is independently owned and operated; (2) is not dominant in its field of operation; and (3) satisfies any additional criteria established by the SBA.</w:t>
      </w:r>
      <w:r>
        <w:rPr>
          <w:rStyle w:val="FootnoteReference"/>
        </w:rPr>
        <w:footnoteReference w:id="73"/>
      </w:r>
      <w:r>
        <w:t xml:space="preserve">  </w:t>
      </w:r>
    </w:p>
    <w:p w:rsidR="00E51F0B" w:rsidRDefault="00E51F0B" w:rsidP="00876D6C">
      <w:pPr>
        <w:pStyle w:val="ParaNum"/>
      </w:pPr>
      <w:r w:rsidRPr="006A0E46">
        <w:t>A small business is an independent business having less than 500 employees.  Nationwide, there a</w:t>
      </w:r>
      <w:r>
        <w:t>re approximately 28.8</w:t>
      </w:r>
      <w:r w:rsidRPr="006A0E46">
        <w:t xml:space="preserve"> million small businesses, according to the SBA.</w:t>
      </w:r>
      <w:r w:rsidRPr="00F36E67">
        <w:rPr>
          <w:rStyle w:val="FootnoteReference"/>
        </w:rPr>
        <w:footnoteReference w:id="74"/>
      </w:r>
      <w:r w:rsidRPr="006A0E46">
        <w:t xml:space="preserve">  The </w:t>
      </w:r>
      <w:r>
        <w:t>rules</w:t>
      </w:r>
      <w:r w:rsidRPr="006A0E46">
        <w:t xml:space="preserve"> </w:t>
      </w:r>
      <w:r>
        <w:t xml:space="preserve">adopted </w:t>
      </w:r>
      <w:r w:rsidRPr="006A0E46">
        <w:t xml:space="preserve">in the </w:t>
      </w:r>
      <w:r>
        <w:rPr>
          <w:i/>
        </w:rPr>
        <w:t>Report and Order</w:t>
      </w:r>
      <w:r w:rsidRPr="006A0E46">
        <w:t xml:space="preserve"> will affect obligations o</w:t>
      </w:r>
      <w:r>
        <w:t xml:space="preserve">f providers of VRS. </w:t>
      </w:r>
      <w:r w:rsidRPr="006A0E46">
        <w:t xml:space="preserve"> Affected small entities as defined by industry are as follows.</w:t>
      </w:r>
    </w:p>
    <w:p w:rsidR="00670771" w:rsidRPr="005D0E50" w:rsidRDefault="00670771" w:rsidP="00876D6C">
      <w:pPr>
        <w:pStyle w:val="ParaNum"/>
      </w:pPr>
      <w:r w:rsidRPr="005D0E50">
        <w:rPr>
          <w:i/>
        </w:rPr>
        <w:t>All Other Telecommunications</w:t>
      </w:r>
      <w:r w:rsidRPr="005D0E50">
        <w:t>.  The Census Bureau defines this industry as including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5D0E50">
        <w:rPr>
          <w:sz w:val="20"/>
          <w:vertAlign w:val="superscript"/>
        </w:rPr>
        <w:footnoteReference w:id="75"/>
      </w:r>
      <w:r w:rsidRPr="005D0E50">
        <w:t xml:space="preserve">  The SBA has developed a small business size standard for this category; that size standard is $32.5 million or less in average annual receipts.</w:t>
      </w:r>
      <w:r w:rsidRPr="005D0E50">
        <w:rPr>
          <w:sz w:val="20"/>
          <w:vertAlign w:val="superscript"/>
        </w:rPr>
        <w:footnoteReference w:id="76"/>
      </w:r>
      <w:r w:rsidRPr="005D0E50">
        <w:t xml:space="preserve">  For this category, census data for 2012, there were 1,442 firms that operated for the entire year.  Of these firms, a total of 1,400 had gross annual receipts of under $25 million.</w:t>
      </w:r>
      <w:r w:rsidRPr="005D0E50">
        <w:rPr>
          <w:sz w:val="20"/>
          <w:vertAlign w:val="superscript"/>
        </w:rPr>
        <w:footnoteReference w:id="77"/>
      </w:r>
      <w:r w:rsidRPr="005D0E50">
        <w:t xml:space="preserve">  Consequently, we estimate that the majority of these firms are small entities. </w:t>
      </w:r>
    </w:p>
    <w:p w:rsidR="00670771" w:rsidRDefault="00670771" w:rsidP="00876D6C">
      <w:pPr>
        <w:pStyle w:val="ParaNum"/>
      </w:pPr>
      <w:r>
        <w:rPr>
          <w:i/>
        </w:rPr>
        <w:t>V</w:t>
      </w:r>
      <w:r w:rsidRPr="005D0E50">
        <w:rPr>
          <w:i/>
        </w:rPr>
        <w:t>RS Providers.</w:t>
      </w:r>
      <w:r w:rsidRPr="005D0E50">
        <w:t xml:space="preserve">  </w:t>
      </w:r>
      <w:r>
        <w:t>V</w:t>
      </w:r>
      <w:r w:rsidRPr="005D0E50">
        <w:t xml:space="preserve">RS providers are generally classified within the broad category of “All Other Telecommunications.”  </w:t>
      </w:r>
      <w:r>
        <w:t>Five</w:t>
      </w:r>
      <w:r w:rsidRPr="005D0E50">
        <w:t xml:space="preserve"> providers currently receive compensation from the Interstate Telecommunications Relay Service (TRS) Fund for providing </w:t>
      </w:r>
      <w:r>
        <w:t>V</w:t>
      </w:r>
      <w:r w:rsidRPr="005D0E50">
        <w:t xml:space="preserve">RS:  ASL Services Holdings, LLC; </w:t>
      </w:r>
      <w:r>
        <w:t>Z</w:t>
      </w:r>
      <w:r w:rsidRPr="005D0E50">
        <w:t>VRS, LLC; Convo Communications, LLC; Purple Communications, Inc.; and Sorenson Communications, Inc.  The SBA has developed a small business size standard for All Other Telecommunications, which consists of all such firms with gross annual receipts of $32.5 million or less.</w:t>
      </w:r>
      <w:r w:rsidRPr="005D0E50">
        <w:rPr>
          <w:sz w:val="20"/>
          <w:vertAlign w:val="superscript"/>
        </w:rPr>
        <w:footnoteReference w:id="78"/>
      </w:r>
      <w:r w:rsidRPr="005D0E50">
        <w:t xml:space="preserve">  For this category, census data for 2012 show that there were 1,442 firms that operated for the entire year.  Of these firms, a total of 1,400 had gross annual receipts of less than $25 million.</w:t>
      </w:r>
      <w:r w:rsidRPr="005D0E50">
        <w:rPr>
          <w:sz w:val="20"/>
          <w:vertAlign w:val="superscript"/>
        </w:rPr>
        <w:footnoteReference w:id="79"/>
      </w:r>
      <w:r w:rsidRPr="005D0E50">
        <w:t xml:space="preserve">  Under this category and the associated small business size standard, approximately half of the </w:t>
      </w:r>
      <w:r>
        <w:t>V</w:t>
      </w:r>
      <w:r w:rsidRPr="005D0E50">
        <w:t>RS providers can be considered small.</w:t>
      </w:r>
    </w:p>
    <w:p w:rsidR="00306339" w:rsidRDefault="00306339" w:rsidP="00DB4066">
      <w:pPr>
        <w:pStyle w:val="Heading2"/>
      </w:pPr>
      <w:bookmarkStart w:id="63" w:name="_Toc358122691"/>
      <w:bookmarkStart w:id="64" w:name="_Toc358124826"/>
      <w:bookmarkStart w:id="65" w:name="_Toc358125390"/>
      <w:bookmarkStart w:id="66" w:name="_Toc358128680"/>
      <w:r>
        <w:t>Description of Projected Reporting, Recordkeeping, and Other Compliance Requirements</w:t>
      </w:r>
      <w:bookmarkEnd w:id="63"/>
      <w:bookmarkEnd w:id="64"/>
      <w:bookmarkEnd w:id="65"/>
      <w:bookmarkEnd w:id="66"/>
      <w:r>
        <w:t xml:space="preserve"> </w:t>
      </w:r>
    </w:p>
    <w:p w:rsidR="00306339" w:rsidRPr="00082447" w:rsidRDefault="00E629E4" w:rsidP="00876D6C">
      <w:pPr>
        <w:pStyle w:val="ParaNum"/>
      </w:pPr>
      <w:r>
        <w:t>The rule changes adopted in the Report and Order modify rules governing compliance obligations.  Specifically, VRS providers must modify their networks, e.g., their protocols for routing calls to other providers and for enabling users to import contact lists, as necessary to conform to the technical standards incorporated into the existing TRS interoperability rules.</w:t>
      </w:r>
    </w:p>
    <w:p w:rsidR="00306339" w:rsidRDefault="00306339" w:rsidP="00DB4066">
      <w:pPr>
        <w:pStyle w:val="Heading2"/>
      </w:pPr>
      <w:bookmarkStart w:id="67" w:name="_Toc358122692"/>
      <w:bookmarkStart w:id="68" w:name="_Toc358124827"/>
      <w:bookmarkStart w:id="69" w:name="_Toc358125391"/>
      <w:bookmarkStart w:id="70" w:name="_Toc358128681"/>
      <w:r>
        <w:t>Steps Taken to Minimize Significant Impact on Small Entities and Significant Alternatives Considered</w:t>
      </w:r>
      <w:bookmarkEnd w:id="67"/>
      <w:bookmarkEnd w:id="68"/>
      <w:bookmarkEnd w:id="69"/>
      <w:bookmarkEnd w:id="70"/>
      <w:r>
        <w:t xml:space="preserve"> </w:t>
      </w:r>
    </w:p>
    <w:p w:rsidR="00306339" w:rsidRDefault="00306339" w:rsidP="00876D6C">
      <w:pPr>
        <w:pStyle w:val="ParaNum"/>
      </w:pPr>
      <w:r>
        <w:t>The RFA requires an agency to describe any significant alternatives, specific to small entities,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rPr>
        <w:footnoteReference w:id="80"/>
      </w:r>
    </w:p>
    <w:p w:rsidR="00306339" w:rsidRDefault="00306339" w:rsidP="00876D6C">
      <w:pPr>
        <w:pStyle w:val="ParaNum"/>
      </w:pPr>
      <w:r>
        <w:t xml:space="preserve">In general, alternatives to </w:t>
      </w:r>
      <w:r w:rsidR="005D0E50">
        <w:t xml:space="preserve">final </w:t>
      </w:r>
      <w:r>
        <w:t xml:space="preserve">rules are discussed only when those rules pose a significant adverse economic impact on small entities.  In this context, however, the proposed rules generally confer benefits.  In particular, </w:t>
      </w:r>
      <w:r w:rsidR="005D0E50">
        <w:t xml:space="preserve">technical standards for </w:t>
      </w:r>
      <w:r>
        <w:t xml:space="preserve">interoperability benefit the smaller </w:t>
      </w:r>
      <w:r w:rsidR="005D0E50">
        <w:t xml:space="preserve">VRS </w:t>
      </w:r>
      <w:r>
        <w:t xml:space="preserve">providers because consumers find the services of smaller providers to be more attractive when these services are interoperable than when they are not interoperable.  These benefits outweigh any burdens associated with compliance.  Moreover, because all of the VRS providers participated in the discussions associated with the development of the standards, the </w:t>
      </w:r>
      <w:r w:rsidR="005D0E50">
        <w:t xml:space="preserve">Bureau </w:t>
      </w:r>
      <w:r>
        <w:t xml:space="preserve">believes that these standards are acceptable to all VRS providers, including small entities.  </w:t>
      </w:r>
      <w:r w:rsidR="00315F56">
        <w:t>Further,</w:t>
      </w:r>
      <w:r w:rsidR="007E6CA4">
        <w:t xml:space="preserve"> to minimize any adverse impact on VRS providers, the Bureau adopted an alternative that </w:t>
      </w:r>
      <w:r w:rsidR="00E629E4">
        <w:t>narrows the scope of application of the technical standard for the interface between provider networks and user equipment and software</w:t>
      </w:r>
      <w:r w:rsidR="00315F56">
        <w:t xml:space="preserve">, so that it only governs the interface between a provider’s network and </w:t>
      </w:r>
      <w:r w:rsidR="007E6CA4">
        <w:t xml:space="preserve">user </w:t>
      </w:r>
      <w:r w:rsidR="00315F56">
        <w:t xml:space="preserve">equipment that </w:t>
      </w:r>
      <w:r w:rsidR="007E6CA4">
        <w:t>employs designated open-source user software, rather than all user equipment and software.</w:t>
      </w:r>
      <w:r w:rsidR="00477025">
        <w:rPr>
          <w:rStyle w:val="FootnoteReference"/>
        </w:rPr>
        <w:footnoteReference w:id="81"/>
      </w:r>
      <w:r w:rsidR="007E6CA4">
        <w:t xml:space="preserve">  </w:t>
      </w:r>
      <w:r>
        <w:t xml:space="preserve">Lastly, the </w:t>
      </w:r>
      <w:r w:rsidR="005D0E50">
        <w:t xml:space="preserve">Report and Order allows extended </w:t>
      </w:r>
      <w:r>
        <w:t xml:space="preserve">implementation </w:t>
      </w:r>
      <w:r w:rsidR="005D0E50">
        <w:t xml:space="preserve">periods </w:t>
      </w:r>
      <w:r>
        <w:t xml:space="preserve">to ensure that </w:t>
      </w:r>
      <w:r w:rsidR="005D0E50">
        <w:t>providers have sufficient time to implement the standards</w:t>
      </w:r>
      <w:r>
        <w:t>.</w:t>
      </w:r>
    </w:p>
    <w:p w:rsidR="00306339" w:rsidRDefault="00306339" w:rsidP="00DB4066">
      <w:pPr>
        <w:pStyle w:val="Heading2"/>
      </w:pPr>
      <w:bookmarkStart w:id="71" w:name="_Toc358122693"/>
      <w:bookmarkStart w:id="72" w:name="_Toc358124828"/>
      <w:bookmarkStart w:id="73" w:name="_Toc358125392"/>
      <w:bookmarkStart w:id="74" w:name="_Toc358128682"/>
      <w:r>
        <w:t>Federal Rules that May Duplicate, Overlap, or Conflict with Proposed Rules</w:t>
      </w:r>
      <w:bookmarkEnd w:id="71"/>
      <w:bookmarkEnd w:id="72"/>
      <w:bookmarkEnd w:id="73"/>
      <w:bookmarkEnd w:id="74"/>
    </w:p>
    <w:p w:rsidR="00306339" w:rsidRDefault="00306339" w:rsidP="00876D6C">
      <w:pPr>
        <w:pStyle w:val="ParaNum"/>
        <w:sectPr w:rsidR="00306339" w:rsidSect="00E9077E">
          <w:headerReference w:type="default" r:id="rId29"/>
          <w:footerReference w:type="even" r:id="rId30"/>
          <w:footerReference w:type="default" r:id="rId31"/>
          <w:headerReference w:type="first" r:id="rId32"/>
          <w:footerReference w:type="first" r:id="rId33"/>
          <w:footnotePr>
            <w:numRestart w:val="eachSect"/>
          </w:footnotePr>
          <w:endnotePr>
            <w:numFmt w:val="decimal"/>
          </w:endnotePr>
          <w:pgSz w:w="12240" w:h="15840"/>
          <w:pgMar w:top="1440" w:right="1440" w:bottom="720" w:left="1440" w:header="720" w:footer="720" w:gutter="0"/>
          <w:cols w:space="720"/>
          <w:noEndnote/>
          <w:titlePg/>
        </w:sectPr>
      </w:pPr>
      <w:r>
        <w:t>None.</w:t>
      </w:r>
    </w:p>
    <w:p w:rsidR="00306339" w:rsidRPr="0029200A" w:rsidRDefault="00306339" w:rsidP="00306339">
      <w:pPr>
        <w:spacing w:after="120"/>
        <w:jc w:val="center"/>
        <w:rPr>
          <w:b/>
          <w:bCs/>
          <w:kern w:val="0"/>
        </w:rPr>
      </w:pPr>
      <w:r w:rsidRPr="0029200A">
        <w:rPr>
          <w:b/>
          <w:bCs/>
          <w:kern w:val="0"/>
        </w:rPr>
        <w:t xml:space="preserve">APPENDIX </w:t>
      </w:r>
      <w:r w:rsidR="004D7061">
        <w:rPr>
          <w:b/>
          <w:bCs/>
          <w:kern w:val="0"/>
        </w:rPr>
        <w:t>D</w:t>
      </w:r>
    </w:p>
    <w:p w:rsidR="00306339" w:rsidRDefault="00306339" w:rsidP="009E584A">
      <w:pPr>
        <w:spacing w:after="240"/>
        <w:jc w:val="center"/>
        <w:rPr>
          <w:b/>
          <w:bCs/>
          <w:kern w:val="0"/>
        </w:rPr>
      </w:pPr>
      <w:r>
        <w:rPr>
          <w:b/>
          <w:bCs/>
          <w:kern w:val="0"/>
        </w:rPr>
        <w:t>Initial</w:t>
      </w:r>
      <w:r w:rsidRPr="0029200A">
        <w:rPr>
          <w:b/>
          <w:bCs/>
          <w:kern w:val="0"/>
        </w:rPr>
        <w:t xml:space="preserve"> Regulatory Flexibility Analysis</w:t>
      </w:r>
    </w:p>
    <w:p w:rsidR="005D0E50" w:rsidRPr="005D0E50" w:rsidRDefault="005D0E50" w:rsidP="00876D6C">
      <w:pPr>
        <w:pStyle w:val="ParaNum"/>
        <w:numPr>
          <w:ilvl w:val="0"/>
          <w:numId w:val="17"/>
        </w:numPr>
      </w:pPr>
      <w:r w:rsidRPr="005D0E50">
        <w:t>As required by the Regulatory Flexibility Act, as amended (RFA),</w:t>
      </w:r>
      <w:r w:rsidRPr="005D0E50">
        <w:rPr>
          <w:sz w:val="20"/>
          <w:vertAlign w:val="superscript"/>
        </w:rPr>
        <w:footnoteReference w:id="82"/>
      </w:r>
      <w:r w:rsidRPr="005D0E50">
        <w:t xml:space="preserve"> the </w:t>
      </w:r>
      <w:r w:rsidR="00315F56">
        <w:t>Bureau</w:t>
      </w:r>
      <w:r w:rsidR="00315F56" w:rsidRPr="005D0E50">
        <w:t xml:space="preserve"> </w:t>
      </w:r>
      <w:r w:rsidRPr="005D0E50">
        <w:t xml:space="preserve">has prepared this Initial Regulatory Flexibility Analysis (IRFA) of the possible significant economic impact on a substantial number of small entities by the policies and rules proposed in </w:t>
      </w:r>
      <w:r w:rsidR="00315F56">
        <w:t>the</w:t>
      </w:r>
      <w:r w:rsidR="00315F56" w:rsidRPr="005D0E50">
        <w:t xml:space="preserve"> </w:t>
      </w:r>
      <w:r w:rsidRPr="005D0E50">
        <w:t>Further Notice of Proposed Rule Making (</w:t>
      </w:r>
      <w:r w:rsidRPr="00876D6C">
        <w:rPr>
          <w:i/>
        </w:rPr>
        <w:t>Further Notice</w:t>
      </w:r>
      <w:r w:rsidRPr="005D0E50">
        <w:t xml:space="preserve">).  Written public comments are requested on this IRFA.  Comments must be identified as responses to the IRFA and must be filed by the deadlines for comments specified in the </w:t>
      </w:r>
      <w:r w:rsidRPr="00876D6C">
        <w:rPr>
          <w:i/>
        </w:rPr>
        <w:t>Further</w:t>
      </w:r>
      <w:r w:rsidRPr="005D0E50">
        <w:t xml:space="preserve"> </w:t>
      </w:r>
      <w:r w:rsidRPr="00876D6C">
        <w:rPr>
          <w:i/>
        </w:rPr>
        <w:t>Notice</w:t>
      </w:r>
      <w:r w:rsidRPr="005D0E50">
        <w:t xml:space="preserve">.  The Commission will send a copy of </w:t>
      </w:r>
      <w:r w:rsidR="00315F56">
        <w:t>the</w:t>
      </w:r>
      <w:r w:rsidR="00315F56" w:rsidRPr="005D0E50">
        <w:t xml:space="preserve"> </w:t>
      </w:r>
      <w:r w:rsidRPr="00876D6C">
        <w:rPr>
          <w:i/>
        </w:rPr>
        <w:t>Further Notice</w:t>
      </w:r>
      <w:r w:rsidRPr="005D0E50">
        <w:t>, including this IRFA, to the Chief Counsel for Advocacy of the Small Business Administration (SBA).</w:t>
      </w:r>
      <w:r w:rsidRPr="005D0E50">
        <w:rPr>
          <w:sz w:val="20"/>
          <w:vertAlign w:val="superscript"/>
        </w:rPr>
        <w:footnoteReference w:id="83"/>
      </w:r>
      <w:r w:rsidRPr="005D0E50">
        <w:t xml:space="preserve">  In addition, the </w:t>
      </w:r>
      <w:r w:rsidRPr="00876D6C">
        <w:rPr>
          <w:i/>
        </w:rPr>
        <w:t>Further Notice</w:t>
      </w:r>
      <w:r w:rsidRPr="005D0E50">
        <w:t xml:space="preserve"> and IRFA (or summaries thereof) will be published in the Federal Register.</w:t>
      </w:r>
      <w:r w:rsidRPr="005D0E50">
        <w:rPr>
          <w:sz w:val="20"/>
          <w:vertAlign w:val="superscript"/>
        </w:rPr>
        <w:footnoteReference w:id="84"/>
      </w:r>
    </w:p>
    <w:p w:rsidR="005D0E50" w:rsidRPr="005D0E50" w:rsidRDefault="005D0E50" w:rsidP="005D0E50">
      <w:pPr>
        <w:keepNext/>
        <w:numPr>
          <w:ilvl w:val="1"/>
          <w:numId w:val="13"/>
        </w:numPr>
        <w:spacing w:after="120"/>
        <w:outlineLvl w:val="1"/>
        <w:rPr>
          <w:rFonts w:eastAsia="Calibri"/>
          <w:b/>
          <w:bCs/>
          <w:snapToGrid/>
          <w:kern w:val="0"/>
        </w:rPr>
      </w:pPr>
      <w:bookmarkStart w:id="75" w:name="_Toc469484243"/>
      <w:bookmarkStart w:id="76" w:name="_Toc469484791"/>
      <w:bookmarkStart w:id="77" w:name="_Toc469485540"/>
      <w:r w:rsidRPr="005D0E50">
        <w:rPr>
          <w:rFonts w:eastAsia="Calibri"/>
          <w:b/>
          <w:bCs/>
          <w:snapToGrid/>
          <w:kern w:val="0"/>
        </w:rPr>
        <w:t>Need for, and Objectives of, the Proposed Rules</w:t>
      </w:r>
      <w:bookmarkEnd w:id="75"/>
      <w:bookmarkEnd w:id="76"/>
      <w:bookmarkEnd w:id="77"/>
    </w:p>
    <w:p w:rsidR="005D0E50" w:rsidRPr="005D0E50" w:rsidRDefault="002E516D" w:rsidP="00876D6C">
      <w:pPr>
        <w:pStyle w:val="ParaNum"/>
      </w:pPr>
      <w:r w:rsidRPr="005D0E50">
        <w:t xml:space="preserve">In this </w:t>
      </w:r>
      <w:r w:rsidRPr="005D0E50">
        <w:rPr>
          <w:i/>
        </w:rPr>
        <w:t>Further Notice</w:t>
      </w:r>
      <w:r w:rsidRPr="005D0E50">
        <w:t xml:space="preserve">, the </w:t>
      </w:r>
      <w:r>
        <w:t xml:space="preserve">Bureau seeks comment on whether, in order to further functional equivalence and the intent of the VRS interoperability and portability requirements to </w:t>
      </w:r>
      <w:r w:rsidRPr="0000603E">
        <w:t>“allow VRS users to make and receive calls through any VRS provider, and to choose a different default provider, without changing the VRS access technology they use to place calls</w:t>
      </w:r>
      <w:r>
        <w:t>,</w:t>
      </w:r>
      <w:r w:rsidRPr="0000603E">
        <w:t>”</w:t>
      </w:r>
      <w:r>
        <w:rPr>
          <w:rStyle w:val="FootnoteReference"/>
        </w:rPr>
        <w:footnoteReference w:id="85"/>
      </w:r>
      <w:r w:rsidRPr="0000603E">
        <w:t xml:space="preserve"> </w:t>
      </w:r>
      <w:r>
        <w:t>the scope of application of the RUE Profile,</w:t>
      </w:r>
      <w:r w:rsidR="00D20DD2">
        <w:rPr>
          <w:rStyle w:val="FootnoteReference"/>
        </w:rPr>
        <w:footnoteReference w:id="86"/>
      </w:r>
      <w:r>
        <w:t xml:space="preserve"> the technical standard for user equipment and software, should be expanded beyond the interface between provider networks and user equipment employing ACE software, to apply more generally to the interface between provider networks and provider-supplied user equipment and software.</w:t>
      </w:r>
      <w:r w:rsidR="00A75BB8">
        <w:t xml:space="preserve">  </w:t>
      </w:r>
      <w:r>
        <w:t>Comment is sought on a variety of alternatives, including the alternative of leaving the rule as is.</w:t>
      </w:r>
      <w:r w:rsidR="005D0E50" w:rsidRPr="005D0E50">
        <w:t xml:space="preserve">  </w:t>
      </w:r>
    </w:p>
    <w:p w:rsidR="005D0E50" w:rsidRPr="005D0E50" w:rsidRDefault="005D0E50" w:rsidP="00DB4066">
      <w:pPr>
        <w:pStyle w:val="Heading2"/>
        <w:rPr>
          <w:rFonts w:eastAsia="Calibri"/>
          <w:snapToGrid/>
        </w:rPr>
      </w:pPr>
      <w:bookmarkStart w:id="78" w:name="_Toc469484244"/>
      <w:bookmarkStart w:id="79" w:name="_Toc469484792"/>
      <w:bookmarkStart w:id="80" w:name="_Toc469485541"/>
      <w:r w:rsidRPr="005D0E50">
        <w:rPr>
          <w:rFonts w:eastAsia="Calibri"/>
          <w:snapToGrid/>
        </w:rPr>
        <w:t>Legal Basis</w:t>
      </w:r>
      <w:bookmarkEnd w:id="78"/>
      <w:bookmarkEnd w:id="79"/>
      <w:bookmarkEnd w:id="80"/>
    </w:p>
    <w:p w:rsidR="005D0E50" w:rsidRPr="005D0E50" w:rsidRDefault="005D0E50" w:rsidP="00876D6C">
      <w:pPr>
        <w:pStyle w:val="ParaNum"/>
      </w:pPr>
      <w:r w:rsidRPr="005D0E50">
        <w:t>The proposed action is authorized under sections 1, 2, 4(i), 225, 251, 255, 303, 316, and 716 of the Communications Act of 1934, as amended, section 6 of the Wireless Communications and Public Safety Act of 1999, and section 106 of the CVAA; 47 U.S.C. §§ 151, 152, 154(i), 225, 255, 303, 316, 615a-1, 615c, 617.</w:t>
      </w:r>
    </w:p>
    <w:p w:rsidR="005D0E50" w:rsidRPr="005D0E50" w:rsidRDefault="005D0E50" w:rsidP="00DB4066">
      <w:pPr>
        <w:pStyle w:val="Heading2"/>
        <w:rPr>
          <w:rFonts w:eastAsia="Calibri"/>
          <w:snapToGrid/>
        </w:rPr>
      </w:pPr>
      <w:bookmarkStart w:id="81" w:name="_Toc469484245"/>
      <w:bookmarkStart w:id="82" w:name="_Toc469484793"/>
      <w:bookmarkStart w:id="83" w:name="_Toc469485542"/>
      <w:r w:rsidRPr="005D0E50">
        <w:rPr>
          <w:rFonts w:eastAsia="Calibri"/>
          <w:snapToGrid/>
        </w:rPr>
        <w:t>Description and Estimate of the Number of Small Entities to Which the Proposed Rules Will Apply</w:t>
      </w:r>
      <w:bookmarkEnd w:id="81"/>
      <w:bookmarkEnd w:id="82"/>
      <w:bookmarkEnd w:id="83"/>
    </w:p>
    <w:p w:rsidR="005D0E50" w:rsidRPr="005D0E50" w:rsidRDefault="005D0E50" w:rsidP="00876D6C">
      <w:pPr>
        <w:pStyle w:val="ParaNum"/>
      </w:pPr>
      <w:r w:rsidRPr="005D0E50">
        <w:t>The RFA directs agencies to provide a description and, where feasible, an estimate of the number of small entities that may be affected by the proposed rules, if adopted.</w:t>
      </w:r>
      <w:r w:rsidRPr="005D0E50">
        <w:rPr>
          <w:sz w:val="20"/>
          <w:vertAlign w:val="superscript"/>
        </w:rPr>
        <w:footnoteReference w:id="87"/>
      </w:r>
      <w:r w:rsidRPr="005D0E50">
        <w:t xml:space="preserve">  The RFA generally defines the term “small entity” as having the same meaning as the terms “small business,” “small organization,” and “small governmental jurisdiction.”</w:t>
      </w:r>
      <w:r w:rsidRPr="005D0E50">
        <w:rPr>
          <w:sz w:val="20"/>
          <w:vertAlign w:val="superscript"/>
        </w:rPr>
        <w:footnoteReference w:id="88"/>
      </w:r>
      <w:r w:rsidRPr="005D0E50">
        <w:t xml:space="preserve">  In addition, the term “small business” has the same meaning as the term “small-business concern” under the Small Business Act.</w:t>
      </w:r>
      <w:r w:rsidRPr="005D0E50">
        <w:rPr>
          <w:sz w:val="20"/>
          <w:vertAlign w:val="superscript"/>
        </w:rPr>
        <w:footnoteReference w:id="89"/>
      </w:r>
      <w:r w:rsidRPr="005D0E50">
        <w:t xml:space="preserve">  A “small-business concern” is one which:  (1) is independently owned and operated; (2) is not dominant in its field of operation; and (3) satisfies any additional criteria established by the SBA.</w:t>
      </w:r>
      <w:r w:rsidRPr="005D0E50">
        <w:rPr>
          <w:sz w:val="20"/>
          <w:vertAlign w:val="superscript"/>
        </w:rPr>
        <w:footnoteReference w:id="90"/>
      </w:r>
    </w:p>
    <w:p w:rsidR="005D0E50" w:rsidRPr="005D0E50" w:rsidRDefault="005D0E50" w:rsidP="00876D6C">
      <w:pPr>
        <w:pStyle w:val="ParaNum"/>
      </w:pPr>
      <w:r w:rsidRPr="005D0E50">
        <w:t xml:space="preserve">The proposals in the </w:t>
      </w:r>
      <w:r w:rsidRPr="005D0E50">
        <w:rPr>
          <w:i/>
        </w:rPr>
        <w:t>Further Notice</w:t>
      </w:r>
      <w:r w:rsidRPr="005D0E50">
        <w:t xml:space="preserve"> will affect obligations </w:t>
      </w:r>
      <w:r w:rsidR="00D960B1">
        <w:t>of VRS providers, who are classified by the Census Bureau as “all other telecommunications.”</w:t>
      </w:r>
      <w:r w:rsidRPr="005D0E50">
        <w:t xml:space="preserve">  </w:t>
      </w:r>
    </w:p>
    <w:p w:rsidR="00315F56" w:rsidRDefault="00315F56" w:rsidP="00876D6C">
      <w:pPr>
        <w:pStyle w:val="ParaNum"/>
      </w:pPr>
      <w:bookmarkStart w:id="84" w:name="_Toc469484251"/>
      <w:bookmarkStart w:id="85" w:name="_Toc469484799"/>
      <w:bookmarkStart w:id="86" w:name="_Toc469485548"/>
      <w:r w:rsidRPr="006A0E46">
        <w:t>A small business is an independent business having less than 500 employees.  Nationwide, there a</w:t>
      </w:r>
      <w:r>
        <w:t>re approximately 28.8</w:t>
      </w:r>
      <w:r w:rsidRPr="006A0E46">
        <w:t xml:space="preserve"> million small businesses, according to the SBA.</w:t>
      </w:r>
      <w:r w:rsidRPr="00F36E67">
        <w:rPr>
          <w:rStyle w:val="FootnoteReference"/>
        </w:rPr>
        <w:footnoteReference w:id="91"/>
      </w:r>
      <w:r w:rsidRPr="006A0E46">
        <w:t xml:space="preserve">  The </w:t>
      </w:r>
      <w:r>
        <w:t>rules</w:t>
      </w:r>
      <w:r w:rsidRPr="006A0E46">
        <w:t xml:space="preserve"> </w:t>
      </w:r>
      <w:r>
        <w:t xml:space="preserve">adopted </w:t>
      </w:r>
      <w:r w:rsidRPr="006A0E46">
        <w:t xml:space="preserve">in the </w:t>
      </w:r>
      <w:r>
        <w:rPr>
          <w:i/>
        </w:rPr>
        <w:t>Report and Order</w:t>
      </w:r>
      <w:r w:rsidRPr="006A0E46">
        <w:t xml:space="preserve"> will affect obligations o</w:t>
      </w:r>
      <w:r>
        <w:t xml:space="preserve">f providers of VRS. </w:t>
      </w:r>
      <w:r w:rsidRPr="006A0E46">
        <w:t xml:space="preserve"> Affected small entities as defined by industry are as follows.</w:t>
      </w:r>
    </w:p>
    <w:p w:rsidR="00315F56" w:rsidRPr="005D0E50" w:rsidRDefault="00315F56" w:rsidP="00876D6C">
      <w:pPr>
        <w:pStyle w:val="ParaNum"/>
      </w:pPr>
      <w:r w:rsidRPr="005D0E50">
        <w:rPr>
          <w:i/>
        </w:rPr>
        <w:t>All Other Telecommunications</w:t>
      </w:r>
      <w:r w:rsidRPr="005D0E50">
        <w:t>.  The Census Bureau defines this industry as including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5D0E50">
        <w:rPr>
          <w:sz w:val="20"/>
          <w:vertAlign w:val="superscript"/>
        </w:rPr>
        <w:footnoteReference w:id="92"/>
      </w:r>
      <w:r w:rsidRPr="005D0E50">
        <w:t xml:space="preserve">  The SBA has developed a small business size standard for this category; that size standard is $32.5 million or less in average annual receipts.</w:t>
      </w:r>
      <w:r w:rsidRPr="005D0E50">
        <w:rPr>
          <w:sz w:val="20"/>
          <w:vertAlign w:val="superscript"/>
        </w:rPr>
        <w:footnoteReference w:id="93"/>
      </w:r>
      <w:r w:rsidRPr="005D0E50">
        <w:t xml:space="preserve">  For this category, census data for 2012, there were 1,442 firms that operated for the entire year.  Of these firms, a total of 1,400 had gross annual receipts of under $25 million.</w:t>
      </w:r>
      <w:r w:rsidRPr="005D0E50">
        <w:rPr>
          <w:sz w:val="20"/>
          <w:vertAlign w:val="superscript"/>
        </w:rPr>
        <w:footnoteReference w:id="94"/>
      </w:r>
      <w:r w:rsidRPr="005D0E50">
        <w:t xml:space="preserve">  Consequently, we estimate that the majority of these firms are small entities. </w:t>
      </w:r>
    </w:p>
    <w:p w:rsidR="00315F56" w:rsidRDefault="00315F56" w:rsidP="00876D6C">
      <w:pPr>
        <w:pStyle w:val="ParaNum"/>
      </w:pPr>
      <w:r>
        <w:rPr>
          <w:i/>
        </w:rPr>
        <w:t>V</w:t>
      </w:r>
      <w:r w:rsidRPr="005D0E50">
        <w:rPr>
          <w:i/>
        </w:rPr>
        <w:t>RS Providers.</w:t>
      </w:r>
      <w:r w:rsidRPr="005D0E50">
        <w:t xml:space="preserve">  </w:t>
      </w:r>
      <w:r>
        <w:t>V</w:t>
      </w:r>
      <w:r w:rsidRPr="005D0E50">
        <w:t xml:space="preserve">RS providers are generally classified within the broad category of “All Other Telecommunications.”  </w:t>
      </w:r>
      <w:r>
        <w:t>Five</w:t>
      </w:r>
      <w:r w:rsidRPr="005D0E50">
        <w:t xml:space="preserve"> providers currently receive compensation from the Interstate Telecommunications Relay Service (TRS) Fund for providing </w:t>
      </w:r>
      <w:r>
        <w:t>V</w:t>
      </w:r>
      <w:r w:rsidRPr="005D0E50">
        <w:t xml:space="preserve">RS:  ASL Services Holdings, LLC; </w:t>
      </w:r>
      <w:r>
        <w:t>Z</w:t>
      </w:r>
      <w:r w:rsidRPr="005D0E50">
        <w:t>VRS, LLC; Convo Communications, LLC; Purple Communications, Inc.; and Sorenson Communications, Inc.  The SBA has developed a small business size standard for All Other Telecommunications, which consists of all such firms with gross annual receipts of $32.5 million or less.</w:t>
      </w:r>
      <w:r w:rsidRPr="005D0E50">
        <w:rPr>
          <w:sz w:val="20"/>
          <w:vertAlign w:val="superscript"/>
        </w:rPr>
        <w:footnoteReference w:id="95"/>
      </w:r>
      <w:r w:rsidRPr="005D0E50">
        <w:t xml:space="preserve">  For this category, census data for 2012 show that there were 1,442 firms that operated for the entire year.  Of these firms, a total of 1,400 had gross annual receipts of less than $25 million.</w:t>
      </w:r>
      <w:r w:rsidRPr="005D0E50">
        <w:rPr>
          <w:sz w:val="20"/>
          <w:vertAlign w:val="superscript"/>
        </w:rPr>
        <w:footnoteReference w:id="96"/>
      </w:r>
      <w:r w:rsidRPr="005D0E50">
        <w:t xml:space="preserve">  Under this category and the associated small business size standard, approximately half of the </w:t>
      </w:r>
      <w:r>
        <w:t>V</w:t>
      </w:r>
      <w:r w:rsidRPr="005D0E50">
        <w:t>RS providers can be considered small.</w:t>
      </w:r>
    </w:p>
    <w:p w:rsidR="005D0E50" w:rsidRPr="005D0E50" w:rsidRDefault="005D0E50" w:rsidP="00DB4066">
      <w:pPr>
        <w:pStyle w:val="Heading2"/>
        <w:rPr>
          <w:rFonts w:eastAsia="Calibri"/>
          <w:snapToGrid/>
        </w:rPr>
      </w:pPr>
      <w:r w:rsidRPr="005D0E50">
        <w:rPr>
          <w:rFonts w:eastAsia="Calibri"/>
          <w:snapToGrid/>
        </w:rPr>
        <w:t>Description of Projected Reporting, Recordkeeping, and Other Compliance Requirements</w:t>
      </w:r>
      <w:bookmarkEnd w:id="84"/>
      <w:bookmarkEnd w:id="85"/>
      <w:bookmarkEnd w:id="86"/>
    </w:p>
    <w:p w:rsidR="005D0E50" w:rsidRPr="005D0E50" w:rsidRDefault="002E516D" w:rsidP="00876D6C">
      <w:pPr>
        <w:pStyle w:val="ParaNum"/>
      </w:pPr>
      <w:r>
        <w:t xml:space="preserve">The </w:t>
      </w:r>
      <w:r w:rsidRPr="005D0E50">
        <w:rPr>
          <w:i/>
        </w:rPr>
        <w:t xml:space="preserve">Further Notice </w:t>
      </w:r>
      <w:r>
        <w:t xml:space="preserve">does </w:t>
      </w:r>
      <w:r w:rsidRPr="005D0E50">
        <w:t>not include new or modified reporting, recordkeeping, and other compliance requirements</w:t>
      </w:r>
      <w:r>
        <w:t xml:space="preserve">, except for compliance with a potentially broader application of the RUE Profile technical standard, to apply more generally to the interface between a VRS provider and provider-supplied user equipment and software. </w:t>
      </w:r>
    </w:p>
    <w:p w:rsidR="005D0E50" w:rsidRPr="005D0E50" w:rsidRDefault="005D0E50" w:rsidP="00DB4066">
      <w:pPr>
        <w:pStyle w:val="Heading2"/>
        <w:rPr>
          <w:rFonts w:eastAsia="Calibri"/>
          <w:snapToGrid/>
        </w:rPr>
      </w:pPr>
      <w:bookmarkStart w:id="87" w:name="_Toc469484252"/>
      <w:bookmarkStart w:id="88" w:name="_Toc469484800"/>
      <w:bookmarkStart w:id="89" w:name="_Toc469485549"/>
      <w:r w:rsidRPr="005D0E50">
        <w:rPr>
          <w:rFonts w:eastAsia="Calibri"/>
          <w:snapToGrid/>
        </w:rPr>
        <w:t>Steps taken to Minimize Significant Economic Impact on Small Entities, and Significant Alternatives Considered</w:t>
      </w:r>
      <w:bookmarkEnd w:id="87"/>
      <w:bookmarkEnd w:id="88"/>
      <w:bookmarkEnd w:id="89"/>
    </w:p>
    <w:p w:rsidR="005D0E50" w:rsidRPr="005D0E50" w:rsidRDefault="005D0E50" w:rsidP="00876D6C">
      <w:pPr>
        <w:pStyle w:val="ParaNum"/>
      </w:pPr>
      <w:r w:rsidRPr="005D0E50">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p>
    <w:p w:rsidR="005D0E50" w:rsidRPr="005D0E50" w:rsidRDefault="002E516D" w:rsidP="00876D6C">
      <w:pPr>
        <w:pStyle w:val="ParaNum"/>
      </w:pPr>
      <w:r>
        <w:t>Regarding the possible broadening of the application of the RUE Profile</w:t>
      </w:r>
      <w:r w:rsidR="007C3842">
        <w:t>, the Further Notice seeks comment on a variety of alternative approaches, including alternatives with minimal or no impact on small entities.</w:t>
      </w:r>
    </w:p>
    <w:p w:rsidR="005D0E50" w:rsidRPr="005D0E50" w:rsidRDefault="005D0E50" w:rsidP="00DB4066">
      <w:pPr>
        <w:pStyle w:val="Heading2"/>
        <w:rPr>
          <w:rFonts w:eastAsia="Calibri"/>
          <w:snapToGrid/>
        </w:rPr>
      </w:pPr>
      <w:bookmarkStart w:id="90" w:name="_Toc469484253"/>
      <w:bookmarkStart w:id="91" w:name="_Toc469484801"/>
      <w:bookmarkStart w:id="92" w:name="_Toc469485550"/>
      <w:r w:rsidRPr="005D0E50">
        <w:rPr>
          <w:rFonts w:eastAsia="Calibri"/>
          <w:snapToGrid/>
        </w:rPr>
        <w:t>Federal Rules that May Duplicate, Overlap, or Conflict with the Commission’s Proposals</w:t>
      </w:r>
      <w:bookmarkEnd w:id="90"/>
      <w:bookmarkEnd w:id="91"/>
      <w:bookmarkEnd w:id="92"/>
      <w:r w:rsidRPr="005D0E50">
        <w:rPr>
          <w:rFonts w:eastAsia="Calibri"/>
          <w:snapToGrid/>
        </w:rPr>
        <w:t xml:space="preserve"> </w:t>
      </w:r>
    </w:p>
    <w:p w:rsidR="0029200A" w:rsidRDefault="005D0E50" w:rsidP="00876D6C">
      <w:pPr>
        <w:pStyle w:val="ParaNum"/>
      </w:pPr>
      <w:r w:rsidRPr="005D0E50">
        <w:t>None.</w:t>
      </w:r>
    </w:p>
    <w:sectPr w:rsidR="0029200A" w:rsidSect="00E9077E">
      <w:headerReference w:type="default" r:id="rId34"/>
      <w:footerReference w:type="default" r:id="rId35"/>
      <w:headerReference w:type="first" r:id="rId36"/>
      <w:footerReference w:type="first" r:id="rId37"/>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C21" w:rsidRDefault="00A97C21">
      <w:pPr>
        <w:spacing w:line="20" w:lineRule="exact"/>
      </w:pPr>
    </w:p>
  </w:endnote>
  <w:endnote w:type="continuationSeparator" w:id="0">
    <w:p w:rsidR="00A97C21" w:rsidRDefault="00A97C21">
      <w:r>
        <w:t xml:space="preserve"> </w:t>
      </w:r>
    </w:p>
  </w:endnote>
  <w:endnote w:type="continuationNotice" w:id="1">
    <w:p w:rsidR="00A97C21" w:rsidRDefault="00A97C2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E1" w:rsidRDefault="00EC3FE1">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EC3FE1" w:rsidRDefault="00EC3FE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976106"/>
      <w:docPartObj>
        <w:docPartGallery w:val="Page Numbers (Bottom of Page)"/>
        <w:docPartUnique/>
      </w:docPartObj>
    </w:sdtPr>
    <w:sdtEndPr>
      <w:rPr>
        <w:noProof/>
      </w:rPr>
    </w:sdtEndPr>
    <w:sdtContent>
      <w:p w:rsidR="009E584A" w:rsidRDefault="009E584A" w:rsidP="00876D6C">
        <w:pPr>
          <w:pStyle w:val="Footer"/>
          <w:jc w:val="center"/>
        </w:pPr>
        <w:r>
          <w:fldChar w:fldCharType="begin"/>
        </w:r>
        <w:r>
          <w:instrText xml:space="preserve"> PAGE   \* MERGEFORMAT </w:instrText>
        </w:r>
        <w:r>
          <w:fldChar w:fldCharType="separate"/>
        </w:r>
        <w:r w:rsidR="00DB4066">
          <w:rPr>
            <w:noProof/>
          </w:rPr>
          <w:t>19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358340"/>
      <w:docPartObj>
        <w:docPartGallery w:val="Page Numbers (Bottom of Page)"/>
        <w:docPartUnique/>
      </w:docPartObj>
    </w:sdtPr>
    <w:sdtEndPr>
      <w:rPr>
        <w:noProof/>
      </w:rPr>
    </w:sdtEndPr>
    <w:sdtContent>
      <w:p w:rsidR="00EC3FE1" w:rsidRPr="00876D6C" w:rsidRDefault="00876D6C" w:rsidP="00876D6C">
        <w:pPr>
          <w:pStyle w:val="Footer"/>
          <w:jc w:val="center"/>
        </w:pPr>
        <w:r>
          <w:fldChar w:fldCharType="begin"/>
        </w:r>
        <w:r>
          <w:instrText xml:space="preserve"> PAGE   \* MERGEFORMAT </w:instrText>
        </w:r>
        <w:r>
          <w:fldChar w:fldCharType="separate"/>
        </w:r>
        <w:r w:rsidR="002358FC">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593267"/>
      <w:docPartObj>
        <w:docPartGallery w:val="Page Numbers (Bottom of Page)"/>
        <w:docPartUnique/>
      </w:docPartObj>
    </w:sdtPr>
    <w:sdtEndPr>
      <w:rPr>
        <w:noProof/>
      </w:rPr>
    </w:sdtEndPr>
    <w:sdtContent>
      <w:p w:rsidR="00876D6C" w:rsidRDefault="002358FC" w:rsidP="00876D6C">
        <w:pPr>
          <w:pStyle w:val="Footer"/>
          <w:jc w:val="cen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702789"/>
      <w:docPartObj>
        <w:docPartGallery w:val="Page Numbers (Bottom of Page)"/>
        <w:docPartUnique/>
      </w:docPartObj>
    </w:sdtPr>
    <w:sdtEndPr>
      <w:rPr>
        <w:noProof/>
      </w:rPr>
    </w:sdtEndPr>
    <w:sdtContent>
      <w:p w:rsidR="009E584A" w:rsidRPr="00876D6C" w:rsidRDefault="009E584A" w:rsidP="00876D6C">
        <w:pPr>
          <w:pStyle w:val="Footer"/>
          <w:jc w:val="center"/>
        </w:pPr>
        <w:r>
          <w:fldChar w:fldCharType="begin"/>
        </w:r>
        <w:r>
          <w:instrText xml:space="preserve"> PAGE   \* MERGEFORMAT </w:instrText>
        </w:r>
        <w:r>
          <w:fldChar w:fldCharType="separate"/>
        </w:r>
        <w:r w:rsidR="00DB4066">
          <w:rPr>
            <w:noProof/>
          </w:rPr>
          <w:t>12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255038"/>
      <w:docPartObj>
        <w:docPartGallery w:val="Page Numbers (Bottom of Page)"/>
        <w:docPartUnique/>
      </w:docPartObj>
    </w:sdtPr>
    <w:sdtEndPr>
      <w:rPr>
        <w:noProof/>
      </w:rPr>
    </w:sdtEndPr>
    <w:sdtContent>
      <w:p w:rsidR="00876D6C" w:rsidRPr="00876D6C" w:rsidRDefault="00876D6C" w:rsidP="00876D6C">
        <w:pPr>
          <w:pStyle w:val="Footer"/>
          <w:jc w:val="center"/>
        </w:pPr>
        <w:r>
          <w:fldChar w:fldCharType="begin"/>
        </w:r>
        <w:r>
          <w:instrText xml:space="preserve"> PAGE   \* MERGEFORMAT </w:instrText>
        </w:r>
        <w:r>
          <w:fldChar w:fldCharType="separate"/>
        </w:r>
        <w:r w:rsidR="00DB4066">
          <w:rPr>
            <w:noProof/>
          </w:rPr>
          <w:t>14</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E1" w:rsidRDefault="00EC3FE1" w:rsidP="0055614C">
    <w:pPr>
      <w:pStyle w:val="Footer"/>
      <w:framePr w:wrap="around" w:vAnchor="text" w:hAnchor="margin" w:xAlign="center" w:y="1"/>
    </w:pPr>
    <w:r>
      <w:fldChar w:fldCharType="begin"/>
    </w:r>
    <w:r>
      <w:instrText xml:space="preserve">PAGE  </w:instrText>
    </w:r>
    <w:r>
      <w:fldChar w:fldCharType="end"/>
    </w:r>
  </w:p>
  <w:p w:rsidR="00EC3FE1" w:rsidRDefault="00EC3FE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105089"/>
      <w:docPartObj>
        <w:docPartGallery w:val="Page Numbers (Bottom of Page)"/>
        <w:docPartUnique/>
      </w:docPartObj>
    </w:sdtPr>
    <w:sdtEndPr>
      <w:rPr>
        <w:noProof/>
      </w:rPr>
    </w:sdtEndPr>
    <w:sdtContent>
      <w:p w:rsidR="00EC3FE1" w:rsidRDefault="00EC3FE1" w:rsidP="009E584A">
        <w:pPr>
          <w:pStyle w:val="Footer"/>
          <w:jc w:val="center"/>
        </w:pPr>
        <w:r>
          <w:fldChar w:fldCharType="begin"/>
        </w:r>
        <w:r>
          <w:instrText xml:space="preserve"> PAGE   \* MERGEFORMAT </w:instrText>
        </w:r>
        <w:r>
          <w:fldChar w:fldCharType="separate"/>
        </w:r>
        <w:r w:rsidR="00DB4066">
          <w:rPr>
            <w:noProof/>
          </w:rPr>
          <w:t>18</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543807"/>
      <w:docPartObj>
        <w:docPartGallery w:val="Page Numbers (Bottom of Page)"/>
        <w:docPartUnique/>
      </w:docPartObj>
    </w:sdtPr>
    <w:sdtEndPr>
      <w:rPr>
        <w:noProof/>
      </w:rPr>
    </w:sdtEndPr>
    <w:sdtContent>
      <w:p w:rsidR="00EC3FE1" w:rsidRDefault="00EC3FE1" w:rsidP="00876D6C">
        <w:pPr>
          <w:pStyle w:val="Footer"/>
          <w:jc w:val="center"/>
        </w:pPr>
        <w:r>
          <w:fldChar w:fldCharType="begin"/>
        </w:r>
        <w:r>
          <w:instrText xml:space="preserve"> PAGE   \* MERGEFORMAT </w:instrText>
        </w:r>
        <w:r>
          <w:fldChar w:fldCharType="separate"/>
        </w:r>
        <w:r w:rsidR="00DB4066">
          <w:rPr>
            <w:noProof/>
          </w:rPr>
          <w:t>15</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932859"/>
      <w:docPartObj>
        <w:docPartGallery w:val="Page Numbers (Bottom of Page)"/>
        <w:docPartUnique/>
      </w:docPartObj>
    </w:sdtPr>
    <w:sdtEndPr>
      <w:rPr>
        <w:noProof/>
      </w:rPr>
    </w:sdtEndPr>
    <w:sdtContent>
      <w:p w:rsidR="009E584A" w:rsidRDefault="009E584A" w:rsidP="009E584A">
        <w:pPr>
          <w:pStyle w:val="Footer"/>
          <w:jc w:val="center"/>
        </w:pPr>
        <w:r>
          <w:fldChar w:fldCharType="begin"/>
        </w:r>
        <w:r>
          <w:instrText xml:space="preserve"> PAGE   \* MERGEFORMAT </w:instrText>
        </w:r>
        <w:r>
          <w:fldChar w:fldCharType="separate"/>
        </w:r>
        <w:r w:rsidR="00DB4066">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C21" w:rsidRDefault="00A97C21">
      <w:r>
        <w:separator/>
      </w:r>
    </w:p>
  </w:footnote>
  <w:footnote w:type="continuationSeparator" w:id="0">
    <w:p w:rsidR="00A97C21" w:rsidRDefault="00A97C21" w:rsidP="00C721AC">
      <w:pPr>
        <w:spacing w:before="120"/>
        <w:rPr>
          <w:sz w:val="20"/>
        </w:rPr>
      </w:pPr>
      <w:r>
        <w:rPr>
          <w:sz w:val="20"/>
        </w:rPr>
        <w:t xml:space="preserve">(Continued from previous page)  </w:t>
      </w:r>
      <w:r>
        <w:rPr>
          <w:sz w:val="20"/>
        </w:rPr>
        <w:separator/>
      </w:r>
    </w:p>
  </w:footnote>
  <w:footnote w:type="continuationNotice" w:id="1">
    <w:p w:rsidR="00A97C21" w:rsidRDefault="00A97C21" w:rsidP="00C721AC">
      <w:pPr>
        <w:jc w:val="right"/>
        <w:rPr>
          <w:sz w:val="20"/>
        </w:rPr>
      </w:pPr>
      <w:r>
        <w:rPr>
          <w:sz w:val="20"/>
        </w:rPr>
        <w:t>(continued….)</w:t>
      </w:r>
    </w:p>
  </w:footnote>
  <w:footnote w:id="2">
    <w:p w:rsidR="00EC3FE1" w:rsidRDefault="00EC3FE1" w:rsidP="003320C8">
      <w:pPr>
        <w:pStyle w:val="FootnoteText"/>
      </w:pPr>
      <w:r>
        <w:rPr>
          <w:rStyle w:val="FootnoteReference"/>
        </w:rPr>
        <w:footnoteRef/>
      </w:r>
      <w:r w:rsidRPr="3055A5F8">
        <w:t xml:space="preserve"> </w:t>
      </w:r>
      <w:r w:rsidRPr="004B5B3A">
        <w:rPr>
          <w:i/>
          <w:iCs/>
        </w:rPr>
        <w:t>Structure and Practices of the Video Relay Service Program</w:t>
      </w:r>
      <w:r>
        <w:rPr>
          <w:i/>
          <w:iCs/>
        </w:rPr>
        <w:t xml:space="preserve"> et al.</w:t>
      </w:r>
      <w:r w:rsidRPr="004B5B3A">
        <w:t>, Report and Order and Further Notice of Proposed Rulemaking, 28 FCC Rcd 8618</w:t>
      </w:r>
      <w:r>
        <w:t xml:space="preserve">, 8620, para. 1 (2013) </w:t>
      </w:r>
      <w:r w:rsidRPr="004B5B3A">
        <w:t>(</w:t>
      </w:r>
      <w:r w:rsidRPr="004B5B3A">
        <w:rPr>
          <w:i/>
          <w:iCs/>
        </w:rPr>
        <w:t>VRS Reform Order</w:t>
      </w:r>
      <w:r w:rsidRPr="004B5B3A">
        <w:t>)</w:t>
      </w:r>
      <w:r>
        <w:t xml:space="preserve">.  </w:t>
      </w:r>
      <w:r w:rsidRPr="008A4FB6">
        <w:t xml:space="preserve">VRS is a type of </w:t>
      </w:r>
      <w:r>
        <w:t>telecommunications relay service (</w:t>
      </w:r>
      <w:r w:rsidRPr="008A4FB6">
        <w:t>TRS</w:t>
      </w:r>
      <w:r>
        <w:t>)</w:t>
      </w:r>
      <w:r w:rsidRPr="008A4FB6">
        <w:t xml:space="preserve"> that allows persons with hearing or speech disabilities to use American Sign Language (ASL) to communicate in near real time through a communications assistant (CA), via video over a broadband Internet connection.  </w:t>
      </w:r>
      <w:r w:rsidRPr="004B5B3A">
        <w:rPr>
          <w:i/>
          <w:iCs/>
        </w:rPr>
        <w:t>See</w:t>
      </w:r>
      <w:r w:rsidRPr="008A4FB6">
        <w:t xml:space="preserve"> 47 C.F.R. § 64.601(a)(</w:t>
      </w:r>
      <w:r>
        <w:t>40</w:t>
      </w:r>
      <w:r w:rsidRPr="008A4FB6">
        <w:t>).</w:t>
      </w:r>
      <w:r>
        <w:t xml:space="preserve">  </w:t>
      </w:r>
      <w:r w:rsidRPr="008A4FB6">
        <w:t>Under</w:t>
      </w:r>
      <w:r>
        <w:t xml:space="preserve"> section 225 of the Communications Act of 1934, as amended (Act)</w:t>
      </w:r>
      <w:r w:rsidRPr="008A4FB6">
        <w:t xml:space="preserve">, the Commission must ensure that TRS “are available, to the extent possible and in the most efficient manner” to persons in the United States who are deaf, hard of hearing, deaf-blind, or who have speech disabilities.  47 U.S.C. § 225(b)(1); </w:t>
      </w:r>
      <w:r w:rsidRPr="004B5B3A">
        <w:rPr>
          <w:i/>
          <w:iCs/>
        </w:rPr>
        <w:t>see also</w:t>
      </w:r>
      <w:r w:rsidRPr="3055A5F8">
        <w:t xml:space="preserve"> </w:t>
      </w:r>
      <w:r w:rsidRPr="004B5B3A">
        <w:rPr>
          <w:i/>
          <w:iCs/>
        </w:rPr>
        <w:t>id</w:t>
      </w:r>
      <w:r w:rsidRPr="008A4FB6">
        <w:t xml:space="preserve">., § 225(a)(3).  </w:t>
      </w:r>
    </w:p>
  </w:footnote>
  <w:footnote w:id="3">
    <w:p w:rsidR="00EC3FE1" w:rsidRPr="0000078C" w:rsidRDefault="00EC3FE1" w:rsidP="003320C8">
      <w:pPr>
        <w:spacing w:after="120"/>
      </w:pPr>
      <w:r w:rsidRPr="005E4837">
        <w:rPr>
          <w:rStyle w:val="FootnoteReference"/>
        </w:rPr>
        <w:footnoteRef/>
      </w:r>
      <w:r w:rsidRPr="3055A5F8">
        <w:rPr>
          <w:sz w:val="20"/>
        </w:rPr>
        <w:t xml:space="preserve"> </w:t>
      </w:r>
      <w:r w:rsidRPr="008D758E">
        <w:rPr>
          <w:i/>
          <w:iCs/>
          <w:sz w:val="20"/>
        </w:rPr>
        <w:t>VRS Reform Order</w:t>
      </w:r>
      <w:r w:rsidRPr="008D758E">
        <w:rPr>
          <w:sz w:val="20"/>
        </w:rPr>
        <w:t xml:space="preserve">, </w:t>
      </w:r>
      <w:r w:rsidRPr="008D758E">
        <w:rPr>
          <w:color w:val="000000"/>
          <w:sz w:val="20"/>
        </w:rPr>
        <w:t>28 FCC Rcd at 8639-41, 8642-44, paras. 40-44, 47-52</w:t>
      </w:r>
      <w:r w:rsidRPr="008D758E">
        <w:rPr>
          <w:sz w:val="20"/>
        </w:rPr>
        <w:t xml:space="preserve">; </w:t>
      </w:r>
      <w:r w:rsidRPr="008D758E">
        <w:rPr>
          <w:i/>
          <w:sz w:val="20"/>
        </w:rPr>
        <w:t>see also id</w:t>
      </w:r>
      <w:r w:rsidRPr="008D758E">
        <w:rPr>
          <w:sz w:val="20"/>
        </w:rPr>
        <w:t>. at 8640, para. 42 (adopting 47 CFR § 64.621 to codify existing interoperability and portability requirements)</w:t>
      </w:r>
      <w:r>
        <w:rPr>
          <w:color w:val="000000"/>
          <w:sz w:val="20"/>
        </w:rPr>
        <w:t>.</w:t>
      </w:r>
      <w:r w:rsidRPr="3055A5F8">
        <w:rPr>
          <w:sz w:val="20"/>
        </w:rPr>
        <w:t xml:space="preserve">  </w:t>
      </w:r>
    </w:p>
  </w:footnote>
  <w:footnote w:id="4">
    <w:p w:rsidR="00EC3FE1" w:rsidRPr="00F45417" w:rsidRDefault="00EC3FE1" w:rsidP="00A6400E">
      <w:pPr>
        <w:pStyle w:val="FootnoteText"/>
      </w:pPr>
      <w:r w:rsidRPr="00F45417">
        <w:rPr>
          <w:rStyle w:val="FootnoteReference"/>
        </w:rPr>
        <w:footnoteRef/>
      </w:r>
      <w:r w:rsidRPr="00F45417">
        <w:t xml:space="preserve"> </w:t>
      </w:r>
      <w:r>
        <w:rPr>
          <w:i/>
          <w:iCs/>
        </w:rPr>
        <w:t>Id.</w:t>
      </w:r>
      <w:r>
        <w:rPr>
          <w:iCs/>
        </w:rPr>
        <w:t xml:space="preserve"> at 8639, para. 40.  </w:t>
      </w:r>
      <w:r w:rsidRPr="00F45417">
        <w:t>A point-to-point call is one where TRS equipment is used by individuals with speech or hearing disabilities to communicate directly with each other, without the assistance of an interpreter.</w:t>
      </w:r>
      <w:r>
        <w:t xml:space="preserve">  </w:t>
      </w:r>
      <w:r>
        <w:rPr>
          <w:i/>
          <w:iCs/>
        </w:rPr>
        <w:t>Id.</w:t>
      </w:r>
      <w:r>
        <w:rPr>
          <w:iCs/>
        </w:rPr>
        <w:t xml:space="preserve">, n.105.  </w:t>
      </w:r>
      <w:r w:rsidRPr="000B3383">
        <w:t xml:space="preserve">“iTRS access technology” is defined as “any equipment, software, or other technology issued, leased, or provided by an Internet-based TRS provider that can be used to make or receive an Internet-based TRS call.”  </w:t>
      </w:r>
      <w:r w:rsidRPr="000B3383">
        <w:rPr>
          <w:i/>
        </w:rPr>
        <w:t>See</w:t>
      </w:r>
      <w:r w:rsidRPr="000B3383">
        <w:t xml:space="preserve"> </w:t>
      </w:r>
      <w:r>
        <w:rPr>
          <w:i/>
          <w:iCs/>
        </w:rPr>
        <w:t>id.</w:t>
      </w:r>
      <w:r w:rsidRPr="000B3383">
        <w:t xml:space="preserve"> at 8641, para. 45.</w:t>
      </w:r>
    </w:p>
  </w:footnote>
  <w:footnote w:id="5">
    <w:p w:rsidR="00EC3FE1" w:rsidRDefault="00EC3FE1" w:rsidP="00A6400E">
      <w:pPr>
        <w:pStyle w:val="FootnoteText"/>
      </w:pPr>
      <w:r>
        <w:rPr>
          <w:rStyle w:val="FootnoteReference"/>
        </w:rPr>
        <w:footnoteRef/>
      </w:r>
      <w:r>
        <w:t xml:space="preserve"> </w:t>
      </w:r>
      <w:r w:rsidRPr="008609F0">
        <w:rPr>
          <w:i/>
        </w:rPr>
        <w:t>See</w:t>
      </w:r>
      <w:r>
        <w:t xml:space="preserve"> </w:t>
      </w:r>
      <w:r>
        <w:rPr>
          <w:i/>
          <w:iCs/>
        </w:rPr>
        <w:t>id.</w:t>
      </w:r>
      <w:r w:rsidRPr="002A317F">
        <w:t xml:space="preserve"> </w:t>
      </w:r>
      <w:r w:rsidRPr="005742D4">
        <w:t xml:space="preserve">at </w:t>
      </w:r>
      <w:r w:rsidRPr="00017AD5">
        <w:t>863</w:t>
      </w:r>
      <w:r w:rsidRPr="005742D4">
        <w:t>9</w:t>
      </w:r>
      <w:r w:rsidRPr="00203E1D">
        <w:t>,</w:t>
      </w:r>
      <w:r w:rsidRPr="002A317F">
        <w:t xml:space="preserve"> para. </w:t>
      </w:r>
      <w:r>
        <w:t>40.</w:t>
      </w:r>
    </w:p>
  </w:footnote>
  <w:footnote w:id="6">
    <w:p w:rsidR="00EC3FE1" w:rsidRPr="00FA51E5" w:rsidRDefault="00EC3FE1" w:rsidP="000B3383">
      <w:pPr>
        <w:pStyle w:val="FootnoteText"/>
      </w:pPr>
      <w:r>
        <w:rPr>
          <w:rStyle w:val="FootnoteReference"/>
        </w:rPr>
        <w:footnoteRef/>
      </w:r>
      <w:r>
        <w:t xml:space="preserve"> </w:t>
      </w:r>
      <w:r>
        <w:rPr>
          <w:i/>
          <w:iCs/>
        </w:rPr>
        <w:t>Id.</w:t>
      </w:r>
      <w:r w:rsidRPr="00FA51E5">
        <w:rPr>
          <w:iCs/>
        </w:rPr>
        <w:t xml:space="preserve">, </w:t>
      </w:r>
      <w:r w:rsidRPr="00FA51E5">
        <w:t>para. 4</w:t>
      </w:r>
      <w:r>
        <w:t>1.</w:t>
      </w:r>
    </w:p>
  </w:footnote>
  <w:footnote w:id="7">
    <w:p w:rsidR="00EC3FE1" w:rsidRPr="00F45417" w:rsidRDefault="00EC3FE1" w:rsidP="00624F80">
      <w:pPr>
        <w:pStyle w:val="FootnoteText"/>
      </w:pPr>
      <w:r w:rsidRPr="00F45417">
        <w:rPr>
          <w:rStyle w:val="FootnoteReference"/>
        </w:rPr>
        <w:footnoteRef/>
      </w:r>
      <w:r w:rsidRPr="00F45417">
        <w:t xml:space="preserve"> </w:t>
      </w:r>
      <w:r>
        <w:rPr>
          <w:i/>
          <w:iCs/>
        </w:rPr>
        <w:t xml:space="preserve">Id. </w:t>
      </w:r>
      <w:r w:rsidRPr="00624F80">
        <w:t>at 864</w:t>
      </w:r>
      <w:r>
        <w:t>2</w:t>
      </w:r>
      <w:r w:rsidRPr="00624F80">
        <w:t>, para. 4</w:t>
      </w:r>
      <w:r>
        <w:t>8.  The Commission noted that s</w:t>
      </w:r>
      <w:r w:rsidRPr="00F45417">
        <w:t xml:space="preserve">uch support and participation </w:t>
      </w:r>
      <w:r>
        <w:t>must</w:t>
      </w:r>
      <w:r w:rsidRPr="00F45417">
        <w:t xml:space="preserve"> be consistent with the guidance set forth in OMB Circular No. A-119.</w:t>
      </w:r>
      <w:r>
        <w:t xml:space="preserve">  </w:t>
      </w:r>
      <w:r w:rsidRPr="00624F80">
        <w:rPr>
          <w:i/>
        </w:rPr>
        <w:t>Id</w:t>
      </w:r>
      <w:r>
        <w:t xml:space="preserve">., n.129. </w:t>
      </w:r>
    </w:p>
  </w:footnote>
  <w:footnote w:id="8">
    <w:p w:rsidR="00EC3FE1" w:rsidRPr="00835CEB" w:rsidRDefault="00EC3FE1" w:rsidP="00A6400E">
      <w:pPr>
        <w:pStyle w:val="FootnoteText"/>
        <w:rPr>
          <w:i/>
        </w:rPr>
      </w:pPr>
      <w:r>
        <w:rPr>
          <w:rStyle w:val="FootnoteReference"/>
        </w:rPr>
        <w:footnoteRef/>
      </w:r>
      <w:r>
        <w:t xml:space="preserve"> </w:t>
      </w:r>
      <w:r>
        <w:rPr>
          <w:i/>
          <w:iCs/>
        </w:rPr>
        <w:t xml:space="preserve">Id. </w:t>
      </w:r>
      <w:r w:rsidRPr="002A317F">
        <w:t xml:space="preserve">at </w:t>
      </w:r>
      <w:r>
        <w:t>8643</w:t>
      </w:r>
      <w:r w:rsidRPr="002A317F">
        <w:t xml:space="preserve">, para. </w:t>
      </w:r>
      <w:r>
        <w:t>49</w:t>
      </w:r>
      <w:r w:rsidRPr="002A317F">
        <w:t>.</w:t>
      </w:r>
    </w:p>
  </w:footnote>
  <w:footnote w:id="9">
    <w:p w:rsidR="00EC3FE1" w:rsidRDefault="00EC3FE1">
      <w:pPr>
        <w:pStyle w:val="FootnoteText"/>
      </w:pPr>
      <w:r>
        <w:rPr>
          <w:rStyle w:val="FootnoteReference"/>
        </w:rPr>
        <w:footnoteRef/>
      </w:r>
      <w:r>
        <w:t xml:space="preserve"> </w:t>
      </w:r>
      <w:r>
        <w:rPr>
          <w:i/>
          <w:iCs/>
        </w:rPr>
        <w:t>Id.</w:t>
      </w:r>
      <w:r w:rsidRPr="002A317F">
        <w:t xml:space="preserve">, para. </w:t>
      </w:r>
      <w:r>
        <w:t>50</w:t>
      </w:r>
      <w:r w:rsidRPr="002A317F">
        <w:t>.</w:t>
      </w:r>
    </w:p>
  </w:footnote>
  <w:footnote w:id="10">
    <w:p w:rsidR="00EC3FE1" w:rsidRDefault="00EC3FE1">
      <w:pPr>
        <w:pStyle w:val="FootnoteText"/>
      </w:pPr>
      <w:r>
        <w:rPr>
          <w:rStyle w:val="FootnoteReference"/>
        </w:rPr>
        <w:footnoteRef/>
      </w:r>
      <w:r>
        <w:t xml:space="preserve"> </w:t>
      </w:r>
      <w:r>
        <w:rPr>
          <w:i/>
          <w:iCs/>
        </w:rPr>
        <w:t>Id.</w:t>
      </w:r>
      <w:r w:rsidRPr="00767F04">
        <w:t xml:space="preserve"> at 864</w:t>
      </w:r>
      <w:r>
        <w:t>5</w:t>
      </w:r>
      <w:r w:rsidRPr="00767F04">
        <w:t>, para. 5</w:t>
      </w:r>
      <w:r>
        <w:t>4</w:t>
      </w:r>
      <w:r w:rsidRPr="00767F04">
        <w:t>.</w:t>
      </w:r>
    </w:p>
  </w:footnote>
  <w:footnote w:id="11">
    <w:p w:rsidR="00EC3FE1" w:rsidRDefault="00EC3FE1" w:rsidP="00EC58DE">
      <w:pPr>
        <w:pStyle w:val="FootnoteText"/>
      </w:pPr>
      <w:r>
        <w:rPr>
          <w:rStyle w:val="FootnoteReference"/>
        </w:rPr>
        <w:footnoteRef/>
      </w:r>
      <w:r>
        <w:t xml:space="preserve"> </w:t>
      </w:r>
      <w:r>
        <w:rPr>
          <w:i/>
          <w:iCs/>
        </w:rPr>
        <w:t>Id.</w:t>
      </w:r>
      <w:r w:rsidRPr="002A317F">
        <w:t xml:space="preserve"> at </w:t>
      </w:r>
      <w:r w:rsidRPr="000829D3">
        <w:t>864</w:t>
      </w:r>
      <w:r>
        <w:t>5-46</w:t>
      </w:r>
      <w:r w:rsidRPr="000829D3">
        <w:t>, para</w:t>
      </w:r>
      <w:r>
        <w:t>s</w:t>
      </w:r>
      <w:r w:rsidRPr="000829D3">
        <w:t xml:space="preserve">. </w:t>
      </w:r>
      <w:r>
        <w:t>55-56</w:t>
      </w:r>
      <w:r w:rsidRPr="002A317F">
        <w:t>.</w:t>
      </w:r>
    </w:p>
  </w:footnote>
  <w:footnote w:id="12">
    <w:p w:rsidR="00EC3FE1" w:rsidRDefault="00EC3FE1">
      <w:pPr>
        <w:pStyle w:val="FootnoteText"/>
      </w:pPr>
      <w:r>
        <w:rPr>
          <w:rStyle w:val="FootnoteReference"/>
        </w:rPr>
        <w:footnoteRef/>
      </w:r>
      <w:r>
        <w:t xml:space="preserve"> </w:t>
      </w:r>
      <w:r>
        <w:rPr>
          <w:i/>
          <w:iCs/>
        </w:rPr>
        <w:t>Id.</w:t>
      </w:r>
      <w:r w:rsidRPr="000829D3">
        <w:t xml:space="preserve"> at</w:t>
      </w:r>
      <w:r>
        <w:t xml:space="preserve"> </w:t>
      </w:r>
      <w:r w:rsidRPr="005F29D0">
        <w:t>864</w:t>
      </w:r>
      <w:r>
        <w:t>4</w:t>
      </w:r>
      <w:r w:rsidRPr="005F29D0">
        <w:t xml:space="preserve">-46, paras. </w:t>
      </w:r>
      <w:r>
        <w:t>53-58</w:t>
      </w:r>
      <w:r w:rsidRPr="005F29D0">
        <w:t>.</w:t>
      </w:r>
    </w:p>
  </w:footnote>
  <w:footnote w:id="13">
    <w:p w:rsidR="00EC3FE1" w:rsidRDefault="00EC3FE1">
      <w:pPr>
        <w:pStyle w:val="FootnoteText"/>
      </w:pPr>
      <w:r>
        <w:rPr>
          <w:rStyle w:val="FootnoteReference"/>
        </w:rPr>
        <w:footnoteRef/>
      </w:r>
      <w:r>
        <w:t xml:space="preserve"> </w:t>
      </w:r>
      <w:r>
        <w:rPr>
          <w:i/>
          <w:iCs/>
        </w:rPr>
        <w:t>Id.</w:t>
      </w:r>
      <w:r w:rsidRPr="005F586A">
        <w:t xml:space="preserve"> at 8646, para. 58.</w:t>
      </w:r>
    </w:p>
  </w:footnote>
  <w:footnote w:id="14">
    <w:p w:rsidR="00EC3FE1" w:rsidRDefault="00EC3FE1" w:rsidP="00836E0D">
      <w:pPr>
        <w:pStyle w:val="FootnoteText"/>
      </w:pPr>
      <w:r>
        <w:rPr>
          <w:rStyle w:val="FootnoteReference"/>
        </w:rPr>
        <w:footnoteRef/>
      </w:r>
      <w:r>
        <w:t xml:space="preserve"> </w:t>
      </w:r>
      <w:r w:rsidRPr="00CD6482">
        <w:t xml:space="preserve">SIP Forum, US </w:t>
      </w:r>
      <w:r w:rsidRPr="00CD6482">
        <w:rPr>
          <w:bCs/>
        </w:rPr>
        <w:t>Video Relay Service (VRS)</w:t>
      </w:r>
      <w:r w:rsidRPr="00CD6482">
        <w:rPr>
          <w:b/>
          <w:bCs/>
        </w:rPr>
        <w:t xml:space="preserve"> </w:t>
      </w:r>
      <w:r w:rsidRPr="00CD6482">
        <w:rPr>
          <w:bCs/>
          <w:iCs/>
        </w:rPr>
        <w:t>Provider Interoperability Profile, Version 15, SIP Forum Document Number: VRS US Providers Profile TWG-6-</w:t>
      </w:r>
      <w:r>
        <w:rPr>
          <w:bCs/>
          <w:iCs/>
        </w:rPr>
        <w:t>1</w:t>
      </w:r>
      <w:r w:rsidRPr="00CD6482">
        <w:rPr>
          <w:bCs/>
          <w:iCs/>
        </w:rPr>
        <w:t>.</w:t>
      </w:r>
      <w:r>
        <w:rPr>
          <w:bCs/>
          <w:iCs/>
        </w:rPr>
        <w:t>0</w:t>
      </w:r>
      <w:r w:rsidRPr="00CD6482">
        <w:rPr>
          <w:bCs/>
          <w:iCs/>
        </w:rPr>
        <w:t xml:space="preserve"> (</w:t>
      </w:r>
      <w:r>
        <w:rPr>
          <w:bCs/>
          <w:iCs/>
        </w:rPr>
        <w:t>Oct. 14</w:t>
      </w:r>
      <w:r w:rsidRPr="00CD6482">
        <w:rPr>
          <w:bCs/>
          <w:iCs/>
        </w:rPr>
        <w:t>, 2015) (Provider Interoperability Profile),</w:t>
      </w:r>
      <w:r>
        <w:rPr>
          <w:bCs/>
          <w:iCs/>
        </w:rPr>
        <w:t xml:space="preserve"> </w:t>
      </w:r>
      <w:hyperlink r:id="rId1" w:history="1">
        <w:r w:rsidR="00496ACB" w:rsidRPr="009B463D">
          <w:rPr>
            <w:rStyle w:val="Hyperlink"/>
            <w:rFonts w:ascii="Calibri" w:hAnsi="Calibri"/>
            <w:sz w:val="22"/>
            <w:szCs w:val="22"/>
          </w:rPr>
          <w:t xml:space="preserve"> </w:t>
        </w:r>
        <w:r w:rsidR="00496ACB" w:rsidRPr="009B463D">
          <w:rPr>
            <w:rStyle w:val="Hyperlink"/>
          </w:rPr>
          <w:t>https://www.fcc.gov/files/sip-forum-vrs-us-providers-profile-twg-6-1</w:t>
        </w:r>
        <w:r w:rsidR="00496ACB" w:rsidRPr="00496ACB">
          <w:rPr>
            <w:rStyle w:val="Hyperlink"/>
          </w:rPr>
          <w:t>;</w:t>
        </w:r>
      </w:hyperlink>
      <w:r>
        <w:t xml:space="preserve"> </w:t>
      </w:r>
      <w:r w:rsidRPr="00440B2B">
        <w:rPr>
          <w:i/>
        </w:rPr>
        <w:t>see also</w:t>
      </w:r>
      <w:r>
        <w:t xml:space="preserve"> Letter from Richard Shockey, Chairman of the Board of Directors, SIP Forum, and Marc Robins, President and Management Director, SIP Forum (filed Oct. 29, 2015)</w:t>
      </w:r>
      <w:r w:rsidRPr="00CD6482">
        <w:rPr>
          <w:bCs/>
          <w:iCs/>
        </w:rPr>
        <w:t>.</w:t>
      </w:r>
      <w:r>
        <w:rPr>
          <w:bCs/>
          <w:iCs/>
        </w:rPr>
        <w:t xml:space="preserve">  The VRS Task Group is described at </w:t>
      </w:r>
      <w:hyperlink r:id="rId2" w:history="1">
        <w:r w:rsidRPr="001571C2">
          <w:rPr>
            <w:rStyle w:val="Hyperlink"/>
            <w:bCs/>
            <w:iCs/>
          </w:rPr>
          <w:t>http://www.sipforum.org/content/view/404/291/</w:t>
        </w:r>
      </w:hyperlink>
      <w:r>
        <w:rPr>
          <w:bCs/>
          <w:iCs/>
        </w:rPr>
        <w:t xml:space="preserve"> (last visited July 28, 2016). </w:t>
      </w:r>
    </w:p>
  </w:footnote>
  <w:footnote w:id="15">
    <w:p w:rsidR="00D20DD2" w:rsidRDefault="00D20DD2">
      <w:pPr>
        <w:pStyle w:val="FootnoteText"/>
      </w:pPr>
      <w:r>
        <w:rPr>
          <w:rStyle w:val="FootnoteReference"/>
        </w:rPr>
        <w:footnoteRef/>
      </w:r>
      <w:r>
        <w:t xml:space="preserve"> </w:t>
      </w:r>
      <w:r w:rsidRPr="00D20DD2">
        <w:rPr>
          <w:bCs/>
          <w:iCs/>
        </w:rPr>
        <w:t xml:space="preserve">Interoperability Profile for Relay User Equipment (July 20, 2016) (RUE Profile), </w:t>
      </w:r>
      <w:hyperlink r:id="rId3" w:history="1">
        <w:r w:rsidRPr="00D20DD2">
          <w:rPr>
            <w:rStyle w:val="Hyperlink"/>
          </w:rPr>
          <w:t>https://datatracker.ietf.org/doc/draft-vrs-rue-dispatch/</w:t>
        </w:r>
      </w:hyperlink>
      <w:r w:rsidRPr="00D20DD2">
        <w:rPr>
          <w:bCs/>
          <w:iCs/>
        </w:rPr>
        <w:t>.</w:t>
      </w:r>
    </w:p>
  </w:footnote>
  <w:footnote w:id="16">
    <w:p w:rsidR="00EC3FE1" w:rsidRDefault="00EC3FE1" w:rsidP="004719A8">
      <w:pPr>
        <w:pStyle w:val="FootnoteText"/>
      </w:pPr>
      <w:r>
        <w:rPr>
          <w:rStyle w:val="FootnoteReference"/>
        </w:rPr>
        <w:footnoteRef/>
      </w:r>
      <w:r>
        <w:t xml:space="preserve"> </w:t>
      </w:r>
      <w:r w:rsidRPr="002A317F">
        <w:rPr>
          <w:i/>
          <w:iCs/>
        </w:rPr>
        <w:t>VRS Reform Order</w:t>
      </w:r>
      <w:r w:rsidRPr="002A317F">
        <w:rPr>
          <w:iCs/>
        </w:rPr>
        <w:t>, 28 FCC Rcd</w:t>
      </w:r>
      <w:r w:rsidRPr="002A317F">
        <w:t xml:space="preserve"> at </w:t>
      </w:r>
      <w:r>
        <w:t>8643</w:t>
      </w:r>
      <w:r w:rsidRPr="002A317F">
        <w:t xml:space="preserve">, para. </w:t>
      </w:r>
      <w:r>
        <w:t>49</w:t>
      </w:r>
      <w:r w:rsidRPr="002A317F">
        <w:t>.</w:t>
      </w:r>
    </w:p>
  </w:footnote>
  <w:footnote w:id="17">
    <w:p w:rsidR="00EC3FE1" w:rsidRDefault="00EC3FE1" w:rsidP="00BD7075">
      <w:pPr>
        <w:pStyle w:val="FootnoteText"/>
      </w:pPr>
      <w:r>
        <w:rPr>
          <w:rStyle w:val="FootnoteReference"/>
        </w:rPr>
        <w:footnoteRef/>
      </w:r>
      <w:r>
        <w:t xml:space="preserve"> </w:t>
      </w:r>
      <w:r w:rsidRPr="004B5B3A">
        <w:rPr>
          <w:i/>
          <w:iCs/>
        </w:rPr>
        <w:t>Structure and Practices of the Video Relay Service Program</w:t>
      </w:r>
      <w:r>
        <w:rPr>
          <w:i/>
          <w:iCs/>
        </w:rPr>
        <w:t xml:space="preserve"> et al.</w:t>
      </w:r>
      <w:r w:rsidRPr="004B5B3A">
        <w:t xml:space="preserve">, Further Notice of Proposed Rulemaking, </w:t>
      </w:r>
      <w:r>
        <w:t xml:space="preserve">31 FCC Rcd 8777 (CGB 2016) </w:t>
      </w:r>
      <w:r w:rsidRPr="004B5B3A">
        <w:t>(</w:t>
      </w:r>
      <w:r w:rsidR="00E96606" w:rsidRPr="00E96606">
        <w:rPr>
          <w:i/>
        </w:rPr>
        <w:t>CGB 2016</w:t>
      </w:r>
      <w:r w:rsidR="00E96606">
        <w:t xml:space="preserve"> </w:t>
      </w:r>
      <w:r>
        <w:rPr>
          <w:i/>
          <w:iCs/>
        </w:rPr>
        <w:t>FNPRM</w:t>
      </w:r>
      <w:r>
        <w:t xml:space="preserve">). </w:t>
      </w:r>
    </w:p>
  </w:footnote>
  <w:footnote w:id="18">
    <w:p w:rsidR="00EC3FE1" w:rsidRPr="00B966A9" w:rsidRDefault="00EC3FE1" w:rsidP="004A7AB0">
      <w:pPr>
        <w:pStyle w:val="FootnoteText"/>
      </w:pPr>
      <w:r>
        <w:rPr>
          <w:rStyle w:val="FootnoteReference"/>
        </w:rPr>
        <w:footnoteRef/>
      </w:r>
      <w:r>
        <w:t xml:space="preserve"> Provider </w:t>
      </w:r>
      <w:r w:rsidRPr="00C80BDB">
        <w:rPr>
          <w:bCs/>
          <w:iCs/>
        </w:rPr>
        <w:t>Interoperability Profile</w:t>
      </w:r>
      <w:r>
        <w:rPr>
          <w:bCs/>
          <w:iCs/>
        </w:rPr>
        <w:t xml:space="preserve">, § </w:t>
      </w:r>
      <w:r w:rsidRPr="00FC033E">
        <w:rPr>
          <w:bCs/>
          <w:iCs/>
        </w:rPr>
        <w:t>4</w:t>
      </w:r>
      <w:r>
        <w:rPr>
          <w:bCs/>
          <w:iCs/>
        </w:rPr>
        <w:t xml:space="preserve">.  The TRS Numbering Directory is a database that enables the routing of VRS and point-to-point video calls that originate and terminate with different VRS providers.  </w:t>
      </w:r>
      <w:r w:rsidRPr="00D21D74">
        <w:rPr>
          <w:bCs/>
          <w:i/>
          <w:iCs/>
        </w:rPr>
        <w:t>See</w:t>
      </w:r>
      <w:r>
        <w:rPr>
          <w:bCs/>
          <w:iCs/>
        </w:rPr>
        <w:t xml:space="preserve"> 47 CFR § 64.613.</w:t>
      </w:r>
    </w:p>
  </w:footnote>
  <w:footnote w:id="19">
    <w:p w:rsidR="00EC3FE1" w:rsidRDefault="00EC3FE1">
      <w:pPr>
        <w:pStyle w:val="FootnoteText"/>
      </w:pPr>
      <w:r>
        <w:rPr>
          <w:rStyle w:val="FootnoteReference"/>
        </w:rPr>
        <w:footnoteRef/>
      </w:r>
      <w:r>
        <w:t xml:space="preserve"> </w:t>
      </w:r>
      <w:r w:rsidRPr="00A6400E">
        <w:rPr>
          <w:i/>
        </w:rPr>
        <w:t>See, e.g.</w:t>
      </w:r>
      <w:r>
        <w:t xml:space="preserve">, Consumer Groups Comments at 2; Global VRS Comments at 1; Joint Comments of Four VRS Providers at 1.  While supporting incorporation of the </w:t>
      </w:r>
      <w:r w:rsidRPr="00AC1E62">
        <w:rPr>
          <w:bCs/>
          <w:iCs/>
        </w:rPr>
        <w:t>VRS Provider Interoperability Profile</w:t>
      </w:r>
      <w:r>
        <w:rPr>
          <w:bCs/>
          <w:iCs/>
        </w:rPr>
        <w:t>,</w:t>
      </w:r>
      <w:r w:rsidRPr="00AC1E62">
        <w:rPr>
          <w:bCs/>
          <w:iCs/>
        </w:rPr>
        <w:t xml:space="preserve"> </w:t>
      </w:r>
      <w:r>
        <w:rPr>
          <w:bCs/>
          <w:iCs/>
        </w:rPr>
        <w:t>t</w:t>
      </w:r>
      <w:r>
        <w:t xml:space="preserve">he </w:t>
      </w:r>
      <w:r w:rsidRPr="00927557">
        <w:t>Consum</w:t>
      </w:r>
      <w:r>
        <w:t xml:space="preserve">er Groups also state that although </w:t>
      </w:r>
      <w:r w:rsidRPr="00AC1E62">
        <w:t xml:space="preserve">the </w:t>
      </w:r>
      <w:r w:rsidRPr="00AC1E62">
        <w:rPr>
          <w:bCs/>
          <w:iCs/>
        </w:rPr>
        <w:t xml:space="preserve">VRS Provider Interoperability Profile and the RUE Profile “certainly </w:t>
      </w:r>
      <w:r w:rsidRPr="00AC1E62">
        <w:rPr>
          <w:bCs/>
          <w:iCs/>
          <w:u w:val="single"/>
        </w:rPr>
        <w:t>advance</w:t>
      </w:r>
      <w:r w:rsidRPr="00AC1E62">
        <w:rPr>
          <w:bCs/>
          <w:iCs/>
        </w:rPr>
        <w:t xml:space="preserve"> the Commission’s goals of ensuring interoperability and portability, they may not entirely </w:t>
      </w:r>
      <w:r w:rsidRPr="00AC1E62">
        <w:rPr>
          <w:bCs/>
          <w:iCs/>
          <w:u w:val="single"/>
        </w:rPr>
        <w:t>meet</w:t>
      </w:r>
      <w:r w:rsidRPr="00AC1E62">
        <w:rPr>
          <w:bCs/>
          <w:iCs/>
        </w:rPr>
        <w:t xml:space="preserve"> those goals.”  </w:t>
      </w:r>
      <w:r>
        <w:t>Consumer Groups Comments at 2</w:t>
      </w:r>
      <w:r w:rsidRPr="00AC1E62">
        <w:rPr>
          <w:bCs/>
          <w:iCs/>
        </w:rPr>
        <w:t xml:space="preserve"> (emphasis original).</w:t>
      </w:r>
    </w:p>
  </w:footnote>
  <w:footnote w:id="20">
    <w:p w:rsidR="00EC3FE1" w:rsidRDefault="00EC3FE1">
      <w:pPr>
        <w:pStyle w:val="FootnoteText"/>
      </w:pPr>
      <w:r>
        <w:rPr>
          <w:rStyle w:val="FootnoteReference"/>
        </w:rPr>
        <w:footnoteRef/>
      </w:r>
      <w:r>
        <w:t xml:space="preserve"> </w:t>
      </w:r>
      <w:r w:rsidR="00234AB9">
        <w:rPr>
          <w:i/>
        </w:rPr>
        <w:t>See</w:t>
      </w:r>
      <w:r w:rsidR="00234AB9">
        <w:t xml:space="preserve"> </w:t>
      </w:r>
      <w:r>
        <w:t>ZVRS Comments at 3.</w:t>
      </w:r>
    </w:p>
  </w:footnote>
  <w:footnote w:id="21">
    <w:p w:rsidR="00EC3FE1" w:rsidRDefault="00EC3FE1" w:rsidP="0057524D">
      <w:pPr>
        <w:pStyle w:val="FootnoteText"/>
      </w:pPr>
      <w:r>
        <w:rPr>
          <w:rStyle w:val="FootnoteReference"/>
        </w:rPr>
        <w:footnoteRef/>
      </w:r>
      <w:r>
        <w:t xml:space="preserve"> All the VRS providers have joined in periodic FCC filings describing their progress in developing these specifications.  </w:t>
      </w:r>
      <w:r w:rsidRPr="009949F3">
        <w:rPr>
          <w:i/>
        </w:rPr>
        <w:t>See</w:t>
      </w:r>
      <w:r>
        <w:t xml:space="preserve"> Letter from Gabrielle Joseph, Vice President, ASL Holdings, et al., to Marlene Dortch, FCC Secretary (filed Jan. 8, 2015)</w:t>
      </w:r>
      <w:r w:rsidRPr="00843DB8">
        <w:t xml:space="preserve"> </w:t>
      </w:r>
      <w:r>
        <w:t xml:space="preserve">(VRS Providers January 2015 Interoperability Report); </w:t>
      </w:r>
      <w:r w:rsidRPr="009949F3">
        <w:t xml:space="preserve">Letter from Gabrielle Joseph, Vice President, ASL Holdings, et al., to Marlene Dortch, FCC Secretary (filed </w:t>
      </w:r>
      <w:r>
        <w:t>June 26</w:t>
      </w:r>
      <w:r w:rsidRPr="009949F3">
        <w:t>, 2015)</w:t>
      </w:r>
      <w:r w:rsidRPr="00843DB8">
        <w:t xml:space="preserve"> </w:t>
      </w:r>
      <w:r w:rsidRPr="002C5A58">
        <w:t>(VRS Providers June 2015 Interoperability Report)</w:t>
      </w:r>
      <w:r w:rsidRPr="009949F3">
        <w:t>;</w:t>
      </w:r>
      <w:r>
        <w:t xml:space="preserve"> Letter from </w:t>
      </w:r>
      <w:r w:rsidRPr="00754A60">
        <w:t xml:space="preserve">Gabrielle Joseph, Vice President, ASL Holdings, et al., to Marlene Dortch, FCC Secretary (filed </w:t>
      </w:r>
      <w:r>
        <w:t>May 19, 2016</w:t>
      </w:r>
      <w:r w:rsidRPr="00754A60">
        <w:t>)</w:t>
      </w:r>
      <w:r w:rsidRPr="00CE2E21">
        <w:t xml:space="preserve"> </w:t>
      </w:r>
      <w:r w:rsidRPr="002C5A58">
        <w:t>(VRS Providers May 2016 Ex Parte)</w:t>
      </w:r>
      <w:r>
        <w:t>.  A</w:t>
      </w:r>
      <w:r w:rsidRPr="00D54A24">
        <w:t xml:space="preserve">ll providers </w:t>
      </w:r>
      <w:r>
        <w:t xml:space="preserve">have indicated their support for the incorporation by reference of the </w:t>
      </w:r>
      <w:r w:rsidRPr="00D54A24">
        <w:t>standard.</w:t>
      </w:r>
      <w:r>
        <w:t xml:space="preserve">  GlobalVRS Comments at 1; </w:t>
      </w:r>
      <w:r w:rsidRPr="0076398A">
        <w:t>Joint Comments of Four VRS Providers</w:t>
      </w:r>
      <w:r w:rsidRPr="0057524D">
        <w:t xml:space="preserve"> at 1.</w:t>
      </w:r>
    </w:p>
  </w:footnote>
  <w:footnote w:id="22">
    <w:p w:rsidR="00EC3FE1" w:rsidRDefault="00EC3FE1" w:rsidP="00BF0DE4">
      <w:pPr>
        <w:pStyle w:val="FootnoteText"/>
      </w:pPr>
      <w:r>
        <w:rPr>
          <w:rStyle w:val="FootnoteReference"/>
        </w:rPr>
        <w:footnoteRef/>
      </w:r>
      <w:r>
        <w:t xml:space="preserve"> </w:t>
      </w:r>
      <w:r>
        <w:rPr>
          <w:i/>
        </w:rPr>
        <w:t xml:space="preserve">See </w:t>
      </w:r>
      <w:r w:rsidRPr="002A317F">
        <w:rPr>
          <w:i/>
          <w:iCs/>
        </w:rPr>
        <w:t>VRS Reform Order</w:t>
      </w:r>
      <w:r w:rsidRPr="002A317F">
        <w:rPr>
          <w:iCs/>
        </w:rPr>
        <w:t>, 28 FCC Rcd</w:t>
      </w:r>
      <w:r w:rsidRPr="002A317F">
        <w:t xml:space="preserve"> at </w:t>
      </w:r>
      <w:r>
        <w:t>8643</w:t>
      </w:r>
      <w:r w:rsidRPr="002A317F">
        <w:t xml:space="preserve">, </w:t>
      </w:r>
      <w:r>
        <w:t>para. 49.</w:t>
      </w:r>
    </w:p>
  </w:footnote>
  <w:footnote w:id="23">
    <w:p w:rsidR="00EC3FE1" w:rsidRPr="00A966A8" w:rsidRDefault="00EC3FE1">
      <w:pPr>
        <w:pStyle w:val="FootnoteText"/>
      </w:pPr>
      <w:r>
        <w:rPr>
          <w:rStyle w:val="FootnoteReference"/>
        </w:rPr>
        <w:footnoteRef/>
      </w:r>
      <w:r>
        <w:t xml:space="preserve"> </w:t>
      </w:r>
      <w:r w:rsidR="00E96606" w:rsidRPr="00E96606">
        <w:rPr>
          <w:i/>
        </w:rPr>
        <w:t>CGB 2016</w:t>
      </w:r>
      <w:r w:rsidR="00E96606">
        <w:t xml:space="preserve"> </w:t>
      </w:r>
      <w:r w:rsidRPr="00A966A8">
        <w:rPr>
          <w:i/>
          <w:iCs/>
        </w:rPr>
        <w:t>FNPRM</w:t>
      </w:r>
      <w:r>
        <w:rPr>
          <w:iCs/>
        </w:rPr>
        <w:t>, 31 FCC Rcd at 8780, para. 8.</w:t>
      </w:r>
    </w:p>
  </w:footnote>
  <w:footnote w:id="24">
    <w:p w:rsidR="00EC3FE1" w:rsidRDefault="00EC3FE1">
      <w:pPr>
        <w:pStyle w:val="FootnoteText"/>
      </w:pPr>
      <w:r>
        <w:rPr>
          <w:rStyle w:val="FootnoteReference"/>
        </w:rPr>
        <w:footnoteRef/>
      </w:r>
      <w:r>
        <w:t xml:space="preserve"> GlobalVRS Comments at 3; </w:t>
      </w:r>
      <w:r w:rsidRPr="0076398A">
        <w:t xml:space="preserve">Joint Comments of Four VRS Providers </w:t>
      </w:r>
      <w:r w:rsidRPr="00516D1D">
        <w:t xml:space="preserve">at </w:t>
      </w:r>
      <w:r w:rsidRPr="00CB4FF1">
        <w:rPr>
          <w:bCs/>
          <w:iCs/>
        </w:rPr>
        <w:t>6-7</w:t>
      </w:r>
      <w:r w:rsidRPr="00516D1D">
        <w:t>.</w:t>
      </w:r>
      <w:r w:rsidRPr="00CB4FF1">
        <w:rPr>
          <w:snapToGrid w:val="0"/>
          <w:kern w:val="28"/>
          <w:sz w:val="22"/>
        </w:rPr>
        <w:t xml:space="preserve"> </w:t>
      </w:r>
      <w:r>
        <w:rPr>
          <w:snapToGrid w:val="0"/>
          <w:kern w:val="28"/>
          <w:sz w:val="22"/>
        </w:rPr>
        <w:t xml:space="preserve"> </w:t>
      </w:r>
    </w:p>
  </w:footnote>
  <w:footnote w:id="25">
    <w:p w:rsidR="00EC3FE1" w:rsidRDefault="00EC3FE1">
      <w:pPr>
        <w:pStyle w:val="FootnoteText"/>
      </w:pPr>
      <w:r>
        <w:rPr>
          <w:rStyle w:val="FootnoteReference"/>
        </w:rPr>
        <w:footnoteRef/>
      </w:r>
      <w:r>
        <w:t xml:space="preserve"> The VRS providers have requested that, prior to requiring compliance with the </w:t>
      </w:r>
      <w:r w:rsidRPr="003A2AED">
        <w:t>Provider Interoperability</w:t>
      </w:r>
      <w:r>
        <w:t xml:space="preserve"> Profile, the Commission issue a clarification that </w:t>
      </w:r>
      <w:r w:rsidRPr="00E52946">
        <w:t xml:space="preserve">it is permissible for </w:t>
      </w:r>
      <w:r>
        <w:t xml:space="preserve">VRS </w:t>
      </w:r>
      <w:r w:rsidRPr="00E52946">
        <w:t xml:space="preserve">providers to use SIP </w:t>
      </w:r>
      <w:r>
        <w:t>User Resource Identifiers (</w:t>
      </w:r>
      <w:r w:rsidRPr="00E52946">
        <w:t>URIs</w:t>
      </w:r>
      <w:r>
        <w:t>)</w:t>
      </w:r>
      <w:r w:rsidRPr="00E52946">
        <w:t xml:space="preserve"> that contain provider domain names, rather than user-specific IP addresses, for routing </w:t>
      </w:r>
      <w:r>
        <w:t>VRS</w:t>
      </w:r>
      <w:r w:rsidRPr="00E52946">
        <w:t xml:space="preserve"> and point-to-point video calls between providers</w:t>
      </w:r>
      <w:r w:rsidRPr="002C5A58">
        <w:t xml:space="preserve"> </w:t>
      </w:r>
      <w:r>
        <w:t xml:space="preserve">and to </w:t>
      </w:r>
      <w:r w:rsidRPr="00E52946">
        <w:t>populate the TRS numbering directory with such URIs.</w:t>
      </w:r>
      <w:r>
        <w:t xml:space="preserve">  </w:t>
      </w:r>
      <w:r w:rsidRPr="005E763A">
        <w:rPr>
          <w:i/>
        </w:rPr>
        <w:t xml:space="preserve">See </w:t>
      </w:r>
      <w:r>
        <w:t xml:space="preserve">VRS Providers January 2015 Interoperability Report; </w:t>
      </w:r>
      <w:r w:rsidRPr="002C5A58">
        <w:t>VRS Providers June 2015 Interoperability Report; VRS Providers May 2016 Ex Parte.</w:t>
      </w:r>
      <w:r>
        <w:t xml:space="preserve">  </w:t>
      </w:r>
      <w:r w:rsidRPr="006A20F6">
        <w:t>In the event that a ruling on this matter has not been issued prior to the scheduled compliance date, the bureau will consider extending the compliance date.</w:t>
      </w:r>
    </w:p>
  </w:footnote>
  <w:footnote w:id="26">
    <w:p w:rsidR="00EC3FE1" w:rsidRDefault="00EC3FE1">
      <w:pPr>
        <w:pStyle w:val="FootnoteText"/>
      </w:pPr>
      <w:r>
        <w:rPr>
          <w:rStyle w:val="FootnoteReference"/>
        </w:rPr>
        <w:footnoteRef/>
      </w:r>
      <w:r>
        <w:t xml:space="preserve"> RUE Profile, § 2.</w:t>
      </w:r>
    </w:p>
  </w:footnote>
  <w:footnote w:id="27">
    <w:p w:rsidR="00EC3FE1" w:rsidRDefault="00EC3FE1" w:rsidP="00FC0D18">
      <w:pPr>
        <w:pStyle w:val="FootnoteText"/>
      </w:pPr>
      <w:r>
        <w:rPr>
          <w:rStyle w:val="FootnoteReference"/>
        </w:rPr>
        <w:footnoteRef/>
      </w:r>
      <w:r>
        <w:t xml:space="preserve"> ZVRS Comments at 7.  For example, the RUE Profile requires that the configuration data sent to a user upon startup of the user’s equipment must include “[a]n HTTPS URI that may be used to export (retrieve) the subscriber’s complete contact list managed by the provider,” and it requires each VRS provider to provide a standard xCard export interface, thus enabling users to import their list of contacts in xCard, or RFC 6351, XML format</w:t>
      </w:r>
      <w:r w:rsidRPr="00A07B16">
        <w:t>.</w:t>
      </w:r>
      <w:r>
        <w:t xml:space="preserve">  RUE Profile, §§ 6.2, 10; </w:t>
      </w:r>
      <w:r w:rsidRPr="00FC0D18">
        <w:rPr>
          <w:i/>
        </w:rPr>
        <w:t>see also</w:t>
      </w:r>
      <w:r>
        <w:t xml:space="preserve"> </w:t>
      </w:r>
      <w:r w:rsidRPr="00FE73A5">
        <w:t>Consumer Groups Comments at 2-3</w:t>
      </w:r>
      <w:r>
        <w:t xml:space="preserve">; </w:t>
      </w:r>
      <w:r w:rsidRPr="003B53DF">
        <w:t>VRS Providers November 2016 Ex Parte</w:t>
      </w:r>
      <w:r>
        <w:t xml:space="preserve"> at 2</w:t>
      </w:r>
      <w:r w:rsidRPr="00FE73A5">
        <w:t>.</w:t>
      </w:r>
      <w:r>
        <w:t xml:space="preserve">  </w:t>
      </w:r>
      <w:r w:rsidRPr="003B53DF">
        <w:t xml:space="preserve"> </w:t>
      </w:r>
      <w:r w:rsidR="008D298B">
        <w:t xml:space="preserve">The Xcard format referenced in the RUE Profile is </w:t>
      </w:r>
      <w:r w:rsidR="008D298B" w:rsidRPr="008D298B">
        <w:t xml:space="preserve">Internet Engineering Task Force (IETF) Request for Comments (RFC) 6351, </w:t>
      </w:r>
      <w:r w:rsidR="008D298B" w:rsidRPr="008D298B">
        <w:rPr>
          <w:bCs/>
        </w:rPr>
        <w:t>xCard: vCard XML Representation</w:t>
      </w:r>
      <w:r w:rsidR="008D298B" w:rsidRPr="008D298B">
        <w:t xml:space="preserve"> (August 2011) (xCard XML Format),</w:t>
      </w:r>
      <w:r w:rsidR="008D298B" w:rsidRPr="00E36D91">
        <w:rPr>
          <w:u w:val="single"/>
        </w:rPr>
        <w:t xml:space="preserve"> </w:t>
      </w:r>
      <w:hyperlink r:id="rId4" w:history="1">
        <w:r w:rsidR="008D298B" w:rsidRPr="00E36D91">
          <w:rPr>
            <w:color w:val="0563C1"/>
            <w:u w:val="single"/>
          </w:rPr>
          <w:t>https://tools.ietf.org/html/rfc6351</w:t>
        </w:r>
      </w:hyperlink>
      <w:r w:rsidR="008D298B" w:rsidRPr="00E36D91">
        <w:rPr>
          <w:u w:val="single"/>
        </w:rPr>
        <w:t>.</w:t>
      </w:r>
      <w:r w:rsidRPr="003B53DF">
        <w:t xml:space="preserve"> </w:t>
      </w:r>
    </w:p>
  </w:footnote>
  <w:footnote w:id="28">
    <w:p w:rsidR="00EC3FE1" w:rsidRDefault="00EC3FE1">
      <w:pPr>
        <w:pStyle w:val="FootnoteText"/>
      </w:pPr>
      <w:r>
        <w:rPr>
          <w:rStyle w:val="FootnoteReference"/>
        </w:rPr>
        <w:footnoteRef/>
      </w:r>
      <w:r>
        <w:t xml:space="preserve"> These include protocols for provider selection, configuration for selected providers, SIP registration, NAT traversal, contact list synchronization, SIP session establishment for each type of call, videomail message discovery and retrieval, URI representation of phone numbers, support of various media, and use of the real-time transport protocol (RTP).  RUE Profile, §§ 6-9, 11-15.</w:t>
      </w:r>
    </w:p>
  </w:footnote>
  <w:footnote w:id="29">
    <w:p w:rsidR="00EC3FE1" w:rsidRDefault="00EC3FE1">
      <w:pPr>
        <w:pStyle w:val="FootnoteText"/>
      </w:pPr>
      <w:r>
        <w:rPr>
          <w:rStyle w:val="FootnoteReference"/>
        </w:rPr>
        <w:footnoteRef/>
      </w:r>
      <w:r>
        <w:t xml:space="preserve"> Consumer Groups Comments at 2.  While supporting incorporation of the RUE Profile because it </w:t>
      </w:r>
      <w:r w:rsidRPr="00412F54">
        <w:rPr>
          <w:bCs/>
          <w:iCs/>
        </w:rPr>
        <w:t>advance</w:t>
      </w:r>
      <w:r>
        <w:rPr>
          <w:bCs/>
          <w:iCs/>
        </w:rPr>
        <w:t>s the Commission’s goals of ensuring interoperability and portability,</w:t>
      </w:r>
      <w:r>
        <w:t xml:space="preserve"> Consumer Groups also state that the </w:t>
      </w:r>
      <w:r w:rsidRPr="0057524D">
        <w:rPr>
          <w:bCs/>
          <w:iCs/>
        </w:rPr>
        <w:t>VRS Provider Interoperability Profile</w:t>
      </w:r>
      <w:r>
        <w:rPr>
          <w:bCs/>
          <w:iCs/>
        </w:rPr>
        <w:t xml:space="preserve"> and the RUE Profile “may not entirely </w:t>
      </w:r>
      <w:r w:rsidRPr="00CA1C8E">
        <w:rPr>
          <w:bCs/>
          <w:iCs/>
          <w:u w:val="single"/>
        </w:rPr>
        <w:t>meet</w:t>
      </w:r>
      <w:r>
        <w:rPr>
          <w:bCs/>
          <w:iCs/>
        </w:rPr>
        <w:t xml:space="preserve"> those goals.”  </w:t>
      </w:r>
      <w:r w:rsidRPr="00CA1C8E">
        <w:rPr>
          <w:bCs/>
          <w:i/>
          <w:iCs/>
        </w:rPr>
        <w:t>Id</w:t>
      </w:r>
      <w:r>
        <w:rPr>
          <w:bCs/>
          <w:iCs/>
        </w:rPr>
        <w:t>. (emphasis original).</w:t>
      </w:r>
    </w:p>
  </w:footnote>
  <w:footnote w:id="30">
    <w:p w:rsidR="00EC3FE1" w:rsidRDefault="00EC3FE1">
      <w:pPr>
        <w:pStyle w:val="FootnoteText"/>
      </w:pPr>
      <w:r>
        <w:rPr>
          <w:rStyle w:val="FootnoteReference"/>
        </w:rPr>
        <w:footnoteRef/>
      </w:r>
      <w:r>
        <w:t xml:space="preserve"> GlobalVRS Comments at 5; Joint Comments of Four VRS Providers </w:t>
      </w:r>
      <w:r w:rsidRPr="00EC6EDE">
        <w:t xml:space="preserve">at </w:t>
      </w:r>
      <w:r>
        <w:t>2-3</w:t>
      </w:r>
      <w:r w:rsidRPr="00EC6EDE">
        <w:t>.</w:t>
      </w:r>
    </w:p>
  </w:footnote>
  <w:footnote w:id="31">
    <w:p w:rsidR="00EC3FE1" w:rsidRDefault="00EC3FE1" w:rsidP="00BC3CA2">
      <w:pPr>
        <w:pStyle w:val="FootnoteText"/>
      </w:pPr>
      <w:r>
        <w:rPr>
          <w:rStyle w:val="FootnoteReference"/>
        </w:rPr>
        <w:footnoteRef/>
      </w:r>
      <w:r>
        <w:t xml:space="preserve"> Joint Comments of Four VRS Providers </w:t>
      </w:r>
      <w:r w:rsidRPr="00EC6EDE">
        <w:t xml:space="preserve">at </w:t>
      </w:r>
      <w:r>
        <w:t>4-5</w:t>
      </w:r>
      <w:r w:rsidRPr="00EC6EDE">
        <w:t>.</w:t>
      </w:r>
    </w:p>
  </w:footnote>
  <w:footnote w:id="32">
    <w:p w:rsidR="00EC3FE1" w:rsidRDefault="00EC3FE1" w:rsidP="001F68CB">
      <w:pPr>
        <w:pStyle w:val="FootnoteText"/>
      </w:pPr>
      <w:r>
        <w:rPr>
          <w:rStyle w:val="FootnoteReference"/>
        </w:rPr>
        <w:footnoteRef/>
      </w:r>
      <w:r>
        <w:t xml:space="preserve"> </w:t>
      </w:r>
      <w:r w:rsidR="00E96606" w:rsidRPr="00E96606">
        <w:rPr>
          <w:i/>
        </w:rPr>
        <w:t>Id</w:t>
      </w:r>
      <w:r w:rsidR="00E96606">
        <w:t>.</w:t>
      </w:r>
      <w:r>
        <w:t xml:space="preserve"> </w:t>
      </w:r>
      <w:r w:rsidRPr="00EC6EDE">
        <w:t xml:space="preserve">at </w:t>
      </w:r>
      <w:r>
        <w:t>5</w:t>
      </w:r>
      <w:r w:rsidR="00E96606">
        <w:t>;</w:t>
      </w:r>
      <w:r w:rsidR="00E96606" w:rsidRPr="00E96606">
        <w:rPr>
          <w:i/>
        </w:rPr>
        <w:t xml:space="preserve"> </w:t>
      </w:r>
      <w:r w:rsidR="00E96606" w:rsidRPr="00EC3FE1">
        <w:rPr>
          <w:i/>
        </w:rPr>
        <w:t>see also</w:t>
      </w:r>
      <w:r w:rsidR="00E96606">
        <w:t xml:space="preserve"> GlobalVRS Comments at 5-6</w:t>
      </w:r>
      <w:r w:rsidR="00E96606" w:rsidRPr="00EC6EDE">
        <w:t>.</w:t>
      </w:r>
    </w:p>
  </w:footnote>
  <w:footnote w:id="33">
    <w:p w:rsidR="00EC3FE1" w:rsidRDefault="00EC3FE1">
      <w:pPr>
        <w:pStyle w:val="FootnoteText"/>
      </w:pPr>
      <w:r>
        <w:rPr>
          <w:rStyle w:val="FootnoteReference"/>
        </w:rPr>
        <w:footnoteRef/>
      </w:r>
      <w:r>
        <w:t xml:space="preserve"> </w:t>
      </w:r>
      <w:r w:rsidRPr="0092727B">
        <w:rPr>
          <w:i/>
          <w:iCs/>
        </w:rPr>
        <w:t>VRS Reform Order</w:t>
      </w:r>
      <w:r w:rsidRPr="0092727B">
        <w:rPr>
          <w:iCs/>
        </w:rPr>
        <w:t>, 28 FCC Rcd</w:t>
      </w:r>
      <w:r w:rsidRPr="0092727B">
        <w:t xml:space="preserve"> at 86</w:t>
      </w:r>
      <w:r>
        <w:t>39</w:t>
      </w:r>
      <w:r w:rsidRPr="0092727B">
        <w:t xml:space="preserve">, para. </w:t>
      </w:r>
      <w:r>
        <w:t>40 (emphasis added, footnote omitted).</w:t>
      </w:r>
    </w:p>
  </w:footnote>
  <w:footnote w:id="34">
    <w:p w:rsidR="00EC3FE1" w:rsidRDefault="00EC3FE1" w:rsidP="003A6280">
      <w:pPr>
        <w:pStyle w:val="FootnoteText"/>
      </w:pPr>
      <w:r>
        <w:rPr>
          <w:rStyle w:val="FootnoteReference"/>
        </w:rPr>
        <w:footnoteRef/>
      </w:r>
      <w:r>
        <w:t xml:space="preserve"> Joint Comments of Four VRS Providers at 3-4.</w:t>
      </w:r>
    </w:p>
  </w:footnote>
  <w:footnote w:id="35">
    <w:p w:rsidR="00EC3FE1" w:rsidRDefault="00EC3FE1" w:rsidP="003A6280">
      <w:pPr>
        <w:pStyle w:val="FootnoteText"/>
      </w:pPr>
      <w:r>
        <w:rPr>
          <w:rStyle w:val="FootnoteReference"/>
        </w:rPr>
        <w:footnoteRef/>
      </w:r>
      <w:r>
        <w:t xml:space="preserve"> As explained </w:t>
      </w:r>
      <w:r w:rsidR="00E96606" w:rsidRPr="00E96606">
        <w:rPr>
          <w:i/>
        </w:rPr>
        <w:t>infra</w:t>
      </w:r>
      <w:r w:rsidR="00E96606">
        <w:t xml:space="preserve"> para. 15</w:t>
      </w:r>
      <w:r>
        <w:t>, however, the RUE Profile’s specifications re</w:t>
      </w:r>
      <w:r w:rsidR="00E96606">
        <w:t>garding</w:t>
      </w:r>
      <w:r>
        <w:t xml:space="preserve"> personal contacts lists and user speed-dial lists can and will be applied to all VRS access technology at this time.</w:t>
      </w:r>
    </w:p>
  </w:footnote>
  <w:footnote w:id="36">
    <w:p w:rsidR="00EC3FE1" w:rsidRDefault="00EC3FE1" w:rsidP="00CD1A31">
      <w:pPr>
        <w:pStyle w:val="FootnoteText"/>
      </w:pPr>
      <w:r>
        <w:rPr>
          <w:rStyle w:val="FootnoteReference"/>
        </w:rPr>
        <w:footnoteRef/>
      </w:r>
      <w:r>
        <w:t xml:space="preserve"> </w:t>
      </w:r>
      <w:r w:rsidRPr="004F0975">
        <w:t>VRS Providers November 2016 Ex Parte at 2.</w:t>
      </w:r>
    </w:p>
  </w:footnote>
  <w:footnote w:id="37">
    <w:p w:rsidR="00EC3FE1" w:rsidRDefault="00EC3FE1" w:rsidP="007C1133">
      <w:pPr>
        <w:pStyle w:val="FootnoteText"/>
      </w:pPr>
      <w:r>
        <w:rPr>
          <w:rStyle w:val="FootnoteReference"/>
        </w:rPr>
        <w:footnoteRef/>
      </w:r>
      <w:r>
        <w:t xml:space="preserve"> 47 CFR § 64.621(a)(3).  The rule also states that </w:t>
      </w:r>
      <w:r w:rsidRPr="00C46669">
        <w:t xml:space="preserve">interoperability with the </w:t>
      </w:r>
      <w:r>
        <w:t>ACE App</w:t>
      </w:r>
      <w:r w:rsidRPr="00C46669">
        <w:t xml:space="preserve"> </w:t>
      </w:r>
      <w:r>
        <w:t>is</w:t>
      </w:r>
      <w:r w:rsidRPr="00C46669">
        <w:t xml:space="preserve"> a minimum condition for receiving compensation from the Fund for calls using such technology.</w:t>
      </w:r>
      <w:r w:rsidRPr="007C1133">
        <w:rPr>
          <w:i/>
          <w:iCs/>
        </w:rPr>
        <w:t xml:space="preserve"> </w:t>
      </w:r>
      <w:r>
        <w:rPr>
          <w:i/>
          <w:iCs/>
        </w:rPr>
        <w:t xml:space="preserve"> Id.</w:t>
      </w:r>
      <w:r>
        <w:rPr>
          <w:iCs/>
        </w:rPr>
        <w:t xml:space="preserve">; </w:t>
      </w:r>
      <w:r w:rsidRPr="00526165">
        <w:rPr>
          <w:i/>
          <w:iCs/>
        </w:rPr>
        <w:t>see also</w:t>
      </w:r>
      <w:r>
        <w:rPr>
          <w:iCs/>
        </w:rPr>
        <w:t xml:space="preserve"> </w:t>
      </w:r>
      <w:r w:rsidRPr="0092727B">
        <w:rPr>
          <w:i/>
          <w:iCs/>
        </w:rPr>
        <w:t>VRS Reform Order</w:t>
      </w:r>
      <w:r w:rsidRPr="0092727B">
        <w:rPr>
          <w:iCs/>
        </w:rPr>
        <w:t>, 28 FCC Rcd</w:t>
      </w:r>
      <w:r w:rsidRPr="0092727B">
        <w:t xml:space="preserve"> at 8646, para. 5</w:t>
      </w:r>
      <w:r>
        <w:t>8.</w:t>
      </w:r>
    </w:p>
  </w:footnote>
  <w:footnote w:id="38">
    <w:p w:rsidR="00EC3FE1" w:rsidRDefault="00EC3FE1">
      <w:pPr>
        <w:pStyle w:val="FootnoteText"/>
      </w:pPr>
      <w:r>
        <w:rPr>
          <w:rStyle w:val="FootnoteReference"/>
        </w:rPr>
        <w:footnoteRef/>
      </w:r>
      <w:r>
        <w:t xml:space="preserve"> </w:t>
      </w:r>
      <w:r w:rsidRPr="00CD6284">
        <w:rPr>
          <w:i/>
        </w:rPr>
        <w:t>See</w:t>
      </w:r>
      <w:r>
        <w:t xml:space="preserve"> Joint Comments of Four VRS Providers at 8 (estimating that necessary modifications to their networks to comply with the RUE Profile would take at least 12 months).</w:t>
      </w:r>
    </w:p>
  </w:footnote>
  <w:footnote w:id="39">
    <w:p w:rsidR="00EC3FE1" w:rsidRDefault="00EC3FE1" w:rsidP="00EE0032">
      <w:pPr>
        <w:pStyle w:val="FootnoteText"/>
      </w:pPr>
      <w:r>
        <w:rPr>
          <w:rStyle w:val="FootnoteReference"/>
        </w:rPr>
        <w:footnoteRef/>
      </w:r>
      <w:r>
        <w:t xml:space="preserve"> </w:t>
      </w:r>
      <w:r w:rsidR="00910BC7" w:rsidRPr="002A317F">
        <w:rPr>
          <w:i/>
          <w:iCs/>
        </w:rPr>
        <w:t>VRS Reform Order</w:t>
      </w:r>
      <w:r w:rsidR="00910BC7" w:rsidRPr="002A317F">
        <w:rPr>
          <w:iCs/>
        </w:rPr>
        <w:t>, 28 FCC Rcd</w:t>
      </w:r>
      <w:r w:rsidR="00910BC7" w:rsidRPr="002A317F">
        <w:t xml:space="preserve"> </w:t>
      </w:r>
      <w:r w:rsidRPr="00EC5CAF">
        <w:t xml:space="preserve">at 8643, para. </w:t>
      </w:r>
      <w:r>
        <w:t>50 (“</w:t>
      </w:r>
      <w:r w:rsidRPr="00EC5CAF">
        <w:t xml:space="preserve">We find that VRS interoperability and portability standards should include the portability of address book and speed dial list features. </w:t>
      </w:r>
      <w:r>
        <w:t>. . .</w:t>
      </w:r>
      <w:r w:rsidRPr="00EC5CAF">
        <w:t xml:space="preserve"> </w:t>
      </w:r>
      <w:r>
        <w:t>[T]</w:t>
      </w:r>
      <w:r w:rsidRPr="00EC5CAF">
        <w:t>he record demonstrates that the portability of such features is indeed critical to effective competition and the provision of consumer choice in VRS.</w:t>
      </w:r>
      <w:r>
        <w:t>”).</w:t>
      </w:r>
    </w:p>
  </w:footnote>
  <w:footnote w:id="40">
    <w:p w:rsidR="00EC3FE1" w:rsidRDefault="00EC3FE1" w:rsidP="00EE0032">
      <w:pPr>
        <w:pStyle w:val="FootnoteText"/>
      </w:pPr>
      <w:r>
        <w:rPr>
          <w:rStyle w:val="FootnoteReference"/>
        </w:rPr>
        <w:footnoteRef/>
      </w:r>
      <w:r>
        <w:t xml:space="preserve"> </w:t>
      </w:r>
      <w:r w:rsidR="00910BC7" w:rsidRPr="00D16714">
        <w:rPr>
          <w:i/>
          <w:iCs/>
        </w:rPr>
        <w:t>Id</w:t>
      </w:r>
      <w:r>
        <w:t>.</w:t>
      </w:r>
    </w:p>
  </w:footnote>
  <w:footnote w:id="41">
    <w:p w:rsidR="00EC3FE1" w:rsidRDefault="00EC3FE1" w:rsidP="00EE0032">
      <w:pPr>
        <w:pStyle w:val="FootnoteText"/>
      </w:pPr>
      <w:r>
        <w:rPr>
          <w:rStyle w:val="FootnoteReference"/>
        </w:rPr>
        <w:footnoteRef/>
      </w:r>
      <w:r w:rsidRPr="00EC5CAF">
        <w:t xml:space="preserve"> </w:t>
      </w:r>
      <w:r w:rsidRPr="00D16714">
        <w:rPr>
          <w:i/>
          <w:iCs/>
        </w:rPr>
        <w:t>Id.</w:t>
      </w:r>
    </w:p>
  </w:footnote>
  <w:footnote w:id="42">
    <w:p w:rsidR="00EC3FE1" w:rsidRDefault="00EC3FE1" w:rsidP="00EE0032">
      <w:pPr>
        <w:pStyle w:val="FootnoteText"/>
      </w:pPr>
      <w:r>
        <w:rPr>
          <w:rStyle w:val="FootnoteReference"/>
        </w:rPr>
        <w:footnoteRef/>
      </w:r>
      <w:r>
        <w:t xml:space="preserve"> </w:t>
      </w:r>
      <w:r w:rsidRPr="003120C0">
        <w:t>RUE Profile, § 10</w:t>
      </w:r>
      <w:r w:rsidR="008D298B">
        <w:t xml:space="preserve">; see also </w:t>
      </w:r>
      <w:r w:rsidR="008D298B" w:rsidRPr="008D298B">
        <w:t xml:space="preserve">xCard XML Format, </w:t>
      </w:r>
      <w:hyperlink r:id="rId5" w:history="1">
        <w:r w:rsidR="008D298B" w:rsidRPr="008D298B">
          <w:rPr>
            <w:color w:val="0563C1"/>
          </w:rPr>
          <w:t>https://tools.ietf.org/html/rfc6351</w:t>
        </w:r>
      </w:hyperlink>
      <w:r w:rsidR="008D298B" w:rsidRPr="008D298B">
        <w:t>.</w:t>
      </w:r>
    </w:p>
  </w:footnote>
  <w:footnote w:id="43">
    <w:p w:rsidR="00EC3FE1" w:rsidRDefault="00EC3FE1" w:rsidP="00EE0032">
      <w:pPr>
        <w:pStyle w:val="FootnoteText"/>
      </w:pPr>
      <w:r>
        <w:rPr>
          <w:rStyle w:val="FootnoteReference"/>
        </w:rPr>
        <w:footnoteRef/>
      </w:r>
      <w:r>
        <w:t xml:space="preserve"> </w:t>
      </w:r>
      <w:r w:rsidRPr="004F0975">
        <w:t xml:space="preserve">VRS Providers November 2016 Ex Parte at 2.  </w:t>
      </w:r>
    </w:p>
  </w:footnote>
  <w:footnote w:id="44">
    <w:p w:rsidR="00EC3FE1" w:rsidRDefault="00EC3FE1" w:rsidP="00EE0032">
      <w:pPr>
        <w:pStyle w:val="FootnoteText"/>
      </w:pPr>
      <w:r>
        <w:rPr>
          <w:rStyle w:val="FootnoteReference"/>
        </w:rPr>
        <w:footnoteRef/>
      </w:r>
      <w:r>
        <w:t xml:space="preserve">  We believe that this is a reasonable deadline, given that the VRS providers reached agreement on the xCard format in December 2015.  </w:t>
      </w:r>
      <w:r w:rsidR="00146EB8" w:rsidRPr="00146EB8">
        <w:rPr>
          <w:i/>
        </w:rPr>
        <w:t>Id</w:t>
      </w:r>
      <w:r w:rsidR="00146EB8">
        <w:t>.</w:t>
      </w:r>
      <w:r>
        <w:t xml:space="preserve">, n.1; </w:t>
      </w:r>
      <w:r w:rsidRPr="006251F5">
        <w:rPr>
          <w:i/>
        </w:rPr>
        <w:t>see also</w:t>
      </w:r>
      <w:r>
        <w:t xml:space="preserve"> </w:t>
      </w:r>
      <w:r w:rsidRPr="003B53DF">
        <w:t>Letter from Michael Strecker, Vice President of Regulatory Affairs, Purple Communications, Inc., to Marlene H. Dortch, Secretary, FCC, CG Docket Nos. 10-51, 03-123, at 1-2 (filed Nov. 3, 2015); Sorenson Communications, Inc. Reply Comments on VRS Compensation Rates at 14, CG Docket Nos. 10-51, 03-123 (filed Dec. 24, 2015).</w:t>
      </w:r>
      <w:r>
        <w:t xml:space="preserve">  They state that, “</w:t>
      </w:r>
      <w:r w:rsidRPr="00241B3D">
        <w:t>absent regulatory mandates that force providers to divert resources, providers are prepared to begin testing address-book portability in January.</w:t>
      </w:r>
      <w:r>
        <w:t>”</w:t>
      </w:r>
      <w:r w:rsidRPr="00A64DA3">
        <w:rPr>
          <w:snapToGrid w:val="0"/>
          <w:kern w:val="28"/>
          <w:sz w:val="22"/>
        </w:rPr>
        <w:t xml:space="preserve"> </w:t>
      </w:r>
      <w:r>
        <w:rPr>
          <w:snapToGrid w:val="0"/>
          <w:kern w:val="28"/>
          <w:sz w:val="22"/>
        </w:rPr>
        <w:t xml:space="preserve"> </w:t>
      </w:r>
      <w:r w:rsidRPr="00A64DA3">
        <w:t xml:space="preserve">VRS Providers November 2016 Ex Parte at </w:t>
      </w:r>
      <w:r>
        <w:t>4</w:t>
      </w:r>
      <w:r w:rsidRPr="00A64DA3">
        <w:t>.</w:t>
      </w:r>
    </w:p>
  </w:footnote>
  <w:footnote w:id="45">
    <w:p w:rsidR="00EC3FE1" w:rsidRDefault="00EC3FE1">
      <w:pPr>
        <w:pStyle w:val="FootnoteText"/>
      </w:pPr>
      <w:r>
        <w:rPr>
          <w:rStyle w:val="FootnoteReference"/>
        </w:rPr>
        <w:footnoteRef/>
      </w:r>
      <w:r>
        <w:t xml:space="preserve"> Consumer Groups Comments at 2.</w:t>
      </w:r>
    </w:p>
  </w:footnote>
  <w:footnote w:id="46">
    <w:p w:rsidR="00EC3FE1" w:rsidRDefault="00EC3FE1" w:rsidP="00380CAE">
      <w:pPr>
        <w:pStyle w:val="FootnoteText"/>
      </w:pPr>
      <w:r>
        <w:rPr>
          <w:rStyle w:val="FootnoteReference"/>
        </w:rPr>
        <w:footnoteRef/>
      </w:r>
      <w:r>
        <w:t xml:space="preserve"> </w:t>
      </w:r>
      <w:r w:rsidRPr="00D7501E">
        <w:t xml:space="preserve">1 CFR </w:t>
      </w:r>
      <w:r>
        <w:t xml:space="preserve">§ </w:t>
      </w:r>
      <w:r w:rsidRPr="00D7501E">
        <w:t>51.5(a).</w:t>
      </w:r>
    </w:p>
  </w:footnote>
  <w:footnote w:id="47">
    <w:p w:rsidR="00EC3FE1" w:rsidRDefault="00EC3FE1">
      <w:pPr>
        <w:pStyle w:val="FootnoteText"/>
      </w:pPr>
      <w:r>
        <w:rPr>
          <w:rStyle w:val="FootnoteReference"/>
        </w:rPr>
        <w:footnoteRef/>
      </w:r>
      <w:r>
        <w:t xml:space="preserve"> </w:t>
      </w:r>
      <w:r w:rsidRPr="0092727B">
        <w:rPr>
          <w:i/>
          <w:iCs/>
        </w:rPr>
        <w:t>VRS Reform Order</w:t>
      </w:r>
      <w:r w:rsidRPr="0092727B">
        <w:rPr>
          <w:iCs/>
        </w:rPr>
        <w:t>, 28 FCC Rcd</w:t>
      </w:r>
      <w:r w:rsidRPr="0092727B">
        <w:t xml:space="preserve"> at 86</w:t>
      </w:r>
      <w:r>
        <w:t>39</w:t>
      </w:r>
      <w:r w:rsidRPr="0092727B">
        <w:t xml:space="preserve">, para. </w:t>
      </w:r>
      <w:r>
        <w:t>40 (footnote omitted).</w:t>
      </w:r>
    </w:p>
  </w:footnote>
  <w:footnote w:id="48">
    <w:p w:rsidR="00EC3FE1" w:rsidRDefault="00EC3FE1" w:rsidP="00B65B88">
      <w:pPr>
        <w:pStyle w:val="FootnoteText"/>
      </w:pPr>
      <w:r>
        <w:rPr>
          <w:rStyle w:val="FootnoteReference"/>
        </w:rPr>
        <w:footnoteRef/>
      </w:r>
      <w:r>
        <w:t xml:space="preserve"> Joint Comments of Four VRS Providers </w:t>
      </w:r>
      <w:r w:rsidRPr="00EC6EDE">
        <w:t xml:space="preserve">at </w:t>
      </w:r>
      <w:r>
        <w:t>4-5 (emphasis in original)</w:t>
      </w:r>
      <w:r w:rsidRPr="00EC6EDE">
        <w:t>.</w:t>
      </w:r>
    </w:p>
  </w:footnote>
  <w:footnote w:id="49">
    <w:p w:rsidR="004D7061" w:rsidRDefault="004D7061">
      <w:pPr>
        <w:pStyle w:val="FootnoteText"/>
      </w:pPr>
      <w:r>
        <w:rPr>
          <w:rStyle w:val="FootnoteReference"/>
        </w:rPr>
        <w:footnoteRef/>
      </w:r>
      <w:r>
        <w:t xml:space="preserve"> Pub. L. No.</w:t>
      </w:r>
      <w:r w:rsidRPr="003C7055">
        <w:t xml:space="preserve"> 107-198</w:t>
      </w:r>
      <w:r>
        <w:t>;</w:t>
      </w:r>
      <w:r w:rsidRPr="003C7055">
        <w:rPr>
          <w:rFonts w:ascii="Segoe UI" w:hAnsi="Segoe UI" w:cs="Segoe UI"/>
          <w:sz w:val="18"/>
          <w:szCs w:val="18"/>
        </w:rPr>
        <w:t> </w:t>
      </w:r>
      <w:r w:rsidRPr="003C7055">
        <w:t xml:space="preserve">44 U.S.C. </w:t>
      </w:r>
      <w:r>
        <w:t xml:space="preserve">§ </w:t>
      </w:r>
      <w:r w:rsidRPr="003C7055">
        <w:t>3506(c)(4).</w:t>
      </w:r>
    </w:p>
  </w:footnote>
  <w:footnote w:id="50">
    <w:p w:rsidR="00625E88" w:rsidRDefault="00625E88" w:rsidP="00625E88">
      <w:pPr>
        <w:pStyle w:val="FootnoteText"/>
      </w:pPr>
      <w:r>
        <w:rPr>
          <w:rStyle w:val="FootnoteReference"/>
        </w:rPr>
        <w:footnoteRef/>
      </w:r>
      <w:r>
        <w:t xml:space="preserve"> 5 U.S.C. § 601 </w:t>
      </w:r>
      <w:r>
        <w:rPr>
          <w:i/>
        </w:rPr>
        <w:t>et seq</w:t>
      </w:r>
      <w:r>
        <w:t>.</w:t>
      </w:r>
    </w:p>
  </w:footnote>
  <w:footnote w:id="51">
    <w:p w:rsidR="00EC3FE1" w:rsidRPr="00F45417" w:rsidRDefault="00EC3FE1" w:rsidP="003C7055">
      <w:pPr>
        <w:pStyle w:val="FootnoteText"/>
      </w:pPr>
      <w:r w:rsidRPr="00F45417">
        <w:rPr>
          <w:rStyle w:val="FootnoteReference"/>
        </w:rPr>
        <w:footnoteRef/>
      </w:r>
      <w:r w:rsidRPr="00F45417">
        <w:t xml:space="preserve"> </w:t>
      </w:r>
      <w:r w:rsidRPr="003B6D3F">
        <w:rPr>
          <w:i/>
          <w:iCs/>
        </w:rPr>
        <w:t>See</w:t>
      </w:r>
      <w:r>
        <w:rPr>
          <w:iCs/>
        </w:rPr>
        <w:t xml:space="preserve"> 5 U.S.C.</w:t>
      </w:r>
      <w:r w:rsidRPr="003B6D3F">
        <w:t xml:space="preserve"> </w:t>
      </w:r>
      <w:r w:rsidRPr="00CF5336">
        <w:t>§ 603</w:t>
      </w:r>
      <w:r w:rsidRPr="00F45417">
        <w:t>.</w:t>
      </w:r>
    </w:p>
  </w:footnote>
  <w:footnote w:id="52">
    <w:p w:rsidR="00EC3FE1" w:rsidRPr="00F45417" w:rsidRDefault="00EC3FE1" w:rsidP="003C7055">
      <w:pPr>
        <w:pStyle w:val="FootnoteText"/>
      </w:pPr>
      <w:r w:rsidRPr="00F45417">
        <w:rPr>
          <w:rStyle w:val="FootnoteReference"/>
        </w:rPr>
        <w:footnoteRef/>
      </w:r>
      <w:r w:rsidRPr="00F45417">
        <w:t xml:space="preserve"> </w:t>
      </w:r>
      <w:r w:rsidRPr="004B5B3A">
        <w:rPr>
          <w:i/>
          <w:iCs/>
        </w:rPr>
        <w:t>See</w:t>
      </w:r>
      <w:r w:rsidRPr="00F45417">
        <w:t xml:space="preserve"> </w:t>
      </w:r>
      <w:r w:rsidRPr="004B5B3A">
        <w:rPr>
          <w:i/>
          <w:iCs/>
        </w:rPr>
        <w:t>id</w:t>
      </w:r>
      <w:r w:rsidRPr="00F45417">
        <w:t>. § 603(a).</w:t>
      </w:r>
    </w:p>
  </w:footnote>
  <w:footnote w:id="53">
    <w:p w:rsidR="00EC3FE1" w:rsidRPr="00F45417" w:rsidRDefault="00EC3FE1" w:rsidP="003C7055">
      <w:pPr>
        <w:pStyle w:val="FootnoteText"/>
      </w:pPr>
      <w:r w:rsidRPr="00F45417">
        <w:rPr>
          <w:rStyle w:val="FootnoteReference"/>
        </w:rPr>
        <w:footnoteRef/>
      </w:r>
      <w:r w:rsidRPr="00F45417">
        <w:t xml:space="preserve"> </w:t>
      </w:r>
      <w:r w:rsidRPr="004B5B3A">
        <w:rPr>
          <w:i/>
          <w:iCs/>
        </w:rPr>
        <w:t>Id.</w:t>
      </w:r>
    </w:p>
  </w:footnote>
  <w:footnote w:id="54">
    <w:p w:rsidR="00EC3FE1" w:rsidRPr="00F45417" w:rsidRDefault="00EC3FE1" w:rsidP="003C7055">
      <w:pPr>
        <w:pStyle w:val="FootnoteText"/>
        <w:rPr>
          <w:i/>
          <w:iCs/>
        </w:rPr>
      </w:pPr>
      <w:r w:rsidRPr="00F45417">
        <w:rPr>
          <w:rStyle w:val="FootnoteReference"/>
        </w:rPr>
        <w:footnoteRef/>
      </w:r>
      <w:r w:rsidRPr="00F45417">
        <w:t xml:space="preserve"> 47 CFR §§ 1.1200 </w:t>
      </w:r>
      <w:r w:rsidRPr="3055A5F8">
        <w:rPr>
          <w:i/>
          <w:iCs/>
        </w:rPr>
        <w:t>et seq.</w:t>
      </w:r>
    </w:p>
  </w:footnote>
  <w:footnote w:id="55">
    <w:p w:rsidR="00EC3FE1" w:rsidRDefault="00EC3FE1" w:rsidP="00306339">
      <w:pPr>
        <w:pStyle w:val="FootnoteText"/>
        <w:tabs>
          <w:tab w:val="left" w:pos="-720"/>
        </w:tabs>
        <w:rPr>
          <w:spacing w:val="-2"/>
        </w:rPr>
      </w:pPr>
      <w:r>
        <w:rPr>
          <w:rStyle w:val="FootnoteReference"/>
        </w:rPr>
        <w:footnoteRef/>
      </w:r>
      <w:r>
        <w:rPr>
          <w:rStyle w:val="FootnoteReference"/>
          <w:spacing w:val="-2"/>
        </w:rPr>
        <w:t> </w:t>
      </w:r>
      <w:r>
        <w:rPr>
          <w:i/>
          <w:spacing w:val="-2"/>
        </w:rPr>
        <w:t>See</w:t>
      </w:r>
      <w:r>
        <w:rPr>
          <w:spacing w:val="-2"/>
        </w:rPr>
        <w:t xml:space="preserve"> 5 U.S.C. § 603.  The RFA, </w:t>
      </w:r>
      <w:r>
        <w:rPr>
          <w:i/>
          <w:spacing w:val="-2"/>
        </w:rPr>
        <w:t>see</w:t>
      </w:r>
      <w:r>
        <w:rPr>
          <w:spacing w:val="-2"/>
        </w:rPr>
        <w:t xml:space="preserve"> 5 U.S.C. § 601-612, was amended by the </w:t>
      </w:r>
      <w:r w:rsidRPr="000C7774">
        <w:t>Small Business Regulatory Enforcement Fairness Act of 1996 (SBREFA), Pub. L. No. 104-121, Title II, 110 Stat. 847 (1996).  The SBREFA was enacted as Title II of the Contract with America Advancement Act of 1996 (CWAAA).</w:t>
      </w:r>
    </w:p>
  </w:footnote>
  <w:footnote w:id="56">
    <w:p w:rsidR="00EC3FE1" w:rsidRPr="000C7774" w:rsidRDefault="00EC3FE1" w:rsidP="00306339">
      <w:pPr>
        <w:pStyle w:val="FootnoteText"/>
      </w:pPr>
      <w:r w:rsidRPr="000C7774">
        <w:rPr>
          <w:rStyle w:val="FootnoteReference"/>
        </w:rPr>
        <w:footnoteRef/>
      </w:r>
      <w:r w:rsidRPr="000C7774">
        <w:t xml:space="preserve"> </w:t>
      </w:r>
      <w:r w:rsidRPr="004B5B3A">
        <w:rPr>
          <w:i/>
          <w:iCs/>
        </w:rPr>
        <w:t>Structure and Practices of the Video Relay Service Program</w:t>
      </w:r>
      <w:r>
        <w:rPr>
          <w:i/>
          <w:iCs/>
        </w:rPr>
        <w:t xml:space="preserve"> et al.</w:t>
      </w:r>
      <w:r w:rsidRPr="004B5B3A">
        <w:t xml:space="preserve">, Further Notice of Proposed Rulemaking, </w:t>
      </w:r>
      <w:r>
        <w:t xml:space="preserve">31 FCC Rcd 8777 (CGB 2016) </w:t>
      </w:r>
      <w:r w:rsidRPr="004B5B3A">
        <w:t>(</w:t>
      </w:r>
      <w:r>
        <w:rPr>
          <w:i/>
          <w:iCs/>
        </w:rPr>
        <w:t>FNPRM</w:t>
      </w:r>
      <w:r>
        <w:t>).</w:t>
      </w:r>
    </w:p>
  </w:footnote>
  <w:footnote w:id="57">
    <w:p w:rsidR="00EC3FE1" w:rsidRPr="000C7774" w:rsidRDefault="00EC3FE1" w:rsidP="00306339">
      <w:pPr>
        <w:pStyle w:val="FootnoteText"/>
      </w:pPr>
      <w:r w:rsidRPr="000C7774">
        <w:rPr>
          <w:rStyle w:val="FootnoteReference"/>
        </w:rPr>
        <w:footnoteRef/>
      </w:r>
      <w:r w:rsidRPr="000C7774">
        <w:t xml:space="preserve"> </w:t>
      </w:r>
      <w:r w:rsidRPr="000C7774">
        <w:rPr>
          <w:i/>
        </w:rPr>
        <w:t>See</w:t>
      </w:r>
      <w:r w:rsidRPr="000C7774">
        <w:t xml:space="preserve"> 5 U.S.C. § 604.</w:t>
      </w:r>
    </w:p>
  </w:footnote>
  <w:footnote w:id="58">
    <w:p w:rsidR="00EC3FE1" w:rsidRPr="000C7774" w:rsidRDefault="00EC3FE1" w:rsidP="00306339">
      <w:pPr>
        <w:pStyle w:val="FootnoteText"/>
      </w:pPr>
      <w:r w:rsidRPr="000C7774">
        <w:rPr>
          <w:rStyle w:val="FootnoteReference"/>
        </w:rPr>
        <w:footnoteRef/>
      </w:r>
      <w:r w:rsidRPr="000C7774">
        <w:t xml:space="preserve"> </w:t>
      </w:r>
      <w:r w:rsidRPr="000C7774">
        <w:rPr>
          <w:i/>
        </w:rPr>
        <w:t>See</w:t>
      </w:r>
      <w:r w:rsidRPr="000C7774">
        <w:t xml:space="preserve"> </w:t>
      </w:r>
      <w:r>
        <w:rPr>
          <w:i/>
        </w:rPr>
        <w:t xml:space="preserve">id. </w:t>
      </w:r>
      <w:r w:rsidRPr="000C7774">
        <w:t xml:space="preserve">§ 604(b). </w:t>
      </w:r>
    </w:p>
  </w:footnote>
  <w:footnote w:id="59">
    <w:p w:rsidR="00EC3FE1" w:rsidRPr="00FB387D" w:rsidRDefault="00EC3FE1" w:rsidP="00306339">
      <w:pPr>
        <w:pStyle w:val="FootnoteText"/>
      </w:pPr>
      <w:r w:rsidRPr="00FB387D">
        <w:rPr>
          <w:rStyle w:val="FootnoteReference"/>
        </w:rPr>
        <w:footnoteRef/>
      </w:r>
      <w:r w:rsidRPr="00FB387D">
        <w:t xml:space="preserve"> 47 U.S.C. § 225(b)(1).  </w:t>
      </w:r>
    </w:p>
  </w:footnote>
  <w:footnote w:id="60">
    <w:p w:rsidR="00EC3FE1" w:rsidRPr="00FB387D" w:rsidRDefault="00EC3FE1" w:rsidP="00306339">
      <w:pPr>
        <w:pStyle w:val="FootnoteText"/>
      </w:pPr>
      <w:r w:rsidRPr="00FB387D">
        <w:rPr>
          <w:rStyle w:val="FootnoteTextChar1Char1"/>
          <w:vertAlign w:val="superscript"/>
        </w:rPr>
        <w:footnoteRef/>
      </w:r>
      <w:r w:rsidRPr="00FB387D">
        <w:rPr>
          <w:rStyle w:val="FootnoteTextChar1Char1"/>
        </w:rPr>
        <w:t xml:space="preserve"> 47 U.S.C. § 225(a)(3) (defining TRS as “</w:t>
      </w:r>
      <w:r w:rsidRPr="00FB387D">
        <w:t>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w:t>
      </w:r>
      <w:r w:rsidRPr="00FB387D">
        <w:rPr>
          <w:rStyle w:val="FootnoteTextChar1Char1"/>
        </w:rPr>
        <w:t xml:space="preserve">.  </w:t>
      </w:r>
    </w:p>
  </w:footnote>
  <w:footnote w:id="61">
    <w:p w:rsidR="00EC3FE1" w:rsidRPr="00FB387D" w:rsidRDefault="00EC3FE1" w:rsidP="00306339">
      <w:pPr>
        <w:pStyle w:val="FootnoteText"/>
      </w:pPr>
      <w:r w:rsidRPr="003F0784">
        <w:rPr>
          <w:rStyle w:val="FootnoteReference"/>
        </w:rPr>
        <w:footnoteRef/>
      </w:r>
      <w:r w:rsidRPr="003F0784">
        <w:t xml:space="preserve"> 47 U</w:t>
      </w:r>
      <w:r w:rsidRPr="00FB387D">
        <w:t>.S.C. § 225(d)(1).</w:t>
      </w:r>
    </w:p>
  </w:footnote>
  <w:footnote w:id="62">
    <w:p w:rsidR="00EC3FE1" w:rsidRPr="00FB387D" w:rsidRDefault="00EC3FE1" w:rsidP="00306339">
      <w:pPr>
        <w:pStyle w:val="FootnoteText"/>
      </w:pPr>
      <w:r w:rsidRPr="00FB387D">
        <w:rPr>
          <w:rStyle w:val="FootnoteReference"/>
        </w:rPr>
        <w:footnoteRef/>
      </w:r>
      <w:r w:rsidRPr="00FB387D">
        <w:t xml:space="preserve"> 47 U.S.C. § 225(d)(2).  </w:t>
      </w:r>
    </w:p>
  </w:footnote>
  <w:footnote w:id="63">
    <w:p w:rsidR="00EC3FE1" w:rsidRPr="00FB387D" w:rsidRDefault="00EC3FE1" w:rsidP="00306339">
      <w:pPr>
        <w:pStyle w:val="FootnoteText"/>
      </w:pPr>
      <w:r w:rsidRPr="00FB387D">
        <w:rPr>
          <w:rStyle w:val="FootnoteReference"/>
        </w:rPr>
        <w:footnoteRef/>
      </w:r>
      <w:r w:rsidRPr="00FB387D">
        <w:t xml:space="preserve"> </w:t>
      </w:r>
      <w:r w:rsidRPr="00FB387D">
        <w:rPr>
          <w:i/>
        </w:rPr>
        <w:t>See</w:t>
      </w:r>
      <w:r w:rsidRPr="00FB387D">
        <w:t xml:space="preserve"> 47 C.F.R. § 64.601(a)(27)</w:t>
      </w:r>
      <w:r>
        <w:t xml:space="preserve"> (2012)</w:t>
      </w:r>
      <w:r w:rsidRPr="00FB387D">
        <w:t>.</w:t>
      </w:r>
    </w:p>
  </w:footnote>
  <w:footnote w:id="64">
    <w:p w:rsidR="00EC3FE1" w:rsidRDefault="00EC3FE1" w:rsidP="00306339">
      <w:pPr>
        <w:pStyle w:val="FootnoteText"/>
      </w:pPr>
      <w:r>
        <w:rPr>
          <w:rStyle w:val="FootnoteReference"/>
        </w:rPr>
        <w:footnoteRef/>
      </w:r>
      <w:r>
        <w:t xml:space="preserve"> </w:t>
      </w:r>
      <w:r w:rsidRPr="004B5B3A">
        <w:rPr>
          <w:i/>
          <w:iCs/>
        </w:rPr>
        <w:t>Structure and Practices of the Video Relay Service Program</w:t>
      </w:r>
      <w:r w:rsidRPr="004B5B3A">
        <w:t>, Report and Order and Further Notice of Proposed Rulemaking, 28 FCC Rcd 8618</w:t>
      </w:r>
      <w:r>
        <w:t xml:space="preserve">, 8639-41, paras. 40-44 (2013) </w:t>
      </w:r>
      <w:r w:rsidRPr="004B5B3A">
        <w:t>(</w:t>
      </w:r>
      <w:r w:rsidRPr="004B5B3A">
        <w:rPr>
          <w:i/>
          <w:iCs/>
        </w:rPr>
        <w:t>VRS Reform Order</w:t>
      </w:r>
      <w:r w:rsidRPr="004B5B3A">
        <w:t>)</w:t>
      </w:r>
      <w:r>
        <w:t>.</w:t>
      </w:r>
    </w:p>
  </w:footnote>
  <w:footnote w:id="65">
    <w:p w:rsidR="00EC3FE1" w:rsidRDefault="00EC3FE1" w:rsidP="00306339">
      <w:pPr>
        <w:pStyle w:val="FootnoteText"/>
      </w:pPr>
      <w:r>
        <w:rPr>
          <w:rStyle w:val="FootnoteReference"/>
        </w:rPr>
        <w:footnoteRef/>
      </w:r>
      <w:r>
        <w:t xml:space="preserve"> </w:t>
      </w:r>
      <w:r>
        <w:rPr>
          <w:bCs/>
          <w:snapToGrid w:val="0"/>
          <w:kern w:val="28"/>
        </w:rPr>
        <w:t>SIP</w:t>
      </w:r>
      <w:r w:rsidRPr="001315B2">
        <w:rPr>
          <w:snapToGrid w:val="0"/>
          <w:kern w:val="28"/>
        </w:rPr>
        <w:t xml:space="preserve"> is a communications protocol for signaling and controlling multimedia communication sessions.</w:t>
      </w:r>
    </w:p>
  </w:footnote>
  <w:footnote w:id="66">
    <w:p w:rsidR="00EC3FE1" w:rsidRPr="00B966A9" w:rsidRDefault="00EC3FE1" w:rsidP="005E763A">
      <w:pPr>
        <w:pStyle w:val="FootnoteText"/>
      </w:pPr>
      <w:r>
        <w:rPr>
          <w:rStyle w:val="FootnoteReference"/>
        </w:rPr>
        <w:footnoteRef/>
      </w:r>
      <w:r>
        <w:t xml:space="preserve"> </w:t>
      </w:r>
      <w:r w:rsidR="00447C66" w:rsidRPr="00CD6482">
        <w:t xml:space="preserve">SIP Forum, US </w:t>
      </w:r>
      <w:r w:rsidR="00447C66" w:rsidRPr="00CD6482">
        <w:rPr>
          <w:bCs/>
        </w:rPr>
        <w:t>Video Relay Service (VRS)</w:t>
      </w:r>
      <w:r w:rsidR="00447C66" w:rsidRPr="00CD6482">
        <w:rPr>
          <w:b/>
          <w:bCs/>
        </w:rPr>
        <w:t xml:space="preserve"> </w:t>
      </w:r>
      <w:r w:rsidR="00447C66" w:rsidRPr="00CD6482">
        <w:rPr>
          <w:bCs/>
          <w:iCs/>
        </w:rPr>
        <w:t>Provider Interoperability Profile, Version 15, SIP Forum Document Number: VRS US Providers Profile TWG-6-</w:t>
      </w:r>
      <w:r w:rsidR="00447C66">
        <w:rPr>
          <w:bCs/>
          <w:iCs/>
        </w:rPr>
        <w:t>1</w:t>
      </w:r>
      <w:r w:rsidR="00447C66" w:rsidRPr="00CD6482">
        <w:rPr>
          <w:bCs/>
          <w:iCs/>
        </w:rPr>
        <w:t>.</w:t>
      </w:r>
      <w:r w:rsidR="00447C66">
        <w:rPr>
          <w:bCs/>
          <w:iCs/>
        </w:rPr>
        <w:t>0, § 4</w:t>
      </w:r>
      <w:r w:rsidR="00447C66" w:rsidRPr="00CD6482">
        <w:rPr>
          <w:bCs/>
          <w:iCs/>
        </w:rPr>
        <w:t xml:space="preserve"> (</w:t>
      </w:r>
      <w:r w:rsidR="00447C66">
        <w:rPr>
          <w:bCs/>
          <w:iCs/>
        </w:rPr>
        <w:t>Oct. 14</w:t>
      </w:r>
      <w:r w:rsidR="00447C66" w:rsidRPr="00CD6482">
        <w:rPr>
          <w:bCs/>
          <w:iCs/>
        </w:rPr>
        <w:t>, 2015) (Provider Interoperability Profile),</w:t>
      </w:r>
      <w:r w:rsidR="00447C66">
        <w:rPr>
          <w:bCs/>
          <w:iCs/>
        </w:rPr>
        <w:t xml:space="preserve"> </w:t>
      </w:r>
      <w:hyperlink r:id="rId6" w:history="1">
        <w:r w:rsidR="00447C66">
          <w:rPr>
            <w:rFonts w:ascii="Calibri" w:hAnsi="Calibri"/>
            <w:sz w:val="22"/>
            <w:szCs w:val="22"/>
          </w:rPr>
          <w:t xml:space="preserve"> </w:t>
        </w:r>
        <w:r w:rsidR="00447C66" w:rsidRPr="00447C66">
          <w:t>https://www.fcc.gov/files/sip-forum-vrs-us-providers-profile-twg-6-1</w:t>
        </w:r>
        <w:r w:rsidR="00447C66" w:rsidRPr="00447C66">
          <w:rPr>
            <w:rStyle w:val="Hyperlink"/>
            <w:u w:val="none"/>
          </w:rPr>
          <w:t>;</w:t>
        </w:r>
      </w:hyperlink>
      <w:r>
        <w:rPr>
          <w:bCs/>
          <w:iCs/>
        </w:rPr>
        <w:t xml:space="preserve">The TRS Numbering Directory is a database that enables the routing of VRS and point-to-point video calls that originate and terminate with different VRS providers.  </w:t>
      </w:r>
      <w:r w:rsidRPr="00D21D74">
        <w:rPr>
          <w:bCs/>
          <w:i/>
          <w:iCs/>
        </w:rPr>
        <w:t>See</w:t>
      </w:r>
      <w:r>
        <w:rPr>
          <w:bCs/>
          <w:iCs/>
        </w:rPr>
        <w:t xml:space="preserve"> 47 CFR § 64.613.</w:t>
      </w:r>
    </w:p>
  </w:footnote>
  <w:footnote w:id="67">
    <w:p w:rsidR="00447C66" w:rsidRDefault="00447C66">
      <w:pPr>
        <w:pStyle w:val="FootnoteText"/>
      </w:pPr>
      <w:r>
        <w:rPr>
          <w:rStyle w:val="FootnoteReference"/>
        </w:rPr>
        <w:footnoteRef/>
      </w:r>
      <w:r>
        <w:t xml:space="preserve"> </w:t>
      </w:r>
      <w:r w:rsidRPr="00447C66">
        <w:rPr>
          <w:bCs/>
          <w:iCs/>
        </w:rPr>
        <w:t xml:space="preserve">Interoperability Profile for Relay User Equipment (July 20, 2016) (RUE Profile), </w:t>
      </w:r>
      <w:hyperlink r:id="rId7" w:history="1">
        <w:r w:rsidRPr="003D2DEB">
          <w:rPr>
            <w:rFonts w:eastAsia="Calibri"/>
            <w:color w:val="0563C1"/>
            <w:u w:val="single"/>
          </w:rPr>
          <w:t>https://datatracker.ietf.org/doc/draft-vrs-rue-dispatch/</w:t>
        </w:r>
      </w:hyperlink>
      <w:r>
        <w:rPr>
          <w:rFonts w:eastAsia="Calibri"/>
          <w:color w:val="1F497D"/>
        </w:rPr>
        <w:t>.</w:t>
      </w:r>
    </w:p>
  </w:footnote>
  <w:footnote w:id="68">
    <w:p w:rsidR="00447C66" w:rsidRDefault="00447C66">
      <w:pPr>
        <w:pStyle w:val="FootnoteText"/>
      </w:pPr>
      <w:r>
        <w:rPr>
          <w:rStyle w:val="FootnoteReference"/>
        </w:rPr>
        <w:footnoteRef/>
      </w:r>
      <w:r>
        <w:t xml:space="preserve"> </w:t>
      </w:r>
      <w:r w:rsidR="002C397E" w:rsidRPr="002C397E">
        <w:t xml:space="preserve">Internet Engineering Task Force (IETF) Request for Comments (RFC) 6351, </w:t>
      </w:r>
      <w:r w:rsidR="002C397E" w:rsidRPr="002C397E">
        <w:rPr>
          <w:bCs/>
        </w:rPr>
        <w:t>xCard: vCard XML Representation</w:t>
      </w:r>
      <w:r w:rsidR="002C397E" w:rsidRPr="002C397E">
        <w:t xml:space="preserve"> (August 2011) (xCard XML Format), </w:t>
      </w:r>
      <w:hyperlink r:id="rId8" w:history="1">
        <w:r w:rsidR="002C397E" w:rsidRPr="002C397E">
          <w:rPr>
            <w:color w:val="0563C1"/>
          </w:rPr>
          <w:t>https://tools.ietf.org/html/rfc6351</w:t>
        </w:r>
      </w:hyperlink>
      <w:r w:rsidR="002C397E" w:rsidRPr="002C397E">
        <w:t>.</w:t>
      </w:r>
    </w:p>
  </w:footnote>
  <w:footnote w:id="69">
    <w:p w:rsidR="00EC3FE1" w:rsidRDefault="00EC3FE1" w:rsidP="00E4315A">
      <w:pPr>
        <w:pStyle w:val="FootnoteText"/>
      </w:pPr>
      <w:r>
        <w:rPr>
          <w:rStyle w:val="FootnoteReference"/>
        </w:rPr>
        <w:footnoteRef/>
      </w:r>
      <w:r>
        <w:t xml:space="preserve"> 47 CFR § 64.621(a)(3).  The rule also states that </w:t>
      </w:r>
      <w:r w:rsidRPr="00C46669">
        <w:t xml:space="preserve">interoperability with the </w:t>
      </w:r>
      <w:r>
        <w:t>ACE App</w:t>
      </w:r>
      <w:r w:rsidRPr="00C46669">
        <w:t xml:space="preserve"> </w:t>
      </w:r>
      <w:r>
        <w:t>is</w:t>
      </w:r>
      <w:r w:rsidRPr="00C46669">
        <w:t xml:space="preserve"> a minimum condition for receiving compensation from the Fund for calls using such technology.</w:t>
      </w:r>
      <w:r w:rsidRPr="007C1133">
        <w:rPr>
          <w:i/>
          <w:iCs/>
        </w:rPr>
        <w:t xml:space="preserve"> </w:t>
      </w:r>
      <w:r>
        <w:rPr>
          <w:i/>
          <w:iCs/>
        </w:rPr>
        <w:t xml:space="preserve"> Id.</w:t>
      </w:r>
      <w:r>
        <w:rPr>
          <w:iCs/>
        </w:rPr>
        <w:t xml:space="preserve">; </w:t>
      </w:r>
      <w:r w:rsidRPr="00526165">
        <w:rPr>
          <w:i/>
          <w:iCs/>
        </w:rPr>
        <w:t>see also</w:t>
      </w:r>
      <w:r>
        <w:rPr>
          <w:iCs/>
        </w:rPr>
        <w:t xml:space="preserve"> </w:t>
      </w:r>
      <w:r w:rsidRPr="0092727B">
        <w:rPr>
          <w:i/>
          <w:iCs/>
        </w:rPr>
        <w:t>VRS Reform Order</w:t>
      </w:r>
      <w:r w:rsidRPr="0092727B">
        <w:rPr>
          <w:iCs/>
        </w:rPr>
        <w:t>, 28 FCC Rcd</w:t>
      </w:r>
      <w:r w:rsidRPr="0092727B">
        <w:t xml:space="preserve"> at 8646, para. 5</w:t>
      </w:r>
      <w:r>
        <w:t>8.</w:t>
      </w:r>
    </w:p>
  </w:footnote>
  <w:footnote w:id="70">
    <w:p w:rsidR="00EC3FE1" w:rsidRPr="0015166A" w:rsidRDefault="00EC3FE1" w:rsidP="00306339">
      <w:pPr>
        <w:pStyle w:val="FootnoteText"/>
        <w:rPr>
          <w:rStyle w:val="FootnoteTextChar1Char1CharCharCharCharChar"/>
        </w:rPr>
      </w:pPr>
      <w:r w:rsidRPr="00082447">
        <w:rPr>
          <w:rStyle w:val="FootnoteReference"/>
        </w:rPr>
        <w:footnoteRef/>
      </w:r>
      <w:r w:rsidRPr="00082447">
        <w:rPr>
          <w:rStyle w:val="FootnoteTextChar1Char1CharCharCharCharChar"/>
        </w:rPr>
        <w:t xml:space="preserve"> </w:t>
      </w:r>
      <w:r w:rsidRPr="0015166A">
        <w:rPr>
          <w:rStyle w:val="FootnoteTextChar1Char1CharCharCharCharChar"/>
        </w:rPr>
        <w:t>5 U.S.C. § 604(a)(3).</w:t>
      </w:r>
    </w:p>
  </w:footnote>
  <w:footnote w:id="71">
    <w:p w:rsidR="00EC3FE1" w:rsidRPr="0084539A" w:rsidRDefault="00EC3FE1" w:rsidP="00306339">
      <w:pPr>
        <w:pStyle w:val="FootnoteText"/>
        <w:rPr>
          <w:rStyle w:val="FootnoteTextChar1Char1CharCharCharCharChar"/>
        </w:rPr>
      </w:pPr>
      <w:r w:rsidRPr="00082447">
        <w:rPr>
          <w:rStyle w:val="FootnoteReference"/>
        </w:rPr>
        <w:footnoteRef/>
      </w:r>
      <w:r w:rsidRPr="00082447">
        <w:rPr>
          <w:rStyle w:val="FootnoteTextChar1Char1CharCharCharCharChar"/>
        </w:rPr>
        <w:t xml:space="preserve"> </w:t>
      </w:r>
      <w:r w:rsidRPr="0015166A">
        <w:rPr>
          <w:rStyle w:val="FootnoteTextChar1Char1CharCharCharCharChar"/>
        </w:rPr>
        <w:t>5 U.S.C. § 601(6).</w:t>
      </w:r>
      <w:r w:rsidRPr="0084539A">
        <w:rPr>
          <w:rStyle w:val="FootnoteTextChar1Char1CharCharCharCharChar"/>
        </w:rPr>
        <w:t xml:space="preserve"> </w:t>
      </w:r>
    </w:p>
  </w:footnote>
  <w:footnote w:id="72">
    <w:p w:rsidR="00EC3FE1" w:rsidRPr="0015166A" w:rsidRDefault="00EC3FE1" w:rsidP="00306339">
      <w:pPr>
        <w:pStyle w:val="FootnoteText"/>
      </w:pPr>
      <w:r w:rsidRPr="00305897">
        <w:rPr>
          <w:rStyle w:val="FootnoteReference"/>
        </w:rPr>
        <w:footnoteRef/>
      </w:r>
      <w:r w:rsidRPr="00305897">
        <w:rPr>
          <w:rStyle w:val="FootnoteTextChar1Char1CharCharCharCharChar"/>
        </w:rPr>
        <w:t xml:space="preserve"> </w:t>
      </w:r>
      <w:r w:rsidRPr="0015166A">
        <w:rPr>
          <w:rStyle w:val="FootnoteTextChar1Char1CharCharCharCharChar"/>
        </w:rPr>
        <w:t>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w:t>
      </w:r>
      <w:r w:rsidRPr="0015166A">
        <w:rPr>
          <w:spacing w:val="-2"/>
        </w:rPr>
        <w:t xml:space="preserve"> for public comment, establishes one or more definitions of such term which are appropriate to the activities of the agency and publishes such definition(s) in the Federal Register.”</w:t>
      </w:r>
    </w:p>
  </w:footnote>
  <w:footnote w:id="73">
    <w:p w:rsidR="00EC3FE1" w:rsidRDefault="00EC3FE1" w:rsidP="00306339">
      <w:pPr>
        <w:pStyle w:val="FootnoteText"/>
      </w:pPr>
      <w:r>
        <w:rPr>
          <w:rStyle w:val="FootnoteReference"/>
        </w:rPr>
        <w:footnoteRef/>
      </w:r>
      <w:r>
        <w:t xml:space="preserve"> </w:t>
      </w:r>
      <w:r>
        <w:rPr>
          <w:spacing w:val="-2"/>
        </w:rPr>
        <w:t xml:space="preserve">15 U.S.C. § 632.  </w:t>
      </w:r>
    </w:p>
  </w:footnote>
  <w:footnote w:id="74">
    <w:p w:rsidR="00EC3FE1" w:rsidRPr="00B55E48" w:rsidRDefault="00EC3FE1" w:rsidP="00E51F0B">
      <w:pPr>
        <w:pStyle w:val="FootnoteText"/>
      </w:pPr>
      <w:r w:rsidRPr="00F01612">
        <w:rPr>
          <w:rStyle w:val="FootnoteReference"/>
        </w:rPr>
        <w:footnoteRef/>
      </w:r>
      <w:r w:rsidRPr="00F01612">
        <w:t xml:space="preserve"> </w:t>
      </w:r>
      <w:r w:rsidRPr="00F01612">
        <w:rPr>
          <w:i/>
        </w:rPr>
        <w:t>See</w:t>
      </w:r>
      <w:r w:rsidRPr="00F01612">
        <w:t xml:space="preserve"> SBA, Office of Advocacy, </w:t>
      </w:r>
      <w:r w:rsidRPr="003E21B7">
        <w:rPr>
          <w:i/>
        </w:rPr>
        <w:t>Frequently Asked Questions</w:t>
      </w:r>
      <w:r>
        <w:t xml:space="preserve"> (June 2016), </w:t>
      </w:r>
      <w:hyperlink r:id="rId9" w:history="1">
        <w:r w:rsidRPr="004C25B4">
          <w:rPr>
            <w:rStyle w:val="Hyperlink"/>
          </w:rPr>
          <w:t>https://www.sba.gov/sites/default/files/advocacy/SB-FAQ-2016_WEB.pdf</w:t>
        </w:r>
      </w:hyperlink>
      <w:r w:rsidRPr="00B55E48">
        <w:t>.</w:t>
      </w:r>
    </w:p>
  </w:footnote>
  <w:footnote w:id="75">
    <w:p w:rsidR="00EC3FE1" w:rsidRPr="007A6FE3" w:rsidRDefault="00EC3FE1" w:rsidP="00670771">
      <w:pPr>
        <w:pStyle w:val="FootnoteText"/>
      </w:pPr>
      <w:r w:rsidRPr="007A6FE3">
        <w:rPr>
          <w:rStyle w:val="FootnoteReference"/>
        </w:rPr>
        <w:footnoteRef/>
      </w:r>
      <w:r w:rsidRPr="007A6FE3">
        <w:t xml:space="preserve"> </w:t>
      </w:r>
      <w:r w:rsidRPr="00F01612">
        <w:t>U.S. Census B</w:t>
      </w:r>
      <w:r>
        <w:t xml:space="preserve">ureau, 2012 NAICS Definitions, </w:t>
      </w:r>
      <w:r w:rsidRPr="009B31E9">
        <w:rPr>
          <w:bCs/>
        </w:rPr>
        <w:t>517919 All Other Telecommunications</w:t>
      </w:r>
      <w:r w:rsidRPr="00C936F8">
        <w:rPr>
          <w:bCs/>
        </w:rPr>
        <w:t>,</w:t>
      </w:r>
      <w:r w:rsidRPr="00EC560B">
        <w:t xml:space="preserve"> </w:t>
      </w:r>
      <w:hyperlink r:id="rId10" w:history="1">
        <w:r w:rsidRPr="00C866D7">
          <w:rPr>
            <w:rStyle w:val="Hyperlink"/>
          </w:rPr>
          <w:t>http://www.census.gov/cgi-bin/sssd/naics/naicsrch</w:t>
        </w:r>
      </w:hyperlink>
      <w:r>
        <w:t xml:space="preserve">?. </w:t>
      </w:r>
    </w:p>
  </w:footnote>
  <w:footnote w:id="76">
    <w:p w:rsidR="00EC3FE1" w:rsidRPr="007A6FE3" w:rsidRDefault="00EC3FE1" w:rsidP="00670771">
      <w:pPr>
        <w:pStyle w:val="FootnoteText"/>
      </w:pPr>
      <w:r w:rsidRPr="007A6FE3">
        <w:rPr>
          <w:rStyle w:val="FootnoteReference"/>
        </w:rPr>
        <w:footnoteRef/>
      </w:r>
      <w:r w:rsidRPr="007A6FE3">
        <w:t xml:space="preserve"> </w:t>
      </w:r>
      <w:r w:rsidRPr="007A6FE3">
        <w:rPr>
          <w:i/>
        </w:rPr>
        <w:t xml:space="preserve">See </w:t>
      </w:r>
      <w:r>
        <w:t>13 CFR</w:t>
      </w:r>
      <w:r w:rsidRPr="007A6FE3">
        <w:t xml:space="preserve"> § 1</w:t>
      </w:r>
      <w:r>
        <w:t>21.201;</w:t>
      </w:r>
      <w:r w:rsidRPr="007A6FE3">
        <w:t xml:space="preserve"> NAICS code 517919.</w:t>
      </w:r>
    </w:p>
  </w:footnote>
  <w:footnote w:id="77">
    <w:p w:rsidR="00EC3FE1" w:rsidRPr="007A6FE3" w:rsidRDefault="00EC3FE1" w:rsidP="00670771">
      <w:pPr>
        <w:pStyle w:val="FootnoteText"/>
      </w:pPr>
      <w:r w:rsidRPr="007A6FE3">
        <w:rPr>
          <w:rStyle w:val="FootnoteReference"/>
        </w:rPr>
        <w:footnoteRef/>
      </w:r>
      <w:r w:rsidRPr="007A6FE3">
        <w:t xml:space="preserve"> </w:t>
      </w:r>
      <w:r>
        <w:t xml:space="preserve">U.S. Census Bureau, 2012 Economic Census, Information:  Subject Series – Establishment and Firm Size: Table 4, “Receipts Size of Firms for the United States:  2012, NAICS Code 517919,” </w:t>
      </w:r>
      <w:hyperlink r:id="rId11" w:history="1">
        <w:r w:rsidRPr="00202BC1">
          <w:rPr>
            <w:rStyle w:val="Hyperlink"/>
          </w:rPr>
          <w:t>http://factfinder.census.gov/faces/tableservices/jsf/pages/productview.xhtml?pid=ECN_2012_US_51SSSZ4&amp;prodType=table</w:t>
        </w:r>
      </w:hyperlink>
      <w:r>
        <w:t xml:space="preserve">. </w:t>
      </w:r>
    </w:p>
  </w:footnote>
  <w:footnote w:id="78">
    <w:p w:rsidR="00EC3FE1" w:rsidRPr="00C25862" w:rsidRDefault="00EC3FE1" w:rsidP="00670771">
      <w:pPr>
        <w:pStyle w:val="FootnoteText"/>
      </w:pPr>
      <w:r w:rsidRPr="00C25862">
        <w:rPr>
          <w:rStyle w:val="FootnoteReference"/>
        </w:rPr>
        <w:footnoteRef/>
      </w:r>
      <w:r w:rsidRPr="00C25862">
        <w:t xml:space="preserve"> </w:t>
      </w:r>
      <w:r w:rsidRPr="00C25862">
        <w:rPr>
          <w:i/>
        </w:rPr>
        <w:t>See</w:t>
      </w:r>
      <w:r>
        <w:t xml:space="preserve"> 13 CFR § 121.201;</w:t>
      </w:r>
      <w:r w:rsidRPr="00C25862">
        <w:t xml:space="preserve"> NAICS </w:t>
      </w:r>
      <w:r>
        <w:t>C</w:t>
      </w:r>
      <w:r w:rsidRPr="00C25862">
        <w:t>ode 517919.</w:t>
      </w:r>
    </w:p>
  </w:footnote>
  <w:footnote w:id="79">
    <w:p w:rsidR="00EC3FE1" w:rsidRDefault="00EC3FE1" w:rsidP="00670771">
      <w:pPr>
        <w:pStyle w:val="FootnoteText"/>
      </w:pPr>
      <w:r>
        <w:rPr>
          <w:rStyle w:val="FootnoteReference"/>
        </w:rPr>
        <w:footnoteRef/>
      </w:r>
      <w:r>
        <w:t xml:space="preserve"> </w:t>
      </w:r>
      <w:hyperlink r:id="rId12" w:history="1">
        <w:r w:rsidRPr="00202BC1">
          <w:rPr>
            <w:rStyle w:val="Hyperlink"/>
          </w:rPr>
          <w:t>http://factfinder.census.gov/faces/tableservices/jsf/pages/productview.xhtml?pid=ECN_2012_US_51SSSZ4&amp;prodType=table</w:t>
        </w:r>
      </w:hyperlink>
      <w:r>
        <w:t xml:space="preserve">. </w:t>
      </w:r>
    </w:p>
  </w:footnote>
  <w:footnote w:id="80">
    <w:p w:rsidR="00EC3FE1" w:rsidRDefault="00EC3FE1" w:rsidP="00306339">
      <w:pPr>
        <w:pStyle w:val="FootnoteText"/>
      </w:pPr>
      <w:r>
        <w:rPr>
          <w:rStyle w:val="FootnoteReference"/>
        </w:rPr>
        <w:footnoteRef/>
      </w:r>
      <w:r>
        <w:t xml:space="preserve"> 5 U.S.C. § 603(c)(1)-(c)(4).</w:t>
      </w:r>
    </w:p>
  </w:footnote>
  <w:footnote w:id="81">
    <w:p w:rsidR="00EC3FE1" w:rsidRDefault="00EC3FE1">
      <w:pPr>
        <w:pStyle w:val="FootnoteText"/>
      </w:pPr>
      <w:r>
        <w:rPr>
          <w:rStyle w:val="FootnoteReference"/>
        </w:rPr>
        <w:footnoteRef/>
      </w:r>
      <w:r>
        <w:t xml:space="preserve"> Specifically, pursuant to this Report and Order, based on t</w:t>
      </w:r>
      <w:r w:rsidRPr="003A6280">
        <w:t xml:space="preserve">he </w:t>
      </w:r>
      <w:r>
        <w:t xml:space="preserve">providers’ stated </w:t>
      </w:r>
      <w:r w:rsidRPr="003A6280">
        <w:t xml:space="preserve">understanding </w:t>
      </w:r>
      <w:r>
        <w:t>as to the scope of application of t</w:t>
      </w:r>
      <w:r w:rsidRPr="003A6280">
        <w:t>he RUE Profile</w:t>
      </w:r>
      <w:r>
        <w:t>, and with the exception of the xCard</w:t>
      </w:r>
      <w:r w:rsidRPr="003A6280">
        <w:t xml:space="preserve"> </w:t>
      </w:r>
      <w:r>
        <w:t xml:space="preserve">specification for user contact lists, which is more broadly applicable, the RUE Profile </w:t>
      </w:r>
      <w:r w:rsidRPr="003A6280">
        <w:t>govern</w:t>
      </w:r>
      <w:r>
        <w:t>s</w:t>
      </w:r>
      <w:r w:rsidRPr="003A6280">
        <w:t xml:space="preserve"> a provider’s </w:t>
      </w:r>
      <w:r>
        <w:t>interface with</w:t>
      </w:r>
      <w:r w:rsidRPr="003A6280">
        <w:t xml:space="preserve"> user equipment employing ACE</w:t>
      </w:r>
      <w:r>
        <w:t xml:space="preserve"> </w:t>
      </w:r>
      <w:r w:rsidRPr="003A6280">
        <w:t xml:space="preserve">software but </w:t>
      </w:r>
      <w:r>
        <w:t xml:space="preserve">not </w:t>
      </w:r>
      <w:r w:rsidRPr="003A6280">
        <w:t xml:space="preserve">the </w:t>
      </w:r>
      <w:r>
        <w:t xml:space="preserve">provider’s </w:t>
      </w:r>
      <w:r w:rsidRPr="003A6280">
        <w:t xml:space="preserve">interface </w:t>
      </w:r>
      <w:r>
        <w:t>with</w:t>
      </w:r>
      <w:r w:rsidRPr="003A6280">
        <w:t xml:space="preserve"> </w:t>
      </w:r>
      <w:r>
        <w:t xml:space="preserve">other </w:t>
      </w:r>
      <w:r w:rsidRPr="003A6280">
        <w:t>user equipment and software.</w:t>
      </w:r>
    </w:p>
  </w:footnote>
  <w:footnote w:id="82">
    <w:p w:rsidR="00EC3FE1" w:rsidRPr="007A6FE3" w:rsidRDefault="00EC3FE1" w:rsidP="005D0E50">
      <w:pPr>
        <w:pStyle w:val="FootnoteText"/>
        <w:rPr>
          <w:spacing w:val="-2"/>
        </w:rPr>
      </w:pPr>
      <w:r w:rsidRPr="007A6FE3">
        <w:rPr>
          <w:rStyle w:val="FootnoteReference"/>
          <w:spacing w:val="-2"/>
        </w:rPr>
        <w:footnoteRef/>
      </w:r>
      <w:r w:rsidRPr="007A6FE3">
        <w:rPr>
          <w:spacing w:val="-2"/>
        </w:rPr>
        <w:t xml:space="preserve"> </w:t>
      </w:r>
      <w:r w:rsidRPr="007A6FE3">
        <w:rPr>
          <w:i/>
          <w:spacing w:val="-2"/>
        </w:rPr>
        <w:t>See</w:t>
      </w:r>
      <w:r w:rsidRPr="007A6FE3">
        <w:rPr>
          <w:spacing w:val="-2"/>
        </w:rPr>
        <w:t xml:space="preserve"> 5 U.S.C. § 603.  The RFA, </w:t>
      </w:r>
      <w:r w:rsidRPr="007A6FE3">
        <w:rPr>
          <w:i/>
          <w:spacing w:val="-2"/>
        </w:rPr>
        <w:t>see</w:t>
      </w:r>
      <w:r w:rsidRPr="007A6FE3">
        <w:rPr>
          <w:spacing w:val="-2"/>
        </w:rPr>
        <w:t xml:space="preserve"> </w:t>
      </w:r>
      <w:r>
        <w:rPr>
          <w:i/>
          <w:spacing w:val="-2"/>
        </w:rPr>
        <w:t>id.</w:t>
      </w:r>
      <w:r w:rsidRPr="007A6FE3">
        <w:rPr>
          <w:spacing w:val="-2"/>
        </w:rPr>
        <w:t xml:space="preserve">. § 601 </w:t>
      </w:r>
      <w:r>
        <w:rPr>
          <w:spacing w:val="-2"/>
        </w:rPr>
        <w:t>et</w:t>
      </w:r>
      <w:r w:rsidRPr="00CA6343">
        <w:rPr>
          <w:spacing w:val="-2"/>
        </w:rPr>
        <w:t xml:space="preserve"> seq.</w:t>
      </w:r>
      <w:r w:rsidRPr="007A6FE3">
        <w:rPr>
          <w:spacing w:val="-2"/>
        </w:rPr>
        <w:t xml:space="preserve">, has been amended by the </w:t>
      </w:r>
      <w:r>
        <w:rPr>
          <w:spacing w:val="-2"/>
        </w:rPr>
        <w:t xml:space="preserve">Small Business Regulatory Enforcement Fairness Act of 1996 (SBREFA), </w:t>
      </w:r>
      <w:r w:rsidRPr="007A6FE3">
        <w:rPr>
          <w:spacing w:val="-2"/>
        </w:rPr>
        <w:t xml:space="preserve">Pub. L. No. 104-121, </w:t>
      </w:r>
      <w:r>
        <w:rPr>
          <w:spacing w:val="-2"/>
        </w:rPr>
        <w:t>Title II, 1</w:t>
      </w:r>
      <w:r w:rsidRPr="007A6FE3">
        <w:rPr>
          <w:spacing w:val="-2"/>
        </w:rPr>
        <w:t>10 Stat. 8</w:t>
      </w:r>
      <w:r>
        <w:rPr>
          <w:spacing w:val="-2"/>
        </w:rPr>
        <w:t xml:space="preserve">57 </w:t>
      </w:r>
      <w:r w:rsidRPr="007A6FE3">
        <w:rPr>
          <w:spacing w:val="-2"/>
        </w:rPr>
        <w:t>(1996)</w:t>
      </w:r>
      <w:r>
        <w:rPr>
          <w:spacing w:val="-2"/>
        </w:rPr>
        <w:t xml:space="preserve">.  </w:t>
      </w:r>
    </w:p>
  </w:footnote>
  <w:footnote w:id="83">
    <w:p w:rsidR="00EC3FE1" w:rsidRPr="007A6FE3" w:rsidRDefault="00EC3FE1" w:rsidP="005D0E50">
      <w:pPr>
        <w:pStyle w:val="FootnoteText"/>
      </w:pPr>
      <w:r w:rsidRPr="007A6FE3">
        <w:rPr>
          <w:rStyle w:val="FootnoteReference"/>
        </w:rPr>
        <w:footnoteRef/>
      </w:r>
      <w:r w:rsidRPr="007A6FE3">
        <w:t xml:space="preserve"> </w:t>
      </w:r>
      <w:r w:rsidRPr="007A6FE3">
        <w:rPr>
          <w:i/>
          <w:spacing w:val="-3"/>
        </w:rPr>
        <w:t>See</w:t>
      </w:r>
      <w:r w:rsidRPr="007A6FE3">
        <w:rPr>
          <w:spacing w:val="-3"/>
        </w:rPr>
        <w:t xml:space="preserve"> 5 U.S.C. § 603(a).</w:t>
      </w:r>
    </w:p>
  </w:footnote>
  <w:footnote w:id="84">
    <w:p w:rsidR="00EC3FE1" w:rsidRPr="007A6FE3" w:rsidRDefault="00EC3FE1" w:rsidP="005D0E50">
      <w:pPr>
        <w:pStyle w:val="FootnoteText"/>
      </w:pPr>
      <w:r w:rsidRPr="007A6FE3">
        <w:rPr>
          <w:rStyle w:val="FootnoteReference"/>
        </w:rPr>
        <w:footnoteRef/>
      </w:r>
      <w:r w:rsidRPr="007A6FE3">
        <w:t xml:space="preserve"> </w:t>
      </w:r>
      <w:r w:rsidRPr="007A6FE3">
        <w:rPr>
          <w:i/>
          <w:spacing w:val="-3"/>
        </w:rPr>
        <w:t>See id.</w:t>
      </w:r>
    </w:p>
  </w:footnote>
  <w:footnote w:id="85">
    <w:p w:rsidR="00EC3FE1" w:rsidRDefault="00EC3FE1" w:rsidP="002E516D">
      <w:pPr>
        <w:pStyle w:val="FootnoteText"/>
      </w:pPr>
      <w:r>
        <w:rPr>
          <w:rStyle w:val="FootnoteReference"/>
        </w:rPr>
        <w:footnoteRef/>
      </w:r>
      <w:r>
        <w:t xml:space="preserve"> </w:t>
      </w:r>
      <w:r w:rsidRPr="0092727B">
        <w:rPr>
          <w:i/>
          <w:iCs/>
        </w:rPr>
        <w:t>VRS Reform Order</w:t>
      </w:r>
      <w:r w:rsidRPr="0092727B">
        <w:rPr>
          <w:iCs/>
        </w:rPr>
        <w:t>, 28 FCC Rcd</w:t>
      </w:r>
      <w:r w:rsidRPr="0092727B">
        <w:t xml:space="preserve"> at 86</w:t>
      </w:r>
      <w:r>
        <w:t>39</w:t>
      </w:r>
      <w:r w:rsidRPr="0092727B">
        <w:t xml:space="preserve">, para. </w:t>
      </w:r>
      <w:r>
        <w:t>40 (footnote omitted).</w:t>
      </w:r>
    </w:p>
  </w:footnote>
  <w:footnote w:id="86">
    <w:p w:rsidR="00D20DD2" w:rsidRDefault="00D20DD2">
      <w:pPr>
        <w:pStyle w:val="FootnoteText"/>
      </w:pPr>
      <w:r>
        <w:rPr>
          <w:rStyle w:val="FootnoteReference"/>
        </w:rPr>
        <w:footnoteRef/>
      </w:r>
      <w:r>
        <w:t xml:space="preserve"> </w:t>
      </w:r>
      <w:r w:rsidRPr="00D20DD2">
        <w:rPr>
          <w:bCs/>
          <w:iCs/>
        </w:rPr>
        <w:t xml:space="preserve">Interoperability Profile for Relay User Equipment (July 20, 2016) (RUE Profile), </w:t>
      </w:r>
      <w:hyperlink r:id="rId13" w:history="1">
        <w:r w:rsidRPr="00D20DD2">
          <w:rPr>
            <w:rStyle w:val="Hyperlink"/>
          </w:rPr>
          <w:t>https://datatracker.ietf.org/doc/draft-vrs-rue-dispatch/</w:t>
        </w:r>
      </w:hyperlink>
      <w:r w:rsidRPr="00D20DD2">
        <w:rPr>
          <w:bCs/>
          <w:iCs/>
        </w:rPr>
        <w:t>.</w:t>
      </w:r>
    </w:p>
  </w:footnote>
  <w:footnote w:id="87">
    <w:p w:rsidR="00EC3FE1" w:rsidRPr="007A6FE3" w:rsidRDefault="00EC3FE1" w:rsidP="005D0E50">
      <w:pPr>
        <w:pStyle w:val="FootnoteText"/>
      </w:pPr>
      <w:r w:rsidRPr="007A6FE3">
        <w:rPr>
          <w:rStyle w:val="FootnoteReference"/>
        </w:rPr>
        <w:footnoteRef/>
      </w:r>
      <w:r w:rsidRPr="007A6FE3">
        <w:t xml:space="preserve"> </w:t>
      </w:r>
      <w:r w:rsidRPr="007A6FE3">
        <w:rPr>
          <w:i/>
        </w:rPr>
        <w:t>See</w:t>
      </w:r>
      <w:r w:rsidRPr="007A6FE3">
        <w:t xml:space="preserve"> 5 U.S.C. § 603(b)(3).</w:t>
      </w:r>
    </w:p>
  </w:footnote>
  <w:footnote w:id="88">
    <w:p w:rsidR="00EC3FE1" w:rsidRPr="007A6FE3" w:rsidRDefault="00EC3FE1" w:rsidP="005D0E50">
      <w:pPr>
        <w:pStyle w:val="FootnoteText"/>
      </w:pPr>
      <w:r w:rsidRPr="007A6FE3">
        <w:rPr>
          <w:rStyle w:val="FootnoteReference"/>
        </w:rPr>
        <w:footnoteRef/>
      </w:r>
      <w:r w:rsidRPr="007A6FE3">
        <w:t xml:space="preserve"> </w:t>
      </w:r>
      <w:r>
        <w:rPr>
          <w:i/>
        </w:rPr>
        <w:t>Id.</w:t>
      </w:r>
      <w:r w:rsidRPr="007A6FE3">
        <w:t xml:space="preserve"> § 601(6).</w:t>
      </w:r>
    </w:p>
  </w:footnote>
  <w:footnote w:id="89">
    <w:p w:rsidR="00EC3FE1" w:rsidRPr="007A6FE3" w:rsidRDefault="00EC3FE1" w:rsidP="005D0E50">
      <w:pPr>
        <w:pStyle w:val="FootnoteText"/>
      </w:pPr>
      <w:r w:rsidRPr="007A6FE3">
        <w:rPr>
          <w:rStyle w:val="FootnoteReference"/>
        </w:rPr>
        <w:footnoteRef/>
      </w:r>
      <w:r w:rsidRPr="007A6FE3">
        <w:t xml:space="preserve"> </w:t>
      </w:r>
      <w:r w:rsidRPr="007A6FE3">
        <w:rPr>
          <w:i/>
        </w:rPr>
        <w:t>See</w:t>
      </w:r>
      <w:r w:rsidRPr="007A6FE3">
        <w:t xml:space="preserve"> </w:t>
      </w:r>
      <w:r w:rsidRPr="00655E45">
        <w:rPr>
          <w:i/>
        </w:rPr>
        <w:t>id</w:t>
      </w:r>
      <w:r>
        <w:t>.</w:t>
      </w:r>
      <w:r w:rsidRPr="007A6FE3">
        <w:t xml:space="preserve"> § 601(3) (incorporating by reference the definition of </w:t>
      </w:r>
      <w:r>
        <w:t>“</w:t>
      </w:r>
      <w:r w:rsidRPr="007A6FE3">
        <w:t>small-business concern</w:t>
      </w:r>
      <w:r>
        <w:t>”</w:t>
      </w:r>
      <w:r w:rsidRPr="007A6FE3">
        <w:t xml:space="preserve"> in the Small Business Act, 15 U.S.C. § 632).  Pursuant to 5 U.S.C. § 601(3), the statutory definition of a small business applies </w:t>
      </w:r>
      <w:r>
        <w:t>“</w:t>
      </w:r>
      <w:r w:rsidRPr="007A6FE3">
        <w:t>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r>
        <w:t>”</w:t>
      </w:r>
    </w:p>
  </w:footnote>
  <w:footnote w:id="90">
    <w:p w:rsidR="00EC3FE1" w:rsidRPr="007A6FE3" w:rsidRDefault="00EC3FE1" w:rsidP="005D0E50">
      <w:pPr>
        <w:pStyle w:val="FootnoteText"/>
      </w:pPr>
      <w:r w:rsidRPr="007A6FE3">
        <w:rPr>
          <w:rStyle w:val="FootnoteReference"/>
        </w:rPr>
        <w:footnoteRef/>
      </w:r>
      <w:r w:rsidRPr="007A6FE3">
        <w:t xml:space="preserve"> </w:t>
      </w:r>
      <w:r w:rsidRPr="007A6FE3">
        <w:rPr>
          <w:i/>
        </w:rPr>
        <w:t>See</w:t>
      </w:r>
      <w:r w:rsidRPr="007A6FE3">
        <w:t xml:space="preserve"> 15 U.S.C. § 632</w:t>
      </w:r>
      <w:r>
        <w:t>(l)</w:t>
      </w:r>
      <w:r w:rsidRPr="007A6FE3">
        <w:t>.</w:t>
      </w:r>
    </w:p>
  </w:footnote>
  <w:footnote w:id="91">
    <w:p w:rsidR="00EC3FE1" w:rsidRPr="00B55E48" w:rsidRDefault="00EC3FE1" w:rsidP="00315F56">
      <w:pPr>
        <w:pStyle w:val="FootnoteText"/>
      </w:pPr>
      <w:r w:rsidRPr="00F01612">
        <w:rPr>
          <w:rStyle w:val="FootnoteReference"/>
        </w:rPr>
        <w:footnoteRef/>
      </w:r>
      <w:r w:rsidRPr="00F01612">
        <w:t xml:space="preserve"> </w:t>
      </w:r>
      <w:r w:rsidRPr="00F01612">
        <w:rPr>
          <w:i/>
        </w:rPr>
        <w:t>See</w:t>
      </w:r>
      <w:r w:rsidRPr="00F01612">
        <w:t xml:space="preserve"> SBA, Office of Advocacy, </w:t>
      </w:r>
      <w:r w:rsidRPr="003E21B7">
        <w:rPr>
          <w:i/>
        </w:rPr>
        <w:t>Frequently Asked Questions</w:t>
      </w:r>
      <w:r>
        <w:t xml:space="preserve"> (June 2016), </w:t>
      </w:r>
      <w:hyperlink r:id="rId14" w:history="1">
        <w:r w:rsidRPr="004C25B4">
          <w:rPr>
            <w:rStyle w:val="Hyperlink"/>
          </w:rPr>
          <w:t>https://www.sba.gov/sites/default/files/advocacy/SB-FAQ-2016_WEB.pdf</w:t>
        </w:r>
      </w:hyperlink>
      <w:r w:rsidRPr="00B55E48">
        <w:t>.</w:t>
      </w:r>
    </w:p>
  </w:footnote>
  <w:footnote w:id="92">
    <w:p w:rsidR="00EC3FE1" w:rsidRPr="007A6FE3" w:rsidRDefault="00EC3FE1" w:rsidP="00315F56">
      <w:pPr>
        <w:pStyle w:val="FootnoteText"/>
      </w:pPr>
      <w:r w:rsidRPr="007A6FE3">
        <w:rPr>
          <w:rStyle w:val="FootnoteReference"/>
        </w:rPr>
        <w:footnoteRef/>
      </w:r>
      <w:r w:rsidRPr="007A6FE3">
        <w:t xml:space="preserve"> </w:t>
      </w:r>
      <w:r w:rsidRPr="00F01612">
        <w:t>U.S. Census B</w:t>
      </w:r>
      <w:r>
        <w:t xml:space="preserve">ureau, 2012 NAICS Definitions, </w:t>
      </w:r>
      <w:r w:rsidRPr="009B31E9">
        <w:rPr>
          <w:bCs/>
        </w:rPr>
        <w:t>517919 All Other Telecommunications</w:t>
      </w:r>
      <w:r w:rsidRPr="00C936F8">
        <w:rPr>
          <w:bCs/>
        </w:rPr>
        <w:t>,</w:t>
      </w:r>
      <w:r w:rsidRPr="00EC560B">
        <w:t xml:space="preserve"> </w:t>
      </w:r>
      <w:hyperlink r:id="rId15" w:history="1">
        <w:r w:rsidRPr="00C866D7">
          <w:rPr>
            <w:rStyle w:val="Hyperlink"/>
          </w:rPr>
          <w:t>http://www.census.gov/cgi-bin/sssd/naics/naicsrch</w:t>
        </w:r>
      </w:hyperlink>
      <w:r>
        <w:t xml:space="preserve">?. </w:t>
      </w:r>
    </w:p>
  </w:footnote>
  <w:footnote w:id="93">
    <w:p w:rsidR="00EC3FE1" w:rsidRPr="007A6FE3" w:rsidRDefault="00EC3FE1" w:rsidP="00315F56">
      <w:pPr>
        <w:pStyle w:val="FootnoteText"/>
      </w:pPr>
      <w:r w:rsidRPr="007A6FE3">
        <w:rPr>
          <w:rStyle w:val="FootnoteReference"/>
        </w:rPr>
        <w:footnoteRef/>
      </w:r>
      <w:r w:rsidRPr="007A6FE3">
        <w:t xml:space="preserve"> </w:t>
      </w:r>
      <w:r w:rsidRPr="007A6FE3">
        <w:rPr>
          <w:i/>
        </w:rPr>
        <w:t xml:space="preserve">See </w:t>
      </w:r>
      <w:r>
        <w:t>13 CFR</w:t>
      </w:r>
      <w:r w:rsidRPr="007A6FE3">
        <w:t xml:space="preserve"> § 1</w:t>
      </w:r>
      <w:r>
        <w:t>21.201;</w:t>
      </w:r>
      <w:r w:rsidRPr="007A6FE3">
        <w:t xml:space="preserve"> NAICS code 517919.</w:t>
      </w:r>
    </w:p>
  </w:footnote>
  <w:footnote w:id="94">
    <w:p w:rsidR="00EC3FE1" w:rsidRPr="007A6FE3" w:rsidRDefault="00EC3FE1" w:rsidP="00315F56">
      <w:pPr>
        <w:pStyle w:val="FootnoteText"/>
      </w:pPr>
      <w:r w:rsidRPr="007A6FE3">
        <w:rPr>
          <w:rStyle w:val="FootnoteReference"/>
        </w:rPr>
        <w:footnoteRef/>
      </w:r>
      <w:r w:rsidRPr="007A6FE3">
        <w:t xml:space="preserve"> </w:t>
      </w:r>
      <w:r>
        <w:t xml:space="preserve">U.S. Census Bureau, 2012 Economic Census, Information:  Subject Series – Establishment and Firm Size: Table 4, “Receipts Size of Firms for the United States:  2012, NAICS Code 517919,” </w:t>
      </w:r>
      <w:hyperlink r:id="rId16" w:history="1">
        <w:r w:rsidRPr="00202BC1">
          <w:rPr>
            <w:rStyle w:val="Hyperlink"/>
          </w:rPr>
          <w:t>http://factfinder.census.gov/faces/tableservices/jsf/pages/productview.xhtml?pid=ECN_2012_US_51SSSZ4&amp;prodType=table</w:t>
        </w:r>
      </w:hyperlink>
      <w:r>
        <w:t xml:space="preserve">. </w:t>
      </w:r>
    </w:p>
  </w:footnote>
  <w:footnote w:id="95">
    <w:p w:rsidR="00EC3FE1" w:rsidRPr="00C25862" w:rsidRDefault="00EC3FE1" w:rsidP="00315F56">
      <w:pPr>
        <w:pStyle w:val="FootnoteText"/>
      </w:pPr>
      <w:r w:rsidRPr="00C25862">
        <w:rPr>
          <w:rStyle w:val="FootnoteReference"/>
        </w:rPr>
        <w:footnoteRef/>
      </w:r>
      <w:r w:rsidRPr="00C25862">
        <w:t xml:space="preserve"> </w:t>
      </w:r>
      <w:r w:rsidRPr="00C25862">
        <w:rPr>
          <w:i/>
        </w:rPr>
        <w:t>See</w:t>
      </w:r>
      <w:r>
        <w:t xml:space="preserve"> 13 CFR § 121.201;</w:t>
      </w:r>
      <w:r w:rsidRPr="00C25862">
        <w:t xml:space="preserve"> NAICS </w:t>
      </w:r>
      <w:r>
        <w:t>C</w:t>
      </w:r>
      <w:r w:rsidRPr="00C25862">
        <w:t>ode 517919.</w:t>
      </w:r>
    </w:p>
  </w:footnote>
  <w:footnote w:id="96">
    <w:p w:rsidR="00EC3FE1" w:rsidRDefault="00EC3FE1" w:rsidP="00315F56">
      <w:pPr>
        <w:pStyle w:val="FootnoteText"/>
      </w:pPr>
      <w:r>
        <w:rPr>
          <w:rStyle w:val="FootnoteReference"/>
        </w:rPr>
        <w:footnoteRef/>
      </w:r>
      <w:r>
        <w:t xml:space="preserve"> </w:t>
      </w:r>
      <w:hyperlink r:id="rId17" w:history="1">
        <w:r w:rsidRPr="00202BC1">
          <w:rPr>
            <w:rStyle w:val="Hyperlink"/>
          </w:rPr>
          <w:t>http://factfinder.census.gov/faces/tableservices/jsf/pages/productview.xhtml?pid=ECN_2012_US_51SSSZ4&amp;prodType=table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5D" w:rsidRDefault="001803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E1" w:rsidRPr="002B04F6" w:rsidRDefault="00DB4066" w:rsidP="009E584A">
    <w:pPr>
      <w:pBdr>
        <w:bottom w:val="single" w:sz="12" w:space="1" w:color="auto"/>
      </w:pBdr>
      <w:tabs>
        <w:tab w:val="center" w:pos="4680"/>
        <w:tab w:val="right" w:pos="9360"/>
      </w:tabs>
    </w:pPr>
    <w:r>
      <w:rPr>
        <w:b/>
        <w:noProof/>
        <w:snapToGrid/>
      </w:rPr>
      <mc:AlternateContent>
        <mc:Choice Requires="wps">
          <w:drawing>
            <wp:anchor distT="0" distB="0" distL="114300" distR="114300" simplePos="0" relativeHeight="251663360" behindDoc="1" locked="0" layoutInCell="0" allowOverlap="1" wp14:anchorId="4191A092" wp14:editId="0AC9D6C3">
              <wp:simplePos x="0" y="0"/>
              <wp:positionH relativeFrom="margin">
                <wp:posOffset>-30480</wp:posOffset>
              </wp:positionH>
              <wp:positionV relativeFrom="paragraph">
                <wp:posOffset>179705</wp:posOffset>
              </wp:positionV>
              <wp:extent cx="5943600" cy="12065"/>
              <wp:effectExtent l="0" t="0" r="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D3F236" id="Rectangle 8" o:spid="_x0000_s1026" style="position:absolute;margin-left:-2.4pt;margin-top:14.1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VK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YZECdJBij6CaERsOUVT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VDi&#10;dJI4IS5C0S+LuGMGepKzDori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" o:allowincell="f" fillcolor="black" stroked="f" strokeweight=".05pt">
              <w10:wrap anchorx="margin"/>
            </v:rect>
          </w:pict>
        </mc:Fallback>
      </mc:AlternateContent>
    </w:r>
    <w:r w:rsidR="00EC3FE1" w:rsidRPr="002B04F6">
      <w:rPr>
        <w:b/>
      </w:rPr>
      <w:tab/>
    </w:r>
    <w:r w:rsidR="00EC3FE1" w:rsidRPr="004B5B3A">
      <w:rPr>
        <w:b/>
        <w:bCs/>
      </w:rPr>
      <w:t>Federal Communications Commission</w:t>
    </w:r>
    <w:r w:rsidR="00EC3FE1" w:rsidRPr="002B04F6">
      <w:rPr>
        <w:b/>
      </w:rPr>
      <w:tab/>
    </w:r>
    <w:r w:rsidR="00EC3FE1">
      <w:rPr>
        <w:b/>
        <w:bCs/>
        <w:spacing w:val="-2"/>
      </w:rPr>
      <w:t>DA 1</w:t>
    </w:r>
    <w:r w:rsidR="00662FEF">
      <w:rPr>
        <w:b/>
        <w:bCs/>
        <w:spacing w:val="-2"/>
      </w:rPr>
      <w:t>7</w:t>
    </w:r>
    <w:r w:rsidR="00EC3FE1">
      <w:rPr>
        <w:b/>
        <w:bCs/>
        <w:spacing w:val="-2"/>
      </w:rPr>
      <w:t>-</w:t>
    </w:r>
    <w:r w:rsidR="004B4E3A">
      <w:rPr>
        <w:b/>
        <w:bCs/>
        <w:spacing w:val="-2"/>
      </w:rPr>
      <w:t>76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E1" w:rsidRPr="002B04F6" w:rsidRDefault="00DB4066" w:rsidP="009E584A">
    <w:pPr>
      <w:pBdr>
        <w:bottom w:val="single" w:sz="12" w:space="1" w:color="auto"/>
      </w:pBdr>
      <w:tabs>
        <w:tab w:val="center" w:pos="4680"/>
        <w:tab w:val="right" w:pos="9360"/>
      </w:tabs>
    </w:pPr>
    <w:r>
      <w:rPr>
        <w:b/>
        <w:noProof/>
        <w:snapToGrid/>
      </w:rPr>
      <mc:AlternateContent>
        <mc:Choice Requires="wps">
          <w:drawing>
            <wp:anchor distT="0" distB="0" distL="114300" distR="114300" simplePos="0" relativeHeight="251662336" behindDoc="1" locked="0" layoutInCell="0" allowOverlap="1" wp14:anchorId="7C40A285" wp14:editId="56A7C48C">
              <wp:simplePos x="0" y="0"/>
              <wp:positionH relativeFrom="margin">
                <wp:posOffset>-30480</wp:posOffset>
              </wp:positionH>
              <wp:positionV relativeFrom="paragraph">
                <wp:posOffset>179705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CDBEBE" id="Rectangle 3" o:spid="_x0000_s1026" style="position:absolute;margin-left:-2.4pt;margin-top:14.1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" o:allowincell="f" fillcolor="black" stroked="f" strokeweight=".05pt">
              <w10:wrap anchorx="margin"/>
            </v:rect>
          </w:pict>
        </mc:Fallback>
      </mc:AlternateContent>
    </w:r>
    <w:r w:rsidR="00EC3FE1" w:rsidRPr="002B04F6">
      <w:rPr>
        <w:b/>
      </w:rPr>
      <w:tab/>
    </w:r>
    <w:r w:rsidR="00EC3FE1" w:rsidRPr="004B5B3A">
      <w:rPr>
        <w:b/>
        <w:bCs/>
      </w:rPr>
      <w:t>Federal Communications Commission</w:t>
    </w:r>
    <w:r w:rsidR="00EC3FE1" w:rsidRPr="002B04F6">
      <w:rPr>
        <w:b/>
      </w:rPr>
      <w:tab/>
    </w:r>
    <w:r w:rsidR="00EC3FE1" w:rsidRPr="004B5B3A">
      <w:rPr>
        <w:b/>
        <w:bCs/>
        <w:spacing w:val="-2"/>
      </w:rPr>
      <w:t xml:space="preserve">DA </w:t>
    </w:r>
    <w:r w:rsidR="00EC3FE1">
      <w:rPr>
        <w:b/>
        <w:bCs/>
        <w:spacing w:val="-2"/>
      </w:rPr>
      <w:t>1</w:t>
    </w:r>
    <w:r w:rsidR="00662FEF">
      <w:rPr>
        <w:b/>
        <w:bCs/>
        <w:spacing w:val="-2"/>
      </w:rPr>
      <w:t>7</w:t>
    </w:r>
    <w:r w:rsidR="00EC3FE1" w:rsidRPr="004B5B3A">
      <w:rPr>
        <w:b/>
        <w:bCs/>
        <w:spacing w:val="-2"/>
      </w:rPr>
      <w:t>-</w:t>
    </w:r>
    <w:r w:rsidR="007B5B35">
      <w:rPr>
        <w:b/>
        <w:bCs/>
        <w:spacing w:val="-2"/>
      </w:rPr>
      <w:t>76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4A" w:rsidRPr="002B04F6" w:rsidRDefault="009E584A" w:rsidP="009E584A">
    <w:pPr>
      <w:pBdr>
        <w:bottom w:val="single" w:sz="12" w:space="1" w:color="auto"/>
      </w:pBdr>
      <w:tabs>
        <w:tab w:val="center" w:pos="4680"/>
        <w:tab w:val="right" w:pos="9360"/>
      </w:tabs>
    </w:pPr>
    <w:r w:rsidRPr="002B04F6">
      <w:rPr>
        <w:b/>
      </w:rPr>
      <w:tab/>
    </w:r>
    <w:r w:rsidRPr="004B5B3A">
      <w:rPr>
        <w:b/>
        <w:bCs/>
      </w:rPr>
      <w:t>Federal Communications Commission</w:t>
    </w:r>
    <w:r w:rsidRPr="002B04F6">
      <w:rPr>
        <w:b/>
      </w:rPr>
      <w:tab/>
    </w:r>
    <w:r>
      <w:rPr>
        <w:b/>
        <w:bCs/>
        <w:spacing w:val="-2"/>
      </w:rPr>
      <w:t>DA 17-76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4A" w:rsidRPr="002B04F6" w:rsidRDefault="009E584A" w:rsidP="009E584A">
    <w:pPr>
      <w:pBdr>
        <w:bottom w:val="single" w:sz="12" w:space="1" w:color="auto"/>
      </w:pBdr>
      <w:tabs>
        <w:tab w:val="center" w:pos="4680"/>
        <w:tab w:val="right" w:pos="9360"/>
      </w:tabs>
    </w:pPr>
    <w:r w:rsidRPr="002B04F6">
      <w:rPr>
        <w:b/>
      </w:rPr>
      <w:tab/>
    </w:r>
    <w:r w:rsidRPr="004B5B3A">
      <w:rPr>
        <w:b/>
        <w:bCs/>
      </w:rPr>
      <w:t>Federal Communications Commission</w:t>
    </w:r>
    <w:r w:rsidRPr="002B04F6">
      <w:rPr>
        <w:b/>
      </w:rPr>
      <w:tab/>
    </w:r>
    <w:r>
      <w:rPr>
        <w:b/>
        <w:bCs/>
        <w:spacing w:val="-2"/>
      </w:rPr>
      <w:t>DA 17-76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E1" w:rsidRDefault="00EC3FE1" w:rsidP="00810B6F">
    <w:pPr>
      <w:pStyle w:val="Header"/>
      <w:rPr>
        <w:b w:val="0"/>
      </w:rPr>
    </w:pPr>
    <w:r>
      <w:tab/>
      <w:t>Federal Communications Commission</w:t>
    </w:r>
    <w:r>
      <w:tab/>
    </w:r>
    <w:r w:rsidR="00662FEF">
      <w:t>DA 17-76</w:t>
    </w:r>
  </w:p>
  <w:p w:rsidR="00EC3FE1" w:rsidRDefault="00EC3FE1">
    <w:pPr>
      <w:tabs>
        <w:tab w:val="left" w:pos="-720"/>
      </w:tabs>
      <w:suppressAutoHyphens/>
      <w:spacing w:line="19" w:lineRule="exact"/>
      <w:rPr>
        <w:spacing w:val="-2"/>
      </w:rPr>
    </w:pPr>
    <w:r>
      <w:rPr>
        <w:noProof/>
      </w:rPr>
      <mc:AlternateContent>
        <mc:Choice Requires="wps">
          <w:drawing>
            <wp:anchor distT="0" distB="0" distL="114300" distR="114300" simplePos="0" relativeHeight="251655168" behindDoc="1" locked="0" layoutInCell="0" allowOverlap="1" wp14:anchorId="7715F629" wp14:editId="20917E8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4D132C" id="Rectangle 1" o:spid="_x0000_s1026" style="position:absolute;margin-left:0;margin-top:0;width:468pt;height:.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EC3FE1" w:rsidRDefault="00EC3FE1">
    <w:pPr>
      <w:spacing w:after="389" w:line="100" w:lineRule="exact"/>
      <w:rPr>
        <w:sz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E1" w:rsidRDefault="00EC3FE1" w:rsidP="00810B6F">
    <w:pPr>
      <w:pStyle w:val="Header"/>
      <w:rPr>
        <w:b w:val="0"/>
      </w:rPr>
    </w:pPr>
    <w:r>
      <w:rPr>
        <w:noProof/>
      </w:rPr>
      <mc:AlternateContent>
        <mc:Choice Requires="wps">
          <w:drawing>
            <wp:anchor distT="0" distB="0" distL="114300" distR="114300" simplePos="0" relativeHeight="251657216" behindDoc="1" locked="0" layoutInCell="0" allowOverlap="1" wp14:anchorId="08AFCFCC" wp14:editId="5BC374E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558B77"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w:t>
    </w:r>
    <w:r w:rsidR="00662FEF">
      <w:rPr>
        <w:spacing w:val="-2"/>
      </w:rPr>
      <w:t>7-76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4A" w:rsidRDefault="009E584A" w:rsidP="00810B6F">
    <w:pPr>
      <w:pStyle w:val="Header"/>
      <w:rPr>
        <w:b w:val="0"/>
      </w:rPr>
    </w:pPr>
    <w:r>
      <w:tab/>
      <w:t>Federal Communications Commission</w:t>
    </w:r>
    <w:r>
      <w:tab/>
      <w:t>DA 17-76</w:t>
    </w:r>
  </w:p>
  <w:p w:rsidR="009E584A" w:rsidRDefault="009E584A" w:rsidP="00DB4066">
    <w:pPr>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14:anchorId="0A6676CB" wp14:editId="17E7F6A2">
              <wp:simplePos x="0" y="0"/>
              <wp:positionH relativeFrom="margin">
                <wp:posOffset>0</wp:posOffset>
              </wp:positionH>
              <wp:positionV relativeFrom="paragraph">
                <wp:posOffset>0</wp:posOffset>
              </wp:positionV>
              <wp:extent cx="5943600" cy="12065"/>
              <wp:effectExtent l="0" t="0" r="0" b="698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18CFF5"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t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a697c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4A" w:rsidRDefault="009E584A" w:rsidP="00810B6F">
    <w:pPr>
      <w:pStyle w:val="Header"/>
      <w:rPr>
        <w:b w:val="0"/>
      </w:rPr>
    </w:pPr>
    <w:r>
      <w:rPr>
        <w:noProof/>
      </w:rPr>
      <mc:AlternateContent>
        <mc:Choice Requires="wps">
          <w:drawing>
            <wp:anchor distT="0" distB="0" distL="114300" distR="114300" simplePos="0" relativeHeight="251660288" behindDoc="1" locked="0" layoutInCell="0" allowOverlap="1" wp14:anchorId="1411F667" wp14:editId="102695E0">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5BA59A"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17-76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24E"/>
    <w:multiLevelType w:val="hybridMultilevel"/>
    <w:tmpl w:val="866685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50E105C"/>
    <w:multiLevelType w:val="multilevel"/>
    <w:tmpl w:val="A4CE088A"/>
    <w:lvl w:ilvl="0">
      <w:start w:val="1"/>
      <w:numFmt w:val="upperLetter"/>
      <w:pStyle w:val="StyleHeading2a"/>
      <w:lvlText w:val="%1."/>
      <w:lvlJc w:val="left"/>
      <w:pPr>
        <w:ind w:left="144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5D36B7D"/>
    <w:multiLevelType w:val="hybridMultilevel"/>
    <w:tmpl w:val="00B6BA42"/>
    <w:lvl w:ilvl="0" w:tplc="5C1409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01159CB"/>
    <w:multiLevelType w:val="hybridMultilevel"/>
    <w:tmpl w:val="FDC4E414"/>
    <w:lvl w:ilvl="0" w:tplc="04090001">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880"/>
        </w:tabs>
        <w:ind w:left="2880" w:hanging="360"/>
      </w:pPr>
      <w:rPr>
        <w:rFonts w:cs="Times New Roman" w:hint="default"/>
      </w:rPr>
    </w:lvl>
    <w:lvl w:ilvl="2" w:tplc="FFFFFFFF">
      <w:start w:val="1"/>
      <w:numFmt w:val="lowerRoman"/>
      <w:lvlText w:val="%3."/>
      <w:lvlJc w:val="right"/>
      <w:pPr>
        <w:tabs>
          <w:tab w:val="num" w:pos="3600"/>
        </w:tabs>
        <w:ind w:left="3600" w:hanging="180"/>
      </w:pPr>
      <w:rPr>
        <w:rFonts w:cs="Times New Roman"/>
      </w:rPr>
    </w:lvl>
    <w:lvl w:ilvl="3" w:tplc="FFFFFFFF">
      <w:numFmt w:val="bullet"/>
      <w:lvlText w:val="-"/>
      <w:lvlJc w:val="left"/>
      <w:pPr>
        <w:tabs>
          <w:tab w:val="num" w:pos="2160"/>
        </w:tabs>
        <w:ind w:left="2160" w:hanging="360"/>
      </w:pPr>
      <w:rPr>
        <w:rFonts w:ascii="Times New Roman" w:eastAsia="Times New Roman" w:hAnsi="Times New Roman" w:hint="default"/>
      </w:rPr>
    </w:lvl>
    <w:lvl w:ilvl="4" w:tplc="FFFFFFFF">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9">
    <w:nsid w:val="57383B86"/>
    <w:multiLevelType w:val="hybridMultilevel"/>
    <w:tmpl w:val="75F0E226"/>
    <w:lvl w:ilvl="0" w:tplc="4EEABA7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6A151C3"/>
    <w:multiLevelType w:val="hybridMultilevel"/>
    <w:tmpl w:val="5F467D58"/>
    <w:lvl w:ilvl="0" w:tplc="22E64574">
      <w:start w:val="1"/>
      <w:numFmt w:val="decimal"/>
      <w:pStyle w:val="StyleStyleStyleParaNum11p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6"/>
  </w:num>
  <w:num w:numId="3">
    <w:abstractNumId w:val="8"/>
  </w:num>
  <w:num w:numId="4">
    <w:abstractNumId w:val="0"/>
  </w:num>
  <w:num w:numId="5">
    <w:abstractNumId w:val="1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num>
  <w:num w:numId="9">
    <w:abstractNumId w:val="10"/>
    <w:lvlOverride w:ilvl="0">
      <w:startOverride w:val="1"/>
    </w:lvlOverride>
  </w:num>
  <w:num w:numId="10">
    <w:abstractNumId w:val="4"/>
  </w:num>
  <w:num w:numId="11">
    <w:abstractNumId w:val="10"/>
    <w:lvlOverride w:ilvl="0">
      <w:startOverride w:val="1"/>
    </w:lvlOverride>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lvlOverride w:ilvl="0">
      <w:startOverride w:val="1"/>
    </w:lvlOverride>
  </w:num>
  <w:num w:numId="16">
    <w:abstractNumId w:val="10"/>
  </w:num>
  <w:num w:numId="17">
    <w:abstractNumId w:val="10"/>
    <w:lvlOverride w:ilvl="0">
      <w:startOverride w:val="1"/>
    </w:lvlOverride>
  </w:num>
  <w:num w:numId="18">
    <w:abstractNumId w:val="7"/>
  </w:num>
  <w:num w:numId="19">
    <w:abstractNumId w:val="5"/>
  </w:num>
  <w:num w:numId="2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441"/>
    <w:rsid w:val="00000B6A"/>
    <w:rsid w:val="0000550A"/>
    <w:rsid w:val="0000603E"/>
    <w:rsid w:val="00007A0E"/>
    <w:rsid w:val="00010E5C"/>
    <w:rsid w:val="000127A9"/>
    <w:rsid w:val="00017AD5"/>
    <w:rsid w:val="00024094"/>
    <w:rsid w:val="0002582D"/>
    <w:rsid w:val="00030B2F"/>
    <w:rsid w:val="00035D59"/>
    <w:rsid w:val="00036039"/>
    <w:rsid w:val="00037F90"/>
    <w:rsid w:val="00041FF3"/>
    <w:rsid w:val="000445D6"/>
    <w:rsid w:val="00056A92"/>
    <w:rsid w:val="00070F4A"/>
    <w:rsid w:val="0007327E"/>
    <w:rsid w:val="00075549"/>
    <w:rsid w:val="00076DA2"/>
    <w:rsid w:val="000829D3"/>
    <w:rsid w:val="000875BF"/>
    <w:rsid w:val="00096D8C"/>
    <w:rsid w:val="000B0B7A"/>
    <w:rsid w:val="000B3383"/>
    <w:rsid w:val="000B7C9C"/>
    <w:rsid w:val="000C0B65"/>
    <w:rsid w:val="000C23F3"/>
    <w:rsid w:val="000C491A"/>
    <w:rsid w:val="000D6150"/>
    <w:rsid w:val="000E05FE"/>
    <w:rsid w:val="000E3D42"/>
    <w:rsid w:val="000E7254"/>
    <w:rsid w:val="000F06A0"/>
    <w:rsid w:val="000F1B45"/>
    <w:rsid w:val="000F5BBE"/>
    <w:rsid w:val="00103959"/>
    <w:rsid w:val="001057E8"/>
    <w:rsid w:val="00120140"/>
    <w:rsid w:val="00122BD5"/>
    <w:rsid w:val="00123962"/>
    <w:rsid w:val="00125F4E"/>
    <w:rsid w:val="001309D9"/>
    <w:rsid w:val="0013319D"/>
    <w:rsid w:val="00133C51"/>
    <w:rsid w:val="00133F79"/>
    <w:rsid w:val="0014291C"/>
    <w:rsid w:val="00143884"/>
    <w:rsid w:val="00146EB8"/>
    <w:rsid w:val="00161FF3"/>
    <w:rsid w:val="00165257"/>
    <w:rsid w:val="0017405B"/>
    <w:rsid w:val="0018035D"/>
    <w:rsid w:val="0018212D"/>
    <w:rsid w:val="00182817"/>
    <w:rsid w:val="0018547C"/>
    <w:rsid w:val="00186A23"/>
    <w:rsid w:val="00193A20"/>
    <w:rsid w:val="00194A66"/>
    <w:rsid w:val="00195F42"/>
    <w:rsid w:val="001A0409"/>
    <w:rsid w:val="001A06FE"/>
    <w:rsid w:val="001A192E"/>
    <w:rsid w:val="001A577C"/>
    <w:rsid w:val="001B7BE3"/>
    <w:rsid w:val="001C410A"/>
    <w:rsid w:val="001D6BCF"/>
    <w:rsid w:val="001E01CA"/>
    <w:rsid w:val="001E6117"/>
    <w:rsid w:val="001F073C"/>
    <w:rsid w:val="001F0EE2"/>
    <w:rsid w:val="001F4A35"/>
    <w:rsid w:val="001F4C04"/>
    <w:rsid w:val="001F68CB"/>
    <w:rsid w:val="00200AB6"/>
    <w:rsid w:val="0020129B"/>
    <w:rsid w:val="002022B9"/>
    <w:rsid w:val="00203E1D"/>
    <w:rsid w:val="00205791"/>
    <w:rsid w:val="00210015"/>
    <w:rsid w:val="0021497B"/>
    <w:rsid w:val="00214FCE"/>
    <w:rsid w:val="00217053"/>
    <w:rsid w:val="00222B46"/>
    <w:rsid w:val="0023036C"/>
    <w:rsid w:val="00234AB9"/>
    <w:rsid w:val="002358FC"/>
    <w:rsid w:val="00235D53"/>
    <w:rsid w:val="00236FBE"/>
    <w:rsid w:val="00237264"/>
    <w:rsid w:val="00241B3D"/>
    <w:rsid w:val="00244260"/>
    <w:rsid w:val="00255B2E"/>
    <w:rsid w:val="002579F1"/>
    <w:rsid w:val="00265020"/>
    <w:rsid w:val="00266C44"/>
    <w:rsid w:val="0027114A"/>
    <w:rsid w:val="00274156"/>
    <w:rsid w:val="00275CF5"/>
    <w:rsid w:val="00275D90"/>
    <w:rsid w:val="00276243"/>
    <w:rsid w:val="00281AB7"/>
    <w:rsid w:val="0028301F"/>
    <w:rsid w:val="00285017"/>
    <w:rsid w:val="002906C2"/>
    <w:rsid w:val="0029200A"/>
    <w:rsid w:val="002A2D2E"/>
    <w:rsid w:val="002B2F88"/>
    <w:rsid w:val="002C00E8"/>
    <w:rsid w:val="002C02CD"/>
    <w:rsid w:val="002C397E"/>
    <w:rsid w:val="002C5A58"/>
    <w:rsid w:val="002E343C"/>
    <w:rsid w:val="002E516D"/>
    <w:rsid w:val="00306339"/>
    <w:rsid w:val="003120C0"/>
    <w:rsid w:val="00312812"/>
    <w:rsid w:val="00313A87"/>
    <w:rsid w:val="00315F56"/>
    <w:rsid w:val="0032084F"/>
    <w:rsid w:val="00323FC9"/>
    <w:rsid w:val="00331D18"/>
    <w:rsid w:val="003320C8"/>
    <w:rsid w:val="00336D32"/>
    <w:rsid w:val="00341843"/>
    <w:rsid w:val="00343749"/>
    <w:rsid w:val="00360090"/>
    <w:rsid w:val="0036196C"/>
    <w:rsid w:val="00363441"/>
    <w:rsid w:val="003660ED"/>
    <w:rsid w:val="00376EFD"/>
    <w:rsid w:val="00380CAE"/>
    <w:rsid w:val="00381E39"/>
    <w:rsid w:val="00393492"/>
    <w:rsid w:val="00394A14"/>
    <w:rsid w:val="00395615"/>
    <w:rsid w:val="003A2AED"/>
    <w:rsid w:val="003A4184"/>
    <w:rsid w:val="003A6280"/>
    <w:rsid w:val="003B0550"/>
    <w:rsid w:val="003B53DF"/>
    <w:rsid w:val="003B694F"/>
    <w:rsid w:val="003B6D3F"/>
    <w:rsid w:val="003C0B24"/>
    <w:rsid w:val="003C2980"/>
    <w:rsid w:val="003C6954"/>
    <w:rsid w:val="003C7055"/>
    <w:rsid w:val="003D32CA"/>
    <w:rsid w:val="003D533B"/>
    <w:rsid w:val="003D75B0"/>
    <w:rsid w:val="003E31A0"/>
    <w:rsid w:val="003F171C"/>
    <w:rsid w:val="003F2BF5"/>
    <w:rsid w:val="003F36C2"/>
    <w:rsid w:val="003F45FF"/>
    <w:rsid w:val="003F4687"/>
    <w:rsid w:val="003F6CCA"/>
    <w:rsid w:val="003F7E93"/>
    <w:rsid w:val="004052B8"/>
    <w:rsid w:val="00406F70"/>
    <w:rsid w:val="00412F54"/>
    <w:rsid w:val="00412FC5"/>
    <w:rsid w:val="004162AB"/>
    <w:rsid w:val="004207A6"/>
    <w:rsid w:val="00422276"/>
    <w:rsid w:val="0042228F"/>
    <w:rsid w:val="004242F1"/>
    <w:rsid w:val="00426485"/>
    <w:rsid w:val="00430590"/>
    <w:rsid w:val="00435C0B"/>
    <w:rsid w:val="00440B2B"/>
    <w:rsid w:val="00440ED5"/>
    <w:rsid w:val="00445A00"/>
    <w:rsid w:val="00447C66"/>
    <w:rsid w:val="00451B0F"/>
    <w:rsid w:val="0045629B"/>
    <w:rsid w:val="00461491"/>
    <w:rsid w:val="00467276"/>
    <w:rsid w:val="004719A8"/>
    <w:rsid w:val="00477025"/>
    <w:rsid w:val="00481983"/>
    <w:rsid w:val="004874B1"/>
    <w:rsid w:val="00492D27"/>
    <w:rsid w:val="0049452C"/>
    <w:rsid w:val="00494D6C"/>
    <w:rsid w:val="00495036"/>
    <w:rsid w:val="00496ACB"/>
    <w:rsid w:val="004A44BD"/>
    <w:rsid w:val="004A52E9"/>
    <w:rsid w:val="004A7AB0"/>
    <w:rsid w:val="004B2AFC"/>
    <w:rsid w:val="004B4E3A"/>
    <w:rsid w:val="004C205F"/>
    <w:rsid w:val="004C2EE3"/>
    <w:rsid w:val="004C5225"/>
    <w:rsid w:val="004C664F"/>
    <w:rsid w:val="004C6A78"/>
    <w:rsid w:val="004C6BF3"/>
    <w:rsid w:val="004D7061"/>
    <w:rsid w:val="004E495C"/>
    <w:rsid w:val="004E4A22"/>
    <w:rsid w:val="004F0975"/>
    <w:rsid w:val="004F21D3"/>
    <w:rsid w:val="004F698E"/>
    <w:rsid w:val="005028C5"/>
    <w:rsid w:val="0050475E"/>
    <w:rsid w:val="005071EC"/>
    <w:rsid w:val="0051108C"/>
    <w:rsid w:val="00511968"/>
    <w:rsid w:val="00511F98"/>
    <w:rsid w:val="00516154"/>
    <w:rsid w:val="00516D1D"/>
    <w:rsid w:val="00517138"/>
    <w:rsid w:val="00517282"/>
    <w:rsid w:val="00517641"/>
    <w:rsid w:val="00521C97"/>
    <w:rsid w:val="00526165"/>
    <w:rsid w:val="005401FC"/>
    <w:rsid w:val="0054590B"/>
    <w:rsid w:val="0055436F"/>
    <w:rsid w:val="0055614C"/>
    <w:rsid w:val="005565EE"/>
    <w:rsid w:val="005623AC"/>
    <w:rsid w:val="005674A9"/>
    <w:rsid w:val="005742D4"/>
    <w:rsid w:val="0057524D"/>
    <w:rsid w:val="00576256"/>
    <w:rsid w:val="00584D47"/>
    <w:rsid w:val="005877A8"/>
    <w:rsid w:val="00590968"/>
    <w:rsid w:val="005A7FEF"/>
    <w:rsid w:val="005B4487"/>
    <w:rsid w:val="005B74FE"/>
    <w:rsid w:val="005C5F3F"/>
    <w:rsid w:val="005D0E50"/>
    <w:rsid w:val="005E14C2"/>
    <w:rsid w:val="005E65A1"/>
    <w:rsid w:val="005E704B"/>
    <w:rsid w:val="005E763A"/>
    <w:rsid w:val="005F29D0"/>
    <w:rsid w:val="005F586A"/>
    <w:rsid w:val="005F652E"/>
    <w:rsid w:val="00602562"/>
    <w:rsid w:val="0060361D"/>
    <w:rsid w:val="006073BB"/>
    <w:rsid w:val="00607BA5"/>
    <w:rsid w:val="0061180A"/>
    <w:rsid w:val="006148B8"/>
    <w:rsid w:val="00616077"/>
    <w:rsid w:val="00623961"/>
    <w:rsid w:val="00624F80"/>
    <w:rsid w:val="006251F5"/>
    <w:rsid w:val="00625E88"/>
    <w:rsid w:val="00626EB6"/>
    <w:rsid w:val="00650B6B"/>
    <w:rsid w:val="00653D83"/>
    <w:rsid w:val="00655D03"/>
    <w:rsid w:val="00660349"/>
    <w:rsid w:val="006612BE"/>
    <w:rsid w:val="00662FEF"/>
    <w:rsid w:val="00664790"/>
    <w:rsid w:val="00666AD7"/>
    <w:rsid w:val="00670771"/>
    <w:rsid w:val="006808C2"/>
    <w:rsid w:val="00681035"/>
    <w:rsid w:val="00683388"/>
    <w:rsid w:val="00683F3F"/>
    <w:rsid w:val="00683F84"/>
    <w:rsid w:val="00687971"/>
    <w:rsid w:val="00692740"/>
    <w:rsid w:val="006A20F6"/>
    <w:rsid w:val="006A242A"/>
    <w:rsid w:val="006A44C9"/>
    <w:rsid w:val="006A6A81"/>
    <w:rsid w:val="006B4F28"/>
    <w:rsid w:val="006C0797"/>
    <w:rsid w:val="006C650F"/>
    <w:rsid w:val="006D2DBC"/>
    <w:rsid w:val="006D6B9C"/>
    <w:rsid w:val="006E161A"/>
    <w:rsid w:val="006E1E72"/>
    <w:rsid w:val="006E49E1"/>
    <w:rsid w:val="006F6C1F"/>
    <w:rsid w:val="006F7393"/>
    <w:rsid w:val="0070224F"/>
    <w:rsid w:val="00703929"/>
    <w:rsid w:val="007115F7"/>
    <w:rsid w:val="00720553"/>
    <w:rsid w:val="0072418F"/>
    <w:rsid w:val="0073125D"/>
    <w:rsid w:val="00734A1F"/>
    <w:rsid w:val="00735335"/>
    <w:rsid w:val="00751027"/>
    <w:rsid w:val="00753059"/>
    <w:rsid w:val="00754615"/>
    <w:rsid w:val="00754A60"/>
    <w:rsid w:val="007601A0"/>
    <w:rsid w:val="0076398A"/>
    <w:rsid w:val="00767F04"/>
    <w:rsid w:val="007715FB"/>
    <w:rsid w:val="00773D88"/>
    <w:rsid w:val="00785689"/>
    <w:rsid w:val="00796796"/>
    <w:rsid w:val="0079754B"/>
    <w:rsid w:val="007A1E6D"/>
    <w:rsid w:val="007A3311"/>
    <w:rsid w:val="007A5951"/>
    <w:rsid w:val="007B0EB2"/>
    <w:rsid w:val="007B3073"/>
    <w:rsid w:val="007B34A2"/>
    <w:rsid w:val="007B3EA5"/>
    <w:rsid w:val="007B4B8A"/>
    <w:rsid w:val="007B5B35"/>
    <w:rsid w:val="007C1133"/>
    <w:rsid w:val="007C3842"/>
    <w:rsid w:val="007C50CF"/>
    <w:rsid w:val="007C693E"/>
    <w:rsid w:val="007C7D2F"/>
    <w:rsid w:val="007D00E3"/>
    <w:rsid w:val="007D47F8"/>
    <w:rsid w:val="007E6CA4"/>
    <w:rsid w:val="007F76F5"/>
    <w:rsid w:val="008075A8"/>
    <w:rsid w:val="00810B6F"/>
    <w:rsid w:val="008114D5"/>
    <w:rsid w:val="00813C29"/>
    <w:rsid w:val="00821921"/>
    <w:rsid w:val="00822CE0"/>
    <w:rsid w:val="00832F9C"/>
    <w:rsid w:val="00836E0D"/>
    <w:rsid w:val="008407A3"/>
    <w:rsid w:val="00841AB1"/>
    <w:rsid w:val="00843DB8"/>
    <w:rsid w:val="008442BB"/>
    <w:rsid w:val="00847A34"/>
    <w:rsid w:val="00862A84"/>
    <w:rsid w:val="00865A26"/>
    <w:rsid w:val="00865FE3"/>
    <w:rsid w:val="00866A3C"/>
    <w:rsid w:val="00867C81"/>
    <w:rsid w:val="00870018"/>
    <w:rsid w:val="00873B09"/>
    <w:rsid w:val="00876D6C"/>
    <w:rsid w:val="008935E4"/>
    <w:rsid w:val="0089400B"/>
    <w:rsid w:val="008973D0"/>
    <w:rsid w:val="008A2891"/>
    <w:rsid w:val="008A4502"/>
    <w:rsid w:val="008A481F"/>
    <w:rsid w:val="008C191C"/>
    <w:rsid w:val="008C2246"/>
    <w:rsid w:val="008C68F1"/>
    <w:rsid w:val="008D144F"/>
    <w:rsid w:val="008D298B"/>
    <w:rsid w:val="008D5ED9"/>
    <w:rsid w:val="008D758E"/>
    <w:rsid w:val="008F0DDE"/>
    <w:rsid w:val="008F18C7"/>
    <w:rsid w:val="008F313B"/>
    <w:rsid w:val="00902FE6"/>
    <w:rsid w:val="0090467F"/>
    <w:rsid w:val="00910BC7"/>
    <w:rsid w:val="00913697"/>
    <w:rsid w:val="0091441B"/>
    <w:rsid w:val="00921803"/>
    <w:rsid w:val="009247B6"/>
    <w:rsid w:val="00926503"/>
    <w:rsid w:val="0092727B"/>
    <w:rsid w:val="00927557"/>
    <w:rsid w:val="009300BC"/>
    <w:rsid w:val="00932994"/>
    <w:rsid w:val="009417D7"/>
    <w:rsid w:val="0094205D"/>
    <w:rsid w:val="009726D8"/>
    <w:rsid w:val="00972CE3"/>
    <w:rsid w:val="009862B5"/>
    <w:rsid w:val="00987965"/>
    <w:rsid w:val="00993B5B"/>
    <w:rsid w:val="009949F3"/>
    <w:rsid w:val="009A07C2"/>
    <w:rsid w:val="009A25D2"/>
    <w:rsid w:val="009A6040"/>
    <w:rsid w:val="009A76F1"/>
    <w:rsid w:val="009D5228"/>
    <w:rsid w:val="009E157F"/>
    <w:rsid w:val="009E584A"/>
    <w:rsid w:val="009E7049"/>
    <w:rsid w:val="009F2386"/>
    <w:rsid w:val="009F76DB"/>
    <w:rsid w:val="00A02C9C"/>
    <w:rsid w:val="00A039BB"/>
    <w:rsid w:val="00A07B16"/>
    <w:rsid w:val="00A265CC"/>
    <w:rsid w:val="00A32C3B"/>
    <w:rsid w:val="00A45F4F"/>
    <w:rsid w:val="00A548AE"/>
    <w:rsid w:val="00A553A5"/>
    <w:rsid w:val="00A600A9"/>
    <w:rsid w:val="00A6400E"/>
    <w:rsid w:val="00A64DA3"/>
    <w:rsid w:val="00A6656E"/>
    <w:rsid w:val="00A75BB8"/>
    <w:rsid w:val="00A91760"/>
    <w:rsid w:val="00A966A8"/>
    <w:rsid w:val="00A97C21"/>
    <w:rsid w:val="00AA55B7"/>
    <w:rsid w:val="00AA5B9E"/>
    <w:rsid w:val="00AB2407"/>
    <w:rsid w:val="00AB53DF"/>
    <w:rsid w:val="00AC1E62"/>
    <w:rsid w:val="00AD3ED4"/>
    <w:rsid w:val="00AD77EF"/>
    <w:rsid w:val="00AE23FC"/>
    <w:rsid w:val="00AF3A0D"/>
    <w:rsid w:val="00B04469"/>
    <w:rsid w:val="00B07647"/>
    <w:rsid w:val="00B07BFA"/>
    <w:rsid w:val="00B07E5C"/>
    <w:rsid w:val="00B13520"/>
    <w:rsid w:val="00B23A50"/>
    <w:rsid w:val="00B250DB"/>
    <w:rsid w:val="00B255C2"/>
    <w:rsid w:val="00B264D1"/>
    <w:rsid w:val="00B30AE8"/>
    <w:rsid w:val="00B31BE6"/>
    <w:rsid w:val="00B346E5"/>
    <w:rsid w:val="00B40E5B"/>
    <w:rsid w:val="00B47C2D"/>
    <w:rsid w:val="00B65799"/>
    <w:rsid w:val="00B65B88"/>
    <w:rsid w:val="00B67260"/>
    <w:rsid w:val="00B80127"/>
    <w:rsid w:val="00B811F7"/>
    <w:rsid w:val="00B816B0"/>
    <w:rsid w:val="00B81E0C"/>
    <w:rsid w:val="00B87CCD"/>
    <w:rsid w:val="00B953CD"/>
    <w:rsid w:val="00B966A9"/>
    <w:rsid w:val="00BA5036"/>
    <w:rsid w:val="00BA5DC6"/>
    <w:rsid w:val="00BA6196"/>
    <w:rsid w:val="00BB186F"/>
    <w:rsid w:val="00BC3CA2"/>
    <w:rsid w:val="00BC6D8C"/>
    <w:rsid w:val="00BD7075"/>
    <w:rsid w:val="00BF0DE4"/>
    <w:rsid w:val="00BF3B6C"/>
    <w:rsid w:val="00C0311A"/>
    <w:rsid w:val="00C042C6"/>
    <w:rsid w:val="00C17DC0"/>
    <w:rsid w:val="00C20BA0"/>
    <w:rsid w:val="00C24C57"/>
    <w:rsid w:val="00C34006"/>
    <w:rsid w:val="00C3771B"/>
    <w:rsid w:val="00C37E7C"/>
    <w:rsid w:val="00C419DD"/>
    <w:rsid w:val="00C426B1"/>
    <w:rsid w:val="00C44240"/>
    <w:rsid w:val="00C46669"/>
    <w:rsid w:val="00C61B1E"/>
    <w:rsid w:val="00C66160"/>
    <w:rsid w:val="00C701E9"/>
    <w:rsid w:val="00C718D6"/>
    <w:rsid w:val="00C71F00"/>
    <w:rsid w:val="00C721AC"/>
    <w:rsid w:val="00C75907"/>
    <w:rsid w:val="00C80BDB"/>
    <w:rsid w:val="00C86466"/>
    <w:rsid w:val="00C90D6A"/>
    <w:rsid w:val="00CA1C8E"/>
    <w:rsid w:val="00CA247E"/>
    <w:rsid w:val="00CA2D41"/>
    <w:rsid w:val="00CA3BF2"/>
    <w:rsid w:val="00CA5C3B"/>
    <w:rsid w:val="00CB0B8A"/>
    <w:rsid w:val="00CB4FF1"/>
    <w:rsid w:val="00CC04B2"/>
    <w:rsid w:val="00CC35A2"/>
    <w:rsid w:val="00CC72B6"/>
    <w:rsid w:val="00CD1A31"/>
    <w:rsid w:val="00CD6284"/>
    <w:rsid w:val="00CD6482"/>
    <w:rsid w:val="00CE2E21"/>
    <w:rsid w:val="00CF45C3"/>
    <w:rsid w:val="00CF5336"/>
    <w:rsid w:val="00CF6316"/>
    <w:rsid w:val="00D00CE0"/>
    <w:rsid w:val="00D0218D"/>
    <w:rsid w:val="00D04996"/>
    <w:rsid w:val="00D1155F"/>
    <w:rsid w:val="00D16714"/>
    <w:rsid w:val="00D17068"/>
    <w:rsid w:val="00D20DD2"/>
    <w:rsid w:val="00D21D74"/>
    <w:rsid w:val="00D2351A"/>
    <w:rsid w:val="00D25FB5"/>
    <w:rsid w:val="00D36ADC"/>
    <w:rsid w:val="00D41069"/>
    <w:rsid w:val="00D423FB"/>
    <w:rsid w:val="00D43285"/>
    <w:rsid w:val="00D44223"/>
    <w:rsid w:val="00D5183A"/>
    <w:rsid w:val="00D54A24"/>
    <w:rsid w:val="00D610A4"/>
    <w:rsid w:val="00D66750"/>
    <w:rsid w:val="00D746AF"/>
    <w:rsid w:val="00D7484E"/>
    <w:rsid w:val="00D7501E"/>
    <w:rsid w:val="00D7632B"/>
    <w:rsid w:val="00D81003"/>
    <w:rsid w:val="00D8243C"/>
    <w:rsid w:val="00D9180D"/>
    <w:rsid w:val="00D92A37"/>
    <w:rsid w:val="00D960B1"/>
    <w:rsid w:val="00D96D0C"/>
    <w:rsid w:val="00DA103E"/>
    <w:rsid w:val="00DA2529"/>
    <w:rsid w:val="00DA513A"/>
    <w:rsid w:val="00DB016B"/>
    <w:rsid w:val="00DB130A"/>
    <w:rsid w:val="00DB2EBB"/>
    <w:rsid w:val="00DB4066"/>
    <w:rsid w:val="00DC10A1"/>
    <w:rsid w:val="00DC4399"/>
    <w:rsid w:val="00DC655F"/>
    <w:rsid w:val="00DD0B59"/>
    <w:rsid w:val="00DD0E21"/>
    <w:rsid w:val="00DD2F04"/>
    <w:rsid w:val="00DD7EBD"/>
    <w:rsid w:val="00DE1D28"/>
    <w:rsid w:val="00DE25FF"/>
    <w:rsid w:val="00DE6257"/>
    <w:rsid w:val="00DF62B6"/>
    <w:rsid w:val="00DF65A1"/>
    <w:rsid w:val="00E02B2C"/>
    <w:rsid w:val="00E04441"/>
    <w:rsid w:val="00E04CCA"/>
    <w:rsid w:val="00E07225"/>
    <w:rsid w:val="00E0770F"/>
    <w:rsid w:val="00E10B02"/>
    <w:rsid w:val="00E33AD7"/>
    <w:rsid w:val="00E36D91"/>
    <w:rsid w:val="00E4315A"/>
    <w:rsid w:val="00E4373D"/>
    <w:rsid w:val="00E464F6"/>
    <w:rsid w:val="00E46989"/>
    <w:rsid w:val="00E473EC"/>
    <w:rsid w:val="00E51F0B"/>
    <w:rsid w:val="00E52946"/>
    <w:rsid w:val="00E5409F"/>
    <w:rsid w:val="00E54181"/>
    <w:rsid w:val="00E54D59"/>
    <w:rsid w:val="00E57C17"/>
    <w:rsid w:val="00E6218A"/>
    <w:rsid w:val="00E629E4"/>
    <w:rsid w:val="00E66B4A"/>
    <w:rsid w:val="00E72CC6"/>
    <w:rsid w:val="00E7764E"/>
    <w:rsid w:val="00E77CFB"/>
    <w:rsid w:val="00E806AD"/>
    <w:rsid w:val="00E9077E"/>
    <w:rsid w:val="00E929BB"/>
    <w:rsid w:val="00E95D9B"/>
    <w:rsid w:val="00E96606"/>
    <w:rsid w:val="00EB7FBB"/>
    <w:rsid w:val="00EC3FE1"/>
    <w:rsid w:val="00EC58DE"/>
    <w:rsid w:val="00EC5CAF"/>
    <w:rsid w:val="00EC6EDE"/>
    <w:rsid w:val="00ED239C"/>
    <w:rsid w:val="00ED345D"/>
    <w:rsid w:val="00ED63F7"/>
    <w:rsid w:val="00EE0032"/>
    <w:rsid w:val="00EE6488"/>
    <w:rsid w:val="00EE65A0"/>
    <w:rsid w:val="00EE76D9"/>
    <w:rsid w:val="00F00D71"/>
    <w:rsid w:val="00F021FA"/>
    <w:rsid w:val="00F14E84"/>
    <w:rsid w:val="00F2146F"/>
    <w:rsid w:val="00F24E7C"/>
    <w:rsid w:val="00F35242"/>
    <w:rsid w:val="00F4181E"/>
    <w:rsid w:val="00F461B9"/>
    <w:rsid w:val="00F61ED3"/>
    <w:rsid w:val="00F62E97"/>
    <w:rsid w:val="00F64209"/>
    <w:rsid w:val="00F870D5"/>
    <w:rsid w:val="00F90D8A"/>
    <w:rsid w:val="00F90DD6"/>
    <w:rsid w:val="00F93A29"/>
    <w:rsid w:val="00F93BF5"/>
    <w:rsid w:val="00F94F2A"/>
    <w:rsid w:val="00F95587"/>
    <w:rsid w:val="00FA51E5"/>
    <w:rsid w:val="00FA65A3"/>
    <w:rsid w:val="00FC033E"/>
    <w:rsid w:val="00FC0346"/>
    <w:rsid w:val="00FC0D18"/>
    <w:rsid w:val="00FD5776"/>
    <w:rsid w:val="00FE11C8"/>
    <w:rsid w:val="00FE7148"/>
    <w:rsid w:val="00FE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8FC"/>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2358F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link w:val="Heading2Char"/>
    <w:autoRedefine/>
    <w:qFormat/>
    <w:rsid w:val="002358FC"/>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qFormat/>
    <w:rsid w:val="002358FC"/>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
    <w:basedOn w:val="Normal"/>
    <w:next w:val="ParaNum"/>
    <w:qFormat/>
    <w:rsid w:val="002358FC"/>
    <w:pPr>
      <w:keepNext/>
      <w:numPr>
        <w:ilvl w:val="3"/>
        <w:numId w:val="2"/>
      </w:numPr>
      <w:tabs>
        <w:tab w:val="left" w:pos="2880"/>
      </w:tabs>
      <w:spacing w:after="120"/>
      <w:outlineLvl w:val="3"/>
    </w:pPr>
    <w:rPr>
      <w:b/>
    </w:rPr>
  </w:style>
  <w:style w:type="paragraph" w:styleId="Heading5">
    <w:name w:val="heading 5"/>
    <w:basedOn w:val="Normal"/>
    <w:next w:val="ParaNum"/>
    <w:qFormat/>
    <w:rsid w:val="002358FC"/>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qFormat/>
    <w:rsid w:val="002358FC"/>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2358FC"/>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2358FC"/>
    <w:pPr>
      <w:numPr>
        <w:ilvl w:val="7"/>
        <w:numId w:val="2"/>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2358F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358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58FC"/>
  </w:style>
  <w:style w:type="paragraph" w:customStyle="1" w:styleId="ParaNum">
    <w:name w:val="ParaNum"/>
    <w:basedOn w:val="Normal"/>
    <w:link w:val="ParaNumChar1"/>
    <w:rsid w:val="002358FC"/>
    <w:pPr>
      <w:numPr>
        <w:numId w:val="1"/>
      </w:numPr>
      <w:tabs>
        <w:tab w:val="clear" w:pos="1080"/>
        <w:tab w:val="num" w:pos="1440"/>
      </w:tabs>
      <w:spacing w:after="120"/>
    </w:pPr>
  </w:style>
  <w:style w:type="paragraph" w:styleId="EndnoteText">
    <w:name w:val="endnote text"/>
    <w:basedOn w:val="Normal"/>
    <w:semiHidden/>
    <w:rsid w:val="002358FC"/>
    <w:rPr>
      <w:sz w:val="20"/>
    </w:rPr>
  </w:style>
  <w:style w:type="character" w:styleId="EndnoteReference">
    <w:name w:val="endnote reference"/>
    <w:semiHidden/>
    <w:rsid w:val="002358FC"/>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2358FC"/>
    <w:pPr>
      <w:spacing w:after="120"/>
    </w:pPr>
  </w:style>
  <w:style w:type="character" w:styleId="FootnoteReference">
    <w:name w:val="footnote reference"/>
    <w:aliases w:val="Appel note de bas de p,Style 12,(NECG) Footnote Reference,Style 124,o,fr,Style 3,Style 13,FR,Style 6,Style 17,Footnote Reference/,Style 4,Style 7,Footnote Reference1,Style 34,Style 9,A"/>
    <w:rsid w:val="002358FC"/>
    <w:rPr>
      <w:rFonts w:ascii="Times New Roman" w:hAnsi="Times New Roman"/>
      <w:dstrike w:val="0"/>
      <w:color w:val="auto"/>
      <w:sz w:val="20"/>
      <w:vertAlign w:val="superscript"/>
    </w:rPr>
  </w:style>
  <w:style w:type="paragraph" w:styleId="TOC1">
    <w:name w:val="toc 1"/>
    <w:basedOn w:val="Normal"/>
    <w:next w:val="Normal"/>
    <w:semiHidden/>
    <w:rsid w:val="002358F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358FC"/>
    <w:pPr>
      <w:tabs>
        <w:tab w:val="left" w:pos="720"/>
        <w:tab w:val="right" w:leader="dot" w:pos="9360"/>
      </w:tabs>
      <w:suppressAutoHyphens/>
      <w:ind w:left="720" w:right="720" w:hanging="360"/>
    </w:pPr>
    <w:rPr>
      <w:noProof/>
    </w:rPr>
  </w:style>
  <w:style w:type="paragraph" w:styleId="TOC3">
    <w:name w:val="toc 3"/>
    <w:basedOn w:val="Normal"/>
    <w:next w:val="Normal"/>
    <w:semiHidden/>
    <w:rsid w:val="002358F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358F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358F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358F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358F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358F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358F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358FC"/>
    <w:pPr>
      <w:tabs>
        <w:tab w:val="right" w:pos="9360"/>
      </w:tabs>
      <w:suppressAutoHyphens/>
    </w:pPr>
  </w:style>
  <w:style w:type="character" w:customStyle="1" w:styleId="EquationCaption">
    <w:name w:val="_Equation Caption"/>
    <w:rsid w:val="002358FC"/>
  </w:style>
  <w:style w:type="paragraph" w:styleId="Header">
    <w:name w:val="header"/>
    <w:basedOn w:val="Normal"/>
    <w:link w:val="HeaderChar"/>
    <w:autoRedefine/>
    <w:rsid w:val="002358FC"/>
    <w:pPr>
      <w:tabs>
        <w:tab w:val="center" w:pos="4680"/>
        <w:tab w:val="right" w:pos="9360"/>
      </w:tabs>
    </w:pPr>
    <w:rPr>
      <w:b/>
    </w:rPr>
  </w:style>
  <w:style w:type="paragraph" w:styleId="Footer">
    <w:name w:val="footer"/>
    <w:basedOn w:val="Normal"/>
    <w:link w:val="FooterChar"/>
    <w:rsid w:val="002358FC"/>
    <w:pPr>
      <w:tabs>
        <w:tab w:val="center" w:pos="4320"/>
        <w:tab w:val="right" w:pos="8640"/>
      </w:tabs>
    </w:pPr>
  </w:style>
  <w:style w:type="character" w:styleId="PageNumber">
    <w:name w:val="page number"/>
    <w:basedOn w:val="DefaultParagraphFont"/>
    <w:rsid w:val="002358FC"/>
  </w:style>
  <w:style w:type="paragraph" w:styleId="BlockText">
    <w:name w:val="Block Text"/>
    <w:basedOn w:val="Normal"/>
    <w:rsid w:val="002358FC"/>
    <w:pPr>
      <w:spacing w:after="240"/>
      <w:ind w:left="1440" w:right="1440"/>
    </w:pPr>
  </w:style>
  <w:style w:type="paragraph" w:customStyle="1" w:styleId="Paratitle">
    <w:name w:val="Para title"/>
    <w:basedOn w:val="Normal"/>
    <w:rsid w:val="002358FC"/>
    <w:pPr>
      <w:tabs>
        <w:tab w:val="center" w:pos="9270"/>
      </w:tabs>
      <w:spacing w:after="240"/>
    </w:pPr>
    <w:rPr>
      <w:spacing w:val="-2"/>
    </w:rPr>
  </w:style>
  <w:style w:type="paragraph" w:customStyle="1" w:styleId="Bullet">
    <w:name w:val="Bullet"/>
    <w:basedOn w:val="Normal"/>
    <w:rsid w:val="002358FC"/>
    <w:pPr>
      <w:tabs>
        <w:tab w:val="left" w:pos="2160"/>
      </w:tabs>
      <w:spacing w:after="220"/>
      <w:ind w:left="2160" w:hanging="720"/>
    </w:pPr>
  </w:style>
  <w:style w:type="paragraph" w:customStyle="1" w:styleId="TableFormat">
    <w:name w:val="TableFormat"/>
    <w:basedOn w:val="Bullet"/>
    <w:rsid w:val="002358FC"/>
    <w:pPr>
      <w:tabs>
        <w:tab w:val="clear" w:pos="2160"/>
        <w:tab w:val="left" w:pos="5040"/>
      </w:tabs>
      <w:ind w:left="5040" w:hanging="3600"/>
    </w:pPr>
  </w:style>
  <w:style w:type="paragraph" w:customStyle="1" w:styleId="TOCTitle">
    <w:name w:val="TOC Title"/>
    <w:basedOn w:val="Normal"/>
    <w:rsid w:val="002358F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358FC"/>
    <w:pPr>
      <w:jc w:val="center"/>
    </w:pPr>
    <w:rPr>
      <w:rFonts w:ascii="Times New Roman Bold" w:hAnsi="Times New Roman Bold"/>
      <w:b/>
      <w:bCs/>
      <w:caps/>
      <w:szCs w:val="22"/>
    </w:rPr>
  </w:style>
  <w:style w:type="character" w:styleId="Hyperlink">
    <w:name w:val="Hyperlink"/>
    <w:rsid w:val="002358FC"/>
    <w:rPr>
      <w:color w:val="0000FF"/>
      <w:u w:val="single"/>
    </w:rPr>
  </w:style>
  <w:style w:type="paragraph" w:styleId="BalloonText">
    <w:name w:val="Balloon Text"/>
    <w:basedOn w:val="Normal"/>
    <w:link w:val="BalloonTextChar"/>
    <w:rsid w:val="003D32CA"/>
    <w:rPr>
      <w:rFonts w:ascii="Segoe UI" w:hAnsi="Segoe UI" w:cs="Segoe UI"/>
      <w:sz w:val="18"/>
      <w:szCs w:val="18"/>
    </w:rPr>
  </w:style>
  <w:style w:type="character" w:customStyle="1" w:styleId="BalloonTextChar">
    <w:name w:val="Balloon Text Char"/>
    <w:basedOn w:val="DefaultParagraphFont"/>
    <w:link w:val="BalloonText"/>
    <w:rsid w:val="003D32CA"/>
    <w:rPr>
      <w:rFonts w:ascii="Segoe UI" w:hAnsi="Segoe UI" w:cs="Segoe UI"/>
      <w:snapToGrid w:val="0"/>
      <w:kern w:val="28"/>
      <w:sz w:val="18"/>
      <w:szCs w:val="18"/>
    </w:rPr>
  </w:style>
  <w:style w:type="character" w:styleId="CommentReference">
    <w:name w:val="annotation reference"/>
    <w:uiPriority w:val="99"/>
    <w:rsid w:val="00BD7075"/>
    <w:rPr>
      <w:sz w:val="16"/>
      <w:szCs w:val="16"/>
    </w:rPr>
  </w:style>
  <w:style w:type="paragraph" w:styleId="CommentText">
    <w:name w:val="annotation text"/>
    <w:basedOn w:val="Normal"/>
    <w:link w:val="CommentTextChar"/>
    <w:uiPriority w:val="99"/>
    <w:rsid w:val="00BD7075"/>
    <w:rPr>
      <w:sz w:val="20"/>
    </w:rPr>
  </w:style>
  <w:style w:type="character" w:customStyle="1" w:styleId="CommentTextChar">
    <w:name w:val="Comment Text Char"/>
    <w:basedOn w:val="DefaultParagraphFont"/>
    <w:link w:val="CommentText"/>
    <w:uiPriority w:val="99"/>
    <w:rsid w:val="00BD7075"/>
    <w:rPr>
      <w:snapToGrid w:val="0"/>
      <w:kern w:val="28"/>
    </w:rPr>
  </w:style>
  <w:style w:type="character" w:customStyle="1" w:styleId="ParaNumChar1">
    <w:name w:val="ParaNum Char1"/>
    <w:link w:val="ParaNum"/>
    <w:rsid w:val="00876D6C"/>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BD7075"/>
  </w:style>
  <w:style w:type="paragraph" w:styleId="ListParagraph">
    <w:name w:val="List Paragraph"/>
    <w:basedOn w:val="Normal"/>
    <w:uiPriority w:val="34"/>
    <w:qFormat/>
    <w:rsid w:val="00BD7075"/>
    <w:pPr>
      <w:ind w:left="720"/>
      <w:contextualSpacing/>
    </w:pPr>
    <w:rPr>
      <w:snapToGrid/>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BD7075"/>
    <w:rPr>
      <w:rFonts w:ascii="Times New Roman Bold" w:hAnsi="Times New Roman Bold"/>
      <w:b/>
      <w:caps/>
      <w:snapToGrid w:val="0"/>
      <w:kern w:val="28"/>
      <w:sz w:val="22"/>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basedOn w:val="DefaultParagraphFont"/>
    <w:link w:val="Heading2"/>
    <w:rsid w:val="00DB4066"/>
    <w:rPr>
      <w:b/>
      <w:snapToGrid w:val="0"/>
      <w:kern w:val="28"/>
      <w:sz w:val="22"/>
    </w:rPr>
  </w:style>
  <w:style w:type="character" w:customStyle="1" w:styleId="HeaderChar">
    <w:name w:val="Header Char"/>
    <w:basedOn w:val="DefaultParagraphFont"/>
    <w:link w:val="Header"/>
    <w:rsid w:val="00BD7075"/>
    <w:rPr>
      <w:b/>
      <w:snapToGrid w:val="0"/>
      <w:kern w:val="28"/>
      <w:sz w:val="22"/>
    </w:rPr>
  </w:style>
  <w:style w:type="character" w:customStyle="1" w:styleId="FooterChar">
    <w:name w:val="Footer Char"/>
    <w:basedOn w:val="DefaultParagraphFont"/>
    <w:link w:val="Footer"/>
    <w:rsid w:val="00BD7075"/>
    <w:rPr>
      <w:snapToGrid w:val="0"/>
      <w:kern w:val="28"/>
      <w:sz w:val="22"/>
    </w:rPr>
  </w:style>
  <w:style w:type="paragraph" w:styleId="CommentSubject">
    <w:name w:val="annotation subject"/>
    <w:basedOn w:val="CommentText"/>
    <w:next w:val="CommentText"/>
    <w:link w:val="CommentSubjectChar"/>
    <w:rsid w:val="00972CE3"/>
    <w:rPr>
      <w:b/>
      <w:bCs/>
    </w:rPr>
  </w:style>
  <w:style w:type="character" w:customStyle="1" w:styleId="CommentSubjectChar">
    <w:name w:val="Comment Subject Char"/>
    <w:basedOn w:val="CommentTextChar"/>
    <w:link w:val="CommentSubject"/>
    <w:rsid w:val="00972CE3"/>
    <w:rPr>
      <w:b/>
      <w:bCs/>
      <w:snapToGrid w:val="0"/>
      <w:kern w:val="28"/>
    </w:rPr>
  </w:style>
  <w:style w:type="paragraph" w:styleId="Revision">
    <w:name w:val="Revision"/>
    <w:hidden/>
    <w:uiPriority w:val="99"/>
    <w:semiHidden/>
    <w:rsid w:val="006073BB"/>
    <w:rPr>
      <w:snapToGrid w:val="0"/>
      <w:kern w:val="28"/>
      <w:sz w:val="22"/>
    </w:rPr>
  </w:style>
  <w:style w:type="character" w:customStyle="1" w:styleId="FootnoteTextChar1Char1">
    <w:name w:val="Footnote Text Char1 Char1"/>
    <w:aliases w:val="Footnote Text Char Char Char1,Footnote Text Char2 Char Char Char1,Footnote Text Char3 Char1 Char Char Char1,Footnote Text Char2 Char1 Char1 Char Char Char1,Footnote Text Char3 Char1 Char Char Char Char Char1,fn Char Char"/>
    <w:semiHidden/>
    <w:rsid w:val="00E9077E"/>
    <w:rPr>
      <w:lang w:val="en-US" w:eastAsia="en-US" w:bidi="ar-SA"/>
    </w:rPr>
  </w:style>
  <w:style w:type="paragraph" w:customStyle="1" w:styleId="StyleStyleStyleParaNum11pt">
    <w:name w:val="Style Style Style ParaNum + 11 pt + +"/>
    <w:basedOn w:val="Normal"/>
    <w:link w:val="StyleStyleStyleParaNum11ptChar"/>
    <w:autoRedefine/>
    <w:rsid w:val="003C0B24"/>
    <w:pPr>
      <w:numPr>
        <w:numId w:val="5"/>
      </w:numPr>
      <w:spacing w:before="120" w:after="120"/>
    </w:pPr>
    <w:rPr>
      <w:snapToGrid/>
    </w:rPr>
  </w:style>
  <w:style w:type="character" w:customStyle="1" w:styleId="StyleStyleStyleParaNum11ptChar">
    <w:name w:val="Style Style Style ParaNum + 11 pt + + Char"/>
    <w:basedOn w:val="DefaultParagraphFont"/>
    <w:link w:val="StyleStyleStyleParaNum11pt"/>
    <w:locked/>
    <w:rsid w:val="003C0B24"/>
    <w:rPr>
      <w:kern w:val="28"/>
      <w:sz w:val="22"/>
    </w:rPr>
  </w:style>
  <w:style w:type="character" w:customStyle="1" w:styleId="FootnoteTextChar1Char1CharCharCharCharChar">
    <w:name w:val="Footnote Text Char1 Char1 Char Char Char Char Char"/>
    <w:basedOn w:val="DefaultParagraphFont"/>
    <w:rsid w:val="00FC033E"/>
    <w:rPr>
      <w:rFonts w:ascii="Times New Roman" w:hAnsi="Times New Roman"/>
      <w:sz w:val="20"/>
      <w:lang w:val="en-US" w:eastAsia="en-US" w:bidi="ar-SA"/>
    </w:rPr>
  </w:style>
  <w:style w:type="paragraph" w:customStyle="1" w:styleId="StyleHeading2a">
    <w:name w:val="Style Heading 2a"/>
    <w:basedOn w:val="Normal"/>
    <w:next w:val="ParaNum"/>
    <w:autoRedefine/>
    <w:qFormat/>
    <w:rsid w:val="003C0B24"/>
    <w:pPr>
      <w:numPr>
        <w:numId w:val="6"/>
      </w:numPr>
      <w:spacing w:before="120"/>
    </w:pPr>
    <w:rPr>
      <w:rFonts w:ascii="Times New Roman Bold" w:hAnsi="Times New Roman Bold"/>
      <w:b/>
    </w:rPr>
  </w:style>
  <w:style w:type="paragraph" w:styleId="PlainText">
    <w:name w:val="Plain Text"/>
    <w:basedOn w:val="Normal"/>
    <w:link w:val="PlainTextChar"/>
    <w:rsid w:val="00660349"/>
    <w:rPr>
      <w:rFonts w:ascii="Consolas" w:hAnsi="Consolas" w:cs="Consolas"/>
      <w:sz w:val="21"/>
      <w:szCs w:val="21"/>
    </w:rPr>
  </w:style>
  <w:style w:type="character" w:customStyle="1" w:styleId="PlainTextChar">
    <w:name w:val="Plain Text Char"/>
    <w:basedOn w:val="DefaultParagraphFont"/>
    <w:link w:val="PlainText"/>
    <w:rsid w:val="00660349"/>
    <w:rPr>
      <w:rFonts w:ascii="Consolas" w:hAnsi="Consolas" w:cs="Consolas"/>
      <w:snapToGrid w:val="0"/>
      <w:kern w:val="28"/>
      <w:sz w:val="21"/>
      <w:szCs w:val="21"/>
    </w:rPr>
  </w:style>
  <w:style w:type="character" w:styleId="FollowedHyperlink">
    <w:name w:val="FollowedHyperlink"/>
    <w:basedOn w:val="DefaultParagraphFont"/>
    <w:rsid w:val="006E1E72"/>
    <w:rPr>
      <w:color w:val="954F72" w:themeColor="followedHyperlink"/>
      <w:u w:val="single"/>
    </w:rPr>
  </w:style>
  <w:style w:type="paragraph" w:styleId="HTMLPreformatted">
    <w:name w:val="HTML Preformatted"/>
    <w:basedOn w:val="Normal"/>
    <w:link w:val="HTMLPreformattedChar"/>
    <w:rsid w:val="00CD6482"/>
    <w:rPr>
      <w:rFonts w:ascii="Consolas" w:hAnsi="Consolas" w:cs="Consolas"/>
      <w:sz w:val="20"/>
    </w:rPr>
  </w:style>
  <w:style w:type="character" w:customStyle="1" w:styleId="HTMLPreformattedChar">
    <w:name w:val="HTML Preformatted Char"/>
    <w:basedOn w:val="DefaultParagraphFont"/>
    <w:link w:val="HTMLPreformatted"/>
    <w:rsid w:val="00CD6482"/>
    <w:rPr>
      <w:rFonts w:ascii="Consolas" w:hAnsi="Consolas" w:cs="Consolas"/>
      <w:snapToGrid w:val="0"/>
      <w:kern w:val="28"/>
    </w:rPr>
  </w:style>
  <w:style w:type="character" w:customStyle="1" w:styleId="FootnoteTextChar1Char">
    <w:name w:val="Footnote Text Char1 Char"/>
    <w:aliases w:val="Footnote Text Char Char Char,Footnote Text Char5 Char Char Char,Footnote Text Char Char Char Char Char,Footnote Text Char4 Char Char1 Char Char Char,Footnote Text Char2 Char Char2 Char2 Char Char Char,f Char"/>
    <w:rsid w:val="005E704B"/>
  </w:style>
  <w:style w:type="character" w:styleId="Emphasis">
    <w:name w:val="Emphasis"/>
    <w:basedOn w:val="DefaultParagraphFont"/>
    <w:uiPriority w:val="20"/>
    <w:qFormat/>
    <w:rsid w:val="009046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8FC"/>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2358F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link w:val="Heading2Char"/>
    <w:autoRedefine/>
    <w:qFormat/>
    <w:rsid w:val="002358FC"/>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qFormat/>
    <w:rsid w:val="002358FC"/>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
    <w:basedOn w:val="Normal"/>
    <w:next w:val="ParaNum"/>
    <w:qFormat/>
    <w:rsid w:val="002358FC"/>
    <w:pPr>
      <w:keepNext/>
      <w:numPr>
        <w:ilvl w:val="3"/>
        <w:numId w:val="2"/>
      </w:numPr>
      <w:tabs>
        <w:tab w:val="left" w:pos="2880"/>
      </w:tabs>
      <w:spacing w:after="120"/>
      <w:outlineLvl w:val="3"/>
    </w:pPr>
    <w:rPr>
      <w:b/>
    </w:rPr>
  </w:style>
  <w:style w:type="paragraph" w:styleId="Heading5">
    <w:name w:val="heading 5"/>
    <w:basedOn w:val="Normal"/>
    <w:next w:val="ParaNum"/>
    <w:qFormat/>
    <w:rsid w:val="002358FC"/>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qFormat/>
    <w:rsid w:val="002358FC"/>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2358FC"/>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2358FC"/>
    <w:pPr>
      <w:numPr>
        <w:ilvl w:val="7"/>
        <w:numId w:val="2"/>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2358F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358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58FC"/>
  </w:style>
  <w:style w:type="paragraph" w:customStyle="1" w:styleId="ParaNum">
    <w:name w:val="ParaNum"/>
    <w:basedOn w:val="Normal"/>
    <w:link w:val="ParaNumChar1"/>
    <w:rsid w:val="002358FC"/>
    <w:pPr>
      <w:numPr>
        <w:numId w:val="1"/>
      </w:numPr>
      <w:tabs>
        <w:tab w:val="clear" w:pos="1080"/>
        <w:tab w:val="num" w:pos="1440"/>
      </w:tabs>
      <w:spacing w:after="120"/>
    </w:pPr>
  </w:style>
  <w:style w:type="paragraph" w:styleId="EndnoteText">
    <w:name w:val="endnote text"/>
    <w:basedOn w:val="Normal"/>
    <w:semiHidden/>
    <w:rsid w:val="002358FC"/>
    <w:rPr>
      <w:sz w:val="20"/>
    </w:rPr>
  </w:style>
  <w:style w:type="character" w:styleId="EndnoteReference">
    <w:name w:val="endnote reference"/>
    <w:semiHidden/>
    <w:rsid w:val="002358FC"/>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2358FC"/>
    <w:pPr>
      <w:spacing w:after="120"/>
    </w:pPr>
  </w:style>
  <w:style w:type="character" w:styleId="FootnoteReference">
    <w:name w:val="footnote reference"/>
    <w:aliases w:val="Appel note de bas de p,Style 12,(NECG) Footnote Reference,Style 124,o,fr,Style 3,Style 13,FR,Style 6,Style 17,Footnote Reference/,Style 4,Style 7,Footnote Reference1,Style 34,Style 9,A"/>
    <w:rsid w:val="002358FC"/>
    <w:rPr>
      <w:rFonts w:ascii="Times New Roman" w:hAnsi="Times New Roman"/>
      <w:dstrike w:val="0"/>
      <w:color w:val="auto"/>
      <w:sz w:val="20"/>
      <w:vertAlign w:val="superscript"/>
    </w:rPr>
  </w:style>
  <w:style w:type="paragraph" w:styleId="TOC1">
    <w:name w:val="toc 1"/>
    <w:basedOn w:val="Normal"/>
    <w:next w:val="Normal"/>
    <w:semiHidden/>
    <w:rsid w:val="002358F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358FC"/>
    <w:pPr>
      <w:tabs>
        <w:tab w:val="left" w:pos="720"/>
        <w:tab w:val="right" w:leader="dot" w:pos="9360"/>
      </w:tabs>
      <w:suppressAutoHyphens/>
      <w:ind w:left="720" w:right="720" w:hanging="360"/>
    </w:pPr>
    <w:rPr>
      <w:noProof/>
    </w:rPr>
  </w:style>
  <w:style w:type="paragraph" w:styleId="TOC3">
    <w:name w:val="toc 3"/>
    <w:basedOn w:val="Normal"/>
    <w:next w:val="Normal"/>
    <w:semiHidden/>
    <w:rsid w:val="002358F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358F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358F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358F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358F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358F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358F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358FC"/>
    <w:pPr>
      <w:tabs>
        <w:tab w:val="right" w:pos="9360"/>
      </w:tabs>
      <w:suppressAutoHyphens/>
    </w:pPr>
  </w:style>
  <w:style w:type="character" w:customStyle="1" w:styleId="EquationCaption">
    <w:name w:val="_Equation Caption"/>
    <w:rsid w:val="002358FC"/>
  </w:style>
  <w:style w:type="paragraph" w:styleId="Header">
    <w:name w:val="header"/>
    <w:basedOn w:val="Normal"/>
    <w:link w:val="HeaderChar"/>
    <w:autoRedefine/>
    <w:rsid w:val="002358FC"/>
    <w:pPr>
      <w:tabs>
        <w:tab w:val="center" w:pos="4680"/>
        <w:tab w:val="right" w:pos="9360"/>
      </w:tabs>
    </w:pPr>
    <w:rPr>
      <w:b/>
    </w:rPr>
  </w:style>
  <w:style w:type="paragraph" w:styleId="Footer">
    <w:name w:val="footer"/>
    <w:basedOn w:val="Normal"/>
    <w:link w:val="FooterChar"/>
    <w:rsid w:val="002358FC"/>
    <w:pPr>
      <w:tabs>
        <w:tab w:val="center" w:pos="4320"/>
        <w:tab w:val="right" w:pos="8640"/>
      </w:tabs>
    </w:pPr>
  </w:style>
  <w:style w:type="character" w:styleId="PageNumber">
    <w:name w:val="page number"/>
    <w:basedOn w:val="DefaultParagraphFont"/>
    <w:rsid w:val="002358FC"/>
  </w:style>
  <w:style w:type="paragraph" w:styleId="BlockText">
    <w:name w:val="Block Text"/>
    <w:basedOn w:val="Normal"/>
    <w:rsid w:val="002358FC"/>
    <w:pPr>
      <w:spacing w:after="240"/>
      <w:ind w:left="1440" w:right="1440"/>
    </w:pPr>
  </w:style>
  <w:style w:type="paragraph" w:customStyle="1" w:styleId="Paratitle">
    <w:name w:val="Para title"/>
    <w:basedOn w:val="Normal"/>
    <w:rsid w:val="002358FC"/>
    <w:pPr>
      <w:tabs>
        <w:tab w:val="center" w:pos="9270"/>
      </w:tabs>
      <w:spacing w:after="240"/>
    </w:pPr>
    <w:rPr>
      <w:spacing w:val="-2"/>
    </w:rPr>
  </w:style>
  <w:style w:type="paragraph" w:customStyle="1" w:styleId="Bullet">
    <w:name w:val="Bullet"/>
    <w:basedOn w:val="Normal"/>
    <w:rsid w:val="002358FC"/>
    <w:pPr>
      <w:tabs>
        <w:tab w:val="left" w:pos="2160"/>
      </w:tabs>
      <w:spacing w:after="220"/>
      <w:ind w:left="2160" w:hanging="720"/>
    </w:pPr>
  </w:style>
  <w:style w:type="paragraph" w:customStyle="1" w:styleId="TableFormat">
    <w:name w:val="TableFormat"/>
    <w:basedOn w:val="Bullet"/>
    <w:rsid w:val="002358FC"/>
    <w:pPr>
      <w:tabs>
        <w:tab w:val="clear" w:pos="2160"/>
        <w:tab w:val="left" w:pos="5040"/>
      </w:tabs>
      <w:ind w:left="5040" w:hanging="3600"/>
    </w:pPr>
  </w:style>
  <w:style w:type="paragraph" w:customStyle="1" w:styleId="TOCTitle">
    <w:name w:val="TOC Title"/>
    <w:basedOn w:val="Normal"/>
    <w:rsid w:val="002358F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358FC"/>
    <w:pPr>
      <w:jc w:val="center"/>
    </w:pPr>
    <w:rPr>
      <w:rFonts w:ascii="Times New Roman Bold" w:hAnsi="Times New Roman Bold"/>
      <w:b/>
      <w:bCs/>
      <w:caps/>
      <w:szCs w:val="22"/>
    </w:rPr>
  </w:style>
  <w:style w:type="character" w:styleId="Hyperlink">
    <w:name w:val="Hyperlink"/>
    <w:rsid w:val="002358FC"/>
    <w:rPr>
      <w:color w:val="0000FF"/>
      <w:u w:val="single"/>
    </w:rPr>
  </w:style>
  <w:style w:type="paragraph" w:styleId="BalloonText">
    <w:name w:val="Balloon Text"/>
    <w:basedOn w:val="Normal"/>
    <w:link w:val="BalloonTextChar"/>
    <w:rsid w:val="003D32CA"/>
    <w:rPr>
      <w:rFonts w:ascii="Segoe UI" w:hAnsi="Segoe UI" w:cs="Segoe UI"/>
      <w:sz w:val="18"/>
      <w:szCs w:val="18"/>
    </w:rPr>
  </w:style>
  <w:style w:type="character" w:customStyle="1" w:styleId="BalloonTextChar">
    <w:name w:val="Balloon Text Char"/>
    <w:basedOn w:val="DefaultParagraphFont"/>
    <w:link w:val="BalloonText"/>
    <w:rsid w:val="003D32CA"/>
    <w:rPr>
      <w:rFonts w:ascii="Segoe UI" w:hAnsi="Segoe UI" w:cs="Segoe UI"/>
      <w:snapToGrid w:val="0"/>
      <w:kern w:val="28"/>
      <w:sz w:val="18"/>
      <w:szCs w:val="18"/>
    </w:rPr>
  </w:style>
  <w:style w:type="character" w:styleId="CommentReference">
    <w:name w:val="annotation reference"/>
    <w:uiPriority w:val="99"/>
    <w:rsid w:val="00BD7075"/>
    <w:rPr>
      <w:sz w:val="16"/>
      <w:szCs w:val="16"/>
    </w:rPr>
  </w:style>
  <w:style w:type="paragraph" w:styleId="CommentText">
    <w:name w:val="annotation text"/>
    <w:basedOn w:val="Normal"/>
    <w:link w:val="CommentTextChar"/>
    <w:uiPriority w:val="99"/>
    <w:rsid w:val="00BD7075"/>
    <w:rPr>
      <w:sz w:val="20"/>
    </w:rPr>
  </w:style>
  <w:style w:type="character" w:customStyle="1" w:styleId="CommentTextChar">
    <w:name w:val="Comment Text Char"/>
    <w:basedOn w:val="DefaultParagraphFont"/>
    <w:link w:val="CommentText"/>
    <w:uiPriority w:val="99"/>
    <w:rsid w:val="00BD7075"/>
    <w:rPr>
      <w:snapToGrid w:val="0"/>
      <w:kern w:val="28"/>
    </w:rPr>
  </w:style>
  <w:style w:type="character" w:customStyle="1" w:styleId="ParaNumChar1">
    <w:name w:val="ParaNum Char1"/>
    <w:link w:val="ParaNum"/>
    <w:rsid w:val="00876D6C"/>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BD7075"/>
  </w:style>
  <w:style w:type="paragraph" w:styleId="ListParagraph">
    <w:name w:val="List Paragraph"/>
    <w:basedOn w:val="Normal"/>
    <w:uiPriority w:val="34"/>
    <w:qFormat/>
    <w:rsid w:val="00BD7075"/>
    <w:pPr>
      <w:ind w:left="720"/>
      <w:contextualSpacing/>
    </w:pPr>
    <w:rPr>
      <w:snapToGrid/>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BD7075"/>
    <w:rPr>
      <w:rFonts w:ascii="Times New Roman Bold" w:hAnsi="Times New Roman Bold"/>
      <w:b/>
      <w:caps/>
      <w:snapToGrid w:val="0"/>
      <w:kern w:val="28"/>
      <w:sz w:val="22"/>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basedOn w:val="DefaultParagraphFont"/>
    <w:link w:val="Heading2"/>
    <w:rsid w:val="00DB4066"/>
    <w:rPr>
      <w:b/>
      <w:snapToGrid w:val="0"/>
      <w:kern w:val="28"/>
      <w:sz w:val="22"/>
    </w:rPr>
  </w:style>
  <w:style w:type="character" w:customStyle="1" w:styleId="HeaderChar">
    <w:name w:val="Header Char"/>
    <w:basedOn w:val="DefaultParagraphFont"/>
    <w:link w:val="Header"/>
    <w:rsid w:val="00BD7075"/>
    <w:rPr>
      <w:b/>
      <w:snapToGrid w:val="0"/>
      <w:kern w:val="28"/>
      <w:sz w:val="22"/>
    </w:rPr>
  </w:style>
  <w:style w:type="character" w:customStyle="1" w:styleId="FooterChar">
    <w:name w:val="Footer Char"/>
    <w:basedOn w:val="DefaultParagraphFont"/>
    <w:link w:val="Footer"/>
    <w:rsid w:val="00BD7075"/>
    <w:rPr>
      <w:snapToGrid w:val="0"/>
      <w:kern w:val="28"/>
      <w:sz w:val="22"/>
    </w:rPr>
  </w:style>
  <w:style w:type="paragraph" w:styleId="CommentSubject">
    <w:name w:val="annotation subject"/>
    <w:basedOn w:val="CommentText"/>
    <w:next w:val="CommentText"/>
    <w:link w:val="CommentSubjectChar"/>
    <w:rsid w:val="00972CE3"/>
    <w:rPr>
      <w:b/>
      <w:bCs/>
    </w:rPr>
  </w:style>
  <w:style w:type="character" w:customStyle="1" w:styleId="CommentSubjectChar">
    <w:name w:val="Comment Subject Char"/>
    <w:basedOn w:val="CommentTextChar"/>
    <w:link w:val="CommentSubject"/>
    <w:rsid w:val="00972CE3"/>
    <w:rPr>
      <w:b/>
      <w:bCs/>
      <w:snapToGrid w:val="0"/>
      <w:kern w:val="28"/>
    </w:rPr>
  </w:style>
  <w:style w:type="paragraph" w:styleId="Revision">
    <w:name w:val="Revision"/>
    <w:hidden/>
    <w:uiPriority w:val="99"/>
    <w:semiHidden/>
    <w:rsid w:val="006073BB"/>
    <w:rPr>
      <w:snapToGrid w:val="0"/>
      <w:kern w:val="28"/>
      <w:sz w:val="22"/>
    </w:rPr>
  </w:style>
  <w:style w:type="character" w:customStyle="1" w:styleId="FootnoteTextChar1Char1">
    <w:name w:val="Footnote Text Char1 Char1"/>
    <w:aliases w:val="Footnote Text Char Char Char1,Footnote Text Char2 Char Char Char1,Footnote Text Char3 Char1 Char Char Char1,Footnote Text Char2 Char1 Char1 Char Char Char1,Footnote Text Char3 Char1 Char Char Char Char Char1,fn Char Char"/>
    <w:semiHidden/>
    <w:rsid w:val="00E9077E"/>
    <w:rPr>
      <w:lang w:val="en-US" w:eastAsia="en-US" w:bidi="ar-SA"/>
    </w:rPr>
  </w:style>
  <w:style w:type="paragraph" w:customStyle="1" w:styleId="StyleStyleStyleParaNum11pt">
    <w:name w:val="Style Style Style ParaNum + 11 pt + +"/>
    <w:basedOn w:val="Normal"/>
    <w:link w:val="StyleStyleStyleParaNum11ptChar"/>
    <w:autoRedefine/>
    <w:rsid w:val="003C0B24"/>
    <w:pPr>
      <w:numPr>
        <w:numId w:val="5"/>
      </w:numPr>
      <w:spacing w:before="120" w:after="120"/>
    </w:pPr>
    <w:rPr>
      <w:snapToGrid/>
    </w:rPr>
  </w:style>
  <w:style w:type="character" w:customStyle="1" w:styleId="StyleStyleStyleParaNum11ptChar">
    <w:name w:val="Style Style Style ParaNum + 11 pt + + Char"/>
    <w:basedOn w:val="DefaultParagraphFont"/>
    <w:link w:val="StyleStyleStyleParaNum11pt"/>
    <w:locked/>
    <w:rsid w:val="003C0B24"/>
    <w:rPr>
      <w:kern w:val="28"/>
      <w:sz w:val="22"/>
    </w:rPr>
  </w:style>
  <w:style w:type="character" w:customStyle="1" w:styleId="FootnoteTextChar1Char1CharCharCharCharChar">
    <w:name w:val="Footnote Text Char1 Char1 Char Char Char Char Char"/>
    <w:basedOn w:val="DefaultParagraphFont"/>
    <w:rsid w:val="00FC033E"/>
    <w:rPr>
      <w:rFonts w:ascii="Times New Roman" w:hAnsi="Times New Roman"/>
      <w:sz w:val="20"/>
      <w:lang w:val="en-US" w:eastAsia="en-US" w:bidi="ar-SA"/>
    </w:rPr>
  </w:style>
  <w:style w:type="paragraph" w:customStyle="1" w:styleId="StyleHeading2a">
    <w:name w:val="Style Heading 2a"/>
    <w:basedOn w:val="Normal"/>
    <w:next w:val="ParaNum"/>
    <w:autoRedefine/>
    <w:qFormat/>
    <w:rsid w:val="003C0B24"/>
    <w:pPr>
      <w:numPr>
        <w:numId w:val="6"/>
      </w:numPr>
      <w:spacing w:before="120"/>
    </w:pPr>
    <w:rPr>
      <w:rFonts w:ascii="Times New Roman Bold" w:hAnsi="Times New Roman Bold"/>
      <w:b/>
    </w:rPr>
  </w:style>
  <w:style w:type="paragraph" w:styleId="PlainText">
    <w:name w:val="Plain Text"/>
    <w:basedOn w:val="Normal"/>
    <w:link w:val="PlainTextChar"/>
    <w:rsid w:val="00660349"/>
    <w:rPr>
      <w:rFonts w:ascii="Consolas" w:hAnsi="Consolas" w:cs="Consolas"/>
      <w:sz w:val="21"/>
      <w:szCs w:val="21"/>
    </w:rPr>
  </w:style>
  <w:style w:type="character" w:customStyle="1" w:styleId="PlainTextChar">
    <w:name w:val="Plain Text Char"/>
    <w:basedOn w:val="DefaultParagraphFont"/>
    <w:link w:val="PlainText"/>
    <w:rsid w:val="00660349"/>
    <w:rPr>
      <w:rFonts w:ascii="Consolas" w:hAnsi="Consolas" w:cs="Consolas"/>
      <w:snapToGrid w:val="0"/>
      <w:kern w:val="28"/>
      <w:sz w:val="21"/>
      <w:szCs w:val="21"/>
    </w:rPr>
  </w:style>
  <w:style w:type="character" w:styleId="FollowedHyperlink">
    <w:name w:val="FollowedHyperlink"/>
    <w:basedOn w:val="DefaultParagraphFont"/>
    <w:rsid w:val="006E1E72"/>
    <w:rPr>
      <w:color w:val="954F72" w:themeColor="followedHyperlink"/>
      <w:u w:val="single"/>
    </w:rPr>
  </w:style>
  <w:style w:type="paragraph" w:styleId="HTMLPreformatted">
    <w:name w:val="HTML Preformatted"/>
    <w:basedOn w:val="Normal"/>
    <w:link w:val="HTMLPreformattedChar"/>
    <w:rsid w:val="00CD6482"/>
    <w:rPr>
      <w:rFonts w:ascii="Consolas" w:hAnsi="Consolas" w:cs="Consolas"/>
      <w:sz w:val="20"/>
    </w:rPr>
  </w:style>
  <w:style w:type="character" w:customStyle="1" w:styleId="HTMLPreformattedChar">
    <w:name w:val="HTML Preformatted Char"/>
    <w:basedOn w:val="DefaultParagraphFont"/>
    <w:link w:val="HTMLPreformatted"/>
    <w:rsid w:val="00CD6482"/>
    <w:rPr>
      <w:rFonts w:ascii="Consolas" w:hAnsi="Consolas" w:cs="Consolas"/>
      <w:snapToGrid w:val="0"/>
      <w:kern w:val="28"/>
    </w:rPr>
  </w:style>
  <w:style w:type="character" w:customStyle="1" w:styleId="FootnoteTextChar1Char">
    <w:name w:val="Footnote Text Char1 Char"/>
    <w:aliases w:val="Footnote Text Char Char Char,Footnote Text Char5 Char Char Char,Footnote Text Char Char Char Char Char,Footnote Text Char4 Char Char1 Char Char Char,Footnote Text Char2 Char Char2 Char2 Char Char Char,f Char"/>
    <w:rsid w:val="005E704B"/>
  </w:style>
  <w:style w:type="character" w:styleId="Emphasis">
    <w:name w:val="Emphasis"/>
    <w:basedOn w:val="DefaultParagraphFont"/>
    <w:uiPriority w:val="20"/>
    <w:qFormat/>
    <w:rsid w:val="009046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7795">
      <w:bodyDiv w:val="1"/>
      <w:marLeft w:val="0"/>
      <w:marRight w:val="0"/>
      <w:marTop w:val="0"/>
      <w:marBottom w:val="0"/>
      <w:divBdr>
        <w:top w:val="none" w:sz="0" w:space="0" w:color="auto"/>
        <w:left w:val="none" w:sz="0" w:space="0" w:color="auto"/>
        <w:bottom w:val="none" w:sz="0" w:space="0" w:color="auto"/>
        <w:right w:val="none" w:sz="0" w:space="0" w:color="auto"/>
      </w:divBdr>
    </w:div>
    <w:div w:id="145975823">
      <w:bodyDiv w:val="1"/>
      <w:marLeft w:val="0"/>
      <w:marRight w:val="0"/>
      <w:marTop w:val="0"/>
      <w:marBottom w:val="0"/>
      <w:divBdr>
        <w:top w:val="none" w:sz="0" w:space="0" w:color="auto"/>
        <w:left w:val="none" w:sz="0" w:space="0" w:color="auto"/>
        <w:bottom w:val="none" w:sz="0" w:space="0" w:color="auto"/>
        <w:right w:val="none" w:sz="0" w:space="0" w:color="auto"/>
      </w:divBdr>
    </w:div>
    <w:div w:id="306318985">
      <w:bodyDiv w:val="1"/>
      <w:marLeft w:val="0"/>
      <w:marRight w:val="0"/>
      <w:marTop w:val="0"/>
      <w:marBottom w:val="0"/>
      <w:divBdr>
        <w:top w:val="none" w:sz="0" w:space="0" w:color="auto"/>
        <w:left w:val="none" w:sz="0" w:space="0" w:color="auto"/>
        <w:bottom w:val="none" w:sz="0" w:space="0" w:color="auto"/>
        <w:right w:val="none" w:sz="0" w:space="0" w:color="auto"/>
      </w:divBdr>
    </w:div>
    <w:div w:id="459613243">
      <w:bodyDiv w:val="1"/>
      <w:marLeft w:val="0"/>
      <w:marRight w:val="0"/>
      <w:marTop w:val="0"/>
      <w:marBottom w:val="0"/>
      <w:divBdr>
        <w:top w:val="none" w:sz="0" w:space="0" w:color="auto"/>
        <w:left w:val="none" w:sz="0" w:space="0" w:color="auto"/>
        <w:bottom w:val="none" w:sz="0" w:space="0" w:color="auto"/>
        <w:right w:val="none" w:sz="0" w:space="0" w:color="auto"/>
      </w:divBdr>
    </w:div>
    <w:div w:id="477500626">
      <w:bodyDiv w:val="1"/>
      <w:marLeft w:val="0"/>
      <w:marRight w:val="0"/>
      <w:marTop w:val="0"/>
      <w:marBottom w:val="0"/>
      <w:divBdr>
        <w:top w:val="none" w:sz="0" w:space="0" w:color="auto"/>
        <w:left w:val="none" w:sz="0" w:space="0" w:color="auto"/>
        <w:bottom w:val="none" w:sz="0" w:space="0" w:color="auto"/>
        <w:right w:val="none" w:sz="0" w:space="0" w:color="auto"/>
      </w:divBdr>
    </w:div>
    <w:div w:id="520314288">
      <w:bodyDiv w:val="1"/>
      <w:marLeft w:val="0"/>
      <w:marRight w:val="0"/>
      <w:marTop w:val="0"/>
      <w:marBottom w:val="0"/>
      <w:divBdr>
        <w:top w:val="none" w:sz="0" w:space="0" w:color="auto"/>
        <w:left w:val="none" w:sz="0" w:space="0" w:color="auto"/>
        <w:bottom w:val="none" w:sz="0" w:space="0" w:color="auto"/>
        <w:right w:val="none" w:sz="0" w:space="0" w:color="auto"/>
      </w:divBdr>
    </w:div>
    <w:div w:id="641423646">
      <w:bodyDiv w:val="1"/>
      <w:marLeft w:val="0"/>
      <w:marRight w:val="0"/>
      <w:marTop w:val="0"/>
      <w:marBottom w:val="0"/>
      <w:divBdr>
        <w:top w:val="none" w:sz="0" w:space="0" w:color="auto"/>
        <w:left w:val="none" w:sz="0" w:space="0" w:color="auto"/>
        <w:bottom w:val="none" w:sz="0" w:space="0" w:color="auto"/>
        <w:right w:val="none" w:sz="0" w:space="0" w:color="auto"/>
      </w:divBdr>
    </w:div>
    <w:div w:id="1279752686">
      <w:bodyDiv w:val="1"/>
      <w:marLeft w:val="0"/>
      <w:marRight w:val="0"/>
      <w:marTop w:val="0"/>
      <w:marBottom w:val="0"/>
      <w:divBdr>
        <w:top w:val="none" w:sz="0" w:space="0" w:color="auto"/>
        <w:left w:val="none" w:sz="0" w:space="0" w:color="auto"/>
        <w:bottom w:val="none" w:sz="0" w:space="0" w:color="auto"/>
        <w:right w:val="none" w:sz="0" w:space="0" w:color="auto"/>
      </w:divBdr>
    </w:div>
    <w:div w:id="132134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files/sip-forum-vrs-us-providers-profile-twg-6-1"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tools.ietf.org/html/rfc6351"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fcc.gov/files/sip-forum-vrs-us-providers-profile-twg-6-1"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datatracker.ietf.org/doc/draft-vrs-rue-dispatch/" TargetMode="External"/><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datatracker.ietf.org/doc/draft-vrs-rue-dispatch/"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jallfoss.fcc.gov/ecfs2/" TargetMode="External"/><Relationship Id="rId24" Type="http://schemas.openxmlformats.org/officeDocument/2006/relationships/hyperlink" Target="https://www.fcc.gov/files/sip-forum-vrs-us-providers-profile-twg-6-1" TargetMode="External"/><Relationship Id="rId32" Type="http://schemas.openxmlformats.org/officeDocument/2006/relationships/header" Target="header7.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archives.gov/federal_register/code_of_federal_regulations/ibr_locations.html" TargetMode="External"/><Relationship Id="rId28" Type="http://schemas.openxmlformats.org/officeDocument/2006/relationships/footer" Target="footer5.xml"/><Relationship Id="rId36" Type="http://schemas.openxmlformats.org/officeDocument/2006/relationships/header" Target="header9.xml"/><Relationship Id="rId10" Type="http://schemas.openxmlformats.org/officeDocument/2006/relationships/hyperlink" Target="https://urldefense.proofpoint.com/v2/url?u=https-3A__tools.ietf.org_html_rfc6351&amp;d=DgMFAg&amp;c=y0h0omCe0jAUGr4gAQ02Fw&amp;r=ZTwIenjD_f2cAICIo4S_dm5G9ThqkPS1E0rEXVTCuoE&amp;m=_5eKUPE3qC4nEx3ZG1Qnsj_CPDBZTrEIxFT6FYvox2g&amp;s=oOIJsVJTaSIFdFHLHcVGyVDOF46ojkYq1Pb9Wglzozc&amp;e=" TargetMode="Externa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datatracker.ietf.org/doc/draft-vrs-rue-dispatch/" TargetMode="External"/><Relationship Id="rId14" Type="http://schemas.openxmlformats.org/officeDocument/2006/relationships/footer" Target="footer1.xml"/><Relationship Id="rId22" Type="http://schemas.openxmlformats.org/officeDocument/2006/relationships/hyperlink" Target="https://urldefense.proofpoint.com/v2/url?u=https-3A__tools.ietf.org_html_rfc6351&amp;d=DgMFAg&amp;c=y0h0omCe0jAUGr4gAQ02Fw&amp;r=ZTwIenjD_f2cAICIo4S_dm5G9ThqkPS1E0rEXVTCuoE&amp;m=_5eKUPE3qC4nEx3ZG1Qnsj_CPDBZTrEIxFT6FYvox2g&amp;s=oOIJsVJTaSIFdFHLHcVGyVDOF46ojkYq1Pb9Wglzozc&amp;e=" TargetMode="Externa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footer" Target="footer9.xml"/></Relationships>
</file>

<file path=word/_rels/footnotes.xml.rels><?xml version="1.0" encoding="UTF-8" standalone="yes"?>
<Relationships xmlns="http://schemas.openxmlformats.org/package/2006/relationships"><Relationship Id="rId8" Type="http://schemas.openxmlformats.org/officeDocument/2006/relationships/hyperlink" Target="https://urldefense.proofpoint.com/v2/url?u=https-3A__tools.ietf.org_html_rfc6351&amp;d=DgMFAg&amp;c=y0h0omCe0jAUGr4gAQ02Fw&amp;r=ZTwIenjD_f2cAICIo4S_dm5G9ThqkPS1E0rEXVTCuoE&amp;m=_5eKUPE3qC4nEx3ZG1Qnsj_CPDBZTrEIxFT6FYvox2g&amp;s=oOIJsVJTaSIFdFHLHcVGyVDOF46ojkYq1Pb9Wglzozc&amp;e=" TargetMode="External"/><Relationship Id="rId13" Type="http://schemas.openxmlformats.org/officeDocument/2006/relationships/hyperlink" Target="https://datatracker.ietf.org/doc/draft-vrs-rue-dispatch/" TargetMode="External"/><Relationship Id="rId3" Type="http://schemas.openxmlformats.org/officeDocument/2006/relationships/hyperlink" Target="https://datatracker.ietf.org/doc/draft-vrs-rue-dispatch/" TargetMode="External"/><Relationship Id="rId7" Type="http://schemas.openxmlformats.org/officeDocument/2006/relationships/hyperlink" Target="https://datatracker.ietf.org/doc/draft-vrs-rue-dispatch/" TargetMode="External"/><Relationship Id="rId12" Type="http://schemas.openxmlformats.org/officeDocument/2006/relationships/hyperlink" Target="http://factfinder.census.gov/faces/tableservices/jsf/pages/productview.xhtml?pid=ECN_2012_US_51SSSZ4&amp;prodType=table" TargetMode="External"/><Relationship Id="rId17" Type="http://schemas.openxmlformats.org/officeDocument/2006/relationships/hyperlink" Target="http://factfinder.census.gov/faces/tableservices/jsf/pages/productview.xhtml?pid=ECN_2012_US_51SSSZ4&amp;prodType=table" TargetMode="External"/><Relationship Id="rId2" Type="http://schemas.openxmlformats.org/officeDocument/2006/relationships/hyperlink" Target="http://www.sipforum.org/content/view/404/291/" TargetMode="External"/><Relationship Id="rId16" Type="http://schemas.openxmlformats.org/officeDocument/2006/relationships/hyperlink" Target="http://factfinder.census.gov/faces/tableservices/jsf/pages/productview.xhtml?pid=ECN_2012_US_51SSSZ4&amp;prodType=table" TargetMode="External"/><Relationship Id="rId1" Type="http://schemas.openxmlformats.org/officeDocument/2006/relationships/hyperlink" Target="https://www.fcc.gov/files/sip-forum-vrs-us-providers-profile-twg-6-1;" TargetMode="External"/><Relationship Id="rId6" Type="http://schemas.openxmlformats.org/officeDocument/2006/relationships/hyperlink" Target="http://www.sipforum.org/component/option,com_docman/task,doc_download/gid,786/Itemid,261/" TargetMode="External"/><Relationship Id="rId11" Type="http://schemas.openxmlformats.org/officeDocument/2006/relationships/hyperlink" Target="http://factfinder.census.gov/faces/tableservices/jsf/pages/productview.xhtml?pid=ECN_2012_US_51SSSZ4&amp;prodType=table" TargetMode="External"/><Relationship Id="rId5" Type="http://schemas.openxmlformats.org/officeDocument/2006/relationships/hyperlink" Target="https://urldefense.proofpoint.com/v2/url?u=https-3A__tools.ietf.org_html_rfc6351&amp;d=DgMFAg&amp;c=y0h0omCe0jAUGr4gAQ02Fw&amp;r=ZTwIenjD_f2cAICIo4S_dm5G9ThqkPS1E0rEXVTCuoE&amp;m=_5eKUPE3qC4nEx3ZG1Qnsj_CPDBZTrEIxFT6FYvox2g&amp;s=oOIJsVJTaSIFdFHLHcVGyVDOF46ojkYq1Pb9Wglzozc&amp;e=" TargetMode="External"/><Relationship Id="rId15" Type="http://schemas.openxmlformats.org/officeDocument/2006/relationships/hyperlink" Target="http://www.census.gov/cgi-bin/sssd/naics/naicsrch" TargetMode="External"/><Relationship Id="rId10" Type="http://schemas.openxmlformats.org/officeDocument/2006/relationships/hyperlink" Target="http://www.census.gov/cgi-bin/sssd/naics/naicsrch" TargetMode="External"/><Relationship Id="rId4" Type="http://schemas.openxmlformats.org/officeDocument/2006/relationships/hyperlink" Target="https://urldefense.proofpoint.com/v2/url?u=https-3A__tools.ietf.org_html_rfc6351&amp;d=DgMFAg&amp;c=y0h0omCe0jAUGr4gAQ02Fw&amp;r=ZTwIenjD_f2cAICIo4S_dm5G9ThqkPS1E0rEXVTCuoE&amp;m=_5eKUPE3qC4nEx3ZG1Qnsj_CPDBZTrEIxFT6FYvox2g&amp;s=oOIJsVJTaSIFdFHLHcVGyVDOF46ojkYq1Pb9Wglzozc&amp;e=" TargetMode="External"/><Relationship Id="rId9" Type="http://schemas.openxmlformats.org/officeDocument/2006/relationships/hyperlink" Target="https://www.sba.gov/sites/default/files/advocacy/SB-FAQ-2016_WEB.pdf" TargetMode="External"/><Relationship Id="rId14" Type="http://schemas.openxmlformats.org/officeDocument/2006/relationships/hyperlink" Target="https://www.sba.gov/sites/default/files/advocacy/SB-FAQ-2016_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7568</Words>
  <Characters>43329</Characters>
  <Application>Microsoft Office Word</Application>
  <DocSecurity>0</DocSecurity>
  <Lines>643</Lines>
  <Paragraphs>163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50998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2016-07-28T14:52:00Z</cp:lastPrinted>
  <dcterms:created xsi:type="dcterms:W3CDTF">2017-03-01T21:48:00Z</dcterms:created>
  <dcterms:modified xsi:type="dcterms:W3CDTF">2017-03-01T21:48:00Z</dcterms:modified>
  <cp:category> </cp:category>
  <cp:contentStatus> </cp:contentStatus>
</cp:coreProperties>
</file>