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7B91" w14:textId="77777777" w:rsidR="004C2EE3" w:rsidRPr="001A26B1" w:rsidRDefault="004C2EE3" w:rsidP="007109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26B1">
        <w:rPr>
          <w:rFonts w:ascii="Times New Roman" w:hAnsi="Times New Roman" w:cs="Times New Roman"/>
          <w:b/>
        </w:rPr>
        <w:t>Before the</w:t>
      </w:r>
    </w:p>
    <w:p w14:paraId="2B8940D2" w14:textId="77777777" w:rsidR="00921803" w:rsidRPr="001A26B1" w:rsidRDefault="00921803" w:rsidP="007109A0">
      <w:pPr>
        <w:pStyle w:val="StyleBoldCentered"/>
        <w:spacing w:after="0" w:line="240" w:lineRule="auto"/>
        <w:rPr>
          <w:rFonts w:ascii="Times New Roman" w:hAnsi="Times New Roman" w:cs="Times New Roman"/>
        </w:rPr>
      </w:pPr>
      <w:r w:rsidRPr="001A26B1">
        <w:rPr>
          <w:rFonts w:ascii="Times New Roman" w:hAnsi="Times New Roman" w:cs="Times New Roman"/>
        </w:rPr>
        <w:t>F</w:t>
      </w:r>
      <w:r w:rsidRPr="001A26B1">
        <w:rPr>
          <w:rFonts w:ascii="Times New Roman" w:hAnsi="Times New Roman" w:cs="Times New Roman"/>
          <w:caps w:val="0"/>
        </w:rPr>
        <w:t>ederal Communications Commission</w:t>
      </w:r>
    </w:p>
    <w:p w14:paraId="4B887548" w14:textId="77777777" w:rsidR="004C2EE3" w:rsidRPr="001A26B1" w:rsidRDefault="00810B6F" w:rsidP="007109A0">
      <w:pPr>
        <w:pStyle w:val="StyleBoldCentered"/>
        <w:spacing w:after="0" w:line="240" w:lineRule="auto"/>
        <w:rPr>
          <w:rFonts w:ascii="Times New Roman" w:hAnsi="Times New Roman" w:cs="Times New Roman"/>
        </w:rPr>
      </w:pPr>
      <w:r w:rsidRPr="001A26B1">
        <w:rPr>
          <w:rFonts w:ascii="Times New Roman" w:hAnsi="Times New Roman" w:cs="Times New Roman"/>
          <w:caps w:val="0"/>
        </w:rPr>
        <w:t>Washington, D.C. 20554</w:t>
      </w:r>
    </w:p>
    <w:p w14:paraId="4D081F73" w14:textId="77777777" w:rsidR="004C2EE3" w:rsidRPr="001A26B1" w:rsidRDefault="004C2EE3" w:rsidP="007109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 w:rsidRPr="001A26B1" w14:paraId="48FDFF66" w14:textId="77777777">
        <w:tc>
          <w:tcPr>
            <w:tcW w:w="4698" w:type="dxa"/>
          </w:tcPr>
          <w:p w14:paraId="4BAB65E1" w14:textId="77777777" w:rsidR="00A4099F" w:rsidRPr="001A26B1" w:rsidRDefault="00A4099F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A26B1">
              <w:rPr>
                <w:rFonts w:ascii="Times New Roman" w:hAnsi="Times New Roman" w:cs="Times New Roman"/>
                <w:spacing w:val="-2"/>
              </w:rPr>
              <w:t>In the Matter of</w:t>
            </w:r>
          </w:p>
          <w:p w14:paraId="0970402F" w14:textId="77777777" w:rsidR="00A4099F" w:rsidRPr="001A26B1" w:rsidRDefault="00A4099F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14:paraId="325AFD94" w14:textId="77777777" w:rsidR="00A4099F" w:rsidRPr="001A26B1" w:rsidRDefault="00903D1D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A26B1">
              <w:rPr>
                <w:rFonts w:ascii="Times New Roman" w:hAnsi="Times New Roman" w:cs="Times New Roman"/>
                <w:spacing w:val="-2"/>
              </w:rPr>
              <w:t>NCE Reserved Allotment Group 14</w:t>
            </w:r>
          </w:p>
          <w:p w14:paraId="67BEDA93" w14:textId="77777777" w:rsidR="00A4099F" w:rsidRPr="001A26B1" w:rsidRDefault="00A4099F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14:paraId="1FD42201" w14:textId="77777777" w:rsidR="00A4099F" w:rsidRPr="001A26B1" w:rsidRDefault="00903D1D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A26B1">
              <w:rPr>
                <w:rFonts w:ascii="Times New Roman" w:hAnsi="Times New Roman" w:cs="Times New Roman"/>
                <w:spacing w:val="-2"/>
              </w:rPr>
              <w:t>Florida Community Radio, Inc.</w:t>
            </w:r>
          </w:p>
          <w:p w14:paraId="60BBB201" w14:textId="204D6ACC" w:rsidR="00903D1D" w:rsidRPr="001A26B1" w:rsidRDefault="00903D1D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14:paraId="1BA8C9F9" w14:textId="77777777" w:rsidR="00903D1D" w:rsidRPr="001A26B1" w:rsidRDefault="00903D1D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A26B1">
              <w:rPr>
                <w:rFonts w:ascii="Times New Roman" w:hAnsi="Times New Roman" w:cs="Times New Roman"/>
                <w:spacing w:val="-2"/>
              </w:rPr>
              <w:t>and</w:t>
            </w:r>
          </w:p>
          <w:p w14:paraId="355927BB" w14:textId="77777777" w:rsidR="00903D1D" w:rsidRPr="001A26B1" w:rsidRDefault="00903D1D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14:paraId="3855F558" w14:textId="20E6C09D" w:rsidR="00A4099F" w:rsidRPr="001A26B1" w:rsidRDefault="00903D1D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A26B1">
              <w:rPr>
                <w:rFonts w:ascii="Times New Roman" w:hAnsi="Times New Roman" w:cs="Times New Roman"/>
                <w:spacing w:val="-2"/>
              </w:rPr>
              <w:t>Citrus County Association for Retarded Citizens, Inc.</w:t>
            </w:r>
          </w:p>
          <w:p w14:paraId="54B20496" w14:textId="77777777" w:rsidR="00A4099F" w:rsidRPr="001A26B1" w:rsidRDefault="00A4099F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14:paraId="4C66E39B" w14:textId="61A8D127" w:rsidR="004C2EE3" w:rsidRPr="001A26B1" w:rsidRDefault="00903D1D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A26B1">
              <w:rPr>
                <w:rFonts w:ascii="Times New Roman" w:hAnsi="Times New Roman" w:cs="Times New Roman"/>
                <w:spacing w:val="-2"/>
              </w:rPr>
              <w:t>Application</w:t>
            </w:r>
            <w:r w:rsidR="00F605FD" w:rsidRPr="001A26B1">
              <w:rPr>
                <w:rFonts w:ascii="Times New Roman" w:hAnsi="Times New Roman" w:cs="Times New Roman"/>
                <w:spacing w:val="-2"/>
              </w:rPr>
              <w:t>s</w:t>
            </w:r>
            <w:r w:rsidRPr="001A26B1">
              <w:rPr>
                <w:rFonts w:ascii="Times New Roman" w:hAnsi="Times New Roman" w:cs="Times New Roman"/>
                <w:spacing w:val="-2"/>
              </w:rPr>
              <w:t xml:space="preserve"> to Construct a New Noncommercial Educational FM Station at Otter Creek, Florida</w:t>
            </w:r>
          </w:p>
        </w:tc>
        <w:tc>
          <w:tcPr>
            <w:tcW w:w="630" w:type="dxa"/>
          </w:tcPr>
          <w:p w14:paraId="2236877A" w14:textId="77777777" w:rsidR="004C2EE3" w:rsidRPr="001A26B1" w:rsidRDefault="004C2EE3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1A26B1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14:paraId="20F828D1" w14:textId="77777777" w:rsidR="004C2EE3" w:rsidRPr="001A26B1" w:rsidRDefault="004C2EE3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1A26B1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14:paraId="6B429711" w14:textId="77777777" w:rsidR="004C2EE3" w:rsidRPr="001A26B1" w:rsidRDefault="004C2EE3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1A26B1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14:paraId="74AA4967" w14:textId="77777777" w:rsidR="004C2EE3" w:rsidRPr="001A26B1" w:rsidRDefault="004C2EE3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1A26B1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14:paraId="43CEF9B7" w14:textId="77777777" w:rsidR="004C2EE3" w:rsidRPr="001A26B1" w:rsidRDefault="004C2EE3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1A26B1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14:paraId="764EC0B6" w14:textId="77777777" w:rsidR="004C2EE3" w:rsidRPr="001A26B1" w:rsidRDefault="004C2EE3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1A26B1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14:paraId="46440126" w14:textId="77777777" w:rsidR="004C2EE3" w:rsidRPr="001A26B1" w:rsidRDefault="004C2EE3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1A26B1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14:paraId="39ECF289" w14:textId="77777777" w:rsidR="004C2EE3" w:rsidRPr="001A26B1" w:rsidRDefault="004C2EE3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1A26B1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14:paraId="5221428B" w14:textId="77777777" w:rsidR="004C2EE3" w:rsidRPr="001A26B1" w:rsidRDefault="004C2EE3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1A26B1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14:paraId="6102A0FE" w14:textId="77777777" w:rsidR="00A4099F" w:rsidRPr="001A26B1" w:rsidRDefault="00A4099F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1A26B1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14:paraId="3CE70997" w14:textId="77777777" w:rsidR="00A4099F" w:rsidRPr="001A26B1" w:rsidRDefault="00A4099F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1A26B1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14:paraId="0667AD1E" w14:textId="345E7519" w:rsidR="00A4099F" w:rsidRPr="001A26B1" w:rsidRDefault="00A4099F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</w:p>
          <w:p w14:paraId="2C97C982" w14:textId="24BAB529" w:rsidR="00A4099F" w:rsidRPr="001A26B1" w:rsidRDefault="00A4099F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4248" w:type="dxa"/>
          </w:tcPr>
          <w:p w14:paraId="561A53FF" w14:textId="77777777" w:rsidR="004C2EE3" w:rsidRPr="001A26B1" w:rsidRDefault="004C2EE3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14:paraId="4B153A53" w14:textId="77777777" w:rsidR="004C2EE3" w:rsidRPr="001A26B1" w:rsidRDefault="004C2EE3" w:rsidP="007109A0">
            <w:pPr>
              <w:pStyle w:val="TOAHeading"/>
              <w:tabs>
                <w:tab w:val="clear" w:pos="9360"/>
                <w:tab w:val="center" w:pos="468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14:paraId="086B5015" w14:textId="77777777" w:rsidR="00A4099F" w:rsidRPr="001A26B1" w:rsidRDefault="00A4099F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14:paraId="17EBE583" w14:textId="77777777" w:rsidR="00A4099F" w:rsidRPr="001A26B1" w:rsidRDefault="00A4099F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14:paraId="3C32E2D8" w14:textId="77777777" w:rsidR="00D72E85" w:rsidRPr="001A26B1" w:rsidRDefault="00D72E85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lang w:val="es-ES"/>
              </w:rPr>
            </w:pPr>
            <w:r w:rsidRPr="001A26B1">
              <w:rPr>
                <w:rFonts w:ascii="Times New Roman" w:hAnsi="Times New Roman" w:cs="Times New Roman"/>
                <w:spacing w:val="-2"/>
                <w:lang w:val="es-ES"/>
              </w:rPr>
              <w:t>File No. BNPED-20100226AGX</w:t>
            </w:r>
          </w:p>
          <w:p w14:paraId="07354A38" w14:textId="77777777" w:rsidR="00D72E85" w:rsidRPr="001A26B1" w:rsidRDefault="00D72E85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lang w:val="es-ES"/>
              </w:rPr>
            </w:pPr>
            <w:r w:rsidRPr="001A26B1">
              <w:rPr>
                <w:rFonts w:ascii="Times New Roman" w:hAnsi="Times New Roman" w:cs="Times New Roman"/>
                <w:spacing w:val="-2"/>
                <w:lang w:val="es-ES"/>
              </w:rPr>
              <w:t>Facility ID No. 185126</w:t>
            </w:r>
          </w:p>
          <w:p w14:paraId="4FD088B0" w14:textId="77777777" w:rsidR="00A4099F" w:rsidRPr="001A26B1" w:rsidRDefault="00A4099F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14:paraId="0E18A753" w14:textId="77777777" w:rsidR="00A4099F" w:rsidRPr="001A26B1" w:rsidRDefault="00A4099F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14:paraId="7E186893" w14:textId="0FB5F9DE" w:rsidR="00E57E41" w:rsidRPr="001A26B1" w:rsidRDefault="00E57E41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A26B1">
              <w:rPr>
                <w:rFonts w:ascii="Times New Roman" w:hAnsi="Times New Roman" w:cs="Times New Roman"/>
                <w:spacing w:val="-2"/>
              </w:rPr>
              <w:t>File No. BNPED-20100226AGR</w:t>
            </w:r>
          </w:p>
          <w:p w14:paraId="0970C9B0" w14:textId="77777777" w:rsidR="00E57E41" w:rsidRPr="001A26B1" w:rsidRDefault="00E57E41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A26B1">
              <w:rPr>
                <w:rFonts w:ascii="Times New Roman" w:hAnsi="Times New Roman" w:cs="Times New Roman"/>
                <w:spacing w:val="-2"/>
              </w:rPr>
              <w:t>Facility ID No. 185070</w:t>
            </w:r>
          </w:p>
          <w:p w14:paraId="7A200B7D" w14:textId="77777777" w:rsidR="00A4099F" w:rsidRPr="001A26B1" w:rsidRDefault="00A4099F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lang w:val="es-ES"/>
              </w:rPr>
            </w:pPr>
          </w:p>
          <w:p w14:paraId="3A65B478" w14:textId="77777777" w:rsidR="00A4099F" w:rsidRPr="001A26B1" w:rsidRDefault="00A4099F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lang w:val="es-ES"/>
              </w:rPr>
            </w:pPr>
          </w:p>
          <w:p w14:paraId="6AC93562" w14:textId="77777777" w:rsidR="004C2EE3" w:rsidRPr="001A26B1" w:rsidRDefault="004C2EE3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14:paraId="0BE7B1B4" w14:textId="77777777" w:rsidR="00903D1D" w:rsidRPr="001A26B1" w:rsidRDefault="00903D1D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14:paraId="72B947A2" w14:textId="3AAFF8C7" w:rsidR="00AE4134" w:rsidRPr="001A26B1" w:rsidRDefault="00AE4134" w:rsidP="007109A0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349FD0D5" w14:textId="77777777" w:rsidR="00841AB1" w:rsidRPr="001A26B1" w:rsidRDefault="00A4099F" w:rsidP="001A26B1">
      <w:pPr>
        <w:pStyle w:val="StyleBoldCentered"/>
        <w:spacing w:after="0"/>
        <w:rPr>
          <w:rFonts w:ascii="Times New Roman" w:hAnsi="Times New Roman" w:cs="Times New Roman"/>
        </w:rPr>
      </w:pPr>
      <w:r w:rsidRPr="001A26B1">
        <w:rPr>
          <w:rFonts w:ascii="Times New Roman" w:hAnsi="Times New Roman" w:cs="Times New Roman"/>
        </w:rPr>
        <w:t>MEMORANDUM OPINION AND ORDER</w:t>
      </w:r>
    </w:p>
    <w:p w14:paraId="721B572A" w14:textId="77777777" w:rsidR="004C2EE3" w:rsidRPr="001A26B1" w:rsidRDefault="004C2EE3">
      <w:pPr>
        <w:tabs>
          <w:tab w:val="left" w:pos="-720"/>
        </w:tabs>
        <w:suppressAutoHyphens/>
        <w:spacing w:line="227" w:lineRule="auto"/>
        <w:rPr>
          <w:rFonts w:ascii="Times New Roman" w:hAnsi="Times New Roman" w:cs="Times New Roman"/>
          <w:spacing w:val="-2"/>
        </w:rPr>
      </w:pPr>
    </w:p>
    <w:p w14:paraId="7B238EFF" w14:textId="6539E19D" w:rsidR="00822CE0" w:rsidRPr="00A41D22" w:rsidRDefault="004C2EE3" w:rsidP="00A41D22">
      <w:pPr>
        <w:tabs>
          <w:tab w:val="left" w:pos="720"/>
          <w:tab w:val="right" w:pos="9360"/>
        </w:tabs>
        <w:suppressAutoHyphens/>
        <w:spacing w:line="227" w:lineRule="auto"/>
        <w:rPr>
          <w:rFonts w:ascii="Times New Roman" w:hAnsi="Times New Roman" w:cs="Times New Roman"/>
          <w:spacing w:val="-2"/>
        </w:rPr>
      </w:pPr>
      <w:r w:rsidRPr="001A26B1">
        <w:rPr>
          <w:rFonts w:ascii="Times New Roman" w:hAnsi="Times New Roman" w:cs="Times New Roman"/>
          <w:b/>
          <w:spacing w:val="-2"/>
        </w:rPr>
        <w:t xml:space="preserve">Adopted:  </w:t>
      </w:r>
      <w:r w:rsidR="00DB5417" w:rsidRPr="00DB5417">
        <w:rPr>
          <w:rFonts w:ascii="Times New Roman" w:hAnsi="Times New Roman" w:cs="Times New Roman"/>
          <w:b/>
          <w:spacing w:val="-2"/>
        </w:rPr>
        <w:t>August 16, 2017</w:t>
      </w:r>
      <w:r w:rsidRPr="001A26B1">
        <w:rPr>
          <w:rFonts w:ascii="Times New Roman" w:hAnsi="Times New Roman" w:cs="Times New Roman"/>
          <w:b/>
          <w:spacing w:val="-2"/>
        </w:rPr>
        <w:tab/>
      </w:r>
      <w:r w:rsidR="00822CE0" w:rsidRPr="001A26B1">
        <w:rPr>
          <w:rFonts w:ascii="Times New Roman" w:hAnsi="Times New Roman" w:cs="Times New Roman"/>
          <w:b/>
          <w:spacing w:val="-2"/>
        </w:rPr>
        <w:t>Released</w:t>
      </w:r>
      <w:r w:rsidRPr="001A26B1">
        <w:rPr>
          <w:rFonts w:ascii="Times New Roman" w:hAnsi="Times New Roman" w:cs="Times New Roman"/>
          <w:b/>
          <w:spacing w:val="-2"/>
        </w:rPr>
        <w:t>:</w:t>
      </w:r>
      <w:r w:rsidR="00822CE0" w:rsidRPr="001A26B1">
        <w:rPr>
          <w:rFonts w:ascii="Times New Roman" w:hAnsi="Times New Roman" w:cs="Times New Roman"/>
          <w:b/>
          <w:spacing w:val="-2"/>
        </w:rPr>
        <w:t xml:space="preserve"> </w:t>
      </w:r>
      <w:r w:rsidRPr="001A26B1">
        <w:rPr>
          <w:rFonts w:ascii="Times New Roman" w:hAnsi="Times New Roman" w:cs="Times New Roman"/>
          <w:b/>
          <w:spacing w:val="-2"/>
        </w:rPr>
        <w:t xml:space="preserve"> </w:t>
      </w:r>
      <w:r w:rsidR="00DB5417" w:rsidRPr="00DB5417">
        <w:rPr>
          <w:rFonts w:ascii="Times New Roman" w:hAnsi="Times New Roman" w:cs="Times New Roman"/>
          <w:b/>
          <w:spacing w:val="-2"/>
        </w:rPr>
        <w:t>August 16, 2017</w:t>
      </w:r>
    </w:p>
    <w:p w14:paraId="77444928" w14:textId="4D7B9485" w:rsidR="00822CE0" w:rsidRPr="001A26B1" w:rsidRDefault="004C2EE3">
      <w:pPr>
        <w:rPr>
          <w:rFonts w:ascii="Times New Roman" w:hAnsi="Times New Roman" w:cs="Times New Roman"/>
          <w:spacing w:val="-2"/>
        </w:rPr>
      </w:pPr>
      <w:r w:rsidRPr="001A26B1">
        <w:rPr>
          <w:rFonts w:ascii="Times New Roman" w:hAnsi="Times New Roman" w:cs="Times New Roman"/>
        </w:rPr>
        <w:t xml:space="preserve">By </w:t>
      </w:r>
      <w:r w:rsidR="004E4A22" w:rsidRPr="001A26B1">
        <w:rPr>
          <w:rFonts w:ascii="Times New Roman" w:hAnsi="Times New Roman" w:cs="Times New Roman"/>
        </w:rPr>
        <w:t>the</w:t>
      </w:r>
      <w:r w:rsidR="002A2D2E" w:rsidRPr="001A26B1">
        <w:rPr>
          <w:rFonts w:ascii="Times New Roman" w:hAnsi="Times New Roman" w:cs="Times New Roman"/>
        </w:rPr>
        <w:t xml:space="preserve"> </w:t>
      </w:r>
      <w:r w:rsidR="00CC06B1">
        <w:rPr>
          <w:rFonts w:ascii="Times New Roman" w:hAnsi="Times New Roman" w:cs="Times New Roman"/>
        </w:rPr>
        <w:t xml:space="preserve">Chief, </w:t>
      </w:r>
      <w:r w:rsidR="00CC06B1">
        <w:rPr>
          <w:rFonts w:ascii="Times New Roman" w:hAnsi="Times New Roman" w:cs="Times New Roman"/>
          <w:spacing w:val="-2"/>
        </w:rPr>
        <w:t>Media Bureau</w:t>
      </w:r>
      <w:r w:rsidRPr="001A26B1">
        <w:rPr>
          <w:rFonts w:ascii="Times New Roman" w:hAnsi="Times New Roman" w:cs="Times New Roman"/>
          <w:spacing w:val="-2"/>
        </w:rPr>
        <w:t>:</w:t>
      </w:r>
    </w:p>
    <w:p w14:paraId="340F1C4E" w14:textId="77777777" w:rsidR="00017619" w:rsidRDefault="009867E7" w:rsidP="006E58F4">
      <w:pPr>
        <w:pStyle w:val="ParaNum"/>
        <w:spacing w:line="240" w:lineRule="auto"/>
        <w:rPr>
          <w:rFonts w:ascii="Times New Roman" w:hAnsi="Times New Roman" w:cs="Times New Roman"/>
        </w:rPr>
      </w:pPr>
      <w:r w:rsidRPr="001A26B1">
        <w:rPr>
          <w:rFonts w:ascii="Times New Roman" w:hAnsi="Times New Roman" w:cs="Times New Roman"/>
        </w:rPr>
        <w:t>We have before us the “Petition for Reconsideration by the Full Commission En Banc of the Erroneous Dismissal of Petitioner’s April 13, 2017</w:t>
      </w:r>
      <w:r w:rsidR="00F270EF" w:rsidRPr="001A26B1">
        <w:rPr>
          <w:rFonts w:ascii="Times New Roman" w:hAnsi="Times New Roman" w:cs="Times New Roman"/>
        </w:rPr>
        <w:t>,</w:t>
      </w:r>
      <w:r w:rsidRPr="001A26B1">
        <w:rPr>
          <w:rFonts w:ascii="Times New Roman" w:hAnsi="Times New Roman" w:cs="Times New Roman"/>
        </w:rPr>
        <w:t xml:space="preserve"> Petition for Reconsideration by the Com</w:t>
      </w:r>
      <w:r w:rsidR="00B6465C" w:rsidRPr="001A26B1">
        <w:rPr>
          <w:rFonts w:ascii="Times New Roman" w:hAnsi="Times New Roman" w:cs="Times New Roman"/>
        </w:rPr>
        <w:t>mission’s Delegated Authority</w:t>
      </w:r>
      <w:r w:rsidR="00551652" w:rsidRPr="001A26B1">
        <w:rPr>
          <w:rFonts w:ascii="Times New Roman" w:hAnsi="Times New Roman" w:cs="Times New Roman"/>
        </w:rPr>
        <w:t>,</w:t>
      </w:r>
      <w:r w:rsidR="00B6465C" w:rsidRPr="001A26B1">
        <w:rPr>
          <w:rFonts w:ascii="Times New Roman" w:hAnsi="Times New Roman" w:cs="Times New Roman"/>
        </w:rPr>
        <w:t>”</w:t>
      </w:r>
      <w:r w:rsidR="00551652" w:rsidRPr="001A26B1">
        <w:rPr>
          <w:rFonts w:ascii="Times New Roman" w:hAnsi="Times New Roman" w:cs="Times New Roman"/>
        </w:rPr>
        <w:t xml:space="preserve"> </w:t>
      </w:r>
      <w:r w:rsidR="00017619">
        <w:rPr>
          <w:rFonts w:ascii="Times New Roman" w:hAnsi="Times New Roman" w:cs="Times New Roman"/>
        </w:rPr>
        <w:t xml:space="preserve">(Second Petition) </w:t>
      </w:r>
      <w:r w:rsidRPr="001A26B1">
        <w:rPr>
          <w:rFonts w:ascii="Times New Roman" w:hAnsi="Times New Roman" w:cs="Times New Roman"/>
        </w:rPr>
        <w:t>filed on May 1</w:t>
      </w:r>
      <w:r w:rsidR="00606D9B" w:rsidRPr="001A26B1">
        <w:rPr>
          <w:rFonts w:ascii="Times New Roman" w:hAnsi="Times New Roman" w:cs="Times New Roman"/>
        </w:rPr>
        <w:t>5</w:t>
      </w:r>
      <w:r w:rsidRPr="001A26B1">
        <w:rPr>
          <w:rFonts w:ascii="Times New Roman" w:hAnsi="Times New Roman" w:cs="Times New Roman"/>
        </w:rPr>
        <w:t xml:space="preserve">, 2017, by Florida Community Radio (FCR).  </w:t>
      </w:r>
      <w:r w:rsidR="00551652" w:rsidRPr="001A26B1">
        <w:rPr>
          <w:rFonts w:ascii="Times New Roman" w:hAnsi="Times New Roman" w:cs="Times New Roman"/>
        </w:rPr>
        <w:t xml:space="preserve">The </w:t>
      </w:r>
      <w:r w:rsidR="00725E28" w:rsidRPr="001A26B1">
        <w:rPr>
          <w:rFonts w:ascii="Times New Roman" w:hAnsi="Times New Roman" w:cs="Times New Roman"/>
        </w:rPr>
        <w:t>pleading</w:t>
      </w:r>
      <w:r w:rsidRPr="001A26B1">
        <w:rPr>
          <w:rFonts w:ascii="Times New Roman" w:hAnsi="Times New Roman" w:cs="Times New Roman"/>
        </w:rPr>
        <w:t xml:space="preserve"> seeks </w:t>
      </w:r>
      <w:r w:rsidR="0018197F" w:rsidRPr="001A26B1">
        <w:rPr>
          <w:rFonts w:ascii="Times New Roman" w:hAnsi="Times New Roman" w:cs="Times New Roman"/>
        </w:rPr>
        <w:t>reconsideration</w:t>
      </w:r>
      <w:r w:rsidR="00725E28" w:rsidRPr="001A26B1">
        <w:rPr>
          <w:rFonts w:ascii="Times New Roman" w:hAnsi="Times New Roman" w:cs="Times New Roman"/>
        </w:rPr>
        <w:t xml:space="preserve"> </w:t>
      </w:r>
      <w:r w:rsidRPr="001A26B1">
        <w:rPr>
          <w:rFonts w:ascii="Times New Roman" w:hAnsi="Times New Roman" w:cs="Times New Roman"/>
        </w:rPr>
        <w:t xml:space="preserve">of the April 18, 2017, </w:t>
      </w:r>
      <w:r w:rsidR="002829C0" w:rsidRPr="001A26B1">
        <w:rPr>
          <w:rFonts w:ascii="Times New Roman" w:hAnsi="Times New Roman" w:cs="Times New Roman"/>
        </w:rPr>
        <w:t xml:space="preserve">Media </w:t>
      </w:r>
      <w:r w:rsidRPr="001A26B1">
        <w:rPr>
          <w:rFonts w:ascii="Times New Roman" w:hAnsi="Times New Roman" w:cs="Times New Roman"/>
        </w:rPr>
        <w:t>Bureau</w:t>
      </w:r>
      <w:r w:rsidR="002829C0" w:rsidRPr="001A26B1">
        <w:rPr>
          <w:rFonts w:ascii="Times New Roman" w:hAnsi="Times New Roman" w:cs="Times New Roman"/>
        </w:rPr>
        <w:t xml:space="preserve"> (Bureau)</w:t>
      </w:r>
      <w:r w:rsidR="00DE6D10">
        <w:rPr>
          <w:rFonts w:ascii="Times New Roman" w:hAnsi="Times New Roman" w:cs="Times New Roman"/>
        </w:rPr>
        <w:t xml:space="preserve"> o</w:t>
      </w:r>
      <w:r w:rsidRPr="001A26B1">
        <w:rPr>
          <w:rFonts w:ascii="Times New Roman" w:hAnsi="Times New Roman" w:cs="Times New Roman"/>
        </w:rPr>
        <w:t>rder</w:t>
      </w:r>
      <w:r w:rsidRPr="001A26B1">
        <w:rPr>
          <w:rFonts w:ascii="Times New Roman" w:hAnsi="Times New Roman" w:cs="Times New Roman"/>
          <w:vertAlign w:val="superscript"/>
        </w:rPr>
        <w:footnoteReference w:id="2"/>
      </w:r>
      <w:r w:rsidRPr="001A26B1">
        <w:rPr>
          <w:rFonts w:ascii="Times New Roman" w:hAnsi="Times New Roman" w:cs="Times New Roman"/>
        </w:rPr>
        <w:t xml:space="preserve"> </w:t>
      </w:r>
      <w:r w:rsidR="00062AB1" w:rsidRPr="001A26B1">
        <w:rPr>
          <w:rFonts w:ascii="Times New Roman" w:hAnsi="Times New Roman" w:cs="Times New Roman"/>
        </w:rPr>
        <w:t>dismiss</w:t>
      </w:r>
      <w:r w:rsidR="0083551B" w:rsidRPr="001A26B1">
        <w:rPr>
          <w:rFonts w:ascii="Times New Roman" w:hAnsi="Times New Roman" w:cs="Times New Roman"/>
        </w:rPr>
        <w:t>ing</w:t>
      </w:r>
      <w:r w:rsidR="00062AB1" w:rsidRPr="001A26B1">
        <w:rPr>
          <w:rFonts w:ascii="Times New Roman" w:hAnsi="Times New Roman" w:cs="Times New Roman"/>
        </w:rPr>
        <w:t xml:space="preserve"> as</w:t>
      </w:r>
      <w:r w:rsidR="00D37E71" w:rsidRPr="001A26B1">
        <w:rPr>
          <w:rFonts w:ascii="Times New Roman" w:hAnsi="Times New Roman" w:cs="Times New Roman"/>
        </w:rPr>
        <w:t xml:space="preserve"> untimely </w:t>
      </w:r>
      <w:r w:rsidR="00D6348C" w:rsidRPr="001A26B1">
        <w:rPr>
          <w:rFonts w:ascii="Times New Roman" w:hAnsi="Times New Roman" w:cs="Times New Roman"/>
        </w:rPr>
        <w:t>pursuant to Section 1.</w:t>
      </w:r>
      <w:r w:rsidR="00B33989" w:rsidRPr="001A26B1">
        <w:rPr>
          <w:rFonts w:ascii="Times New Roman" w:hAnsi="Times New Roman" w:cs="Times New Roman"/>
        </w:rPr>
        <w:t>106(p)</w:t>
      </w:r>
      <w:r w:rsidR="001C272D" w:rsidRPr="001C272D">
        <w:rPr>
          <w:rStyle w:val="FootnoteReference"/>
          <w:rFonts w:cs="Times New Roman"/>
          <w:sz w:val="22"/>
        </w:rPr>
        <w:t xml:space="preserve"> </w:t>
      </w:r>
      <w:r w:rsidR="00D6348C" w:rsidRPr="001A26B1">
        <w:rPr>
          <w:rFonts w:ascii="Times New Roman" w:hAnsi="Times New Roman" w:cs="Times New Roman"/>
        </w:rPr>
        <w:t xml:space="preserve">of the </w:t>
      </w:r>
      <w:r w:rsidR="001C272D">
        <w:rPr>
          <w:rFonts w:ascii="Times New Roman" w:hAnsi="Times New Roman" w:cs="Times New Roman"/>
        </w:rPr>
        <w:t>Commission’s Rules (</w:t>
      </w:r>
      <w:r w:rsidR="00D6348C" w:rsidRPr="001A26B1">
        <w:rPr>
          <w:rFonts w:ascii="Times New Roman" w:hAnsi="Times New Roman" w:cs="Times New Roman"/>
        </w:rPr>
        <w:t>Rules</w:t>
      </w:r>
      <w:r w:rsidR="001C272D">
        <w:rPr>
          <w:rFonts w:ascii="Times New Roman" w:hAnsi="Times New Roman" w:cs="Times New Roman"/>
        </w:rPr>
        <w:t>)</w:t>
      </w:r>
      <w:r w:rsidR="001C272D" w:rsidRPr="001A26B1">
        <w:rPr>
          <w:rStyle w:val="FootnoteReference"/>
          <w:rFonts w:cs="Times New Roman"/>
          <w:sz w:val="22"/>
        </w:rPr>
        <w:footnoteReference w:id="3"/>
      </w:r>
      <w:r w:rsidR="00D6348C" w:rsidRPr="001A26B1">
        <w:rPr>
          <w:rFonts w:ascii="Times New Roman" w:hAnsi="Times New Roman" w:cs="Times New Roman"/>
        </w:rPr>
        <w:t xml:space="preserve"> </w:t>
      </w:r>
      <w:r w:rsidRPr="001A26B1">
        <w:rPr>
          <w:rFonts w:ascii="Times New Roman" w:hAnsi="Times New Roman" w:cs="Times New Roman"/>
        </w:rPr>
        <w:t xml:space="preserve">FCR’s </w:t>
      </w:r>
      <w:r w:rsidR="00725E28" w:rsidRPr="001A26B1">
        <w:rPr>
          <w:rFonts w:ascii="Times New Roman" w:hAnsi="Times New Roman" w:cs="Times New Roman"/>
        </w:rPr>
        <w:t>P</w:t>
      </w:r>
      <w:r w:rsidR="005C5571" w:rsidRPr="001A26B1">
        <w:rPr>
          <w:rFonts w:ascii="Times New Roman" w:hAnsi="Times New Roman" w:cs="Times New Roman"/>
        </w:rPr>
        <w:t xml:space="preserve">etition for </w:t>
      </w:r>
      <w:r w:rsidR="00725E28" w:rsidRPr="001A26B1">
        <w:rPr>
          <w:rFonts w:ascii="Times New Roman" w:hAnsi="Times New Roman" w:cs="Times New Roman"/>
        </w:rPr>
        <w:t>R</w:t>
      </w:r>
      <w:r w:rsidR="005C5571" w:rsidRPr="001A26B1">
        <w:rPr>
          <w:rFonts w:ascii="Times New Roman" w:hAnsi="Times New Roman" w:cs="Times New Roman"/>
        </w:rPr>
        <w:t xml:space="preserve">econsideration </w:t>
      </w:r>
      <w:r w:rsidR="007E43D0" w:rsidRPr="001A26B1">
        <w:rPr>
          <w:rFonts w:ascii="Times New Roman" w:hAnsi="Times New Roman" w:cs="Times New Roman"/>
        </w:rPr>
        <w:t xml:space="preserve">(Petition) </w:t>
      </w:r>
      <w:r w:rsidR="005C5571" w:rsidRPr="001A26B1">
        <w:rPr>
          <w:rFonts w:ascii="Times New Roman" w:hAnsi="Times New Roman" w:cs="Times New Roman"/>
        </w:rPr>
        <w:t xml:space="preserve">of the Commission’s </w:t>
      </w:r>
      <w:r w:rsidR="005C5571" w:rsidRPr="001A26B1">
        <w:rPr>
          <w:rFonts w:ascii="Times New Roman" w:hAnsi="Times New Roman" w:cs="Times New Roman"/>
          <w:i/>
        </w:rPr>
        <w:t xml:space="preserve">Memorandum Opinion and Order </w:t>
      </w:r>
      <w:r w:rsidR="005C5571" w:rsidRPr="001A26B1">
        <w:rPr>
          <w:rFonts w:ascii="Times New Roman" w:hAnsi="Times New Roman" w:cs="Times New Roman"/>
        </w:rPr>
        <w:t>affirming the Bureau’s determination</w:t>
      </w:r>
      <w:r w:rsidR="00492E85" w:rsidRPr="001A26B1">
        <w:rPr>
          <w:rFonts w:ascii="Times New Roman" w:hAnsi="Times New Roman" w:cs="Times New Roman"/>
        </w:rPr>
        <w:t>s</w:t>
      </w:r>
      <w:r w:rsidR="005C5571" w:rsidRPr="001A26B1">
        <w:rPr>
          <w:rFonts w:ascii="Times New Roman" w:hAnsi="Times New Roman" w:cs="Times New Roman"/>
        </w:rPr>
        <w:t xml:space="preserve"> in noncommercial educational (NCE) Reserved Allotment Mutually Exclusive Group 14</w:t>
      </w:r>
      <w:r w:rsidRPr="001A26B1">
        <w:rPr>
          <w:rFonts w:ascii="Times New Roman" w:hAnsi="Times New Roman" w:cs="Times New Roman"/>
        </w:rPr>
        <w:t>.</w:t>
      </w:r>
      <w:r w:rsidRPr="001A26B1">
        <w:rPr>
          <w:rFonts w:ascii="Times New Roman" w:hAnsi="Times New Roman" w:cs="Times New Roman"/>
          <w:vertAlign w:val="superscript"/>
        </w:rPr>
        <w:footnoteReference w:id="4"/>
      </w:r>
      <w:r w:rsidR="00DA2A62" w:rsidRPr="001A26B1">
        <w:rPr>
          <w:rFonts w:ascii="Times New Roman" w:hAnsi="Times New Roman" w:cs="Times New Roman"/>
        </w:rPr>
        <w:t xml:space="preserve"> </w:t>
      </w:r>
    </w:p>
    <w:p w14:paraId="5D956CDB" w14:textId="534ED93B" w:rsidR="004E0C77" w:rsidRPr="00CC06B1" w:rsidRDefault="00017619" w:rsidP="006E58F4">
      <w:pPr>
        <w:pStyle w:val="ParaNum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As an initial matter, the relief that FCR seeks is difficult to discern.  </w:t>
      </w:r>
      <w:r w:rsidR="00C1191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Second Petition is styled as a “petition for reconsideration.” In this case, that would require the Bureau to act on the Second Petition.</w:t>
      </w:r>
      <w:r>
        <w:rPr>
          <w:rStyle w:val="FootnoteReference"/>
          <w:rFonts w:cs="Times New Roman"/>
        </w:rPr>
        <w:footnoteReference w:id="5"/>
      </w:r>
      <w:r w:rsidR="00DA2A62" w:rsidRPr="001A2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191A">
        <w:rPr>
          <w:rFonts w:ascii="Times New Roman" w:hAnsi="Times New Roman" w:cs="Times New Roman"/>
        </w:rPr>
        <w:t>However</w:t>
      </w:r>
      <w:r>
        <w:rPr>
          <w:rFonts w:ascii="Times New Roman" w:hAnsi="Times New Roman" w:cs="Times New Roman"/>
        </w:rPr>
        <w:t xml:space="preserve">, FCR </w:t>
      </w:r>
      <w:r w:rsidR="00C1191A">
        <w:rPr>
          <w:rFonts w:ascii="Times New Roman" w:hAnsi="Times New Roman" w:cs="Times New Roman"/>
        </w:rPr>
        <w:t xml:space="preserve">contradictorily </w:t>
      </w:r>
      <w:r>
        <w:rPr>
          <w:rFonts w:ascii="Times New Roman" w:hAnsi="Times New Roman" w:cs="Times New Roman"/>
        </w:rPr>
        <w:t xml:space="preserve">seeks action by “the full Commission </w:t>
      </w:r>
      <w:r w:rsidRPr="00017619">
        <w:rPr>
          <w:rFonts w:ascii="Times New Roman" w:hAnsi="Times New Roman" w:cs="Times New Roman"/>
          <w:i/>
        </w:rPr>
        <w:t>en banc</w:t>
      </w:r>
      <w:r>
        <w:rPr>
          <w:rFonts w:ascii="Times New Roman" w:hAnsi="Times New Roman" w:cs="Times New Roman"/>
        </w:rPr>
        <w:t xml:space="preserve">.”  Complicating matters further, the Second Petition </w:t>
      </w:r>
      <w:r w:rsidR="00BF291A" w:rsidRPr="00CC06B1">
        <w:rPr>
          <w:rFonts w:ascii="Times New Roman" w:hAnsi="Times New Roman" w:cs="Times New Roman"/>
        </w:rPr>
        <w:t>raises arguments upon which the Bureau has not previously had the opportunity to pass</w:t>
      </w:r>
      <w:r>
        <w:rPr>
          <w:rFonts w:ascii="Times New Roman" w:hAnsi="Times New Roman" w:cs="Times New Roman"/>
        </w:rPr>
        <w:t>.</w:t>
      </w:r>
      <w:r w:rsidR="00BF291A" w:rsidRPr="00CC0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Such a pleading would be subject to dismissal </w:t>
      </w:r>
      <w:r w:rsidR="00BC738B">
        <w:rPr>
          <w:rFonts w:ascii="Times New Roman" w:hAnsi="Times New Roman" w:cs="Times New Roman"/>
        </w:rPr>
        <w:t>by the Commission.</w:t>
      </w:r>
      <w:r w:rsidR="00CC06B1" w:rsidRPr="00CC06B1">
        <w:rPr>
          <w:rFonts w:ascii="Times New Roman" w:hAnsi="Times New Roman" w:cs="Times New Roman"/>
          <w:vertAlign w:val="superscript"/>
        </w:rPr>
        <w:footnoteReference w:id="6"/>
      </w:r>
      <w:r w:rsidR="00E557E6">
        <w:rPr>
          <w:rFonts w:ascii="Times New Roman" w:hAnsi="Times New Roman" w:cs="Times New Roman"/>
        </w:rPr>
        <w:t xml:space="preserve"> </w:t>
      </w:r>
      <w:r w:rsidR="00BC738B">
        <w:rPr>
          <w:rFonts w:ascii="Times New Roman" w:hAnsi="Times New Roman" w:cs="Times New Roman"/>
        </w:rPr>
        <w:t xml:space="preserve"> Accordingly, </w:t>
      </w:r>
      <w:r w:rsidR="008046AB">
        <w:rPr>
          <w:rFonts w:ascii="Times New Roman" w:hAnsi="Times New Roman" w:cs="Times New Roman"/>
        </w:rPr>
        <w:t>to</w:t>
      </w:r>
      <w:r w:rsidR="00BC738B">
        <w:rPr>
          <w:rFonts w:ascii="Times New Roman" w:hAnsi="Times New Roman" w:cs="Times New Roman"/>
        </w:rPr>
        <w:t xml:space="preserve"> ensure full consideration of FCR’s arguments, we will treat the Second Petition as a petition for reconsideration of the </w:t>
      </w:r>
      <w:r w:rsidR="00BC738B">
        <w:rPr>
          <w:rFonts w:ascii="Times New Roman" w:hAnsi="Times New Roman" w:cs="Times New Roman"/>
          <w:i/>
        </w:rPr>
        <w:t>Bureau Order</w:t>
      </w:r>
      <w:r w:rsidR="00BC738B">
        <w:rPr>
          <w:rFonts w:ascii="Times New Roman" w:hAnsi="Times New Roman" w:cs="Times New Roman"/>
        </w:rPr>
        <w:t>.</w:t>
      </w:r>
      <w:r w:rsidR="00CC06B1" w:rsidRPr="00CC06B1">
        <w:rPr>
          <w:rFonts w:ascii="Times New Roman" w:hAnsi="Times New Roman" w:cs="Times New Roman"/>
          <w:vertAlign w:val="superscript"/>
        </w:rPr>
        <w:footnoteReference w:id="7"/>
      </w:r>
      <w:r w:rsidR="00BF291A" w:rsidRPr="00CC06B1">
        <w:rPr>
          <w:rFonts w:ascii="Times New Roman" w:hAnsi="Times New Roman" w:cs="Times New Roman"/>
        </w:rPr>
        <w:t xml:space="preserve"> </w:t>
      </w:r>
      <w:r w:rsidR="00CC06B1" w:rsidRPr="00CC06B1">
        <w:rPr>
          <w:rFonts w:ascii="Times New Roman" w:hAnsi="Times New Roman" w:cs="Times New Roman"/>
        </w:rPr>
        <w:t xml:space="preserve"> </w:t>
      </w:r>
    </w:p>
    <w:p w14:paraId="487C32A9" w14:textId="0EFB4D47" w:rsidR="00062AB1" w:rsidRPr="001A26B1" w:rsidRDefault="00CC06B1" w:rsidP="006E58F4">
      <w:pPr>
        <w:pStyle w:val="ParaNum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 its Second Petition</w:t>
      </w:r>
      <w:r w:rsidR="000A3899" w:rsidRPr="001A26B1">
        <w:rPr>
          <w:rFonts w:ascii="Times New Roman" w:hAnsi="Times New Roman" w:cs="Times New Roman"/>
        </w:rPr>
        <w:t xml:space="preserve">, FCR </w:t>
      </w:r>
      <w:r w:rsidR="00E017CF" w:rsidRPr="001A26B1">
        <w:rPr>
          <w:rFonts w:ascii="Times New Roman" w:hAnsi="Times New Roman" w:cs="Times New Roman"/>
        </w:rPr>
        <w:t xml:space="preserve">challenges </w:t>
      </w:r>
      <w:r w:rsidR="002829C0" w:rsidRPr="001A26B1">
        <w:rPr>
          <w:rFonts w:ascii="Times New Roman" w:hAnsi="Times New Roman" w:cs="Times New Roman"/>
        </w:rPr>
        <w:t>the Bureau</w:t>
      </w:r>
      <w:r w:rsidR="008C1A82" w:rsidRPr="001A26B1">
        <w:rPr>
          <w:rFonts w:ascii="Times New Roman" w:hAnsi="Times New Roman" w:cs="Times New Roman"/>
        </w:rPr>
        <w:t xml:space="preserve">’s </w:t>
      </w:r>
      <w:r w:rsidR="00E017CF" w:rsidRPr="001A26B1">
        <w:rPr>
          <w:rFonts w:ascii="Times New Roman" w:hAnsi="Times New Roman" w:cs="Times New Roman"/>
        </w:rPr>
        <w:t>dismissal of its</w:t>
      </w:r>
      <w:r w:rsidR="002829C0" w:rsidRPr="001A26B1">
        <w:rPr>
          <w:rFonts w:ascii="Times New Roman" w:hAnsi="Times New Roman" w:cs="Times New Roman"/>
        </w:rPr>
        <w:t xml:space="preserve"> Petition</w:t>
      </w:r>
      <w:r w:rsidR="00B342B9" w:rsidRPr="001A26B1">
        <w:rPr>
          <w:rFonts w:ascii="Times New Roman" w:hAnsi="Times New Roman" w:cs="Times New Roman"/>
        </w:rPr>
        <w:t>,</w:t>
      </w:r>
      <w:r w:rsidR="002829C0" w:rsidRPr="001A26B1">
        <w:rPr>
          <w:rFonts w:ascii="Times New Roman" w:hAnsi="Times New Roman" w:cs="Times New Roman"/>
        </w:rPr>
        <w:t xml:space="preserve"> </w:t>
      </w:r>
      <w:r w:rsidR="00B342B9" w:rsidRPr="001A26B1">
        <w:rPr>
          <w:rFonts w:ascii="Times New Roman" w:hAnsi="Times New Roman" w:cs="Times New Roman"/>
        </w:rPr>
        <w:t>which</w:t>
      </w:r>
      <w:r w:rsidR="00E94E8B" w:rsidRPr="001A26B1">
        <w:rPr>
          <w:rFonts w:ascii="Times New Roman" w:hAnsi="Times New Roman" w:cs="Times New Roman"/>
        </w:rPr>
        <w:t xml:space="preserve"> it claims was based on the “wrongful assumption that it was one day late.”</w:t>
      </w:r>
      <w:r w:rsidR="00E94E8B" w:rsidRPr="001A26B1">
        <w:rPr>
          <w:rStyle w:val="FootnoteReference"/>
          <w:rFonts w:cs="Times New Roman"/>
          <w:sz w:val="22"/>
        </w:rPr>
        <w:footnoteReference w:id="8"/>
      </w:r>
      <w:r w:rsidR="00E94E8B" w:rsidRPr="001A26B1">
        <w:rPr>
          <w:rFonts w:ascii="Times New Roman" w:hAnsi="Times New Roman" w:cs="Times New Roman"/>
        </w:rPr>
        <w:t xml:space="preserve"> </w:t>
      </w:r>
      <w:r w:rsidR="00EA1219" w:rsidRPr="001A26B1">
        <w:rPr>
          <w:rFonts w:ascii="Times New Roman" w:hAnsi="Times New Roman" w:cs="Times New Roman"/>
        </w:rPr>
        <w:t xml:space="preserve"> </w:t>
      </w:r>
      <w:r w:rsidR="00E94E8B" w:rsidRPr="001A26B1">
        <w:rPr>
          <w:rFonts w:ascii="Times New Roman" w:hAnsi="Times New Roman" w:cs="Times New Roman"/>
        </w:rPr>
        <w:t xml:space="preserve">FCR argues that “due process” and the Commission’s Rules required that the Commission furnish it a copy of the </w:t>
      </w:r>
      <w:r w:rsidR="00E94E8B" w:rsidRPr="001A26B1">
        <w:rPr>
          <w:rFonts w:ascii="Times New Roman" w:hAnsi="Times New Roman" w:cs="Times New Roman"/>
          <w:i/>
        </w:rPr>
        <w:t>AFR Order</w:t>
      </w:r>
      <w:r w:rsidR="00E94E8B" w:rsidRPr="001A26B1">
        <w:rPr>
          <w:rFonts w:ascii="Times New Roman" w:hAnsi="Times New Roman" w:cs="Times New Roman"/>
        </w:rPr>
        <w:t xml:space="preserve">, and </w:t>
      </w:r>
      <w:r w:rsidR="002829C0" w:rsidRPr="001A26B1">
        <w:rPr>
          <w:rFonts w:ascii="Times New Roman" w:hAnsi="Times New Roman" w:cs="Times New Roman"/>
        </w:rPr>
        <w:t>FCR</w:t>
      </w:r>
      <w:r w:rsidR="0091086F" w:rsidRPr="001A26B1">
        <w:rPr>
          <w:rFonts w:ascii="Times New Roman" w:hAnsi="Times New Roman" w:cs="Times New Roman"/>
        </w:rPr>
        <w:t xml:space="preserve"> </w:t>
      </w:r>
      <w:r w:rsidR="00A57857" w:rsidRPr="001A26B1">
        <w:rPr>
          <w:rFonts w:ascii="Times New Roman" w:hAnsi="Times New Roman" w:cs="Times New Roman"/>
        </w:rPr>
        <w:t>allege</w:t>
      </w:r>
      <w:r w:rsidR="00E94E8B" w:rsidRPr="001A26B1">
        <w:rPr>
          <w:rFonts w:ascii="Times New Roman" w:hAnsi="Times New Roman" w:cs="Times New Roman"/>
        </w:rPr>
        <w:t>s that it</w:t>
      </w:r>
      <w:r w:rsidR="002829C0" w:rsidRPr="001A26B1">
        <w:rPr>
          <w:rFonts w:ascii="Times New Roman" w:hAnsi="Times New Roman" w:cs="Times New Roman"/>
        </w:rPr>
        <w:t xml:space="preserve"> did not receive a copy of the </w:t>
      </w:r>
      <w:r w:rsidR="002829C0" w:rsidRPr="001A26B1">
        <w:rPr>
          <w:rFonts w:ascii="Times New Roman" w:hAnsi="Times New Roman" w:cs="Times New Roman"/>
          <w:i/>
        </w:rPr>
        <w:t>AFR Order</w:t>
      </w:r>
      <w:r w:rsidR="002829C0" w:rsidRPr="001A26B1">
        <w:rPr>
          <w:rFonts w:ascii="Times New Roman" w:hAnsi="Times New Roman" w:cs="Times New Roman"/>
        </w:rPr>
        <w:t xml:space="preserve"> at the address listed in its pleadings.</w:t>
      </w:r>
      <w:r w:rsidR="002829C0" w:rsidRPr="001A26B1">
        <w:rPr>
          <w:rStyle w:val="FootnoteReference"/>
          <w:rFonts w:cs="Times New Roman"/>
          <w:sz w:val="22"/>
        </w:rPr>
        <w:footnoteReference w:id="9"/>
      </w:r>
      <w:r w:rsidR="00E82CD4" w:rsidRPr="001A26B1">
        <w:rPr>
          <w:rFonts w:ascii="Times New Roman" w:hAnsi="Times New Roman" w:cs="Times New Roman"/>
        </w:rPr>
        <w:t xml:space="preserve">  FCR asserts that </w:t>
      </w:r>
      <w:r w:rsidR="00A57857" w:rsidRPr="001A26B1">
        <w:rPr>
          <w:rFonts w:ascii="Times New Roman" w:hAnsi="Times New Roman" w:cs="Times New Roman"/>
        </w:rPr>
        <w:t>this</w:t>
      </w:r>
      <w:r w:rsidR="00E82CD4" w:rsidRPr="001A26B1">
        <w:rPr>
          <w:rFonts w:ascii="Times New Roman" w:hAnsi="Times New Roman" w:cs="Times New Roman"/>
        </w:rPr>
        <w:t xml:space="preserve"> “constituted extenuating circumstances that [were] contrary to § 0.445(a), which states that adjudicatory opinions and orders of the Commission or staff on delegated authority must be sent to the parties by mail.”</w:t>
      </w:r>
      <w:r w:rsidR="00E82CD4" w:rsidRPr="001A26B1">
        <w:rPr>
          <w:rStyle w:val="FootnoteReference"/>
          <w:rFonts w:cs="Times New Roman"/>
          <w:sz w:val="22"/>
        </w:rPr>
        <w:footnoteReference w:id="10"/>
      </w:r>
      <w:r w:rsidR="00657E7B" w:rsidRPr="001A26B1">
        <w:rPr>
          <w:rFonts w:ascii="Times New Roman" w:hAnsi="Times New Roman" w:cs="Times New Roman"/>
        </w:rPr>
        <w:t xml:space="preserve">  FCR </w:t>
      </w:r>
      <w:r w:rsidR="00492E85" w:rsidRPr="001A26B1">
        <w:rPr>
          <w:rFonts w:ascii="Times New Roman" w:hAnsi="Times New Roman" w:cs="Times New Roman"/>
        </w:rPr>
        <w:t>r</w:t>
      </w:r>
      <w:r w:rsidR="00657E7B" w:rsidRPr="001A26B1">
        <w:rPr>
          <w:rFonts w:ascii="Times New Roman" w:hAnsi="Times New Roman" w:cs="Times New Roman"/>
        </w:rPr>
        <w:t>equest</w:t>
      </w:r>
      <w:r w:rsidR="00492E85" w:rsidRPr="001A26B1">
        <w:rPr>
          <w:rFonts w:ascii="Times New Roman" w:hAnsi="Times New Roman" w:cs="Times New Roman"/>
        </w:rPr>
        <w:t>s</w:t>
      </w:r>
      <w:r w:rsidR="00657E7B" w:rsidRPr="001A26B1">
        <w:rPr>
          <w:rFonts w:ascii="Times New Roman" w:hAnsi="Times New Roman" w:cs="Times New Roman"/>
        </w:rPr>
        <w:t xml:space="preserve"> that </w:t>
      </w:r>
      <w:r w:rsidR="00E741F1" w:rsidRPr="001A26B1">
        <w:rPr>
          <w:rFonts w:ascii="Times New Roman" w:hAnsi="Times New Roman" w:cs="Times New Roman"/>
        </w:rPr>
        <w:t>the Commission find that FCR’s Petition was timely, reverse the Bureau’s action and find that dismissing the Petition was arbitrary and capricious and an abuse of discretion.</w:t>
      </w:r>
      <w:r w:rsidR="00E741F1" w:rsidRPr="001A26B1">
        <w:rPr>
          <w:rStyle w:val="FootnoteReference"/>
          <w:rFonts w:cs="Times New Roman"/>
          <w:sz w:val="22"/>
        </w:rPr>
        <w:footnoteReference w:id="11"/>
      </w:r>
    </w:p>
    <w:p w14:paraId="56D0A8EE" w14:textId="0F44330D" w:rsidR="00E741F1" w:rsidRPr="001A26B1" w:rsidRDefault="009924FA" w:rsidP="006E58F4">
      <w:pPr>
        <w:pStyle w:val="ParaNum"/>
        <w:spacing w:line="240" w:lineRule="auto"/>
        <w:rPr>
          <w:rFonts w:ascii="Times New Roman" w:hAnsi="Times New Roman" w:cs="Times New Roman"/>
        </w:rPr>
      </w:pPr>
      <w:r w:rsidRPr="001A26B1">
        <w:rPr>
          <w:rFonts w:ascii="Times New Roman" w:hAnsi="Times New Roman" w:cs="Times New Roman"/>
        </w:rPr>
        <w:t xml:space="preserve">As the </w:t>
      </w:r>
      <w:r w:rsidRPr="001A26B1">
        <w:rPr>
          <w:rFonts w:ascii="Times New Roman" w:hAnsi="Times New Roman" w:cs="Times New Roman"/>
          <w:i/>
        </w:rPr>
        <w:t xml:space="preserve">Bureau Order </w:t>
      </w:r>
      <w:r w:rsidRPr="001A26B1">
        <w:rPr>
          <w:rFonts w:ascii="Times New Roman" w:hAnsi="Times New Roman" w:cs="Times New Roman"/>
        </w:rPr>
        <w:t>noted, the 30-day period for filing such a petition for reconsideration is statutory and generally may not be waived.</w:t>
      </w:r>
      <w:r w:rsidRPr="001A26B1">
        <w:rPr>
          <w:rStyle w:val="FootnoteReference"/>
          <w:rFonts w:cs="Times New Roman"/>
          <w:sz w:val="22"/>
        </w:rPr>
        <w:footnoteReference w:id="12"/>
      </w:r>
      <w:r w:rsidRPr="001A26B1">
        <w:rPr>
          <w:rFonts w:ascii="Times New Roman" w:hAnsi="Times New Roman" w:cs="Times New Roman"/>
        </w:rPr>
        <w:t xml:space="preserve">  </w:t>
      </w:r>
      <w:r w:rsidR="001C49E2" w:rsidRPr="001A26B1">
        <w:rPr>
          <w:rFonts w:ascii="Times New Roman" w:hAnsi="Times New Roman" w:cs="Times New Roman"/>
        </w:rPr>
        <w:t xml:space="preserve">Although the Commission’s failure to promptly serve a party with a copy of an order can be grounds for a waiver of </w:t>
      </w:r>
      <w:r w:rsidR="00861A21" w:rsidRPr="001A26B1">
        <w:rPr>
          <w:rFonts w:ascii="Times New Roman" w:hAnsi="Times New Roman" w:cs="Times New Roman"/>
        </w:rPr>
        <w:t>this</w:t>
      </w:r>
      <w:r w:rsidR="001C49E2" w:rsidRPr="001A26B1">
        <w:rPr>
          <w:rFonts w:ascii="Times New Roman" w:hAnsi="Times New Roman" w:cs="Times New Roman"/>
        </w:rPr>
        <w:t xml:space="preserve"> filing deadline if the </w:t>
      </w:r>
      <w:r w:rsidR="001C49E2" w:rsidRPr="001A26B1">
        <w:rPr>
          <w:rFonts w:ascii="Times New Roman" w:hAnsi="Times New Roman" w:cs="Times New Roman"/>
        </w:rPr>
        <w:lastRenderedPageBreak/>
        <w:t>Commission’s failure made it impossible for the party to meet the deadline,</w:t>
      </w:r>
      <w:r w:rsidR="00BE5F19" w:rsidRPr="001A26B1">
        <w:rPr>
          <w:rStyle w:val="FootnoteReference"/>
          <w:rFonts w:cs="Times New Roman"/>
          <w:sz w:val="22"/>
        </w:rPr>
        <w:footnoteReference w:id="13"/>
      </w:r>
      <w:r w:rsidR="001C49E2" w:rsidRPr="001A26B1">
        <w:rPr>
          <w:rFonts w:ascii="Times New Roman" w:hAnsi="Times New Roman" w:cs="Times New Roman"/>
        </w:rPr>
        <w:t xml:space="preserve"> FCR has neither requested nor argued facts warranting such a waiver.</w:t>
      </w:r>
      <w:r w:rsidR="00E84277" w:rsidRPr="001A26B1">
        <w:rPr>
          <w:rFonts w:ascii="Times New Roman" w:hAnsi="Times New Roman" w:cs="Times New Roman"/>
        </w:rPr>
        <w:t xml:space="preserve">  </w:t>
      </w:r>
      <w:r w:rsidR="00A57857" w:rsidRPr="001A26B1">
        <w:rPr>
          <w:rFonts w:ascii="Times New Roman" w:hAnsi="Times New Roman" w:cs="Times New Roman"/>
        </w:rPr>
        <w:t>A party seeking</w:t>
      </w:r>
      <w:r w:rsidR="00661B35" w:rsidRPr="001A26B1">
        <w:rPr>
          <w:rFonts w:ascii="Times New Roman" w:hAnsi="Times New Roman" w:cs="Times New Roman"/>
        </w:rPr>
        <w:t xml:space="preserve"> waiver</w:t>
      </w:r>
      <w:r w:rsidR="00A57857" w:rsidRPr="001A26B1">
        <w:rPr>
          <w:rFonts w:ascii="Times New Roman" w:hAnsi="Times New Roman" w:cs="Times New Roman"/>
        </w:rPr>
        <w:t xml:space="preserve"> of </w:t>
      </w:r>
      <w:r w:rsidR="00861A21" w:rsidRPr="001A26B1">
        <w:rPr>
          <w:rFonts w:ascii="Times New Roman" w:hAnsi="Times New Roman" w:cs="Times New Roman"/>
        </w:rPr>
        <w:t>the</w:t>
      </w:r>
      <w:r w:rsidR="00A57857" w:rsidRPr="001A26B1">
        <w:rPr>
          <w:rFonts w:ascii="Times New Roman" w:hAnsi="Times New Roman" w:cs="Times New Roman"/>
        </w:rPr>
        <w:t xml:space="preserve"> filing deadline</w:t>
      </w:r>
      <w:r w:rsidR="004A1836" w:rsidRPr="001A26B1">
        <w:rPr>
          <w:rFonts w:ascii="Times New Roman" w:hAnsi="Times New Roman" w:cs="Times New Roman"/>
        </w:rPr>
        <w:t xml:space="preserve"> has the burden to show: (1</w:t>
      </w:r>
      <w:r w:rsidR="00661B35" w:rsidRPr="001A26B1">
        <w:rPr>
          <w:rFonts w:ascii="Times New Roman" w:hAnsi="Times New Roman" w:cs="Times New Roman"/>
        </w:rPr>
        <w:t>) when and how it received notice in fact; (</w:t>
      </w:r>
      <w:r w:rsidR="004A1836" w:rsidRPr="001A26B1">
        <w:rPr>
          <w:rFonts w:ascii="Times New Roman" w:hAnsi="Times New Roman" w:cs="Times New Roman"/>
        </w:rPr>
        <w:t>2</w:t>
      </w:r>
      <w:r w:rsidR="00661B35" w:rsidRPr="001A26B1">
        <w:rPr>
          <w:rFonts w:ascii="Times New Roman" w:hAnsi="Times New Roman" w:cs="Times New Roman"/>
        </w:rPr>
        <w:t>) that the time remaining was inadequate to allow it reasonably to timely file; and (3) that it acted promptly on receiving actual notice.</w:t>
      </w:r>
      <w:r w:rsidR="00661B35" w:rsidRPr="001A26B1">
        <w:rPr>
          <w:rStyle w:val="FootnoteReference"/>
          <w:rFonts w:cs="Times New Roman"/>
          <w:sz w:val="22"/>
        </w:rPr>
        <w:footnoteReference w:id="14"/>
      </w:r>
      <w:r w:rsidR="00001A00" w:rsidRPr="001A26B1">
        <w:rPr>
          <w:rFonts w:ascii="Times New Roman" w:hAnsi="Times New Roman" w:cs="Times New Roman"/>
        </w:rPr>
        <w:t xml:space="preserve">  </w:t>
      </w:r>
      <w:r w:rsidR="003B2485" w:rsidRPr="001A26B1">
        <w:rPr>
          <w:rFonts w:ascii="Times New Roman" w:hAnsi="Times New Roman" w:cs="Times New Roman"/>
        </w:rPr>
        <w:t>Because “persons directly affected typically become aware of rulings and decisions, through items in the general or trade press</w:t>
      </w:r>
      <w:r w:rsidR="00001A00" w:rsidRPr="001A26B1">
        <w:rPr>
          <w:rFonts w:ascii="Times New Roman" w:hAnsi="Times New Roman" w:cs="Times New Roman"/>
        </w:rPr>
        <w:t>,</w:t>
      </w:r>
      <w:r w:rsidR="00776586" w:rsidRPr="001A26B1">
        <w:rPr>
          <w:rFonts w:ascii="Times New Roman" w:hAnsi="Times New Roman" w:cs="Times New Roman"/>
        </w:rPr>
        <w:t xml:space="preserve"> . . . </w:t>
      </w:r>
      <w:r w:rsidR="00001A00" w:rsidRPr="001A26B1">
        <w:rPr>
          <w:rFonts w:ascii="Times New Roman" w:hAnsi="Times New Roman" w:cs="Times New Roman"/>
        </w:rPr>
        <w:t>it will be an extraordinary case . . . where a petitioner can meet this burden.”</w:t>
      </w:r>
      <w:r w:rsidR="00001A00" w:rsidRPr="001A26B1">
        <w:rPr>
          <w:rStyle w:val="FootnoteReference"/>
          <w:rFonts w:cs="Times New Roman"/>
          <w:sz w:val="22"/>
        </w:rPr>
        <w:footnoteReference w:id="15"/>
      </w:r>
      <w:r w:rsidR="00001A00" w:rsidRPr="001A26B1">
        <w:rPr>
          <w:rFonts w:ascii="Times New Roman" w:hAnsi="Times New Roman" w:cs="Times New Roman"/>
        </w:rPr>
        <w:t xml:space="preserve">  FCR fails to satisfy any part of this three-part test</w:t>
      </w:r>
      <w:r w:rsidR="00907693" w:rsidRPr="001A26B1">
        <w:rPr>
          <w:rFonts w:ascii="Times New Roman" w:hAnsi="Times New Roman" w:cs="Times New Roman"/>
        </w:rPr>
        <w:t>.</w:t>
      </w:r>
      <w:r w:rsidR="008C1A82" w:rsidRPr="001A26B1">
        <w:rPr>
          <w:rStyle w:val="FootnoteReference"/>
          <w:rFonts w:cs="Times New Roman"/>
          <w:sz w:val="22"/>
        </w:rPr>
        <w:footnoteReference w:id="16"/>
      </w:r>
      <w:r w:rsidR="00C414E2" w:rsidRPr="001A26B1">
        <w:rPr>
          <w:rFonts w:ascii="Times New Roman" w:hAnsi="Times New Roman" w:cs="Times New Roman"/>
        </w:rPr>
        <w:t xml:space="preserve"> </w:t>
      </w:r>
      <w:r w:rsidR="008C1A82" w:rsidRPr="001A26B1">
        <w:rPr>
          <w:rFonts w:ascii="Times New Roman" w:hAnsi="Times New Roman" w:cs="Times New Roman"/>
        </w:rPr>
        <w:t xml:space="preserve"> </w:t>
      </w:r>
      <w:r w:rsidR="004913C6" w:rsidRPr="001A26B1">
        <w:rPr>
          <w:rFonts w:ascii="Times New Roman" w:hAnsi="Times New Roman" w:cs="Times New Roman"/>
        </w:rPr>
        <w:t xml:space="preserve">Accordingly, </w:t>
      </w:r>
      <w:r w:rsidR="005D4FC9" w:rsidRPr="001A26B1">
        <w:rPr>
          <w:rFonts w:ascii="Times New Roman" w:hAnsi="Times New Roman" w:cs="Times New Roman"/>
        </w:rPr>
        <w:t xml:space="preserve">we </w:t>
      </w:r>
      <w:r w:rsidR="007D5563" w:rsidRPr="001A26B1">
        <w:rPr>
          <w:rFonts w:ascii="Times New Roman" w:hAnsi="Times New Roman" w:cs="Times New Roman"/>
        </w:rPr>
        <w:t xml:space="preserve">find that the action was not arbitrary, capricious, or an abuse of discretion and </w:t>
      </w:r>
      <w:r w:rsidR="00B5084B" w:rsidRPr="001A26B1">
        <w:rPr>
          <w:rFonts w:ascii="Times New Roman" w:hAnsi="Times New Roman" w:cs="Times New Roman"/>
        </w:rPr>
        <w:t>affirm</w:t>
      </w:r>
      <w:r w:rsidR="004913C6" w:rsidRPr="001A26B1">
        <w:rPr>
          <w:rFonts w:ascii="Times New Roman" w:hAnsi="Times New Roman" w:cs="Times New Roman"/>
        </w:rPr>
        <w:t xml:space="preserve"> the Bureau’s dismissal of FCR’s Petition as untimely</w:t>
      </w:r>
      <w:r w:rsidR="007D5563" w:rsidRPr="001A26B1">
        <w:rPr>
          <w:rFonts w:ascii="Times New Roman" w:hAnsi="Times New Roman" w:cs="Times New Roman"/>
        </w:rPr>
        <w:t>.</w:t>
      </w:r>
    </w:p>
    <w:p w14:paraId="67301B99" w14:textId="6353F2B9" w:rsidR="002C00E8" w:rsidRPr="001A26B1" w:rsidRDefault="00A4099F" w:rsidP="006E58F4">
      <w:pPr>
        <w:pStyle w:val="ParaNum"/>
        <w:spacing w:line="240" w:lineRule="auto"/>
        <w:rPr>
          <w:rFonts w:ascii="Times New Roman" w:hAnsi="Times New Roman" w:cs="Times New Roman"/>
          <w:b/>
        </w:rPr>
      </w:pPr>
      <w:r w:rsidRPr="001A26B1">
        <w:rPr>
          <w:rFonts w:ascii="Times New Roman" w:hAnsi="Times New Roman" w:cs="Times New Roman"/>
        </w:rPr>
        <w:t xml:space="preserve">For the reasons set forth above, IT IS ORDERED that, pursuant to Section </w:t>
      </w:r>
      <w:r w:rsidR="00DB2523" w:rsidRPr="001A26B1">
        <w:rPr>
          <w:rFonts w:ascii="Times New Roman" w:hAnsi="Times New Roman" w:cs="Times New Roman"/>
        </w:rPr>
        <w:t>1.106</w:t>
      </w:r>
      <w:r w:rsidRPr="001A26B1">
        <w:rPr>
          <w:rFonts w:ascii="Times New Roman" w:hAnsi="Times New Roman" w:cs="Times New Roman"/>
        </w:rPr>
        <w:t xml:space="preserve"> of the Commission’s rules, 47 CFR § </w:t>
      </w:r>
      <w:r w:rsidR="00DB2523" w:rsidRPr="001A26B1">
        <w:rPr>
          <w:rFonts w:ascii="Times New Roman" w:hAnsi="Times New Roman" w:cs="Times New Roman"/>
        </w:rPr>
        <w:t>1.106</w:t>
      </w:r>
      <w:r w:rsidRPr="001A26B1">
        <w:rPr>
          <w:rFonts w:ascii="Times New Roman" w:hAnsi="Times New Roman" w:cs="Times New Roman"/>
        </w:rPr>
        <w:t xml:space="preserve">, the </w:t>
      </w:r>
      <w:r w:rsidR="00A9530A">
        <w:rPr>
          <w:rFonts w:ascii="Times New Roman" w:hAnsi="Times New Roman" w:cs="Times New Roman"/>
        </w:rPr>
        <w:t xml:space="preserve">Second </w:t>
      </w:r>
      <w:r w:rsidR="00DB2523" w:rsidRPr="001A26B1">
        <w:rPr>
          <w:rFonts w:ascii="Times New Roman" w:hAnsi="Times New Roman" w:cs="Times New Roman"/>
        </w:rPr>
        <w:t>Petition</w:t>
      </w:r>
      <w:r w:rsidRPr="001A26B1">
        <w:rPr>
          <w:rFonts w:ascii="Times New Roman" w:hAnsi="Times New Roman" w:cs="Times New Roman"/>
        </w:rPr>
        <w:t xml:space="preserve"> filed by </w:t>
      </w:r>
      <w:r w:rsidR="006152DC" w:rsidRPr="001A26B1">
        <w:rPr>
          <w:rFonts w:ascii="Times New Roman" w:hAnsi="Times New Roman" w:cs="Times New Roman"/>
        </w:rPr>
        <w:t>Florida Community Radio, Inc. on May 14</w:t>
      </w:r>
      <w:r w:rsidRPr="001A26B1">
        <w:rPr>
          <w:rFonts w:ascii="Times New Roman" w:hAnsi="Times New Roman" w:cs="Times New Roman"/>
        </w:rPr>
        <w:t>, 201</w:t>
      </w:r>
      <w:r w:rsidR="006152DC" w:rsidRPr="001A26B1">
        <w:rPr>
          <w:rFonts w:ascii="Times New Roman" w:hAnsi="Times New Roman" w:cs="Times New Roman"/>
        </w:rPr>
        <w:t>7</w:t>
      </w:r>
      <w:r w:rsidRPr="001A26B1">
        <w:rPr>
          <w:rFonts w:ascii="Times New Roman" w:hAnsi="Times New Roman" w:cs="Times New Roman"/>
        </w:rPr>
        <w:t>, IS DENIED.</w:t>
      </w:r>
      <w:r w:rsidR="00493E71" w:rsidRPr="001A26B1">
        <w:rPr>
          <w:rFonts w:ascii="Times New Roman" w:hAnsi="Times New Roman" w:cs="Times New Roman"/>
        </w:rPr>
        <w:br/>
      </w:r>
    </w:p>
    <w:p w14:paraId="3B9FA003" w14:textId="43B41CB1" w:rsidR="00A4099F" w:rsidRPr="001A26B1" w:rsidRDefault="006E58F4" w:rsidP="006E58F4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FEDERAL COMMUNICATIONS </w:t>
      </w:r>
      <w:r w:rsidR="00A4099F" w:rsidRPr="001A26B1">
        <w:rPr>
          <w:rFonts w:ascii="Times New Roman" w:hAnsi="Times New Roman" w:cs="Times New Roman"/>
        </w:rPr>
        <w:t>COMMISSION</w:t>
      </w:r>
    </w:p>
    <w:p w14:paraId="75CA6E59" w14:textId="77777777" w:rsidR="00A4099F" w:rsidRPr="001A26B1" w:rsidRDefault="00A4099F" w:rsidP="006E58F4">
      <w:pPr>
        <w:spacing w:line="240" w:lineRule="auto"/>
        <w:ind w:firstLine="720"/>
        <w:rPr>
          <w:rFonts w:ascii="Times New Roman" w:hAnsi="Times New Roman" w:cs="Times New Roman"/>
        </w:rPr>
      </w:pPr>
    </w:p>
    <w:p w14:paraId="71F855AC" w14:textId="3B8E85B0" w:rsidR="00A4099F" w:rsidRDefault="00F311D5" w:rsidP="00F311D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Michelle M. Carey</w:t>
      </w:r>
    </w:p>
    <w:p w14:paraId="65AB7B0A" w14:textId="7FEB20FC" w:rsidR="00F311D5" w:rsidRDefault="00F311D5" w:rsidP="00F311D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Chief, Media Bureau</w:t>
      </w:r>
    </w:p>
    <w:p w14:paraId="4E5CDE3B" w14:textId="77777777" w:rsidR="00F311D5" w:rsidRDefault="00F311D5" w:rsidP="00F311D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EB80635" w14:textId="440CB83E" w:rsidR="00F311D5" w:rsidRPr="001A26B1" w:rsidRDefault="00F311D5" w:rsidP="006E58F4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311D5" w:rsidRPr="001A26B1" w:rsidSect="00556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FBABA" w14:textId="77777777" w:rsidR="004818F2" w:rsidRDefault="004818F2">
      <w:pPr>
        <w:spacing w:line="20" w:lineRule="exact"/>
      </w:pPr>
    </w:p>
  </w:endnote>
  <w:endnote w:type="continuationSeparator" w:id="0">
    <w:p w14:paraId="035624C3" w14:textId="77777777" w:rsidR="004818F2" w:rsidRDefault="004818F2">
      <w:r>
        <w:t xml:space="preserve"> </w:t>
      </w:r>
    </w:p>
  </w:endnote>
  <w:endnote w:type="continuationNotice" w:id="1">
    <w:p w14:paraId="45C5B2C5" w14:textId="77777777" w:rsidR="004818F2" w:rsidRDefault="004818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C924E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3957E38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6EB3E" w14:textId="6176F366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0197C">
      <w:rPr>
        <w:noProof/>
      </w:rPr>
      <w:t>2</w:t>
    </w:r>
    <w:r>
      <w:fldChar w:fldCharType="end"/>
    </w:r>
  </w:p>
  <w:p w14:paraId="1A9B7D12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E4DA2" w14:textId="77777777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8C0FC" w14:textId="77777777" w:rsidR="004818F2" w:rsidRDefault="004818F2">
      <w:r>
        <w:separator/>
      </w:r>
    </w:p>
  </w:footnote>
  <w:footnote w:type="continuationSeparator" w:id="0">
    <w:p w14:paraId="34182F58" w14:textId="77777777" w:rsidR="004818F2" w:rsidRDefault="004818F2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23288890" w14:textId="2B96BCD0" w:rsidR="004818F2" w:rsidRDefault="004818F2" w:rsidP="00441964">
      <w:pPr>
        <w:rPr>
          <w:sz w:val="20"/>
        </w:rPr>
      </w:pPr>
    </w:p>
  </w:footnote>
  <w:footnote w:id="2">
    <w:p w14:paraId="2D43F01D" w14:textId="3418DA93" w:rsidR="009867E7" w:rsidRPr="000D1F98" w:rsidRDefault="009867E7" w:rsidP="009867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NCE Reserved Allotment Group 14</w:t>
      </w:r>
      <w:r>
        <w:t xml:space="preserve">, Memorandum Opinion and Order, </w:t>
      </w:r>
      <w:r w:rsidR="002A610D">
        <w:t>32 FCC Rcd 3093</w:t>
      </w:r>
      <w:r w:rsidR="00E135C6">
        <w:t xml:space="preserve"> </w:t>
      </w:r>
      <w:r>
        <w:t>(</w:t>
      </w:r>
      <w:r w:rsidR="00E135C6">
        <w:t xml:space="preserve">MB  </w:t>
      </w:r>
      <w:r>
        <w:t>2017) (</w:t>
      </w:r>
      <w:r>
        <w:rPr>
          <w:i/>
        </w:rPr>
        <w:t>Bureau Order)</w:t>
      </w:r>
      <w:r>
        <w:t>.</w:t>
      </w:r>
    </w:p>
  </w:footnote>
  <w:footnote w:id="3">
    <w:p w14:paraId="4B2906DC" w14:textId="77777777" w:rsidR="001C272D" w:rsidRDefault="001C272D" w:rsidP="001C272D">
      <w:pPr>
        <w:pStyle w:val="FootnoteText"/>
      </w:pPr>
      <w:r>
        <w:rPr>
          <w:rStyle w:val="FootnoteReference"/>
        </w:rPr>
        <w:footnoteRef/>
      </w:r>
      <w:r>
        <w:t xml:space="preserve"> 47 CFR § 1.106(p).</w:t>
      </w:r>
    </w:p>
  </w:footnote>
  <w:footnote w:id="4">
    <w:p w14:paraId="2B314D3F" w14:textId="5BC714C4" w:rsidR="00AA3F8C" w:rsidRPr="00F26AE3" w:rsidRDefault="009867E7" w:rsidP="009867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C2857">
        <w:rPr>
          <w:i/>
        </w:rPr>
        <w:t>See NCE Reserved Allotment Group 14</w:t>
      </w:r>
      <w:r w:rsidR="00FC2857">
        <w:t>, Memorandum Opinion and Order, 32 FCC Rcd 2285 (2017) (</w:t>
      </w:r>
      <w:r w:rsidR="00FC2857">
        <w:rPr>
          <w:i/>
        </w:rPr>
        <w:t>AFR Order</w:t>
      </w:r>
      <w:r w:rsidR="00FC2857">
        <w:t xml:space="preserve">).  </w:t>
      </w:r>
      <w:r w:rsidR="00FC2857" w:rsidRPr="001F1BDC">
        <w:t xml:space="preserve">The Commission </w:t>
      </w:r>
      <w:r w:rsidR="00FC2857">
        <w:t xml:space="preserve">initially </w:t>
      </w:r>
      <w:r w:rsidR="00FC2857" w:rsidRPr="001F1BDC">
        <w:t xml:space="preserve">determined that the applications of FCR (FCR Application) and Citrus County Association for Retarded Citizens (CCARC Application) for a construction permit for a new noncommercial </w:t>
      </w:r>
      <w:r w:rsidR="00017619">
        <w:t xml:space="preserve">educational </w:t>
      </w:r>
      <w:r w:rsidR="00FC2857" w:rsidRPr="001F1BDC">
        <w:t>station at Otter Creek, Florida, were mutually exclusive, and identified the FCR Application as the tentative selectee of NCE Reserved Allotment Group 14. </w:t>
      </w:r>
      <w:r w:rsidR="00FC2857">
        <w:t xml:space="preserve"> </w:t>
      </w:r>
      <w:r w:rsidR="00FC2857" w:rsidRPr="001F1BDC">
        <w:rPr>
          <w:i/>
          <w:iCs/>
        </w:rPr>
        <w:t>See </w:t>
      </w:r>
      <w:r w:rsidR="00FC2857" w:rsidRPr="001F1BDC">
        <w:rPr>
          <w:i/>
        </w:rPr>
        <w:t>Comparative Consideration of 37 Groups of Mutually Exclusive Applications</w:t>
      </w:r>
      <w:r w:rsidR="00FC2857" w:rsidRPr="001F1BDC">
        <w:t>, Memorandum Opinion and Order, 26 FCC Rcd 7008, 7024, paras. 42-43 (2011).</w:t>
      </w:r>
      <w:r w:rsidR="00FC2857">
        <w:t xml:space="preserve"> </w:t>
      </w:r>
      <w:r w:rsidR="00FC2857" w:rsidRPr="001F1BDC">
        <w:t xml:space="preserve"> CCARC filed a Petition to Deny the FCR Application, and the Commission rescinded its tentative selection of that application and identified the CCARC Application as the new tentative selectee. </w:t>
      </w:r>
      <w:r w:rsidR="00FC2857">
        <w:t xml:space="preserve"> </w:t>
      </w:r>
      <w:r w:rsidR="00FC2857" w:rsidRPr="001F1BDC">
        <w:rPr>
          <w:i/>
        </w:rPr>
        <w:t>Comparative Consideration of Seven Groups of Mutually Exclusive Applications</w:t>
      </w:r>
      <w:r w:rsidR="00FC2857" w:rsidRPr="001F1BDC">
        <w:t xml:space="preserve">, Memorandum Opinion and Order, 30 FCC Rcd 5135, 5142-44, paras. 19-23 (2015). </w:t>
      </w:r>
      <w:r w:rsidR="00FC2857">
        <w:t xml:space="preserve"> </w:t>
      </w:r>
      <w:r w:rsidR="00FC2857" w:rsidRPr="001F1BDC">
        <w:t xml:space="preserve">FCR </w:t>
      </w:r>
      <w:r w:rsidR="00FC2857">
        <w:t xml:space="preserve">twice </w:t>
      </w:r>
      <w:r w:rsidR="00FC2857" w:rsidRPr="001F1BDC">
        <w:t>challenged this action</w:t>
      </w:r>
      <w:r w:rsidR="00FC2857">
        <w:t xml:space="preserve"> and additionally attempted to modify its proposed frequency from Channel 240 to Channel 216 to eliminate its mutual exclusivity with the CCARC Application</w:t>
      </w:r>
      <w:r w:rsidR="00FC2857" w:rsidRPr="001F1BDC">
        <w:t>.</w:t>
      </w:r>
      <w:r w:rsidR="00FC2857">
        <w:t xml:space="preserve"> </w:t>
      </w:r>
      <w:r w:rsidR="00FC2857" w:rsidRPr="001F1BDC">
        <w:t xml:space="preserve"> The Media Bureau denied both challenges</w:t>
      </w:r>
      <w:r w:rsidR="00FC2857" w:rsidRPr="00A12D9E">
        <w:t>, granted the CCARC Application</w:t>
      </w:r>
      <w:r w:rsidR="00FC2857" w:rsidRPr="001F1BDC">
        <w:t>, and dismissed the FCR Application</w:t>
      </w:r>
      <w:r w:rsidR="00FC2857">
        <w:t xml:space="preserve"> and amendment</w:t>
      </w:r>
      <w:r w:rsidR="00FC2857" w:rsidRPr="001F1BDC">
        <w:t>.</w:t>
      </w:r>
      <w:r w:rsidR="00FC2857">
        <w:t xml:space="preserve"> </w:t>
      </w:r>
      <w:r w:rsidR="00FC2857" w:rsidRPr="001F1BDC">
        <w:t> </w:t>
      </w:r>
      <w:r w:rsidR="00FC2857" w:rsidRPr="001F1BDC">
        <w:rPr>
          <w:i/>
          <w:iCs/>
        </w:rPr>
        <w:t>See NCE Reserved Allotment Group 14</w:t>
      </w:r>
      <w:r w:rsidR="00FC2857" w:rsidRPr="001F1BDC">
        <w:t>, Letter Order, Ref. 1800B3-ALV (MB Feb. 29, 2016)</w:t>
      </w:r>
      <w:r w:rsidR="00FC2857">
        <w:t xml:space="preserve"> (affirming the tentative selection of the CCARC Application and requesting verification of FAA approval)</w:t>
      </w:r>
      <w:r w:rsidR="00FC2857" w:rsidRPr="001F1BDC">
        <w:t>; </w:t>
      </w:r>
      <w:r w:rsidR="00FC2857" w:rsidRPr="001F1BDC">
        <w:rPr>
          <w:i/>
          <w:iCs/>
        </w:rPr>
        <w:t>NCE Reserved Allotment Group 14</w:t>
      </w:r>
      <w:r w:rsidR="00FC2857" w:rsidRPr="001F1BDC">
        <w:t>, Letter Order, Ref. 1800B3-ATS (MB Oct. 26, 2016)</w:t>
      </w:r>
      <w:r w:rsidR="00FC2857">
        <w:t xml:space="preserve"> (granting the CCARC Application)</w:t>
      </w:r>
      <w:r w:rsidR="00FC2857" w:rsidRPr="001F1BDC">
        <w:t xml:space="preserve">. </w:t>
      </w:r>
      <w:r w:rsidR="00FC2857">
        <w:t xml:space="preserve"> FCR</w:t>
      </w:r>
      <w:r w:rsidR="00FC2857" w:rsidRPr="001F1BDC">
        <w:t xml:space="preserve"> sought Commission review of the Bureau's decision</w:t>
      </w:r>
      <w:r w:rsidR="00BC738B">
        <w:t xml:space="preserve">; </w:t>
      </w:r>
      <w:r w:rsidR="00FC2857">
        <w:t>t</w:t>
      </w:r>
      <w:r w:rsidR="00FC2857" w:rsidRPr="001F1BDC">
        <w:t>he </w:t>
      </w:r>
      <w:r w:rsidR="00FC2857">
        <w:rPr>
          <w:iCs/>
        </w:rPr>
        <w:t>Commission</w:t>
      </w:r>
      <w:r w:rsidR="00FC2857" w:rsidRPr="001F1BDC">
        <w:t> upheld both Bureau actions</w:t>
      </w:r>
      <w:r w:rsidR="00BC738B">
        <w:t xml:space="preserve"> in the </w:t>
      </w:r>
      <w:r w:rsidR="00BC738B">
        <w:rPr>
          <w:i/>
        </w:rPr>
        <w:t>AFR Order</w:t>
      </w:r>
      <w:r w:rsidR="00FC2857">
        <w:t>.</w:t>
      </w:r>
    </w:p>
  </w:footnote>
  <w:footnote w:id="5">
    <w:p w14:paraId="05EE6C39" w14:textId="025D5E2C" w:rsidR="00017619" w:rsidRPr="00017619" w:rsidRDefault="000176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47 CFR § 1.106(a)(1) (p</w:t>
      </w:r>
      <w:r w:rsidRPr="00CF3F07">
        <w:t>etitions requestin</w:t>
      </w:r>
      <w:r>
        <w:t>g reconsideration of final</w:t>
      </w:r>
      <w:r w:rsidRPr="00CF3F07">
        <w:t xml:space="preserve"> actions taken pursuant to delegated authority</w:t>
      </w:r>
      <w:r>
        <w:t xml:space="preserve"> are acted on by the delegated authority). </w:t>
      </w:r>
    </w:p>
  </w:footnote>
  <w:footnote w:id="6">
    <w:p w14:paraId="2173821C" w14:textId="26A9FFB1" w:rsidR="00CC06B1" w:rsidRPr="00CF3F07" w:rsidRDefault="00CC06B1" w:rsidP="00CC06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F3F07">
        <w:rPr>
          <w:i/>
        </w:rPr>
        <w:t xml:space="preserve">See </w:t>
      </w:r>
      <w:r w:rsidR="00CF3F07">
        <w:t>47 CFR § 1.115(c) (“</w:t>
      </w:r>
      <w:r w:rsidR="00CF3F07" w:rsidRPr="00CF3F07">
        <w:t>No application for review will be granted if it relies on questions of fact or law upon which the designated authority has been afforded no opportunity to pass.</w:t>
      </w:r>
      <w:r w:rsidR="00CF3F07">
        <w:t>”)</w:t>
      </w:r>
    </w:p>
  </w:footnote>
  <w:footnote w:id="7">
    <w:p w14:paraId="67531EE5" w14:textId="77777777" w:rsidR="00CC06B1" w:rsidRDefault="00CC06B1" w:rsidP="00CC06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0C77">
        <w:t>47 CFR § 1.106(a)(1).</w:t>
      </w:r>
    </w:p>
  </w:footnote>
  <w:footnote w:id="8">
    <w:p w14:paraId="2923C3F5" w14:textId="63D35545" w:rsidR="00E94E8B" w:rsidRDefault="00E94E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9530A">
        <w:t xml:space="preserve">Second </w:t>
      </w:r>
      <w:r w:rsidR="008C44EA">
        <w:t xml:space="preserve">Petition </w:t>
      </w:r>
      <w:r>
        <w:t>at 1.</w:t>
      </w:r>
    </w:p>
  </w:footnote>
  <w:footnote w:id="9">
    <w:p w14:paraId="1CC9AC4D" w14:textId="640D915F" w:rsidR="002829C0" w:rsidRDefault="002829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9530A">
        <w:t xml:space="preserve">Second </w:t>
      </w:r>
      <w:r w:rsidR="008C44EA">
        <w:t xml:space="preserve">Petition </w:t>
      </w:r>
      <w:r>
        <w:t>at 2.</w:t>
      </w:r>
      <w:r w:rsidR="00292052">
        <w:t xml:space="preserve">  The Petition provides no explanation of how due process was violated here beyond its bare assertion.</w:t>
      </w:r>
    </w:p>
  </w:footnote>
  <w:footnote w:id="10">
    <w:p w14:paraId="7FE3D10C" w14:textId="1D80F7BD" w:rsidR="00E82CD4" w:rsidRDefault="00E82C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9530A">
        <w:t xml:space="preserve">Second </w:t>
      </w:r>
      <w:r w:rsidR="008C44EA">
        <w:t xml:space="preserve">Petition </w:t>
      </w:r>
      <w:r>
        <w:t>at 3 (citing 47 CFR § 0.445) (external quotations omitted).</w:t>
      </w:r>
    </w:p>
  </w:footnote>
  <w:footnote w:id="11">
    <w:p w14:paraId="61D7B9B6" w14:textId="63CC8038" w:rsidR="00E741F1" w:rsidRDefault="00E741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9530A">
        <w:t xml:space="preserve">Second </w:t>
      </w:r>
      <w:r w:rsidR="008C44EA">
        <w:t xml:space="preserve">Petition </w:t>
      </w:r>
      <w:r>
        <w:t>2-</w:t>
      </w:r>
      <w:r w:rsidR="008C44EA">
        <w:t>4</w:t>
      </w:r>
      <w:r>
        <w:t>.</w:t>
      </w:r>
    </w:p>
  </w:footnote>
  <w:footnote w:id="12">
    <w:p w14:paraId="652CB545" w14:textId="011030EC" w:rsidR="009924FA" w:rsidRPr="003845DF" w:rsidRDefault="009924FA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Bureau Order</w:t>
      </w:r>
      <w:r w:rsidR="002A610D">
        <w:t xml:space="preserve"> 32 FCC Rcd at 3094, para.</w:t>
      </w:r>
      <w:r>
        <w:t xml:space="preserve"> 2, citing 47 U.S.C. § 405(a) and </w:t>
      </w:r>
      <w:r>
        <w:rPr>
          <w:i/>
        </w:rPr>
        <w:t xml:space="preserve">Reuters Ltd. v. FCC, </w:t>
      </w:r>
      <w:r>
        <w:t>781 F.2d 946, 951-52 (D.C. Cir. 1986).</w:t>
      </w:r>
      <w:r w:rsidR="003845DF">
        <w:t xml:space="preserve">  </w:t>
      </w:r>
      <w:r w:rsidR="00016A9C">
        <w:t>Given th</w:t>
      </w:r>
      <w:r w:rsidR="006D43EA">
        <w:t>is</w:t>
      </w:r>
      <w:r w:rsidR="00016A9C">
        <w:t xml:space="preserve"> posture</w:t>
      </w:r>
      <w:r w:rsidR="003845DF">
        <w:t xml:space="preserve">, FCR’s arguments about agencies’ inherent authority to reconsider decisions absent express statutory authority are inapplicable here.  </w:t>
      </w:r>
      <w:r w:rsidR="003845DF">
        <w:rPr>
          <w:i/>
        </w:rPr>
        <w:t xml:space="preserve">See </w:t>
      </w:r>
      <w:r w:rsidR="004C2817">
        <w:t xml:space="preserve">Second </w:t>
      </w:r>
      <w:r w:rsidR="00016A9C">
        <w:t xml:space="preserve">Petition at 3 (citing </w:t>
      </w:r>
      <w:r w:rsidR="003845DF">
        <w:rPr>
          <w:i/>
        </w:rPr>
        <w:t>Tokyo Kirai Seisakusho, LTD. v. United States</w:t>
      </w:r>
      <w:r w:rsidR="003845DF" w:rsidRPr="003845DF">
        <w:t>, 529 F.3d 1352</w:t>
      </w:r>
      <w:r w:rsidR="00E56CA8">
        <w:t>, 1360</w:t>
      </w:r>
      <w:r w:rsidR="003845DF" w:rsidRPr="003845DF">
        <w:t xml:space="preserve"> (Fed. </w:t>
      </w:r>
      <w:r w:rsidR="00082340">
        <w:t>Cir</w:t>
      </w:r>
      <w:r w:rsidR="003845DF" w:rsidRPr="003845DF">
        <w:t>. 2008)</w:t>
      </w:r>
      <w:r w:rsidR="00016A9C">
        <w:t xml:space="preserve">); </w:t>
      </w:r>
      <w:r w:rsidR="00016A9C">
        <w:rPr>
          <w:i/>
        </w:rPr>
        <w:t>see also Tokyo Kirai Seisakusho</w:t>
      </w:r>
      <w:r w:rsidR="00016A9C">
        <w:t>, 529 F.3d at 1360 (</w:t>
      </w:r>
      <w:r w:rsidR="00A2013F">
        <w:t>“</w:t>
      </w:r>
      <w:r w:rsidR="00A2013F" w:rsidRPr="00A2013F">
        <w:t>An agency cannot, for example, exercise its inherent authority in a manner that is contrary to a statute</w:t>
      </w:r>
      <w:r w:rsidR="00A2013F">
        <w:t xml:space="preserve">” and </w:t>
      </w:r>
      <w:r w:rsidR="004361BA">
        <w:t>“</w:t>
      </w:r>
      <w:r w:rsidR="004361BA" w:rsidRPr="004361BA">
        <w:t>where a statute does expressly provide for reconsideration of decisions, the agency is obligated to follow the procedures for reconsideration set forth in the statute</w:t>
      </w:r>
      <w:r w:rsidR="00A2013F">
        <w:t>.</w:t>
      </w:r>
      <w:r w:rsidR="004361BA">
        <w:t>”</w:t>
      </w:r>
      <w:r w:rsidR="00016A9C">
        <w:t>)</w:t>
      </w:r>
      <w:r w:rsidR="003845DF" w:rsidRPr="003845DF">
        <w:t>.</w:t>
      </w:r>
    </w:p>
  </w:footnote>
  <w:footnote w:id="13">
    <w:p w14:paraId="4BE05BFE" w14:textId="1FF5825A" w:rsidR="00BE5F19" w:rsidRDefault="00BE5F19" w:rsidP="00BE5F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1B35">
        <w:rPr>
          <w:i/>
        </w:rPr>
        <w:t>See</w:t>
      </w:r>
      <w:r>
        <w:t xml:space="preserve"> </w:t>
      </w:r>
      <w:r w:rsidR="00861A21">
        <w:rPr>
          <w:i/>
        </w:rPr>
        <w:t xml:space="preserve">Gardner v. FCC, </w:t>
      </w:r>
      <w:r w:rsidR="00861A21">
        <w:t>530 F.2d 1086, 1091-92 (D.C. Cir. 1976) (</w:t>
      </w:r>
      <w:r w:rsidR="00861A21" w:rsidRPr="00861A21">
        <w:rPr>
          <w:i/>
        </w:rPr>
        <w:t>Gardner</w:t>
      </w:r>
      <w:r w:rsidR="00861A21">
        <w:t xml:space="preserve">).  </w:t>
      </w:r>
    </w:p>
  </w:footnote>
  <w:footnote w:id="14">
    <w:p w14:paraId="6EEB65B5" w14:textId="056EC9FB" w:rsidR="00661B35" w:rsidRPr="00661B35" w:rsidRDefault="00661B35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A57857" w:rsidRPr="00A57857">
        <w:rPr>
          <w:i/>
        </w:rPr>
        <w:t>Gardner</w:t>
      </w:r>
      <w:r w:rsidR="00A57857">
        <w:rPr>
          <w:i/>
        </w:rPr>
        <w:t>,</w:t>
      </w:r>
      <w:r w:rsidR="00001A00">
        <w:rPr>
          <w:i/>
        </w:rPr>
        <w:t xml:space="preserve"> </w:t>
      </w:r>
      <w:r w:rsidR="00A57857" w:rsidRPr="00A57857">
        <w:t>530 F.2d</w:t>
      </w:r>
      <w:r w:rsidR="00A57857" w:rsidRPr="00A57857">
        <w:rPr>
          <w:i/>
        </w:rPr>
        <w:t xml:space="preserve"> </w:t>
      </w:r>
      <w:r w:rsidR="00001A00">
        <w:t>at 1092 n.24.</w:t>
      </w:r>
    </w:p>
  </w:footnote>
  <w:footnote w:id="15">
    <w:p w14:paraId="57A9BC33" w14:textId="78FA2D21" w:rsidR="00001A00" w:rsidRPr="00001A00" w:rsidRDefault="00001A00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16">
    <w:p w14:paraId="24D5A6CD" w14:textId="518640A3" w:rsidR="008C1A82" w:rsidRDefault="008C1A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1A82">
        <w:t xml:space="preserve">We note that the full text of the </w:t>
      </w:r>
      <w:r w:rsidRPr="008C1A82">
        <w:rPr>
          <w:i/>
        </w:rPr>
        <w:t>AFR Order</w:t>
      </w:r>
      <w:r w:rsidRPr="008C1A82">
        <w:t xml:space="preserve"> was published on the Commission’s website on March 13, 2017, the day it was released.</w:t>
      </w:r>
      <w:r w:rsidR="003B2485">
        <w:t xml:space="preserve">  FCC </w:t>
      </w:r>
      <w:r w:rsidR="00770413">
        <w:t>Daily Digest</w:t>
      </w:r>
      <w:r w:rsidR="003B2485">
        <w:t>, vol. 36, No. 48 (Mar. 14, 2017)</w:t>
      </w:r>
      <w:r w:rsidR="00770413">
        <w:t xml:space="preserve"> (listing texts released March 13, 2017)</w:t>
      </w:r>
      <w:r w:rsidR="00D77D6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B4D1B" w14:textId="77777777" w:rsidR="008D51A1" w:rsidRDefault="008D5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3488B" w14:textId="31230B0E" w:rsidR="00D25FB5" w:rsidRDefault="00D25FB5" w:rsidP="001A26B1">
    <w:pPr>
      <w:pStyle w:val="Header"/>
    </w:pPr>
    <w:r>
      <w:tab/>
      <w:t>Federal Communications Commission</w:t>
    </w:r>
    <w:r>
      <w:tab/>
    </w:r>
    <w:r w:rsidR="0038487F">
      <w:t>DA 17-777</w:t>
    </w:r>
  </w:p>
  <w:p w14:paraId="6582C147" w14:textId="77777777" w:rsidR="00D25FB5" w:rsidRDefault="003D1762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896E97E" wp14:editId="508872E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35937933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643DB741" w14:textId="77777777"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9B14" w14:textId="074D5D8A" w:rsidR="00D25FB5" w:rsidRPr="001A26B1" w:rsidRDefault="003D1762" w:rsidP="001A26B1">
    <w:pPr>
      <w:pStyle w:val="Header"/>
    </w:pPr>
    <w:r w:rsidRPr="001A26B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DAC993B" wp14:editId="017F1E57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56ADC1C5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 w:rsidRPr="001A26B1">
      <w:tab/>
      <w:t>Federal Communications Commission</w:t>
    </w:r>
    <w:r w:rsidR="00D25FB5" w:rsidRPr="001A26B1">
      <w:tab/>
    </w:r>
    <w:r w:rsidR="0038487F">
      <w:t>DA 17-777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041E518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b w:val="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7"/>
    <w:rsid w:val="00001A00"/>
    <w:rsid w:val="00016A9C"/>
    <w:rsid w:val="00017619"/>
    <w:rsid w:val="0003365D"/>
    <w:rsid w:val="00036039"/>
    <w:rsid w:val="00037F90"/>
    <w:rsid w:val="00041402"/>
    <w:rsid w:val="00050887"/>
    <w:rsid w:val="00057F8F"/>
    <w:rsid w:val="00062AB1"/>
    <w:rsid w:val="00082340"/>
    <w:rsid w:val="000875BF"/>
    <w:rsid w:val="00096D8C"/>
    <w:rsid w:val="000A3899"/>
    <w:rsid w:val="000C0B65"/>
    <w:rsid w:val="000E05FE"/>
    <w:rsid w:val="000E1BD2"/>
    <w:rsid w:val="000E3D42"/>
    <w:rsid w:val="00122BD5"/>
    <w:rsid w:val="00133F79"/>
    <w:rsid w:val="00137112"/>
    <w:rsid w:val="00143A07"/>
    <w:rsid w:val="00176AC4"/>
    <w:rsid w:val="0018197F"/>
    <w:rsid w:val="00194A66"/>
    <w:rsid w:val="001A26B1"/>
    <w:rsid w:val="001C272D"/>
    <w:rsid w:val="001C49E2"/>
    <w:rsid w:val="001D4A87"/>
    <w:rsid w:val="001D6BCF"/>
    <w:rsid w:val="001E01CA"/>
    <w:rsid w:val="001F274B"/>
    <w:rsid w:val="0024632A"/>
    <w:rsid w:val="00266B68"/>
    <w:rsid w:val="00274BC2"/>
    <w:rsid w:val="00275CF5"/>
    <w:rsid w:val="002829C0"/>
    <w:rsid w:val="00282FC6"/>
    <w:rsid w:val="0028301F"/>
    <w:rsid w:val="00285017"/>
    <w:rsid w:val="0028764D"/>
    <w:rsid w:val="00291E4A"/>
    <w:rsid w:val="00292052"/>
    <w:rsid w:val="002A2D2E"/>
    <w:rsid w:val="002A610D"/>
    <w:rsid w:val="002A6203"/>
    <w:rsid w:val="002B30F6"/>
    <w:rsid w:val="002C00E8"/>
    <w:rsid w:val="002C14E5"/>
    <w:rsid w:val="00321198"/>
    <w:rsid w:val="003376AC"/>
    <w:rsid w:val="00343749"/>
    <w:rsid w:val="003613DA"/>
    <w:rsid w:val="003660ED"/>
    <w:rsid w:val="003827AF"/>
    <w:rsid w:val="003845DF"/>
    <w:rsid w:val="0038487F"/>
    <w:rsid w:val="003907FB"/>
    <w:rsid w:val="003A507B"/>
    <w:rsid w:val="003B0550"/>
    <w:rsid w:val="003B2485"/>
    <w:rsid w:val="003B694F"/>
    <w:rsid w:val="003C615E"/>
    <w:rsid w:val="003C6254"/>
    <w:rsid w:val="003D1762"/>
    <w:rsid w:val="003F171C"/>
    <w:rsid w:val="00412FC5"/>
    <w:rsid w:val="00422276"/>
    <w:rsid w:val="004242F1"/>
    <w:rsid w:val="00435BC7"/>
    <w:rsid w:val="004361BA"/>
    <w:rsid w:val="00441964"/>
    <w:rsid w:val="00445A00"/>
    <w:rsid w:val="004463EC"/>
    <w:rsid w:val="00451B0F"/>
    <w:rsid w:val="00453602"/>
    <w:rsid w:val="004818F2"/>
    <w:rsid w:val="004913C6"/>
    <w:rsid w:val="00492E85"/>
    <w:rsid w:val="00493E71"/>
    <w:rsid w:val="004A1836"/>
    <w:rsid w:val="004C2817"/>
    <w:rsid w:val="004C2EE3"/>
    <w:rsid w:val="004D2285"/>
    <w:rsid w:val="004E15A0"/>
    <w:rsid w:val="004E4A22"/>
    <w:rsid w:val="004E6837"/>
    <w:rsid w:val="005025FB"/>
    <w:rsid w:val="00511968"/>
    <w:rsid w:val="00513065"/>
    <w:rsid w:val="00551652"/>
    <w:rsid w:val="0055614C"/>
    <w:rsid w:val="00556F58"/>
    <w:rsid w:val="00577432"/>
    <w:rsid w:val="00577D7A"/>
    <w:rsid w:val="00584609"/>
    <w:rsid w:val="005B4083"/>
    <w:rsid w:val="005C5571"/>
    <w:rsid w:val="005C61A2"/>
    <w:rsid w:val="005D4FC9"/>
    <w:rsid w:val="005E14C2"/>
    <w:rsid w:val="00606D9B"/>
    <w:rsid w:val="00607BA5"/>
    <w:rsid w:val="0061180A"/>
    <w:rsid w:val="006152DC"/>
    <w:rsid w:val="00624FC7"/>
    <w:rsid w:val="00626EB6"/>
    <w:rsid w:val="00655D03"/>
    <w:rsid w:val="00657E7B"/>
    <w:rsid w:val="00661B35"/>
    <w:rsid w:val="006631E7"/>
    <w:rsid w:val="00671119"/>
    <w:rsid w:val="00672E1C"/>
    <w:rsid w:val="00683388"/>
    <w:rsid w:val="00683F84"/>
    <w:rsid w:val="006A6A81"/>
    <w:rsid w:val="006C26D8"/>
    <w:rsid w:val="006D43EA"/>
    <w:rsid w:val="006D56E6"/>
    <w:rsid w:val="006E58F4"/>
    <w:rsid w:val="006E754B"/>
    <w:rsid w:val="006F7393"/>
    <w:rsid w:val="0070224F"/>
    <w:rsid w:val="0070606E"/>
    <w:rsid w:val="007109A0"/>
    <w:rsid w:val="007115F7"/>
    <w:rsid w:val="00725E28"/>
    <w:rsid w:val="00744AD7"/>
    <w:rsid w:val="00765DD8"/>
    <w:rsid w:val="00770413"/>
    <w:rsid w:val="00776586"/>
    <w:rsid w:val="00785689"/>
    <w:rsid w:val="0079754B"/>
    <w:rsid w:val="007A18DB"/>
    <w:rsid w:val="007A1E6D"/>
    <w:rsid w:val="007B0EB2"/>
    <w:rsid w:val="007B5DD6"/>
    <w:rsid w:val="007B72B3"/>
    <w:rsid w:val="007C6F39"/>
    <w:rsid w:val="007D5563"/>
    <w:rsid w:val="007D5DEB"/>
    <w:rsid w:val="007E43D0"/>
    <w:rsid w:val="007E43FF"/>
    <w:rsid w:val="008046AB"/>
    <w:rsid w:val="00810B6F"/>
    <w:rsid w:val="00822CE0"/>
    <w:rsid w:val="0083551B"/>
    <w:rsid w:val="00837F58"/>
    <w:rsid w:val="00841AB1"/>
    <w:rsid w:val="0084309F"/>
    <w:rsid w:val="00847A3B"/>
    <w:rsid w:val="00861A21"/>
    <w:rsid w:val="00871714"/>
    <w:rsid w:val="00890AFE"/>
    <w:rsid w:val="00893DBA"/>
    <w:rsid w:val="008A5BF6"/>
    <w:rsid w:val="008B0DAF"/>
    <w:rsid w:val="008C1A82"/>
    <w:rsid w:val="008C25F8"/>
    <w:rsid w:val="008C44EA"/>
    <w:rsid w:val="008C68F1"/>
    <w:rsid w:val="008D51A1"/>
    <w:rsid w:val="008F15BE"/>
    <w:rsid w:val="008F3B89"/>
    <w:rsid w:val="008F548F"/>
    <w:rsid w:val="0090255A"/>
    <w:rsid w:val="00903D1D"/>
    <w:rsid w:val="00907693"/>
    <w:rsid w:val="0091086F"/>
    <w:rsid w:val="00911751"/>
    <w:rsid w:val="00916CBC"/>
    <w:rsid w:val="00921803"/>
    <w:rsid w:val="00926503"/>
    <w:rsid w:val="00953158"/>
    <w:rsid w:val="00970F5A"/>
    <w:rsid w:val="009726D8"/>
    <w:rsid w:val="0097766E"/>
    <w:rsid w:val="00982717"/>
    <w:rsid w:val="009856BA"/>
    <w:rsid w:val="009867E7"/>
    <w:rsid w:val="009924FA"/>
    <w:rsid w:val="00994925"/>
    <w:rsid w:val="009A1262"/>
    <w:rsid w:val="009A6921"/>
    <w:rsid w:val="009A7094"/>
    <w:rsid w:val="009C4D75"/>
    <w:rsid w:val="009E526F"/>
    <w:rsid w:val="009E6822"/>
    <w:rsid w:val="009F76DB"/>
    <w:rsid w:val="00A12D9E"/>
    <w:rsid w:val="00A2013F"/>
    <w:rsid w:val="00A32C3B"/>
    <w:rsid w:val="00A4099F"/>
    <w:rsid w:val="00A41D22"/>
    <w:rsid w:val="00A45F4F"/>
    <w:rsid w:val="00A47C8A"/>
    <w:rsid w:val="00A547E0"/>
    <w:rsid w:val="00A57857"/>
    <w:rsid w:val="00A600A9"/>
    <w:rsid w:val="00A81FDF"/>
    <w:rsid w:val="00A86314"/>
    <w:rsid w:val="00A9530A"/>
    <w:rsid w:val="00AA0BA3"/>
    <w:rsid w:val="00AA339D"/>
    <w:rsid w:val="00AA3F8C"/>
    <w:rsid w:val="00AA55B7"/>
    <w:rsid w:val="00AA5B9E"/>
    <w:rsid w:val="00AB2407"/>
    <w:rsid w:val="00AB53DF"/>
    <w:rsid w:val="00AB566F"/>
    <w:rsid w:val="00AD05E8"/>
    <w:rsid w:val="00AD65B3"/>
    <w:rsid w:val="00AE3667"/>
    <w:rsid w:val="00AE4134"/>
    <w:rsid w:val="00B0197C"/>
    <w:rsid w:val="00B04D3B"/>
    <w:rsid w:val="00B07E5C"/>
    <w:rsid w:val="00B249F8"/>
    <w:rsid w:val="00B3065B"/>
    <w:rsid w:val="00B33989"/>
    <w:rsid w:val="00B342B9"/>
    <w:rsid w:val="00B5084B"/>
    <w:rsid w:val="00B6465C"/>
    <w:rsid w:val="00B67FD8"/>
    <w:rsid w:val="00B811F7"/>
    <w:rsid w:val="00BA4826"/>
    <w:rsid w:val="00BA5DC6"/>
    <w:rsid w:val="00BA6196"/>
    <w:rsid w:val="00BC6D8C"/>
    <w:rsid w:val="00BC738B"/>
    <w:rsid w:val="00BE5F19"/>
    <w:rsid w:val="00BF291A"/>
    <w:rsid w:val="00C1191A"/>
    <w:rsid w:val="00C34006"/>
    <w:rsid w:val="00C361FE"/>
    <w:rsid w:val="00C414E2"/>
    <w:rsid w:val="00C426B1"/>
    <w:rsid w:val="00C66160"/>
    <w:rsid w:val="00C721AC"/>
    <w:rsid w:val="00C77668"/>
    <w:rsid w:val="00C90D6A"/>
    <w:rsid w:val="00CA247E"/>
    <w:rsid w:val="00CA3B5F"/>
    <w:rsid w:val="00CB329D"/>
    <w:rsid w:val="00CC06B1"/>
    <w:rsid w:val="00CC72B6"/>
    <w:rsid w:val="00CD2A86"/>
    <w:rsid w:val="00CD6BB7"/>
    <w:rsid w:val="00CF3F07"/>
    <w:rsid w:val="00CF6AA8"/>
    <w:rsid w:val="00D0218D"/>
    <w:rsid w:val="00D241D0"/>
    <w:rsid w:val="00D25FB5"/>
    <w:rsid w:val="00D3128A"/>
    <w:rsid w:val="00D37E71"/>
    <w:rsid w:val="00D44223"/>
    <w:rsid w:val="00D510C4"/>
    <w:rsid w:val="00D6348C"/>
    <w:rsid w:val="00D72E85"/>
    <w:rsid w:val="00D77D6F"/>
    <w:rsid w:val="00DA0398"/>
    <w:rsid w:val="00DA2529"/>
    <w:rsid w:val="00DA2A62"/>
    <w:rsid w:val="00DA669B"/>
    <w:rsid w:val="00DB130A"/>
    <w:rsid w:val="00DB2523"/>
    <w:rsid w:val="00DB2EBB"/>
    <w:rsid w:val="00DB5417"/>
    <w:rsid w:val="00DC10A1"/>
    <w:rsid w:val="00DC655F"/>
    <w:rsid w:val="00DD0B59"/>
    <w:rsid w:val="00DD7EBD"/>
    <w:rsid w:val="00DE6D10"/>
    <w:rsid w:val="00DF62B6"/>
    <w:rsid w:val="00E017CF"/>
    <w:rsid w:val="00E07225"/>
    <w:rsid w:val="00E135C6"/>
    <w:rsid w:val="00E45485"/>
    <w:rsid w:val="00E5409F"/>
    <w:rsid w:val="00E557E6"/>
    <w:rsid w:val="00E56CA8"/>
    <w:rsid w:val="00E57E41"/>
    <w:rsid w:val="00E73F68"/>
    <w:rsid w:val="00E741F1"/>
    <w:rsid w:val="00E82CD4"/>
    <w:rsid w:val="00E84277"/>
    <w:rsid w:val="00E94E8B"/>
    <w:rsid w:val="00EA1219"/>
    <w:rsid w:val="00EB5679"/>
    <w:rsid w:val="00ED3F50"/>
    <w:rsid w:val="00EE5EA4"/>
    <w:rsid w:val="00EE6488"/>
    <w:rsid w:val="00F021FA"/>
    <w:rsid w:val="00F270EF"/>
    <w:rsid w:val="00F311D5"/>
    <w:rsid w:val="00F379E6"/>
    <w:rsid w:val="00F605FD"/>
    <w:rsid w:val="00F62E97"/>
    <w:rsid w:val="00F64209"/>
    <w:rsid w:val="00F9093D"/>
    <w:rsid w:val="00F92930"/>
    <w:rsid w:val="00F93BF5"/>
    <w:rsid w:val="00FB5308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4BFF4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9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ParaNum"/>
    <w:qFormat/>
    <w:rsid w:val="003613D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3613D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3613D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3613D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3613D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3613D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3613D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3613D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3613D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B019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0197C"/>
  </w:style>
  <w:style w:type="paragraph" w:customStyle="1" w:styleId="ParaNum">
    <w:name w:val="ParaNum"/>
    <w:basedOn w:val="Normal"/>
    <w:link w:val="ParaNumChar"/>
    <w:rsid w:val="003613D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3613DA"/>
    <w:rPr>
      <w:sz w:val="20"/>
    </w:rPr>
  </w:style>
  <w:style w:type="character" w:styleId="EndnoteReference">
    <w:name w:val="endnote reference"/>
    <w:semiHidden/>
    <w:rsid w:val="003613DA"/>
    <w:rPr>
      <w:vertAlign w:val="superscript"/>
    </w:rPr>
  </w:style>
  <w:style w:type="paragraph" w:styleId="FootnoteText">
    <w:name w:val="footnote text"/>
    <w:link w:val="FootnoteTextChar"/>
    <w:rsid w:val="003613DA"/>
    <w:pPr>
      <w:spacing w:after="120"/>
    </w:pPr>
  </w:style>
  <w:style w:type="character" w:styleId="FootnoteReference">
    <w:name w:val="footnote reference"/>
    <w:rsid w:val="003613DA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3613D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3613D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3613D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3613D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3613D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3613D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3613D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3613D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3613D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3613D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3613DA"/>
  </w:style>
  <w:style w:type="paragraph" w:styleId="Header">
    <w:name w:val="header"/>
    <w:basedOn w:val="Normal"/>
    <w:autoRedefine/>
    <w:rsid w:val="001A26B1"/>
    <w:pPr>
      <w:tabs>
        <w:tab w:val="center" w:pos="4680"/>
        <w:tab w:val="right" w:pos="9360"/>
      </w:tabs>
    </w:pPr>
    <w:rPr>
      <w:rFonts w:ascii="Times New Roman" w:hAnsi="Times New Roman" w:cs="Times New Roman"/>
      <w:b/>
    </w:rPr>
  </w:style>
  <w:style w:type="paragraph" w:styleId="Footer">
    <w:name w:val="footer"/>
    <w:basedOn w:val="Normal"/>
    <w:rsid w:val="003613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13DA"/>
  </w:style>
  <w:style w:type="paragraph" w:styleId="BlockText">
    <w:name w:val="Block Text"/>
    <w:basedOn w:val="Normal"/>
    <w:rsid w:val="003613DA"/>
    <w:pPr>
      <w:spacing w:after="240"/>
      <w:ind w:left="1440" w:right="1440"/>
    </w:pPr>
  </w:style>
  <w:style w:type="paragraph" w:customStyle="1" w:styleId="Paratitle">
    <w:name w:val="Para title"/>
    <w:basedOn w:val="Normal"/>
    <w:rsid w:val="003613D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3613DA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3613D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3613D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3613DA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rsid w:val="003613DA"/>
    <w:rPr>
      <w:color w:val="0000FF"/>
      <w:u w:val="single"/>
    </w:rPr>
  </w:style>
  <w:style w:type="character" w:customStyle="1" w:styleId="ParaNumChar">
    <w:name w:val="ParaNum Char"/>
    <w:link w:val="ParaNum"/>
    <w:rsid w:val="00A4099F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rsid w:val="00A4099F"/>
  </w:style>
  <w:style w:type="character" w:styleId="CommentReference">
    <w:name w:val="annotation reference"/>
    <w:basedOn w:val="DefaultParagraphFont"/>
    <w:rsid w:val="004913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3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13C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91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3C6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491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3C6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AA0BA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8C1A82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CA3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9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ParaNum"/>
    <w:qFormat/>
    <w:rsid w:val="003613D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3613D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3613D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3613D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3613D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3613D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3613D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3613D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3613D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B019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0197C"/>
  </w:style>
  <w:style w:type="paragraph" w:customStyle="1" w:styleId="ParaNum">
    <w:name w:val="ParaNum"/>
    <w:basedOn w:val="Normal"/>
    <w:link w:val="ParaNumChar"/>
    <w:rsid w:val="003613D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3613DA"/>
    <w:rPr>
      <w:sz w:val="20"/>
    </w:rPr>
  </w:style>
  <w:style w:type="character" w:styleId="EndnoteReference">
    <w:name w:val="endnote reference"/>
    <w:semiHidden/>
    <w:rsid w:val="003613DA"/>
    <w:rPr>
      <w:vertAlign w:val="superscript"/>
    </w:rPr>
  </w:style>
  <w:style w:type="paragraph" w:styleId="FootnoteText">
    <w:name w:val="footnote text"/>
    <w:link w:val="FootnoteTextChar"/>
    <w:rsid w:val="003613DA"/>
    <w:pPr>
      <w:spacing w:after="120"/>
    </w:pPr>
  </w:style>
  <w:style w:type="character" w:styleId="FootnoteReference">
    <w:name w:val="footnote reference"/>
    <w:rsid w:val="003613DA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3613D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3613D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3613D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3613D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3613D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3613D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3613D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3613D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3613D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3613D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3613DA"/>
  </w:style>
  <w:style w:type="paragraph" w:styleId="Header">
    <w:name w:val="header"/>
    <w:basedOn w:val="Normal"/>
    <w:autoRedefine/>
    <w:rsid w:val="001A26B1"/>
    <w:pPr>
      <w:tabs>
        <w:tab w:val="center" w:pos="4680"/>
        <w:tab w:val="right" w:pos="9360"/>
      </w:tabs>
    </w:pPr>
    <w:rPr>
      <w:rFonts w:ascii="Times New Roman" w:hAnsi="Times New Roman" w:cs="Times New Roman"/>
      <w:b/>
    </w:rPr>
  </w:style>
  <w:style w:type="paragraph" w:styleId="Footer">
    <w:name w:val="footer"/>
    <w:basedOn w:val="Normal"/>
    <w:rsid w:val="003613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13DA"/>
  </w:style>
  <w:style w:type="paragraph" w:styleId="BlockText">
    <w:name w:val="Block Text"/>
    <w:basedOn w:val="Normal"/>
    <w:rsid w:val="003613DA"/>
    <w:pPr>
      <w:spacing w:after="240"/>
      <w:ind w:left="1440" w:right="1440"/>
    </w:pPr>
  </w:style>
  <w:style w:type="paragraph" w:customStyle="1" w:styleId="Paratitle">
    <w:name w:val="Para title"/>
    <w:basedOn w:val="Normal"/>
    <w:rsid w:val="003613D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3613DA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3613D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3613D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3613DA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rsid w:val="003613DA"/>
    <w:rPr>
      <w:color w:val="0000FF"/>
      <w:u w:val="single"/>
    </w:rPr>
  </w:style>
  <w:style w:type="character" w:customStyle="1" w:styleId="ParaNumChar">
    <w:name w:val="ParaNum Char"/>
    <w:link w:val="ParaNum"/>
    <w:rsid w:val="00A4099F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rsid w:val="00A4099F"/>
  </w:style>
  <w:style w:type="character" w:styleId="CommentReference">
    <w:name w:val="annotation reference"/>
    <w:basedOn w:val="DefaultParagraphFont"/>
    <w:rsid w:val="004913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3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13C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91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3C6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491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3C6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AA0BA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8C1A82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CA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477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3428</Characters>
  <Application>Microsoft Office Word</Application>
  <DocSecurity>0</DocSecurity>
  <Lines>93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2017-08-16T11:53:00Z</dcterms:created>
  <dcterms:modified xsi:type="dcterms:W3CDTF">2017-08-16T11:53:00Z</dcterms:modified>
  <cp:category> </cp:category>
  <cp:contentStatus> </cp:contentStatus>
</cp:coreProperties>
</file>