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FED3C8" w14:textId="77777777" w:rsidR="005F5E9B" w:rsidRPr="00467DF9" w:rsidRDefault="005F5E9B" w:rsidP="005F5E9B">
      <w:pPr>
        <w:jc w:val="center"/>
        <w:rPr>
          <w:b/>
          <w:szCs w:val="22"/>
        </w:rPr>
      </w:pPr>
      <w:bookmarkStart w:id="0" w:name="_GoBack"/>
      <w:bookmarkEnd w:id="0"/>
      <w:r w:rsidRPr="00467DF9">
        <w:rPr>
          <w:rFonts w:eastAsia="Times New Roman Bold"/>
          <w:b/>
          <w:kern w:val="0"/>
          <w:szCs w:val="22"/>
        </w:rPr>
        <w:t>Before</w:t>
      </w:r>
      <w:r w:rsidRPr="00467DF9">
        <w:rPr>
          <w:b/>
          <w:szCs w:val="22"/>
        </w:rPr>
        <w:t xml:space="preserve"> the</w:t>
      </w:r>
    </w:p>
    <w:p w14:paraId="030F4D24" w14:textId="77777777" w:rsidR="005F5E9B" w:rsidRPr="00467DF9" w:rsidRDefault="005F5E9B" w:rsidP="005F5E9B">
      <w:pPr>
        <w:pStyle w:val="StyleBoldCentered"/>
        <w:rPr>
          <w:rFonts w:ascii="Times New Roman" w:hAnsi="Times New Roman"/>
        </w:rPr>
      </w:pPr>
      <w:r w:rsidRPr="00467DF9">
        <w:rPr>
          <w:rFonts w:ascii="Times New Roman" w:hAnsi="Times New Roman"/>
        </w:rPr>
        <w:t>F</w:t>
      </w:r>
      <w:r w:rsidRPr="00467DF9">
        <w:rPr>
          <w:rFonts w:ascii="Times New Roman" w:hAnsi="Times New Roman"/>
          <w:caps w:val="0"/>
        </w:rPr>
        <w:t>ederal Communications Commission</w:t>
      </w:r>
    </w:p>
    <w:p w14:paraId="7D0F1B5E" w14:textId="77777777" w:rsidR="005F5E9B" w:rsidRPr="00467DF9" w:rsidRDefault="005F5E9B" w:rsidP="005F5E9B">
      <w:pPr>
        <w:pStyle w:val="StyleBoldCentered"/>
        <w:rPr>
          <w:rFonts w:ascii="Times New Roman" w:hAnsi="Times New Roman"/>
        </w:rPr>
      </w:pPr>
      <w:r w:rsidRPr="00467DF9">
        <w:rPr>
          <w:rFonts w:ascii="Times New Roman" w:hAnsi="Times New Roman"/>
          <w:caps w:val="0"/>
        </w:rPr>
        <w:t>Washington, D.C. 20554</w:t>
      </w:r>
    </w:p>
    <w:p w14:paraId="4799D551" w14:textId="77777777" w:rsidR="005F5E9B" w:rsidRPr="00467DF9" w:rsidRDefault="005F5E9B" w:rsidP="005F5E9B">
      <w:pPr>
        <w:rPr>
          <w:szCs w:val="22"/>
        </w:rPr>
      </w:pPr>
    </w:p>
    <w:p w14:paraId="7399720B" w14:textId="77777777" w:rsidR="005F5E9B" w:rsidRPr="00467DF9" w:rsidRDefault="005F5E9B" w:rsidP="005F5E9B">
      <w:pPr>
        <w:rPr>
          <w:szCs w:val="22"/>
        </w:rPr>
      </w:pPr>
    </w:p>
    <w:tbl>
      <w:tblPr>
        <w:tblW w:w="0" w:type="auto"/>
        <w:tblLayout w:type="fixed"/>
        <w:tblLook w:val="0000" w:firstRow="0" w:lastRow="0" w:firstColumn="0" w:lastColumn="0" w:noHBand="0" w:noVBand="0"/>
      </w:tblPr>
      <w:tblGrid>
        <w:gridCol w:w="4698"/>
        <w:gridCol w:w="630"/>
        <w:gridCol w:w="4248"/>
      </w:tblGrid>
      <w:tr w:rsidR="005F5E9B" w:rsidRPr="00467DF9" w14:paraId="6A02B4D5" w14:textId="77777777" w:rsidTr="00FE072B">
        <w:tc>
          <w:tcPr>
            <w:tcW w:w="4698" w:type="dxa"/>
          </w:tcPr>
          <w:p w14:paraId="60B9063B" w14:textId="77777777" w:rsidR="005F5E9B" w:rsidRPr="00467DF9" w:rsidRDefault="005F5E9B" w:rsidP="00FE072B">
            <w:pPr>
              <w:tabs>
                <w:tab w:val="center" w:pos="4680"/>
              </w:tabs>
              <w:suppressAutoHyphens/>
              <w:rPr>
                <w:spacing w:val="-2"/>
                <w:szCs w:val="22"/>
              </w:rPr>
            </w:pPr>
            <w:r w:rsidRPr="00467DF9">
              <w:rPr>
                <w:spacing w:val="-2"/>
                <w:szCs w:val="22"/>
              </w:rPr>
              <w:t>In the Matter of</w:t>
            </w:r>
          </w:p>
          <w:p w14:paraId="3530F78D" w14:textId="77777777" w:rsidR="005F5E9B" w:rsidRPr="00467DF9" w:rsidRDefault="005F5E9B" w:rsidP="00FE072B">
            <w:pPr>
              <w:tabs>
                <w:tab w:val="center" w:pos="4680"/>
              </w:tabs>
              <w:suppressAutoHyphens/>
              <w:rPr>
                <w:spacing w:val="-2"/>
                <w:szCs w:val="22"/>
              </w:rPr>
            </w:pPr>
          </w:p>
          <w:p w14:paraId="3295A833" w14:textId="77777777" w:rsidR="005F5E9B" w:rsidRPr="00467DF9" w:rsidRDefault="005F5E9B" w:rsidP="00FE072B">
            <w:pPr>
              <w:tabs>
                <w:tab w:val="center" w:pos="4680"/>
              </w:tabs>
              <w:suppressAutoHyphens/>
              <w:rPr>
                <w:spacing w:val="-2"/>
                <w:szCs w:val="22"/>
              </w:rPr>
            </w:pPr>
            <w:r w:rsidRPr="00467DF9">
              <w:rPr>
                <w:spacing w:val="-2"/>
                <w:szCs w:val="22"/>
              </w:rPr>
              <w:t>Application of Razorcake/Gorsky Press, Inc.</w:t>
            </w:r>
          </w:p>
          <w:p w14:paraId="32628D69" w14:textId="77777777" w:rsidR="005F5E9B" w:rsidRPr="00467DF9" w:rsidRDefault="005F5E9B" w:rsidP="00FE072B">
            <w:pPr>
              <w:tabs>
                <w:tab w:val="center" w:pos="4680"/>
              </w:tabs>
              <w:suppressAutoHyphens/>
              <w:rPr>
                <w:spacing w:val="-2"/>
                <w:szCs w:val="22"/>
              </w:rPr>
            </w:pPr>
            <w:r w:rsidRPr="00467DF9">
              <w:rPr>
                <w:spacing w:val="-2"/>
                <w:szCs w:val="22"/>
              </w:rPr>
              <w:t xml:space="preserve">For a New LPFM Station at Pasadena, California </w:t>
            </w:r>
          </w:p>
        </w:tc>
        <w:tc>
          <w:tcPr>
            <w:tcW w:w="630" w:type="dxa"/>
          </w:tcPr>
          <w:p w14:paraId="09D7C9AB" w14:textId="77777777" w:rsidR="005F5E9B" w:rsidRPr="00467DF9" w:rsidRDefault="005F5E9B" w:rsidP="00FE072B">
            <w:pPr>
              <w:tabs>
                <w:tab w:val="center" w:pos="4680"/>
              </w:tabs>
              <w:suppressAutoHyphens/>
              <w:rPr>
                <w:b/>
                <w:spacing w:val="-2"/>
                <w:szCs w:val="22"/>
              </w:rPr>
            </w:pPr>
            <w:r w:rsidRPr="00467DF9">
              <w:rPr>
                <w:b/>
                <w:spacing w:val="-2"/>
                <w:szCs w:val="22"/>
              </w:rPr>
              <w:t>)</w:t>
            </w:r>
          </w:p>
          <w:p w14:paraId="36605467" w14:textId="77777777" w:rsidR="005F5E9B" w:rsidRPr="00467DF9" w:rsidRDefault="005F5E9B" w:rsidP="00FE072B">
            <w:pPr>
              <w:tabs>
                <w:tab w:val="center" w:pos="4680"/>
              </w:tabs>
              <w:suppressAutoHyphens/>
              <w:rPr>
                <w:b/>
                <w:szCs w:val="22"/>
              </w:rPr>
            </w:pPr>
            <w:r w:rsidRPr="00467DF9">
              <w:rPr>
                <w:b/>
                <w:spacing w:val="-2"/>
                <w:szCs w:val="22"/>
              </w:rPr>
              <w:t>)</w:t>
            </w:r>
          </w:p>
          <w:p w14:paraId="2892BE7F" w14:textId="77777777" w:rsidR="005F5E9B" w:rsidRPr="00467DF9" w:rsidRDefault="005F5E9B" w:rsidP="00FE072B">
            <w:pPr>
              <w:tabs>
                <w:tab w:val="center" w:pos="4680"/>
              </w:tabs>
              <w:suppressAutoHyphens/>
              <w:rPr>
                <w:b/>
                <w:szCs w:val="22"/>
              </w:rPr>
            </w:pPr>
            <w:r w:rsidRPr="00467DF9">
              <w:rPr>
                <w:b/>
                <w:spacing w:val="-2"/>
                <w:szCs w:val="22"/>
              </w:rPr>
              <w:t>)</w:t>
            </w:r>
          </w:p>
          <w:p w14:paraId="20A2E821" w14:textId="77777777" w:rsidR="005F5E9B" w:rsidRPr="00467DF9" w:rsidRDefault="005F5E9B" w:rsidP="00FE072B">
            <w:pPr>
              <w:tabs>
                <w:tab w:val="center" w:pos="4680"/>
              </w:tabs>
              <w:suppressAutoHyphens/>
              <w:rPr>
                <w:b/>
                <w:szCs w:val="22"/>
              </w:rPr>
            </w:pPr>
            <w:r w:rsidRPr="00467DF9">
              <w:rPr>
                <w:b/>
                <w:spacing w:val="-2"/>
                <w:szCs w:val="22"/>
              </w:rPr>
              <w:t>)</w:t>
            </w:r>
          </w:p>
          <w:p w14:paraId="24AFF33C" w14:textId="77777777" w:rsidR="005F5E9B" w:rsidRPr="00467DF9" w:rsidRDefault="005F5E9B" w:rsidP="00FE072B">
            <w:pPr>
              <w:tabs>
                <w:tab w:val="center" w:pos="4680"/>
              </w:tabs>
              <w:suppressAutoHyphens/>
              <w:rPr>
                <w:b/>
                <w:szCs w:val="22"/>
              </w:rPr>
            </w:pPr>
            <w:r w:rsidRPr="00467DF9">
              <w:rPr>
                <w:b/>
                <w:spacing w:val="-2"/>
                <w:szCs w:val="22"/>
              </w:rPr>
              <w:t>)</w:t>
            </w:r>
          </w:p>
          <w:p w14:paraId="0D1315F3" w14:textId="77777777" w:rsidR="005F5E9B" w:rsidRPr="00467DF9" w:rsidRDefault="005F5E9B" w:rsidP="00FE072B">
            <w:pPr>
              <w:tabs>
                <w:tab w:val="center" w:pos="4680"/>
              </w:tabs>
              <w:suppressAutoHyphens/>
              <w:rPr>
                <w:spacing w:val="-2"/>
                <w:szCs w:val="22"/>
              </w:rPr>
            </w:pPr>
          </w:p>
        </w:tc>
        <w:tc>
          <w:tcPr>
            <w:tcW w:w="4248" w:type="dxa"/>
          </w:tcPr>
          <w:p w14:paraId="303DB3E4" w14:textId="77777777" w:rsidR="005F5E9B" w:rsidRPr="00467DF9" w:rsidRDefault="005F5E9B" w:rsidP="00FE072B">
            <w:pPr>
              <w:tabs>
                <w:tab w:val="center" w:pos="4680"/>
              </w:tabs>
              <w:suppressAutoHyphens/>
              <w:rPr>
                <w:spacing w:val="-2"/>
                <w:szCs w:val="22"/>
              </w:rPr>
            </w:pPr>
          </w:p>
          <w:p w14:paraId="4A2AF689" w14:textId="77777777" w:rsidR="005F5E9B" w:rsidRPr="00467DF9" w:rsidRDefault="005F5E9B" w:rsidP="00FE072B">
            <w:pPr>
              <w:pStyle w:val="TOAHeading"/>
              <w:tabs>
                <w:tab w:val="clear" w:pos="9360"/>
                <w:tab w:val="center" w:pos="4680"/>
              </w:tabs>
              <w:rPr>
                <w:spacing w:val="-2"/>
                <w:szCs w:val="22"/>
              </w:rPr>
            </w:pPr>
          </w:p>
          <w:p w14:paraId="6D40D543" w14:textId="77777777" w:rsidR="005F5E9B" w:rsidRPr="00467DF9" w:rsidRDefault="005F5E9B" w:rsidP="00FE072B">
            <w:pPr>
              <w:tabs>
                <w:tab w:val="center" w:pos="4680"/>
              </w:tabs>
              <w:suppressAutoHyphens/>
              <w:rPr>
                <w:spacing w:val="-2"/>
                <w:szCs w:val="22"/>
              </w:rPr>
            </w:pPr>
            <w:r w:rsidRPr="00467DF9">
              <w:rPr>
                <w:spacing w:val="-2"/>
                <w:szCs w:val="22"/>
              </w:rPr>
              <w:t>File No. BNPL-20131114AXZ</w:t>
            </w:r>
          </w:p>
          <w:p w14:paraId="6B424FF7" w14:textId="77777777" w:rsidR="005F5E9B" w:rsidRPr="00467DF9" w:rsidRDefault="005F5E9B" w:rsidP="00FE072B">
            <w:pPr>
              <w:tabs>
                <w:tab w:val="center" w:pos="4680"/>
              </w:tabs>
              <w:suppressAutoHyphens/>
              <w:rPr>
                <w:spacing w:val="-2"/>
                <w:szCs w:val="22"/>
              </w:rPr>
            </w:pPr>
            <w:r w:rsidRPr="00467DF9">
              <w:rPr>
                <w:spacing w:val="-2"/>
                <w:szCs w:val="22"/>
              </w:rPr>
              <w:t>Facility ID No. 195577</w:t>
            </w:r>
          </w:p>
        </w:tc>
      </w:tr>
    </w:tbl>
    <w:p w14:paraId="04E04432" w14:textId="77777777" w:rsidR="005F5E9B" w:rsidRPr="00467DF9" w:rsidRDefault="005F5E9B" w:rsidP="005F5E9B">
      <w:pPr>
        <w:rPr>
          <w:szCs w:val="22"/>
        </w:rPr>
      </w:pPr>
    </w:p>
    <w:p w14:paraId="2AA4EC76" w14:textId="454DDA04" w:rsidR="005F5E9B" w:rsidRPr="00467DF9" w:rsidRDefault="00A417BB" w:rsidP="005F5E9B">
      <w:pPr>
        <w:pStyle w:val="StyleBoldCentered"/>
        <w:rPr>
          <w:rFonts w:ascii="Times New Roman" w:hAnsi="Times New Roman"/>
        </w:rPr>
      </w:pPr>
      <w:r>
        <w:rPr>
          <w:rFonts w:ascii="Times New Roman" w:hAnsi="Times New Roman"/>
        </w:rPr>
        <w:t>order on reconsideration</w:t>
      </w:r>
    </w:p>
    <w:p w14:paraId="14102A7C" w14:textId="77777777" w:rsidR="005F5E9B" w:rsidRPr="00467DF9" w:rsidRDefault="005F5E9B" w:rsidP="005F5E9B">
      <w:pPr>
        <w:tabs>
          <w:tab w:val="left" w:pos="-720"/>
        </w:tabs>
        <w:suppressAutoHyphens/>
        <w:spacing w:line="227" w:lineRule="auto"/>
        <w:rPr>
          <w:spacing w:val="-2"/>
          <w:szCs w:val="22"/>
        </w:rPr>
      </w:pPr>
    </w:p>
    <w:p w14:paraId="4B3A92B0" w14:textId="24A834F9" w:rsidR="005F5E9B" w:rsidRPr="00467DF9" w:rsidRDefault="005F5E9B" w:rsidP="005F5E9B">
      <w:pPr>
        <w:tabs>
          <w:tab w:val="left" w:pos="720"/>
          <w:tab w:val="right" w:pos="9360"/>
        </w:tabs>
        <w:suppressAutoHyphens/>
        <w:spacing w:line="227" w:lineRule="auto"/>
        <w:rPr>
          <w:spacing w:val="-2"/>
          <w:szCs w:val="22"/>
        </w:rPr>
      </w:pPr>
      <w:r w:rsidRPr="00467DF9">
        <w:rPr>
          <w:b/>
          <w:spacing w:val="-2"/>
          <w:szCs w:val="22"/>
        </w:rPr>
        <w:t xml:space="preserve">Adopted:  </w:t>
      </w:r>
      <w:r w:rsidR="00D17005">
        <w:rPr>
          <w:b/>
          <w:szCs w:val="22"/>
        </w:rPr>
        <w:t>August</w:t>
      </w:r>
      <w:r w:rsidR="00D17005" w:rsidRPr="00041096">
        <w:rPr>
          <w:b/>
          <w:szCs w:val="22"/>
        </w:rPr>
        <w:t xml:space="preserve"> </w:t>
      </w:r>
      <w:r w:rsidR="00BC455F">
        <w:rPr>
          <w:b/>
          <w:szCs w:val="22"/>
        </w:rPr>
        <w:t>16</w:t>
      </w:r>
      <w:r w:rsidRPr="00041096">
        <w:rPr>
          <w:b/>
          <w:szCs w:val="22"/>
        </w:rPr>
        <w:t>, 2017</w:t>
      </w:r>
      <w:r w:rsidRPr="00467DF9">
        <w:rPr>
          <w:b/>
          <w:spacing w:val="-2"/>
          <w:szCs w:val="22"/>
        </w:rPr>
        <w:tab/>
        <w:t xml:space="preserve">Released: </w:t>
      </w:r>
      <w:r w:rsidRPr="00467DF9">
        <w:rPr>
          <w:b/>
          <w:bCs/>
          <w:spacing w:val="-2"/>
          <w:szCs w:val="22"/>
        </w:rPr>
        <w:t xml:space="preserve">  </w:t>
      </w:r>
      <w:r w:rsidR="00D17005">
        <w:rPr>
          <w:b/>
          <w:spacing w:val="-2"/>
          <w:szCs w:val="22"/>
        </w:rPr>
        <w:t xml:space="preserve">August </w:t>
      </w:r>
      <w:r w:rsidR="00BC455F">
        <w:rPr>
          <w:b/>
          <w:spacing w:val="-2"/>
          <w:szCs w:val="22"/>
        </w:rPr>
        <w:t>16</w:t>
      </w:r>
      <w:r>
        <w:rPr>
          <w:b/>
          <w:spacing w:val="-2"/>
          <w:szCs w:val="22"/>
        </w:rPr>
        <w:t>, 2017</w:t>
      </w:r>
    </w:p>
    <w:p w14:paraId="211A5A42" w14:textId="77777777" w:rsidR="005F5E9B" w:rsidRPr="00467DF9" w:rsidRDefault="005F5E9B" w:rsidP="005F5E9B">
      <w:pPr>
        <w:rPr>
          <w:szCs w:val="22"/>
        </w:rPr>
      </w:pPr>
    </w:p>
    <w:p w14:paraId="0B05542C" w14:textId="19AFE0F2" w:rsidR="005F5E9B" w:rsidRPr="008A2A40" w:rsidRDefault="005F5E9B" w:rsidP="005F5E9B">
      <w:pPr>
        <w:rPr>
          <w:spacing w:val="-2"/>
          <w:szCs w:val="22"/>
        </w:rPr>
      </w:pPr>
      <w:r w:rsidRPr="00D9109D">
        <w:rPr>
          <w:szCs w:val="22"/>
        </w:rPr>
        <w:t xml:space="preserve">By the </w:t>
      </w:r>
      <w:r w:rsidR="005E5A2C">
        <w:rPr>
          <w:spacing w:val="-2"/>
          <w:szCs w:val="22"/>
        </w:rPr>
        <w:t>Chief, Media Bureau</w:t>
      </w:r>
      <w:r w:rsidRPr="008A2A40">
        <w:rPr>
          <w:szCs w:val="22"/>
        </w:rPr>
        <w:t>:</w:t>
      </w:r>
    </w:p>
    <w:p w14:paraId="667AC651" w14:textId="77777777" w:rsidR="005F5E9B" w:rsidRPr="00E913D8" w:rsidRDefault="005F5E9B" w:rsidP="005F5E9B">
      <w:pPr>
        <w:rPr>
          <w:spacing w:val="-2"/>
          <w:szCs w:val="22"/>
        </w:rPr>
      </w:pPr>
    </w:p>
    <w:p w14:paraId="3113F601" w14:textId="679347E0" w:rsidR="00435EE3" w:rsidRDefault="00435EE3" w:rsidP="00435EE3">
      <w:pPr>
        <w:pStyle w:val="Heading1"/>
      </w:pPr>
      <w:r>
        <w:t xml:space="preserve">introduction </w:t>
      </w:r>
    </w:p>
    <w:p w14:paraId="1CEE0B5E" w14:textId="43502A04" w:rsidR="006A2C7F" w:rsidRDefault="00A74AFB" w:rsidP="005266BE">
      <w:pPr>
        <w:pStyle w:val="ParaNum"/>
      </w:pPr>
      <w:r>
        <w:t xml:space="preserve">In this Order on Reconsideration, we dismiss </w:t>
      </w:r>
      <w:r w:rsidR="00B55476">
        <w:t>a</w:t>
      </w:r>
      <w:r>
        <w:t xml:space="preserve"> </w:t>
      </w:r>
      <w:r w:rsidR="00A417BB">
        <w:t>Petition for Reconsideration</w:t>
      </w:r>
      <w:r w:rsidR="000F438C">
        <w:t xml:space="preserve"> (Petition)</w:t>
      </w:r>
      <w:r w:rsidR="00A417BB">
        <w:t xml:space="preserve"> filed by Educational Media Foundation (EMF) on April 21, 2017.  EMF seeks reconsideration of the Commission’s Memorandum Opinion and Order </w:t>
      </w:r>
      <w:r w:rsidR="00B246AA">
        <w:t>(</w:t>
      </w:r>
      <w:r w:rsidR="00B246AA" w:rsidRPr="00613A34">
        <w:t>Order</w:t>
      </w:r>
      <w:r w:rsidR="00B246AA">
        <w:t xml:space="preserve">) </w:t>
      </w:r>
      <w:r w:rsidR="00A417BB">
        <w:t xml:space="preserve">in </w:t>
      </w:r>
      <w:r w:rsidR="00B246AA" w:rsidRPr="00B246AA">
        <w:t>this proceeding</w:t>
      </w:r>
      <w:r w:rsidR="00380E48">
        <w:t>.</w:t>
      </w:r>
      <w:r w:rsidR="00380E48">
        <w:rPr>
          <w:rStyle w:val="FootnoteReference"/>
        </w:rPr>
        <w:footnoteReference w:id="2"/>
      </w:r>
      <w:r w:rsidR="00A417BB">
        <w:t xml:space="preserve">  </w:t>
      </w:r>
      <w:r w:rsidR="006A2C7F">
        <w:t xml:space="preserve">Therein, the Commission denied EMF’s Application for Review of a Media Bureau (Bureau) decision that </w:t>
      </w:r>
      <w:r w:rsidR="006A2C7F" w:rsidRPr="00404F0B">
        <w:t xml:space="preserve">granted </w:t>
      </w:r>
      <w:r w:rsidR="006A2C7F">
        <w:t>the above-referenced application (Application) and the request for waiver</w:t>
      </w:r>
      <w:r w:rsidR="006A2C7F" w:rsidRPr="00404F0B">
        <w:t xml:space="preserve"> </w:t>
      </w:r>
      <w:r w:rsidR="005266BE">
        <w:t>which accompanied it</w:t>
      </w:r>
      <w:r w:rsidR="006A2C7F" w:rsidRPr="00435EE3">
        <w:t>.</w:t>
      </w:r>
    </w:p>
    <w:p w14:paraId="5775A96D" w14:textId="77777777" w:rsidR="001A7CB3" w:rsidRDefault="001A7CB3" w:rsidP="001A7CB3">
      <w:pPr>
        <w:pStyle w:val="Heading1"/>
      </w:pPr>
      <w:r>
        <w:t>BACKGROUND</w:t>
      </w:r>
    </w:p>
    <w:p w14:paraId="339BB81D" w14:textId="0446BD8E" w:rsidR="0023609E" w:rsidRDefault="0023609E" w:rsidP="00E46F69">
      <w:pPr>
        <w:pStyle w:val="ParaNum"/>
        <w:widowControl/>
        <w:spacing w:before="240"/>
      </w:pPr>
      <w:r>
        <w:t xml:space="preserve">EMF is the licensee of KYLA(FM), Fountain Valley, California, which is co-channel to the </w:t>
      </w:r>
      <w:r w:rsidR="00B55476">
        <w:t xml:space="preserve">new </w:t>
      </w:r>
      <w:r w:rsidR="00613A34">
        <w:t>low power FM (LPFM)</w:t>
      </w:r>
      <w:r>
        <w:t xml:space="preserve"> station</w:t>
      </w:r>
      <w:r w:rsidR="00613A34">
        <w:t xml:space="preserve"> proposed</w:t>
      </w:r>
      <w:r w:rsidR="00B55476">
        <w:t xml:space="preserve"> in the Application.</w:t>
      </w:r>
      <w:r>
        <w:t xml:space="preserve">  EMF objected to</w:t>
      </w:r>
      <w:r w:rsidR="007911A9">
        <w:t xml:space="preserve"> the Application, asserting the </w:t>
      </w:r>
      <w:r w:rsidR="001A5A38">
        <w:t xml:space="preserve">proposed LPFM station </w:t>
      </w:r>
      <w:r>
        <w:t xml:space="preserve">would cause interference to </w:t>
      </w:r>
      <w:r w:rsidR="00B55476">
        <w:t>KYLA(FM)</w:t>
      </w:r>
      <w:r w:rsidR="006A2C7F">
        <w:t xml:space="preserve"> and thus did not satisfy</w:t>
      </w:r>
      <w:r w:rsidR="006A2C7F" w:rsidRPr="008E4DB5">
        <w:t xml:space="preserve"> the standar</w:t>
      </w:r>
      <w:r w:rsidR="006A2C7F">
        <w:t xml:space="preserve">d for </w:t>
      </w:r>
      <w:r w:rsidR="003F2191">
        <w:t xml:space="preserve">waiver (second-adjacent waiver) </w:t>
      </w:r>
      <w:r w:rsidR="003F2191" w:rsidRPr="00404F0B">
        <w:t>of the second-adjacent channel minimum distance separation requirements</w:t>
      </w:r>
      <w:r w:rsidR="003F2191">
        <w:rPr>
          <w:rStyle w:val="FootnoteReference"/>
        </w:rPr>
        <w:footnoteReference w:id="3"/>
      </w:r>
      <w:r w:rsidR="003F2191" w:rsidRPr="00404F0B">
        <w:t xml:space="preserve"> </w:t>
      </w:r>
      <w:r w:rsidR="006A2C7F">
        <w:t xml:space="preserve">set forth in Section 3(b)(2)(A) of the Local Communication Radio Act of 2010 (LCRA).  To reach this conclusion, EMF construed </w:t>
      </w:r>
      <w:r w:rsidR="00613A34">
        <w:t>Section 3(b)(2)(A)</w:t>
      </w:r>
      <w:r w:rsidR="005266BE">
        <w:t xml:space="preserve"> t</w:t>
      </w:r>
      <w:r w:rsidR="006A2C7F">
        <w:t xml:space="preserve">o require </w:t>
      </w:r>
      <w:r w:rsidRPr="008E4DB5">
        <w:t xml:space="preserve">an LPFM applicant seeking a second-adjacent waiver </w:t>
      </w:r>
      <w:r w:rsidR="006A2C7F">
        <w:t>to</w:t>
      </w:r>
      <w:r>
        <w:t xml:space="preserve"> </w:t>
      </w:r>
      <w:r w:rsidRPr="008E4DB5">
        <w:t xml:space="preserve">demonstrate </w:t>
      </w:r>
      <w:r>
        <w:t xml:space="preserve">that </w:t>
      </w:r>
      <w:r w:rsidR="003F2191">
        <w:t>its</w:t>
      </w:r>
      <w:r>
        <w:t xml:space="preserve"> proposed </w:t>
      </w:r>
      <w:r w:rsidR="00613A34">
        <w:t xml:space="preserve">LPFM </w:t>
      </w:r>
      <w:r>
        <w:t xml:space="preserve">station </w:t>
      </w:r>
      <w:r w:rsidRPr="008E4DB5">
        <w:t xml:space="preserve">will not cause interference to any radio station, not just those </w:t>
      </w:r>
      <w:r w:rsidR="001A5A38">
        <w:t xml:space="preserve">stations </w:t>
      </w:r>
      <w:r w:rsidRPr="008E4DB5">
        <w:t>operating on second-adjacent channels.</w:t>
      </w:r>
      <w:r>
        <w:t xml:space="preserve">  The Bureau rejected EMF’s reading of </w:t>
      </w:r>
      <w:r w:rsidR="005266BE">
        <w:t>Section 3(b)(2)(A)</w:t>
      </w:r>
      <w:r>
        <w:t xml:space="preserve">, finding an LPFM applicant seeking a second-adjacent waiver need only demonstrate that </w:t>
      </w:r>
      <w:r w:rsidR="003F2191">
        <w:t>its</w:t>
      </w:r>
      <w:r>
        <w:t xml:space="preserve"> proposed LPFM station will not cause interference to radio stations operating on second-adjacent channels</w:t>
      </w:r>
      <w:r w:rsidR="00FE58FA">
        <w:t xml:space="preserve">.  </w:t>
      </w:r>
      <w:r w:rsidR="00A71737">
        <w:t xml:space="preserve">The Commission </w:t>
      </w:r>
      <w:r w:rsidR="00FE58FA">
        <w:t xml:space="preserve">subsequently </w:t>
      </w:r>
      <w:r w:rsidR="00A71737">
        <w:t>upheld the Bureau’s decisio</w:t>
      </w:r>
      <w:r w:rsidR="00613A34">
        <w:t xml:space="preserve">n, affirming its reading of Section 3(b)(2)(A) </w:t>
      </w:r>
      <w:r w:rsidR="00A71737">
        <w:t>and rejecting EMF’s argument that the Bureau</w:t>
      </w:r>
      <w:r>
        <w:t xml:space="preserve"> </w:t>
      </w:r>
      <w:r>
        <w:lastRenderedPageBreak/>
        <w:t>should</w:t>
      </w:r>
      <w:r w:rsidR="00FE58FA">
        <w:t xml:space="preserve"> also</w:t>
      </w:r>
      <w:r>
        <w:t xml:space="preserve"> have considered whether grant of the waiver request would serve the public interest.</w:t>
      </w:r>
      <w:r w:rsidRPr="00BB60B3">
        <w:t xml:space="preserve">  </w:t>
      </w:r>
      <w:r w:rsidR="00A71737">
        <w:t>EMF now seeks reconsideration of the Commission’s decision.</w:t>
      </w:r>
      <w:r w:rsidR="00B55476">
        <w:rPr>
          <w:rStyle w:val="FootnoteReference"/>
        </w:rPr>
        <w:footnoteReference w:id="4"/>
      </w:r>
      <w:r w:rsidR="00A71737">
        <w:t xml:space="preserve"> </w:t>
      </w:r>
    </w:p>
    <w:p w14:paraId="690F2769" w14:textId="0567D478" w:rsidR="001A7CB3" w:rsidRDefault="001A7CB3" w:rsidP="001A7CB3">
      <w:pPr>
        <w:pStyle w:val="Heading1"/>
      </w:pPr>
      <w:r>
        <w:t>DISCUSSION</w:t>
      </w:r>
    </w:p>
    <w:p w14:paraId="28CACDDC" w14:textId="44E556D1" w:rsidR="00CA416E" w:rsidRDefault="001D2D7B" w:rsidP="00CA416E">
      <w:pPr>
        <w:pStyle w:val="ParaNum"/>
      </w:pPr>
      <w:r>
        <w:t>Section 1.106(p) of the Rules provides that “</w:t>
      </w:r>
      <w:r w:rsidR="001A7CB3" w:rsidRPr="001A7CB3">
        <w:t>[p]etitions for reconsideration of a Commission action that plainly do not warrant consideration by the Commission may be dismissed or denied by the r</w:t>
      </w:r>
      <w:r>
        <w:t>elevant bureau(s) or office(s).”</w:t>
      </w:r>
      <w:r>
        <w:rPr>
          <w:rStyle w:val="FootnoteReference"/>
        </w:rPr>
        <w:footnoteReference w:id="5"/>
      </w:r>
      <w:r w:rsidR="001A7CB3" w:rsidRPr="001A7CB3">
        <w:t xml:space="preserve"> </w:t>
      </w:r>
      <w:r>
        <w:t xml:space="preserve"> </w:t>
      </w:r>
      <w:r w:rsidR="00CA416E">
        <w:t>Petitions that do not warrant consideration include those that rely on “arguments that have been fully considered and rejected by the Commission within the same proceeding;”</w:t>
      </w:r>
      <w:r w:rsidR="00CA416E">
        <w:rPr>
          <w:rStyle w:val="FootnoteReference"/>
        </w:rPr>
        <w:footnoteReference w:id="6"/>
      </w:r>
      <w:r w:rsidR="00CA416E">
        <w:t xml:space="preserve"> and those that rely on “facts or arguments which have not previously been presented to the Commission and which do not meet the requirements of [Section 1.106(b)(2)].”</w:t>
      </w:r>
      <w:r w:rsidR="00CA416E">
        <w:rPr>
          <w:rStyle w:val="FootnoteReference"/>
        </w:rPr>
        <w:footnoteReference w:id="7"/>
      </w:r>
      <w:r w:rsidR="00CA416E">
        <w:t xml:space="preserve">  As we explain below, each of the facts and arguments set forth in the Petition falls into one of these two categories.  </w:t>
      </w:r>
    </w:p>
    <w:p w14:paraId="2E4219BB" w14:textId="5F6CB677" w:rsidR="001317CD" w:rsidRDefault="00CA416E" w:rsidP="001D2D7B">
      <w:pPr>
        <w:pStyle w:val="ParaNum"/>
      </w:pPr>
      <w:r>
        <w:t>In the Petition, EMF reprises its argument th</w:t>
      </w:r>
      <w:r w:rsidR="001D2D7B">
        <w:t xml:space="preserve">at Section 3(b)(2)(A) of the </w:t>
      </w:r>
      <w:r w:rsidR="001D2D7B" w:rsidRPr="005F3C91">
        <w:t>LCRA</w:t>
      </w:r>
      <w:r w:rsidR="001D2D7B">
        <w:t xml:space="preserve"> require</w:t>
      </w:r>
      <w:r w:rsidR="009210F8">
        <w:t>s</w:t>
      </w:r>
      <w:r w:rsidR="001D2D7B">
        <w:t xml:space="preserve"> an LPFM applicant seeking a second-adjacent waiver to demonstrate that the proposed LPFM station will not cause interference to any radio station, not just radio stations operating on second-adjacent channels.</w:t>
      </w:r>
      <w:r w:rsidR="001D2D7B">
        <w:rPr>
          <w:rStyle w:val="FootnoteReference"/>
        </w:rPr>
        <w:footnoteReference w:id="8"/>
      </w:r>
      <w:r w:rsidR="001D2D7B">
        <w:t xml:space="preserve">  It also </w:t>
      </w:r>
      <w:r>
        <w:t>repeats EMF’s</w:t>
      </w:r>
      <w:r w:rsidR="001D2D7B">
        <w:t xml:space="preserve"> claim that the Bureau should have considered whether grant of the waiver “would harm the public interest.”</w:t>
      </w:r>
      <w:r w:rsidR="001D2D7B">
        <w:rPr>
          <w:rStyle w:val="FootnoteReference"/>
        </w:rPr>
        <w:footnoteReference w:id="9"/>
      </w:r>
      <w:r w:rsidR="001D2D7B">
        <w:t xml:space="preserve">  </w:t>
      </w:r>
      <w:r>
        <w:t>Both of these arguments were</w:t>
      </w:r>
      <w:r w:rsidRPr="001A7CB3">
        <w:t xml:space="preserve"> considered and rejected by the Commis</w:t>
      </w:r>
      <w:r>
        <w:t xml:space="preserve">sion in the </w:t>
      </w:r>
      <w:r w:rsidRPr="00DF3E3F">
        <w:t>Order</w:t>
      </w:r>
      <w:r>
        <w:t>.</w:t>
      </w:r>
      <w:r w:rsidR="00625C85">
        <w:rPr>
          <w:rStyle w:val="FootnoteReference"/>
        </w:rPr>
        <w:footnoteReference w:id="10"/>
      </w:r>
      <w:r w:rsidR="00DF3E3F">
        <w:t xml:space="preserve">  Accordingly, we will</w:t>
      </w:r>
      <w:r>
        <w:t xml:space="preserve"> dismiss </w:t>
      </w:r>
      <w:r w:rsidR="00DF3E3F">
        <w:t>them.  As the Commission has stated, r</w:t>
      </w:r>
      <w:r>
        <w:t>econsideration</w:t>
      </w:r>
      <w:r w:rsidRPr="001A7CB3">
        <w:t xml:space="preserve"> will not be granted for the purpose of debating matters on which </w:t>
      </w:r>
      <w:r w:rsidR="00625C85">
        <w:t xml:space="preserve">it </w:t>
      </w:r>
      <w:r w:rsidRPr="001A7CB3">
        <w:t>has deliberated and spoken.</w:t>
      </w:r>
      <w:r>
        <w:rPr>
          <w:rStyle w:val="FootnoteReference"/>
        </w:rPr>
        <w:footnoteReference w:id="11"/>
      </w:r>
      <w:r w:rsidRPr="001A7CB3">
        <w:t xml:space="preserve"> </w:t>
      </w:r>
      <w:r>
        <w:t xml:space="preserve"> </w:t>
      </w:r>
    </w:p>
    <w:p w14:paraId="35E79765" w14:textId="6C69BFDE" w:rsidR="009E3C00" w:rsidRDefault="00137125" w:rsidP="009E3C00">
      <w:pPr>
        <w:pStyle w:val="ParaNum"/>
      </w:pPr>
      <w:r>
        <w:t xml:space="preserve">We also dismiss </w:t>
      </w:r>
      <w:r w:rsidR="00DF3E3F">
        <w:t xml:space="preserve">the remaining portions of the Petition, in which EMF presents </w:t>
      </w:r>
      <w:r w:rsidR="001A7CB3" w:rsidRPr="001A7CB3">
        <w:t xml:space="preserve">new facts </w:t>
      </w:r>
      <w:r>
        <w:t>and</w:t>
      </w:r>
      <w:r w:rsidR="001A7CB3" w:rsidRPr="001A7CB3">
        <w:t xml:space="preserve"> arguments not previou</w:t>
      </w:r>
      <w:r>
        <w:t>sly presented to the Commission.</w:t>
      </w:r>
      <w:r>
        <w:rPr>
          <w:rStyle w:val="FootnoteReference"/>
        </w:rPr>
        <w:footnoteReference w:id="12"/>
      </w:r>
      <w:r>
        <w:t xml:space="preserve"> </w:t>
      </w:r>
      <w:r w:rsidR="001A7CB3" w:rsidRPr="001A7CB3">
        <w:t xml:space="preserve"> </w:t>
      </w:r>
      <w:r>
        <w:t>These</w:t>
      </w:r>
      <w:r w:rsidR="001A7CB3" w:rsidRPr="001A7CB3">
        <w:t xml:space="preserve"> facts and </w:t>
      </w:r>
      <w:r w:rsidR="001A7CB3" w:rsidRPr="001317CD">
        <w:t>arguments could have been presented earlier but were not, and are therefore subject to dismissal under Sections 1.106(p)(2) and 1.106(b)(2) of the Rules.</w:t>
      </w:r>
      <w:r w:rsidR="001D2D7B" w:rsidRPr="001317CD">
        <w:rPr>
          <w:rStyle w:val="FootnoteReference"/>
        </w:rPr>
        <w:footnoteReference w:id="13"/>
      </w:r>
      <w:r w:rsidR="001A7CB3" w:rsidRPr="001317CD">
        <w:t xml:space="preserve"> </w:t>
      </w:r>
      <w:r w:rsidR="00F04E4D">
        <w:t xml:space="preserve"> While EMF argues that consideration of the Petition is proper under Section 1.106(b)(2),</w:t>
      </w:r>
      <w:r w:rsidR="00DF3E3F">
        <w:rPr>
          <w:rStyle w:val="FootnoteReference"/>
        </w:rPr>
        <w:footnoteReference w:id="14"/>
      </w:r>
      <w:r w:rsidR="00F04E4D">
        <w:t xml:space="preserve"> we disagree.  Contrary to EMF’s assertion,</w:t>
      </w:r>
      <w:r w:rsidR="00F04E4D">
        <w:rPr>
          <w:rStyle w:val="FootnoteReference"/>
        </w:rPr>
        <w:footnoteReference w:id="15"/>
      </w:r>
      <w:r w:rsidR="000F438C">
        <w:t xml:space="preserve"> </w:t>
      </w:r>
      <w:r w:rsidR="00F04E4D">
        <w:t>release of the Order does not “amount[ ]</w:t>
      </w:r>
      <w:r w:rsidR="000F438C">
        <w:t xml:space="preserve"> to a substantial change in circumstance.”</w:t>
      </w:r>
      <w:r w:rsidR="007112AD">
        <w:rPr>
          <w:rStyle w:val="FootnoteReference"/>
        </w:rPr>
        <w:footnoteReference w:id="16"/>
      </w:r>
      <w:r w:rsidR="00EA2304">
        <w:t xml:space="preserve"> </w:t>
      </w:r>
      <w:r w:rsidR="009E3C00">
        <w:t xml:space="preserve"> Further, we find no merit to EMF’s claim that</w:t>
      </w:r>
      <w:r w:rsidR="00EA2304">
        <w:t xml:space="preserve"> </w:t>
      </w:r>
      <w:r w:rsidR="00D62811">
        <w:t xml:space="preserve">the </w:t>
      </w:r>
      <w:r w:rsidR="00D62811" w:rsidRPr="00DF3E3F">
        <w:t>Order</w:t>
      </w:r>
      <w:r w:rsidR="009E3C00">
        <w:t xml:space="preserve"> </w:t>
      </w:r>
      <w:r w:rsidR="009E3C00">
        <w:lastRenderedPageBreak/>
        <w:t>“contain[s]</w:t>
      </w:r>
      <w:r w:rsidR="00A417BB">
        <w:t xml:space="preserve"> justifications … not present in the Letter Decision …, </w:t>
      </w:r>
      <w:r w:rsidR="0038491A">
        <w:t>arguments</w:t>
      </w:r>
      <w:r w:rsidR="00A417BB">
        <w:t xml:space="preserve"> which could not have been known to EMF at the time it prepared its [Application for Review].”</w:t>
      </w:r>
      <w:r w:rsidR="00D62811">
        <w:rPr>
          <w:rStyle w:val="FootnoteReference"/>
        </w:rPr>
        <w:footnoteReference w:id="17"/>
      </w:r>
      <w:r w:rsidR="00A417BB">
        <w:t xml:space="preserve">  </w:t>
      </w:r>
      <w:r w:rsidR="001146CB">
        <w:t xml:space="preserve">EMF’s argument is particularly unavailing given the fact that the Bureau previously </w:t>
      </w:r>
      <w:r w:rsidR="00A56B22">
        <w:t xml:space="preserve">disposed of </w:t>
      </w:r>
      <w:r w:rsidR="001146CB">
        <w:t>the identical issues</w:t>
      </w:r>
      <w:r w:rsidR="00B92D0D">
        <w:t>—</w:t>
      </w:r>
      <w:r w:rsidR="00A56B22">
        <w:t>in virtually identical language</w:t>
      </w:r>
      <w:r w:rsidR="00B92D0D">
        <w:t>—</w:t>
      </w:r>
      <w:r w:rsidR="001146CB">
        <w:t>in a published decision released ten months prior to the filing of the EMF Application for Review</w:t>
      </w:r>
      <w:r w:rsidR="00A56B22">
        <w:t xml:space="preserve"> </w:t>
      </w:r>
      <w:r w:rsidR="00B92D0D">
        <w:t xml:space="preserve">and the fact that </w:t>
      </w:r>
      <w:r w:rsidR="00A56B22">
        <w:t xml:space="preserve">EMF’s counsel represented </w:t>
      </w:r>
      <w:r w:rsidR="008849C0">
        <w:t>the party</w:t>
      </w:r>
      <w:r w:rsidR="00A56B22">
        <w:t xml:space="preserve"> </w:t>
      </w:r>
      <w:r w:rsidR="00871FBD">
        <w:t>advanc</w:t>
      </w:r>
      <w:r w:rsidR="008849C0">
        <w:t>ing</w:t>
      </w:r>
      <w:r w:rsidR="00871FBD">
        <w:t xml:space="preserve"> these same </w:t>
      </w:r>
      <w:r w:rsidR="00A56B22">
        <w:t>issues</w:t>
      </w:r>
      <w:r w:rsidR="00B92D0D">
        <w:t xml:space="preserve"> in </w:t>
      </w:r>
      <w:r w:rsidR="008849C0">
        <w:t>that</w:t>
      </w:r>
      <w:r w:rsidR="00B92D0D">
        <w:t xml:space="preserve"> proceeding</w:t>
      </w:r>
      <w:r w:rsidR="001146CB">
        <w:t>.</w:t>
      </w:r>
      <w:r w:rsidR="001146CB">
        <w:rPr>
          <w:rStyle w:val="FootnoteReference"/>
        </w:rPr>
        <w:footnoteReference w:id="18"/>
      </w:r>
      <w:r w:rsidR="001146CB">
        <w:t xml:space="preserve"> </w:t>
      </w:r>
      <w:r w:rsidR="00D61BC0">
        <w:t xml:space="preserve"> </w:t>
      </w:r>
      <w:r w:rsidR="000254AA">
        <w:t>In any event, b</w:t>
      </w:r>
      <w:r w:rsidR="00FE072B">
        <w:t xml:space="preserve">ecause </w:t>
      </w:r>
      <w:r w:rsidR="009E3C00">
        <w:t xml:space="preserve">none of </w:t>
      </w:r>
      <w:r w:rsidR="00EA2704">
        <w:t xml:space="preserve">the </w:t>
      </w:r>
      <w:r w:rsidR="000254AA">
        <w:t xml:space="preserve">arguments presented in the </w:t>
      </w:r>
      <w:r w:rsidR="009E3C00">
        <w:t>Petition</w:t>
      </w:r>
      <w:r w:rsidR="000254AA">
        <w:t xml:space="preserve"> are based on new </w:t>
      </w:r>
      <w:r w:rsidR="009E3C00">
        <w:t>or</w:t>
      </w:r>
      <w:r w:rsidR="000254AA">
        <w:t xml:space="preserve"> newly discovered facts</w:t>
      </w:r>
      <w:r w:rsidR="00FE072B">
        <w:t xml:space="preserve">, Section 1.106(b)(2) bars </w:t>
      </w:r>
      <w:r w:rsidR="00DF3E3F">
        <w:t xml:space="preserve">their introduction </w:t>
      </w:r>
      <w:r w:rsidR="00FE072B">
        <w:t>at this stage in this proceeding</w:t>
      </w:r>
      <w:r w:rsidR="000254AA">
        <w:t>.</w:t>
      </w:r>
      <w:r w:rsidR="00EA2704">
        <w:rPr>
          <w:rStyle w:val="FootnoteReference"/>
        </w:rPr>
        <w:footnoteReference w:id="19"/>
      </w:r>
      <w:r w:rsidR="000254AA">
        <w:t xml:space="preserve">  </w:t>
      </w:r>
    </w:p>
    <w:p w14:paraId="0E3A9B41" w14:textId="77777777" w:rsidR="00AC12BC" w:rsidRDefault="00AC12BC">
      <w:pPr>
        <w:widowControl/>
        <w:rPr>
          <w:rFonts w:ascii="Times New Roman Bold" w:hAnsi="Times New Roman Bold"/>
          <w:b/>
          <w:caps/>
        </w:rPr>
      </w:pPr>
      <w:r>
        <w:br w:type="page"/>
      </w:r>
    </w:p>
    <w:p w14:paraId="7B4EB397" w14:textId="72C5181A" w:rsidR="001A7CB3" w:rsidRDefault="001A7CB3" w:rsidP="001A7CB3">
      <w:pPr>
        <w:pStyle w:val="Heading1"/>
      </w:pPr>
      <w:r>
        <w:t>CONCLUSION/ORDERING CLAUSE</w:t>
      </w:r>
    </w:p>
    <w:p w14:paraId="10DD9686" w14:textId="16D85E78" w:rsidR="005224FE" w:rsidRPr="005224FE" w:rsidRDefault="009E3C00" w:rsidP="009210F8">
      <w:pPr>
        <w:pStyle w:val="ParaNum"/>
      </w:pPr>
      <w:r>
        <w:t xml:space="preserve">For the reasons discussed above, </w:t>
      </w:r>
      <w:r w:rsidRPr="001317CD">
        <w:t>we</w:t>
      </w:r>
      <w:r>
        <w:t xml:space="preserve"> find that</w:t>
      </w:r>
      <w:r w:rsidRPr="001317CD">
        <w:t xml:space="preserve"> the Petition </w:t>
      </w:r>
      <w:r w:rsidRPr="001A7CB3">
        <w:t xml:space="preserve">relies upon impermissible facts and arguments. </w:t>
      </w:r>
      <w:r>
        <w:t xml:space="preserve"> </w:t>
      </w:r>
      <w:r w:rsidR="005224FE">
        <w:t>A</w:t>
      </w:r>
      <w:r w:rsidR="005224FE" w:rsidRPr="005224FE">
        <w:t xml:space="preserve">CCORDINGLY, IT IS ORDERED that the Petition for Reconsideration filed by </w:t>
      </w:r>
      <w:r>
        <w:t>Educational Media Foundation on April 21, 2017</w:t>
      </w:r>
      <w:r w:rsidR="005224FE" w:rsidRPr="005224FE">
        <w:t xml:space="preserve">, IS DISMISSED pursuant to Section 1.106(p) of the </w:t>
      </w:r>
      <w:r w:rsidR="00DF3E3F">
        <w:t>Commission’s</w:t>
      </w:r>
      <w:r w:rsidR="005224FE" w:rsidRPr="005224FE">
        <w:t xml:space="preserve"> Rules</w:t>
      </w:r>
      <w:r w:rsidR="00DF3E3F">
        <w:t>.</w:t>
      </w:r>
    </w:p>
    <w:p w14:paraId="4730D034" w14:textId="77777777" w:rsidR="005F5E9B" w:rsidRDefault="005F5E9B" w:rsidP="005F5E9B">
      <w:pPr>
        <w:rPr>
          <w:szCs w:val="22"/>
        </w:rPr>
      </w:pPr>
    </w:p>
    <w:p w14:paraId="36B03ABA" w14:textId="77777777" w:rsidR="005F5E9B" w:rsidRPr="008A2A40" w:rsidRDefault="005F5E9B" w:rsidP="005F5E9B">
      <w:pPr>
        <w:rPr>
          <w:szCs w:val="22"/>
        </w:rPr>
      </w:pPr>
      <w:r w:rsidRPr="008A2A40">
        <w:rPr>
          <w:szCs w:val="22"/>
        </w:rPr>
        <w:tab/>
      </w:r>
      <w:r w:rsidRPr="008A2A40">
        <w:rPr>
          <w:szCs w:val="22"/>
        </w:rPr>
        <w:tab/>
      </w:r>
      <w:r w:rsidRPr="008A2A40">
        <w:rPr>
          <w:szCs w:val="22"/>
        </w:rPr>
        <w:tab/>
      </w:r>
      <w:r w:rsidRPr="008A2A40">
        <w:rPr>
          <w:szCs w:val="22"/>
        </w:rPr>
        <w:tab/>
      </w:r>
      <w:r w:rsidRPr="008A2A40">
        <w:rPr>
          <w:szCs w:val="22"/>
        </w:rPr>
        <w:tab/>
      </w:r>
      <w:r w:rsidRPr="008A2A40">
        <w:rPr>
          <w:szCs w:val="22"/>
        </w:rPr>
        <w:tab/>
        <w:t>FEDERAL COMMUNICATIONS COMMISSION</w:t>
      </w:r>
    </w:p>
    <w:p w14:paraId="21C9B143" w14:textId="77777777" w:rsidR="005F5E9B" w:rsidRPr="008A2A40" w:rsidRDefault="005F5E9B" w:rsidP="005F5E9B">
      <w:pPr>
        <w:rPr>
          <w:szCs w:val="22"/>
        </w:rPr>
      </w:pPr>
    </w:p>
    <w:p w14:paraId="51A219F3" w14:textId="77777777" w:rsidR="005F5E9B" w:rsidRPr="00E913D8" w:rsidRDefault="005F5E9B" w:rsidP="005F5E9B">
      <w:pPr>
        <w:rPr>
          <w:szCs w:val="22"/>
        </w:rPr>
      </w:pPr>
    </w:p>
    <w:p w14:paraId="52CA6B79" w14:textId="77777777" w:rsidR="005F5E9B" w:rsidRPr="001D0DCB" w:rsidRDefault="005F5E9B" w:rsidP="005F5E9B">
      <w:pPr>
        <w:rPr>
          <w:szCs w:val="22"/>
        </w:rPr>
      </w:pPr>
    </w:p>
    <w:p w14:paraId="3A89E5E3" w14:textId="77777777" w:rsidR="005F5E9B" w:rsidRPr="001D0DCB" w:rsidRDefault="005F5E9B" w:rsidP="005F5E9B">
      <w:pPr>
        <w:rPr>
          <w:szCs w:val="22"/>
        </w:rPr>
      </w:pPr>
    </w:p>
    <w:p w14:paraId="574502A4" w14:textId="6252D019" w:rsidR="005F5E9B" w:rsidRPr="00404F0B" w:rsidRDefault="005F5E9B" w:rsidP="005F5E9B">
      <w:pPr>
        <w:rPr>
          <w:szCs w:val="22"/>
        </w:rPr>
      </w:pPr>
      <w:r w:rsidRPr="001D0DCB">
        <w:rPr>
          <w:szCs w:val="22"/>
        </w:rPr>
        <w:tab/>
      </w:r>
      <w:r w:rsidRPr="001D0DCB">
        <w:rPr>
          <w:szCs w:val="22"/>
        </w:rPr>
        <w:tab/>
      </w:r>
      <w:r w:rsidRPr="001D0DCB">
        <w:rPr>
          <w:szCs w:val="22"/>
        </w:rPr>
        <w:tab/>
      </w:r>
      <w:r w:rsidRPr="001D0DCB">
        <w:rPr>
          <w:szCs w:val="22"/>
        </w:rPr>
        <w:tab/>
      </w:r>
      <w:r w:rsidRPr="001D0DCB">
        <w:rPr>
          <w:szCs w:val="22"/>
        </w:rPr>
        <w:tab/>
      </w:r>
      <w:r w:rsidRPr="001D0DCB">
        <w:rPr>
          <w:szCs w:val="22"/>
        </w:rPr>
        <w:tab/>
      </w:r>
      <w:r w:rsidR="005224FE">
        <w:rPr>
          <w:szCs w:val="22"/>
        </w:rPr>
        <w:t>Michelle M. Carey</w:t>
      </w:r>
    </w:p>
    <w:p w14:paraId="0D832ADE" w14:textId="2DE002CB" w:rsidR="005F5E9B" w:rsidRPr="00725EB8" w:rsidRDefault="005F5E9B" w:rsidP="005F5E9B">
      <w:pPr>
        <w:rPr>
          <w:szCs w:val="22"/>
        </w:rPr>
      </w:pPr>
      <w:r w:rsidRPr="00404F0B">
        <w:rPr>
          <w:szCs w:val="22"/>
        </w:rPr>
        <w:tab/>
      </w:r>
      <w:r w:rsidRPr="00404F0B">
        <w:rPr>
          <w:szCs w:val="22"/>
        </w:rPr>
        <w:tab/>
      </w:r>
      <w:r w:rsidRPr="00404F0B">
        <w:rPr>
          <w:szCs w:val="22"/>
        </w:rPr>
        <w:tab/>
      </w:r>
      <w:r w:rsidRPr="00404F0B">
        <w:rPr>
          <w:szCs w:val="22"/>
        </w:rPr>
        <w:tab/>
      </w:r>
      <w:r w:rsidRPr="00404F0B">
        <w:rPr>
          <w:szCs w:val="22"/>
        </w:rPr>
        <w:tab/>
      </w:r>
      <w:r w:rsidR="005224FE">
        <w:rPr>
          <w:szCs w:val="22"/>
        </w:rPr>
        <w:tab/>
        <w:t>Chief, Media Bureau</w:t>
      </w:r>
    </w:p>
    <w:p w14:paraId="51F15429" w14:textId="77777777" w:rsidR="002C00E8" w:rsidRPr="005F5E9B" w:rsidRDefault="002C00E8" w:rsidP="005F5E9B"/>
    <w:sectPr w:rsidR="002C00E8" w:rsidRPr="005F5E9B"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B4049C" w14:textId="77777777" w:rsidR="00FE072B" w:rsidRDefault="00FE072B">
      <w:pPr>
        <w:spacing w:line="20" w:lineRule="exact"/>
      </w:pPr>
    </w:p>
  </w:endnote>
  <w:endnote w:type="continuationSeparator" w:id="0">
    <w:p w14:paraId="1BA7B488" w14:textId="77777777" w:rsidR="00FE072B" w:rsidRDefault="00FE072B">
      <w:r>
        <w:t xml:space="preserve"> </w:t>
      </w:r>
    </w:p>
  </w:endnote>
  <w:endnote w:type="continuationNotice" w:id="1">
    <w:p w14:paraId="34A6A626" w14:textId="77777777" w:rsidR="00FE072B" w:rsidRDefault="00FE072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00022FF" w:usb1="C000205B" w:usb2="00000009" w:usb3="00000000" w:csb0="000001D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Calibri Light">
    <w:charset w:val="00"/>
    <w:family w:val="swiss"/>
    <w:pitch w:val="variable"/>
    <w:sig w:usb0="E0002AFF"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A2DFD9" w14:textId="77777777" w:rsidR="00FE072B" w:rsidRDefault="00FE072B" w:rsidP="0055614C">
    <w:pPr>
      <w:pStyle w:val="Footer"/>
      <w:framePr w:wrap="around" w:vAnchor="text" w:hAnchor="margin" w:xAlign="center" w:y="1"/>
    </w:pPr>
    <w:r>
      <w:fldChar w:fldCharType="begin"/>
    </w:r>
    <w:r>
      <w:instrText xml:space="preserve">PAGE  </w:instrText>
    </w:r>
    <w:r>
      <w:fldChar w:fldCharType="end"/>
    </w:r>
  </w:p>
  <w:p w14:paraId="19722E33" w14:textId="77777777" w:rsidR="00FE072B" w:rsidRDefault="00FE07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1D0E0A" w14:textId="122887ED" w:rsidR="00FE072B" w:rsidRDefault="00FE072B" w:rsidP="0055614C">
    <w:pPr>
      <w:pStyle w:val="Footer"/>
      <w:framePr w:wrap="around" w:vAnchor="text" w:hAnchor="margin" w:xAlign="center" w:y="1"/>
    </w:pPr>
    <w:r>
      <w:fldChar w:fldCharType="begin"/>
    </w:r>
    <w:r>
      <w:instrText xml:space="preserve">PAGE  </w:instrText>
    </w:r>
    <w:r>
      <w:fldChar w:fldCharType="separate"/>
    </w:r>
    <w:r w:rsidR="004E4AFF">
      <w:rPr>
        <w:noProof/>
      </w:rPr>
      <w:t>2</w:t>
    </w:r>
    <w:r>
      <w:fldChar w:fldCharType="end"/>
    </w:r>
  </w:p>
  <w:p w14:paraId="68B048A8" w14:textId="77777777" w:rsidR="00FE072B" w:rsidRDefault="00FE072B">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653658" w14:textId="77777777" w:rsidR="00FE072B" w:rsidRDefault="00FE072B">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5BEB4B" w14:textId="77777777" w:rsidR="00FE072B" w:rsidRDefault="00FE072B">
      <w:r>
        <w:separator/>
      </w:r>
    </w:p>
  </w:footnote>
  <w:footnote w:type="continuationSeparator" w:id="0">
    <w:p w14:paraId="3B8B5D38" w14:textId="77777777" w:rsidR="00FE072B" w:rsidRDefault="00FE072B" w:rsidP="00C721AC">
      <w:pPr>
        <w:spacing w:before="120"/>
        <w:rPr>
          <w:sz w:val="20"/>
        </w:rPr>
      </w:pPr>
      <w:r>
        <w:rPr>
          <w:sz w:val="20"/>
        </w:rPr>
        <w:t xml:space="preserve">(Continued from previous page)  </w:t>
      </w:r>
      <w:r>
        <w:rPr>
          <w:sz w:val="20"/>
        </w:rPr>
        <w:separator/>
      </w:r>
    </w:p>
  </w:footnote>
  <w:footnote w:type="continuationNotice" w:id="1">
    <w:p w14:paraId="1F0BF3A5" w14:textId="77777777" w:rsidR="00FE072B" w:rsidRDefault="00FE072B" w:rsidP="00C721AC">
      <w:pPr>
        <w:jc w:val="right"/>
        <w:rPr>
          <w:sz w:val="20"/>
        </w:rPr>
      </w:pPr>
      <w:r>
        <w:rPr>
          <w:sz w:val="20"/>
        </w:rPr>
        <w:t>(continued….)</w:t>
      </w:r>
    </w:p>
  </w:footnote>
  <w:footnote w:id="2">
    <w:p w14:paraId="35EEBC5F" w14:textId="099B2D5D" w:rsidR="00FE072B" w:rsidRDefault="00FE072B">
      <w:pPr>
        <w:pStyle w:val="FootnoteText"/>
      </w:pPr>
      <w:r>
        <w:rPr>
          <w:rStyle w:val="FootnoteReference"/>
        </w:rPr>
        <w:footnoteRef/>
      </w:r>
      <w:r>
        <w:t xml:space="preserve"> Razorcake/Gorsky Press, Inc., Memorandum Opinion and Order, </w:t>
      </w:r>
      <w:r w:rsidR="006F4243">
        <w:t>32</w:t>
      </w:r>
      <w:r>
        <w:t xml:space="preserve"> FCC Rcd 2697 (2017) (</w:t>
      </w:r>
      <w:r w:rsidRPr="00380E48">
        <w:rPr>
          <w:i/>
        </w:rPr>
        <w:t>Order</w:t>
      </w:r>
      <w:r>
        <w:t>).</w:t>
      </w:r>
    </w:p>
  </w:footnote>
  <w:footnote w:id="3">
    <w:p w14:paraId="3AF5AC55" w14:textId="5A1862FA" w:rsidR="003F2191" w:rsidRDefault="003F2191" w:rsidP="003F2191">
      <w:pPr>
        <w:pStyle w:val="FootnoteText"/>
      </w:pPr>
      <w:r>
        <w:rPr>
          <w:rStyle w:val="FootnoteReference"/>
        </w:rPr>
        <w:footnoteRef/>
      </w:r>
      <w:r>
        <w:t xml:space="preserve"> Section 73.807 of the Commission’s rules (Rules) requires that LPFM stations be situated specific distances from other co-, first- and second-adjacent channel facilities.  Section 3(b)(2)(A) of the Local Community Radio Act of 2010 (LCRA), Pub. L. No. 111-371, 124 Stat. 4072 (2011), permits the Commission to waive the second-adjacent channel spacing requirements if an LPFM applicant demonstrates that its proposed LPFM facilities “will not result in interference to any authorized radio service.”  </w:t>
      </w:r>
      <w:r w:rsidRPr="006A2C7F">
        <w:rPr>
          <w:i/>
        </w:rPr>
        <w:t>See also</w:t>
      </w:r>
      <w:r>
        <w:t xml:space="preserve"> 47 CFR </w:t>
      </w:r>
      <w:r w:rsidRPr="005B080F">
        <w:rPr>
          <w:lang w:val="es-ES"/>
        </w:rPr>
        <w:t>§</w:t>
      </w:r>
      <w:r>
        <w:rPr>
          <w:lang w:val="es-ES"/>
        </w:rPr>
        <w:t xml:space="preserve"> 73.807(e)(1) (stating the</w:t>
      </w:r>
      <w:r w:rsidRPr="00EE3AD3">
        <w:t xml:space="preserve"> Commission will</w:t>
      </w:r>
      <w:r>
        <w:rPr>
          <w:lang w:val="es-ES"/>
        </w:rPr>
        <w:t xml:space="preserve"> entertain second-adjacent waiver requests and requiring that LPFM applicants requesting such waivers establish the proposed LPFM station’s “operations</w:t>
      </w:r>
      <w:r w:rsidRPr="00EE3AD3">
        <w:rPr>
          <w:lang w:val="es-ES"/>
        </w:rPr>
        <w:t xml:space="preserve"> will not result in interference to any authorized radio service</w:t>
      </w:r>
      <w:r>
        <w:rPr>
          <w:lang w:val="es-ES"/>
        </w:rPr>
        <w:t>”).</w:t>
      </w:r>
    </w:p>
  </w:footnote>
  <w:footnote w:id="4">
    <w:p w14:paraId="1FE2BBFC" w14:textId="45B232C2" w:rsidR="00B55476" w:rsidRDefault="00B55476" w:rsidP="00B55476">
      <w:pPr>
        <w:pStyle w:val="FootnoteText"/>
      </w:pPr>
      <w:r>
        <w:rPr>
          <w:rStyle w:val="FootnoteReference"/>
        </w:rPr>
        <w:footnoteRef/>
      </w:r>
      <w:r>
        <w:t xml:space="preserve"> Razorcake/Gorsky Press, Inc. </w:t>
      </w:r>
      <w:r w:rsidR="001146CB">
        <w:t xml:space="preserve">and Prometheus Radio Project </w:t>
      </w:r>
      <w:r>
        <w:t>opposed the Petition on May 25, 2017; EMF filed a Reply to Opposition (Reply) on June 1, 2017.</w:t>
      </w:r>
    </w:p>
  </w:footnote>
  <w:footnote w:id="5">
    <w:p w14:paraId="754EFD2D" w14:textId="14C1242C" w:rsidR="001D2D7B" w:rsidRDefault="001D2D7B">
      <w:pPr>
        <w:pStyle w:val="FootnoteText"/>
      </w:pPr>
      <w:r>
        <w:rPr>
          <w:rStyle w:val="FootnoteReference"/>
        </w:rPr>
        <w:footnoteRef/>
      </w:r>
      <w:r>
        <w:t xml:space="preserve"> </w:t>
      </w:r>
      <w:r w:rsidR="005F3C91">
        <w:t>47 CFR § 1.106(p).</w:t>
      </w:r>
    </w:p>
  </w:footnote>
  <w:footnote w:id="6">
    <w:p w14:paraId="7491E41B" w14:textId="3A68D4F8" w:rsidR="00CA416E" w:rsidRDefault="00CA416E">
      <w:pPr>
        <w:pStyle w:val="FootnoteText"/>
      </w:pPr>
      <w:r>
        <w:rPr>
          <w:rStyle w:val="FootnoteReference"/>
        </w:rPr>
        <w:footnoteRef/>
      </w:r>
      <w:r>
        <w:t xml:space="preserve"> 47 CFR § 1.106(p)(3).</w:t>
      </w:r>
    </w:p>
  </w:footnote>
  <w:footnote w:id="7">
    <w:p w14:paraId="56A5C1BA" w14:textId="3DE2266B" w:rsidR="00CA416E" w:rsidRDefault="00CA416E">
      <w:pPr>
        <w:pStyle w:val="FootnoteText"/>
      </w:pPr>
      <w:r>
        <w:rPr>
          <w:rStyle w:val="FootnoteReference"/>
        </w:rPr>
        <w:footnoteRef/>
      </w:r>
      <w:r>
        <w:t xml:space="preserve"> 47 CFR § 1.106(p)(2).</w:t>
      </w:r>
    </w:p>
  </w:footnote>
  <w:footnote w:id="8">
    <w:p w14:paraId="038A14C9" w14:textId="36C91823" w:rsidR="001D2D7B" w:rsidRPr="00AF3AB5" w:rsidRDefault="001D2D7B" w:rsidP="001D2D7B">
      <w:pPr>
        <w:pStyle w:val="FootnoteText"/>
        <w:rPr>
          <w:lang w:val="es-ES"/>
        </w:rPr>
      </w:pPr>
      <w:r>
        <w:rPr>
          <w:rStyle w:val="FootnoteReference"/>
        </w:rPr>
        <w:footnoteRef/>
      </w:r>
      <w:r w:rsidRPr="00AF3AB5">
        <w:rPr>
          <w:lang w:val="es-ES"/>
        </w:rPr>
        <w:t xml:space="preserve"> </w:t>
      </w:r>
      <w:r>
        <w:rPr>
          <w:lang w:val="es-ES"/>
        </w:rPr>
        <w:t xml:space="preserve">Petition at </w:t>
      </w:r>
      <w:r w:rsidR="00625C85">
        <w:rPr>
          <w:lang w:val="es-ES"/>
        </w:rPr>
        <w:t>3, 5-9.</w:t>
      </w:r>
    </w:p>
  </w:footnote>
  <w:footnote w:id="9">
    <w:p w14:paraId="634C0423" w14:textId="1DB17D2B" w:rsidR="001D2D7B" w:rsidRDefault="001D2D7B" w:rsidP="001D2D7B">
      <w:pPr>
        <w:pStyle w:val="FootnoteText"/>
      </w:pPr>
      <w:r>
        <w:rPr>
          <w:rStyle w:val="FootnoteReference"/>
        </w:rPr>
        <w:footnoteRef/>
      </w:r>
      <w:r>
        <w:t xml:space="preserve"> </w:t>
      </w:r>
      <w:r w:rsidR="00625C85">
        <w:rPr>
          <w:i/>
        </w:rPr>
        <w:t xml:space="preserve">Id. </w:t>
      </w:r>
      <w:r w:rsidR="00625C85" w:rsidRPr="00625C85">
        <w:t>at</w:t>
      </w:r>
      <w:r w:rsidR="00625C85">
        <w:rPr>
          <w:i/>
        </w:rPr>
        <w:t xml:space="preserve"> </w:t>
      </w:r>
      <w:r w:rsidR="00625C85">
        <w:t>14</w:t>
      </w:r>
      <w:r w:rsidR="003F0764">
        <w:t>-19.</w:t>
      </w:r>
    </w:p>
  </w:footnote>
  <w:footnote w:id="10">
    <w:p w14:paraId="68A0D8D5" w14:textId="2C477920" w:rsidR="00625C85" w:rsidRDefault="00625C85">
      <w:pPr>
        <w:pStyle w:val="FootnoteText"/>
      </w:pPr>
      <w:r>
        <w:rPr>
          <w:rStyle w:val="FootnoteReference"/>
        </w:rPr>
        <w:footnoteRef/>
      </w:r>
      <w:r>
        <w:t xml:space="preserve"> </w:t>
      </w:r>
      <w:r w:rsidRPr="003F0764">
        <w:rPr>
          <w:i/>
        </w:rPr>
        <w:t>Order</w:t>
      </w:r>
      <w:r>
        <w:t>, 32 FCC Rcd at 2698-702 paras. 4-10, 2702 para. 11.</w:t>
      </w:r>
    </w:p>
  </w:footnote>
  <w:footnote w:id="11">
    <w:p w14:paraId="5FF9C621" w14:textId="77777777" w:rsidR="00CA416E" w:rsidRDefault="00CA416E" w:rsidP="00CA416E">
      <w:pPr>
        <w:pStyle w:val="FootnoteText"/>
      </w:pPr>
      <w:r>
        <w:rPr>
          <w:rStyle w:val="FootnoteReference"/>
        </w:rPr>
        <w:footnoteRef/>
      </w:r>
      <w:r>
        <w:t xml:space="preserve"> </w:t>
      </w:r>
      <w:r w:rsidRPr="001A7CB3">
        <w:rPr>
          <w:i/>
          <w:iCs/>
        </w:rPr>
        <w:t>See, e.g., WWIZ, Inc</w:t>
      </w:r>
      <w:r w:rsidRPr="001A7CB3">
        <w:t>., Memorandum Opinion and Order, 37 FCC 685, 686 (1964).</w:t>
      </w:r>
    </w:p>
  </w:footnote>
  <w:footnote w:id="12">
    <w:p w14:paraId="168AEAD1" w14:textId="58771C28" w:rsidR="00137125" w:rsidRPr="00CB25C0" w:rsidRDefault="00137125">
      <w:pPr>
        <w:pStyle w:val="FootnoteText"/>
      </w:pPr>
      <w:r>
        <w:rPr>
          <w:rStyle w:val="FootnoteReference"/>
        </w:rPr>
        <w:footnoteRef/>
      </w:r>
      <w:r>
        <w:t xml:space="preserve"> </w:t>
      </w:r>
      <w:r w:rsidRPr="00CB25C0">
        <w:t>These new facts and argu</w:t>
      </w:r>
      <w:r w:rsidR="003F0764">
        <w:t xml:space="preserve">ments concern </w:t>
      </w:r>
      <w:r w:rsidRPr="00CB25C0">
        <w:t>whether the Commission should designate the proceeding “permit-but-disclose” under the</w:t>
      </w:r>
      <w:r w:rsidR="000D583E">
        <w:t xml:space="preserve"> Commission’s</w:t>
      </w:r>
      <w:r w:rsidRPr="00CB25C0">
        <w:t xml:space="preserve"> </w:t>
      </w:r>
      <w:r w:rsidRPr="00B92D0D">
        <w:rPr>
          <w:i/>
        </w:rPr>
        <w:t>ex parte</w:t>
      </w:r>
      <w:r w:rsidRPr="00CB25C0">
        <w:t xml:space="preserve"> rules</w:t>
      </w:r>
      <w:r w:rsidR="003F0764">
        <w:t xml:space="preserve">; </w:t>
      </w:r>
      <w:r w:rsidRPr="00CB25C0">
        <w:t xml:space="preserve">whether </w:t>
      </w:r>
      <w:r w:rsidR="006C6F95">
        <w:t>the Order is entitled to</w:t>
      </w:r>
      <w:r w:rsidRPr="00CB25C0">
        <w:t xml:space="preserve"> </w:t>
      </w:r>
      <w:r w:rsidRPr="00CB25C0">
        <w:rPr>
          <w:i/>
        </w:rPr>
        <w:t>Chevron</w:t>
      </w:r>
      <w:r w:rsidR="003F0764">
        <w:t xml:space="preserve"> deference, and </w:t>
      </w:r>
      <w:r w:rsidRPr="00CB25C0">
        <w:t>whether the legislative history of the LCRA supports EMF’s interpretation of that statute’s second-adjacent waiver provision</w:t>
      </w:r>
      <w:r w:rsidRPr="00CB25C0">
        <w:rPr>
          <w:i/>
        </w:rPr>
        <w:t xml:space="preserve">.  </w:t>
      </w:r>
      <w:r w:rsidRPr="00CB25C0">
        <w:t>Petition at</w:t>
      </w:r>
      <w:r w:rsidR="00CB25C0">
        <w:t xml:space="preserve"> 9-12, 12-14, 19.  </w:t>
      </w:r>
      <w:r w:rsidR="00CB25C0" w:rsidRPr="00CB25C0">
        <w:rPr>
          <w:i/>
        </w:rPr>
        <w:t>See also</w:t>
      </w:r>
      <w:r w:rsidR="00CB25C0">
        <w:t xml:space="preserve"> Reply at 4, 8-9.</w:t>
      </w:r>
    </w:p>
  </w:footnote>
  <w:footnote w:id="13">
    <w:p w14:paraId="7456531F" w14:textId="5000ABEE" w:rsidR="001D2D7B" w:rsidRDefault="001D2D7B">
      <w:pPr>
        <w:pStyle w:val="FootnoteText"/>
      </w:pPr>
      <w:r>
        <w:rPr>
          <w:rStyle w:val="FootnoteReference"/>
        </w:rPr>
        <w:footnoteRef/>
      </w:r>
      <w:r>
        <w:t xml:space="preserve"> </w:t>
      </w:r>
      <w:r w:rsidRPr="001D2D7B">
        <w:t xml:space="preserve">47 CFR §§ 1.106(b)(2), 1.106(p)(2). </w:t>
      </w:r>
      <w:r w:rsidR="00137125">
        <w:t>Section 1.106(b)(2) provides that petitions for reconsideration of the Commission’s denial of an application for review will be entertained only if: (i) the petition relies on facts which relate to events which have occurred or circumstances which have changed since the last opportunity to present such matters, or (ii) the petition relies on facts unknown to petitioner until after his last opportunity to present such matters which could not, through the exercise of ordinary diligence, have been learned prior to such opportunity.</w:t>
      </w:r>
      <w:r w:rsidR="001317CD">
        <w:rPr>
          <w:i/>
        </w:rPr>
        <w:t xml:space="preserve"> </w:t>
      </w:r>
    </w:p>
  </w:footnote>
  <w:footnote w:id="14">
    <w:p w14:paraId="1F519135" w14:textId="5FA0C4B0" w:rsidR="00DF3E3F" w:rsidRDefault="00DF3E3F">
      <w:pPr>
        <w:pStyle w:val="FootnoteText"/>
      </w:pPr>
      <w:r>
        <w:rPr>
          <w:rStyle w:val="FootnoteReference"/>
        </w:rPr>
        <w:footnoteRef/>
      </w:r>
      <w:r>
        <w:t xml:space="preserve"> </w:t>
      </w:r>
      <w:r w:rsidR="003061F6">
        <w:t>Petition at 5-6</w:t>
      </w:r>
      <w:r>
        <w:t>.</w:t>
      </w:r>
    </w:p>
  </w:footnote>
  <w:footnote w:id="15">
    <w:p w14:paraId="03C442E6" w14:textId="2DB57306" w:rsidR="00F04E4D" w:rsidRDefault="00F04E4D" w:rsidP="00F04E4D">
      <w:pPr>
        <w:pStyle w:val="FootnoteText"/>
      </w:pPr>
      <w:r>
        <w:rPr>
          <w:rStyle w:val="FootnoteReference"/>
        </w:rPr>
        <w:footnoteRef/>
      </w:r>
      <w:r>
        <w:t xml:space="preserve"> Petition at n. 4.  </w:t>
      </w:r>
      <w:r w:rsidRPr="006C6F95">
        <w:rPr>
          <w:i/>
        </w:rPr>
        <w:t>See also</w:t>
      </w:r>
      <w:r>
        <w:t xml:space="preserve"> Reply at 5-6.  </w:t>
      </w:r>
    </w:p>
  </w:footnote>
  <w:footnote w:id="16">
    <w:p w14:paraId="7A0C3A90" w14:textId="6C801A52" w:rsidR="00FE072B" w:rsidRPr="00D62811" w:rsidRDefault="00FE072B" w:rsidP="00D62811">
      <w:pPr>
        <w:pStyle w:val="ParaNum"/>
        <w:numPr>
          <w:ilvl w:val="0"/>
          <w:numId w:val="0"/>
        </w:numPr>
        <w:rPr>
          <w:sz w:val="20"/>
        </w:rPr>
      </w:pPr>
      <w:r w:rsidRPr="00D62811">
        <w:rPr>
          <w:rStyle w:val="FootnoteReference"/>
        </w:rPr>
        <w:footnoteRef/>
      </w:r>
      <w:r w:rsidRPr="00D62811">
        <w:rPr>
          <w:sz w:val="20"/>
        </w:rPr>
        <w:t xml:space="preserve"> </w:t>
      </w:r>
      <w:r w:rsidR="00F04E4D" w:rsidRPr="00D62811">
        <w:rPr>
          <w:i/>
          <w:sz w:val="20"/>
        </w:rPr>
        <w:t>Bell South Corp</w:t>
      </w:r>
      <w:r w:rsidR="00F04E4D" w:rsidRPr="00D62811">
        <w:rPr>
          <w:sz w:val="20"/>
        </w:rPr>
        <w:t>., Memorandum Opinion and Order, 5 FCC Rcd 2827, 2827 para. 3 (1990) (</w:t>
      </w:r>
      <w:r w:rsidR="00F04E4D" w:rsidRPr="00D62811">
        <w:rPr>
          <w:i/>
          <w:sz w:val="20"/>
        </w:rPr>
        <w:t>Bell South</w:t>
      </w:r>
      <w:r w:rsidR="00F04E4D" w:rsidRPr="00D62811">
        <w:rPr>
          <w:sz w:val="20"/>
        </w:rPr>
        <w:t xml:space="preserve">).  </w:t>
      </w:r>
      <w:r w:rsidR="00F04E4D" w:rsidRPr="00D62811">
        <w:rPr>
          <w:i/>
          <w:sz w:val="20"/>
        </w:rPr>
        <w:t>See also</w:t>
      </w:r>
      <w:r w:rsidR="00F04E4D" w:rsidRPr="00D62811">
        <w:rPr>
          <w:sz w:val="20"/>
        </w:rPr>
        <w:t xml:space="preserve"> </w:t>
      </w:r>
      <w:r w:rsidR="00F04E4D" w:rsidRPr="00D62811">
        <w:rPr>
          <w:i/>
          <w:sz w:val="20"/>
        </w:rPr>
        <w:t>Shaw Communications, Inc</w:t>
      </w:r>
      <w:r w:rsidR="00F04E4D" w:rsidRPr="00D62811">
        <w:rPr>
          <w:sz w:val="20"/>
        </w:rPr>
        <w:t>., Order on Reconsideration, 27 FCC Rcd 6995, 6996 para. 4 (2012) (</w:t>
      </w:r>
      <w:r w:rsidR="00F04E4D" w:rsidRPr="00D62811">
        <w:rPr>
          <w:i/>
          <w:sz w:val="20"/>
        </w:rPr>
        <w:t>Shaw</w:t>
      </w:r>
      <w:r w:rsidR="00F04E4D" w:rsidRPr="00D62811">
        <w:rPr>
          <w:sz w:val="20"/>
        </w:rPr>
        <w:t xml:space="preserve">) (stating that “the Commission’s rejection of a previously raised argument” does not satisfy the requirements of Section 1.106(b)(2), “since of necessity the Commission’s order in any case will have been released after the aggrieved party was last able to present its arguments in pleadings”); </w:t>
      </w:r>
      <w:r w:rsidR="00F04E4D" w:rsidRPr="00D62811">
        <w:rPr>
          <w:i/>
          <w:sz w:val="20"/>
        </w:rPr>
        <w:t>M &amp; M Communications, Inc</w:t>
      </w:r>
      <w:r w:rsidR="00F04E4D" w:rsidRPr="00D62811">
        <w:rPr>
          <w:sz w:val="20"/>
        </w:rPr>
        <w:t xml:space="preserve">., Memorandum Opinion and Order, 2 FCC Rcd 5100, 5100 para. 6 (CCB 1987) (“The Commission’s disposition in a Review Order, of arguments raised in an Application for Review, does not constitute ‘changed circumstances’ pursuant to Section </w:t>
      </w:r>
      <w:r w:rsidR="00F04E4D" w:rsidRPr="00D62811">
        <w:rPr>
          <w:rStyle w:val="term"/>
          <w:sz w:val="20"/>
        </w:rPr>
        <w:t>1.106(b)(2)</w:t>
      </w:r>
      <w:r w:rsidR="00F04E4D" w:rsidRPr="00D62811">
        <w:rPr>
          <w:sz w:val="20"/>
        </w:rPr>
        <w:t>.”).</w:t>
      </w:r>
      <w:r w:rsidR="009E3C00">
        <w:rPr>
          <w:sz w:val="20"/>
        </w:rPr>
        <w:t xml:space="preserve">  </w:t>
      </w:r>
      <w:r w:rsidR="009E3C00" w:rsidRPr="009E3C00">
        <w:rPr>
          <w:sz w:val="20"/>
        </w:rPr>
        <w:t xml:space="preserve">Indeed, “[w]ere this not true, Section </w:t>
      </w:r>
      <w:r w:rsidR="009E3C00" w:rsidRPr="009E3C00">
        <w:rPr>
          <w:rStyle w:val="term"/>
          <w:sz w:val="20"/>
        </w:rPr>
        <w:t>1.106(b)(2)</w:t>
      </w:r>
      <w:r w:rsidR="009E3C00" w:rsidRPr="009E3C00">
        <w:rPr>
          <w:sz w:val="20"/>
        </w:rPr>
        <w:t xml:space="preserve"> of the Commission's Rules would be essentially meaningless.  </w:t>
      </w:r>
      <w:r w:rsidR="009E3C00" w:rsidRPr="009E3C00">
        <w:rPr>
          <w:i/>
          <w:sz w:val="20"/>
        </w:rPr>
        <w:t>Bell South</w:t>
      </w:r>
      <w:r w:rsidR="009E3C00" w:rsidRPr="009E3C00">
        <w:rPr>
          <w:sz w:val="20"/>
        </w:rPr>
        <w:t xml:space="preserve">, 5 FCC Rcd at 2827 para. 3.  </w:t>
      </w:r>
      <w:r w:rsidR="009E3C00" w:rsidRPr="006C6F95">
        <w:rPr>
          <w:i/>
          <w:sz w:val="20"/>
        </w:rPr>
        <w:t>See also</w:t>
      </w:r>
      <w:r w:rsidR="009E3C00" w:rsidRPr="009E3C00">
        <w:rPr>
          <w:sz w:val="20"/>
        </w:rPr>
        <w:t xml:space="preserve"> </w:t>
      </w:r>
      <w:r w:rsidR="009E3C00" w:rsidRPr="009E3C00">
        <w:rPr>
          <w:i/>
          <w:sz w:val="20"/>
        </w:rPr>
        <w:t>Shaw</w:t>
      </w:r>
      <w:r w:rsidR="009E3C00" w:rsidRPr="009E3C00">
        <w:rPr>
          <w:sz w:val="20"/>
        </w:rPr>
        <w:t xml:space="preserve">, 27 FCC Rcd at 6996 para. 4 (noting that, to find rejection of a previously raised argument constituted a changed circumstance under Section 1.106(b)(2), “would be to hold that the Commission must entertain petitions for reconsideration of </w:t>
      </w:r>
      <w:r w:rsidR="009E3C00" w:rsidRPr="009E3C00">
        <w:rPr>
          <w:i/>
          <w:sz w:val="20"/>
        </w:rPr>
        <w:t>all</w:t>
      </w:r>
      <w:r w:rsidR="009E3C00" w:rsidRPr="009E3C00">
        <w:rPr>
          <w:sz w:val="20"/>
        </w:rPr>
        <w:t xml:space="preserve"> its orders, casting it into a Möbius loop of orders and petitions for reconsideration that could never reach finality”)</w:t>
      </w:r>
      <w:r w:rsidR="006C6F95">
        <w:rPr>
          <w:sz w:val="20"/>
        </w:rPr>
        <w:t xml:space="preserve"> (italics in original)</w:t>
      </w:r>
      <w:r w:rsidR="009E3C00" w:rsidRPr="009E3C00">
        <w:rPr>
          <w:sz w:val="20"/>
        </w:rPr>
        <w:t>.</w:t>
      </w:r>
    </w:p>
  </w:footnote>
  <w:footnote w:id="17">
    <w:p w14:paraId="7EC8183D" w14:textId="5634598F" w:rsidR="00FE072B" w:rsidRDefault="00FE072B">
      <w:pPr>
        <w:pStyle w:val="FootnoteText"/>
      </w:pPr>
      <w:r>
        <w:rPr>
          <w:rStyle w:val="FootnoteReference"/>
        </w:rPr>
        <w:footnoteRef/>
      </w:r>
      <w:r>
        <w:t xml:space="preserve"> Petition at n.4.  </w:t>
      </w:r>
      <w:r w:rsidRPr="00CF5D6B">
        <w:rPr>
          <w:i/>
        </w:rPr>
        <w:t>See also</w:t>
      </w:r>
      <w:r>
        <w:t xml:space="preserve"> Reply at 6.</w:t>
      </w:r>
      <w:r w:rsidR="00EA2304">
        <w:t xml:space="preserve">  According to EMF, the </w:t>
      </w:r>
      <w:r w:rsidR="00EA2304" w:rsidRPr="006C6F95">
        <w:t>Order</w:t>
      </w:r>
      <w:r w:rsidR="00EA2304">
        <w:t xml:space="preserve"> for the first time discussed the fact that EMF’s reading of the LCRA would result in two different interference remediation regimes applicable to stations on third-adjacent channels and </w:t>
      </w:r>
      <w:r w:rsidR="002B67EE">
        <w:t xml:space="preserve">concluded that </w:t>
      </w:r>
      <w:r w:rsidR="00EA2304">
        <w:t xml:space="preserve">the </w:t>
      </w:r>
      <w:r w:rsidR="002B67EE">
        <w:t>Section 3(b)(2)(A)</w:t>
      </w:r>
      <w:r w:rsidR="00EA2304">
        <w:t xml:space="preserve"> created a new </w:t>
      </w:r>
      <w:r w:rsidR="002B67EE">
        <w:t xml:space="preserve">waiver </w:t>
      </w:r>
      <w:r w:rsidR="00EA2304">
        <w:t xml:space="preserve">standard </w:t>
      </w:r>
      <w:r w:rsidR="002B67EE">
        <w:t>“</w:t>
      </w:r>
      <w:r w:rsidR="00EA2304">
        <w:t>wholly removed from decades of Commission waiver precedent.</w:t>
      </w:r>
      <w:r w:rsidR="002B67EE">
        <w:t>”</w:t>
      </w:r>
      <w:r w:rsidR="00EA2304">
        <w:t xml:space="preserve">  </w:t>
      </w:r>
      <w:r w:rsidR="00EA2304" w:rsidRPr="00EA2304">
        <w:rPr>
          <w:i/>
        </w:rPr>
        <w:t>Id</w:t>
      </w:r>
      <w:r w:rsidR="00EA2304">
        <w:t>.</w:t>
      </w:r>
      <w:r w:rsidR="009E3C00">
        <w:t xml:space="preserve"> </w:t>
      </w:r>
      <w:r w:rsidR="00986215">
        <w:t xml:space="preserve"> </w:t>
      </w:r>
      <w:r w:rsidR="009E3C00">
        <w:t xml:space="preserve">EMF, however, ignores the fact that the </w:t>
      </w:r>
      <w:r w:rsidR="00076444">
        <w:t>Bureau</w:t>
      </w:r>
      <w:r w:rsidR="009E3C00">
        <w:t xml:space="preserve"> addressed these two issues in the Letter Order.  See Letter Order at 4 (discussing the fact that EMF’s reading of the LCRA would result in two different interference remediation regimes applicable to stations on third-adjacent channels) and n.30 (explaining that the statutory waiver process under Section 3(b)(2)(A) of the LCRA was separate from general waiver process under Section 1.3 of the Rules).  </w:t>
      </w:r>
    </w:p>
  </w:footnote>
  <w:footnote w:id="18">
    <w:p w14:paraId="6396A9F3" w14:textId="034AD640" w:rsidR="001146CB" w:rsidRPr="00D9249E" w:rsidRDefault="001146CB" w:rsidP="00302C9B">
      <w:pPr>
        <w:pStyle w:val="FootnoteText"/>
        <w:rPr>
          <w:rFonts w:ascii="TimesNewRoman,Bold" w:hAnsi="TimesNewRoman,Bold" w:cs="TimesNewRoman,Bold"/>
          <w:b/>
          <w:bCs/>
        </w:rPr>
      </w:pPr>
      <w:r>
        <w:rPr>
          <w:rStyle w:val="FootnoteReference"/>
        </w:rPr>
        <w:footnoteRef/>
      </w:r>
      <w:r>
        <w:t xml:space="preserve"> </w:t>
      </w:r>
      <w:r w:rsidRPr="00D9249E">
        <w:rPr>
          <w:i/>
        </w:rPr>
        <w:t xml:space="preserve">See </w:t>
      </w:r>
      <w:r w:rsidR="00D9249E" w:rsidRPr="00D9249E">
        <w:rPr>
          <w:bCs/>
          <w:i/>
        </w:rPr>
        <w:t>Centro Cultural de Mexico en el Condado de Orange</w:t>
      </w:r>
      <w:r w:rsidR="00D9249E" w:rsidRPr="00D9249E">
        <w:rPr>
          <w:bCs/>
        </w:rPr>
        <w:t xml:space="preserve">, </w:t>
      </w:r>
      <w:r w:rsidR="00A56B22" w:rsidRPr="00D9249E">
        <w:t>Letter</w:t>
      </w:r>
      <w:r w:rsidR="00D9249E" w:rsidRPr="00D9249E">
        <w:t xml:space="preserve"> Order</w:t>
      </w:r>
      <w:r w:rsidR="00A56B22" w:rsidRPr="00D9249E">
        <w:t xml:space="preserve">, 30 FCC Rcd 7343 (2015), </w:t>
      </w:r>
      <w:r w:rsidR="00E54C70" w:rsidRPr="00D9249E">
        <w:rPr>
          <w:i/>
        </w:rPr>
        <w:t xml:space="preserve">review dismissed in part and denied in part, </w:t>
      </w:r>
      <w:r w:rsidR="00871FBD" w:rsidRPr="00D9249E">
        <w:t>31 FCC Rcd 838 (2016).</w:t>
      </w:r>
    </w:p>
  </w:footnote>
  <w:footnote w:id="19">
    <w:p w14:paraId="21789D33" w14:textId="4271D89E" w:rsidR="00EA2704" w:rsidRPr="001146CB" w:rsidRDefault="00EA2704" w:rsidP="00EA2704">
      <w:pPr>
        <w:pStyle w:val="ParaNum"/>
        <w:numPr>
          <w:ilvl w:val="0"/>
          <w:numId w:val="0"/>
        </w:numPr>
        <w:rPr>
          <w:sz w:val="20"/>
        </w:rPr>
      </w:pPr>
      <w:r w:rsidRPr="0034513C">
        <w:rPr>
          <w:rStyle w:val="FootnoteReference"/>
        </w:rPr>
        <w:footnoteRef/>
      </w:r>
      <w:r w:rsidRPr="0034513C">
        <w:rPr>
          <w:sz w:val="20"/>
        </w:rPr>
        <w:t xml:space="preserve"> </w:t>
      </w:r>
      <w:r w:rsidRPr="0034513C">
        <w:rPr>
          <w:i/>
          <w:sz w:val="20"/>
        </w:rPr>
        <w:t>Lone Cypress Radio Associates, Inc</w:t>
      </w:r>
      <w:r w:rsidRPr="0034513C">
        <w:rPr>
          <w:sz w:val="20"/>
        </w:rPr>
        <w:t xml:space="preserve">., Memorandum Opinion and Order, 8 FCC Rcd 6635, 6635 para. 2 (1993) (finding petitioner had “ no right to complain in its instant petition” about a particular issue “as it raised no such contention in its application for review and as its argument is not based on any subsequent change of circumstance or discovery of previously-unknown facts”); </w:t>
      </w:r>
      <w:r w:rsidRPr="0034513C">
        <w:rPr>
          <w:i/>
          <w:sz w:val="20"/>
        </w:rPr>
        <w:t>F.E.M. Ray, Inc</w:t>
      </w:r>
      <w:r w:rsidRPr="0034513C">
        <w:rPr>
          <w:sz w:val="20"/>
        </w:rPr>
        <w:t xml:space="preserve">., Memorandum Opinion and Order, 7 FCC Rcd 4606, 4606 para. 8 (1992) (stating that arguments made for the first time in a petition for reconsideration of a </w:t>
      </w:r>
      <w:r w:rsidR="00076444" w:rsidRPr="0034513C">
        <w:rPr>
          <w:sz w:val="20"/>
        </w:rPr>
        <w:t>Commission</w:t>
      </w:r>
      <w:r w:rsidRPr="0034513C">
        <w:rPr>
          <w:sz w:val="20"/>
        </w:rPr>
        <w:t xml:space="preserve"> order denying an application for review were </w:t>
      </w:r>
      <w:r w:rsidR="00B277DB" w:rsidRPr="0034513C">
        <w:rPr>
          <w:sz w:val="20"/>
        </w:rPr>
        <w:t>not only “untimely” but could not be</w:t>
      </w:r>
      <w:r w:rsidRPr="0034513C">
        <w:rPr>
          <w:sz w:val="20"/>
        </w:rPr>
        <w:t xml:space="preserve"> </w:t>
      </w:r>
      <w:r w:rsidR="00B277DB" w:rsidRPr="0034513C">
        <w:rPr>
          <w:sz w:val="20"/>
        </w:rPr>
        <w:t>“</w:t>
      </w:r>
      <w:r w:rsidRPr="0034513C">
        <w:rPr>
          <w:sz w:val="20"/>
        </w:rPr>
        <w:t xml:space="preserve">entertained this late in the proceeding because they do not rely upon facts relating to new or changed circumstances or on facts unknown to </w:t>
      </w:r>
      <w:r w:rsidR="00B277DB" w:rsidRPr="0034513C">
        <w:rPr>
          <w:sz w:val="20"/>
        </w:rPr>
        <w:t>[petitioner]</w:t>
      </w:r>
      <w:r w:rsidRPr="0034513C">
        <w:rPr>
          <w:sz w:val="20"/>
        </w:rPr>
        <w:t xml:space="preserve"> until after its last oppo</w:t>
      </w:r>
      <w:r w:rsidR="003F0764">
        <w:rPr>
          <w:sz w:val="20"/>
        </w:rPr>
        <w:t>rtunity to present such matters</w:t>
      </w:r>
      <w:r w:rsidRPr="0034513C">
        <w:rPr>
          <w:sz w:val="20"/>
        </w:rPr>
        <w:t xml:space="preserve">”).  </w:t>
      </w:r>
      <w:r w:rsidRPr="0034513C">
        <w:rPr>
          <w:i/>
          <w:sz w:val="20"/>
        </w:rPr>
        <w:t>See also</w:t>
      </w:r>
      <w:r w:rsidRPr="0034513C">
        <w:rPr>
          <w:sz w:val="20"/>
        </w:rPr>
        <w:t xml:space="preserve"> </w:t>
      </w:r>
      <w:r w:rsidRPr="0034513C">
        <w:rPr>
          <w:i/>
          <w:sz w:val="20"/>
        </w:rPr>
        <w:t>Cencom Cable Income Partners II, L.P</w:t>
      </w:r>
      <w:r w:rsidRPr="0034513C">
        <w:rPr>
          <w:sz w:val="20"/>
        </w:rPr>
        <w:t xml:space="preserve">., Memorandum Opinion and Order, 12 FCC Rcd 22295, 22297 para. 6 (1997) (finding that petitioner’s “arguments do not allege new or newly discovered facts or changed circumstances as required by § </w:t>
      </w:r>
      <w:r w:rsidRPr="0034513C">
        <w:rPr>
          <w:rStyle w:val="term"/>
          <w:sz w:val="20"/>
        </w:rPr>
        <w:t>1.106(b)(2)</w:t>
      </w:r>
      <w:r w:rsidRPr="0034513C">
        <w:rPr>
          <w:sz w:val="20"/>
        </w:rPr>
        <w:t>”</w:t>
      </w:r>
      <w:r w:rsidR="0034513C">
        <w:rPr>
          <w:sz w:val="20"/>
        </w:rPr>
        <w:t>).</w:t>
      </w:r>
      <w:r w:rsidR="001146CB">
        <w:rPr>
          <w:sz w:val="20"/>
        </w:rPr>
        <w:t xml:space="preserve"> Accordingly, EMF’s arguments relating to </w:t>
      </w:r>
      <w:r w:rsidR="001146CB">
        <w:rPr>
          <w:i/>
          <w:sz w:val="20"/>
        </w:rPr>
        <w:t xml:space="preserve">Chevron </w:t>
      </w:r>
      <w:r w:rsidR="001146CB">
        <w:rPr>
          <w:sz w:val="20"/>
        </w:rPr>
        <w:t xml:space="preserve">deference, the legislative history of the LCRA and </w:t>
      </w:r>
      <w:r w:rsidR="00C1257E">
        <w:rPr>
          <w:sz w:val="20"/>
        </w:rPr>
        <w:t xml:space="preserve">the </w:t>
      </w:r>
      <w:r w:rsidR="001146CB">
        <w:rPr>
          <w:i/>
          <w:sz w:val="20"/>
        </w:rPr>
        <w:t xml:space="preserve">ex parte </w:t>
      </w:r>
      <w:r w:rsidR="001146CB">
        <w:rPr>
          <w:sz w:val="20"/>
        </w:rPr>
        <w:t>status of this application proceeding are impermissibly raised for the first time in the Petition.</w:t>
      </w:r>
    </w:p>
    <w:p w14:paraId="723AF946" w14:textId="4C59966B" w:rsidR="00EA2704" w:rsidRDefault="00EA2704" w:rsidP="00EA2704">
      <w:pPr>
        <w:pStyle w:val="ParaNum"/>
        <w:numPr>
          <w:ilvl w:val="0"/>
          <w:numId w:val="0"/>
        </w:numPr>
      </w:pPr>
    </w:p>
    <w:p w14:paraId="7199A6EF" w14:textId="328334FA" w:rsidR="00EA2704" w:rsidRDefault="00EA2704">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BC8D5" w14:textId="77777777" w:rsidR="00B13ECE" w:rsidRDefault="00B13E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409CBB" w14:textId="7EAD88EC" w:rsidR="00FE072B" w:rsidRDefault="00FE072B" w:rsidP="00810B6F">
    <w:pPr>
      <w:pStyle w:val="Header"/>
      <w:rPr>
        <w:b w:val="0"/>
      </w:rPr>
    </w:pPr>
    <w:r>
      <w:tab/>
      <w:t>Federal Communications Commission</w:t>
    </w:r>
    <w:r>
      <w:tab/>
    </w:r>
    <w:r w:rsidR="007438D0">
      <w:t>DA</w:t>
    </w:r>
    <w:r>
      <w:t xml:space="preserve"> 17-</w:t>
    </w:r>
    <w:r w:rsidR="00BC455F">
      <w:t>778</w:t>
    </w:r>
  </w:p>
  <w:p w14:paraId="28C9A925" w14:textId="6F996988" w:rsidR="00FE072B" w:rsidRDefault="00E63B2C">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14:anchorId="1E97C32B" wp14:editId="2D6AA71A">
              <wp:simplePos x="0" y="0"/>
              <wp:positionH relativeFrom="margin">
                <wp:posOffset>0</wp:posOffset>
              </wp:positionH>
              <wp:positionV relativeFrom="paragraph">
                <wp:posOffset>0</wp:posOffset>
              </wp:positionV>
              <wp:extent cx="5943600" cy="1206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23340A5D"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14:paraId="5B6AC9FB" w14:textId="77777777" w:rsidR="00FE072B" w:rsidRDefault="00FE072B">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752484" w14:textId="11C71487" w:rsidR="00FE072B" w:rsidRDefault="00E63B2C" w:rsidP="00810B6F">
    <w:pPr>
      <w:pStyle w:val="Header"/>
      <w:rPr>
        <w:b w:val="0"/>
      </w:rPr>
    </w:pPr>
    <w:r>
      <w:rPr>
        <w:noProof/>
      </w:rPr>
      <mc:AlternateContent>
        <mc:Choice Requires="wps">
          <w:drawing>
            <wp:anchor distT="0" distB="0" distL="114300" distR="114300" simplePos="0" relativeHeight="251658240" behindDoc="1" locked="0" layoutInCell="0" allowOverlap="1" wp14:anchorId="3F26FC3F" wp14:editId="70EC2B7C">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05581737"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FE072B">
      <w:tab/>
      <w:t>Federal Communications Commission</w:t>
    </w:r>
    <w:r w:rsidR="00FE072B">
      <w:tab/>
    </w:r>
    <w:r w:rsidR="007438D0">
      <w:rPr>
        <w:spacing w:val="-2"/>
      </w:rPr>
      <w:t>DA</w:t>
    </w:r>
    <w:r w:rsidR="00FE072B">
      <w:rPr>
        <w:spacing w:val="-2"/>
      </w:rPr>
      <w:t xml:space="preserve"> 17-</w:t>
    </w:r>
    <w:r w:rsidR="00BC455F">
      <w:rPr>
        <w:spacing w:val="-2"/>
      </w:rPr>
      <w:t>778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lvlOverride w:ilvl="0">
      <w:startOverride w:val="1"/>
    </w:lvlOverride>
  </w:num>
  <w:num w:numId="8">
    <w:abstractNumId w:val="5"/>
    <w:lvlOverride w:ilvl="0">
      <w:startOverride w:val="1"/>
    </w:lvlOverride>
  </w:num>
  <w:num w:numId="9">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669"/>
    <w:rsid w:val="00011C3F"/>
    <w:rsid w:val="00014A6C"/>
    <w:rsid w:val="00016CA2"/>
    <w:rsid w:val="00017FB4"/>
    <w:rsid w:val="000254AA"/>
    <w:rsid w:val="0003125B"/>
    <w:rsid w:val="0003246D"/>
    <w:rsid w:val="00036039"/>
    <w:rsid w:val="00037F90"/>
    <w:rsid w:val="00076444"/>
    <w:rsid w:val="00085BFD"/>
    <w:rsid w:val="000875BF"/>
    <w:rsid w:val="00096D8C"/>
    <w:rsid w:val="000C0B65"/>
    <w:rsid w:val="000C630C"/>
    <w:rsid w:val="000D583E"/>
    <w:rsid w:val="000D6493"/>
    <w:rsid w:val="000E05FE"/>
    <w:rsid w:val="000E3D42"/>
    <w:rsid w:val="000E3F45"/>
    <w:rsid w:val="000F438C"/>
    <w:rsid w:val="001146CB"/>
    <w:rsid w:val="00122BD5"/>
    <w:rsid w:val="001317CD"/>
    <w:rsid w:val="00133F79"/>
    <w:rsid w:val="00137125"/>
    <w:rsid w:val="0014658B"/>
    <w:rsid w:val="00150B03"/>
    <w:rsid w:val="00171ADC"/>
    <w:rsid w:val="00192A4A"/>
    <w:rsid w:val="00193933"/>
    <w:rsid w:val="00194A66"/>
    <w:rsid w:val="001A3ED6"/>
    <w:rsid w:val="001A5A38"/>
    <w:rsid w:val="001A7CB3"/>
    <w:rsid w:val="001C2B69"/>
    <w:rsid w:val="001D0423"/>
    <w:rsid w:val="001D2D7B"/>
    <w:rsid w:val="001D691A"/>
    <w:rsid w:val="001D6BCF"/>
    <w:rsid w:val="001D7141"/>
    <w:rsid w:val="001E01CA"/>
    <w:rsid w:val="001E65BC"/>
    <w:rsid w:val="0023609E"/>
    <w:rsid w:val="00244504"/>
    <w:rsid w:val="002470B2"/>
    <w:rsid w:val="00264E55"/>
    <w:rsid w:val="002703D5"/>
    <w:rsid w:val="00272FAA"/>
    <w:rsid w:val="00275CF5"/>
    <w:rsid w:val="0028301F"/>
    <w:rsid w:val="00285017"/>
    <w:rsid w:val="002A2D2E"/>
    <w:rsid w:val="002A6129"/>
    <w:rsid w:val="002B210F"/>
    <w:rsid w:val="002B3811"/>
    <w:rsid w:val="002B67EE"/>
    <w:rsid w:val="002C00E8"/>
    <w:rsid w:val="002C4A43"/>
    <w:rsid w:val="002D0EF0"/>
    <w:rsid w:val="00302C9B"/>
    <w:rsid w:val="003061F6"/>
    <w:rsid w:val="00343749"/>
    <w:rsid w:val="0034513C"/>
    <w:rsid w:val="003660ED"/>
    <w:rsid w:val="00375119"/>
    <w:rsid w:val="00375C45"/>
    <w:rsid w:val="00380E48"/>
    <w:rsid w:val="0038491A"/>
    <w:rsid w:val="003A15C8"/>
    <w:rsid w:val="003A16FE"/>
    <w:rsid w:val="003A5096"/>
    <w:rsid w:val="003B0550"/>
    <w:rsid w:val="003B0CEB"/>
    <w:rsid w:val="003B694F"/>
    <w:rsid w:val="003C15A3"/>
    <w:rsid w:val="003C6003"/>
    <w:rsid w:val="003D5F0A"/>
    <w:rsid w:val="003E4F03"/>
    <w:rsid w:val="003F0764"/>
    <w:rsid w:val="003F171C"/>
    <w:rsid w:val="003F2191"/>
    <w:rsid w:val="0040388F"/>
    <w:rsid w:val="00410A31"/>
    <w:rsid w:val="00412FC5"/>
    <w:rsid w:val="00421A27"/>
    <w:rsid w:val="00422276"/>
    <w:rsid w:val="004242F1"/>
    <w:rsid w:val="00435EE3"/>
    <w:rsid w:val="00445A00"/>
    <w:rsid w:val="00451B0F"/>
    <w:rsid w:val="00483FA3"/>
    <w:rsid w:val="004A3AD3"/>
    <w:rsid w:val="004C2EE3"/>
    <w:rsid w:val="004C4227"/>
    <w:rsid w:val="004D2105"/>
    <w:rsid w:val="004E4A22"/>
    <w:rsid w:val="004E4AFF"/>
    <w:rsid w:val="004E50CC"/>
    <w:rsid w:val="00511968"/>
    <w:rsid w:val="005224FE"/>
    <w:rsid w:val="00523069"/>
    <w:rsid w:val="005266BE"/>
    <w:rsid w:val="00534E29"/>
    <w:rsid w:val="0055614C"/>
    <w:rsid w:val="005802FC"/>
    <w:rsid w:val="005D62DB"/>
    <w:rsid w:val="005E14C2"/>
    <w:rsid w:val="005E5A2C"/>
    <w:rsid w:val="005F3C91"/>
    <w:rsid w:val="005F5E9B"/>
    <w:rsid w:val="005F6AE7"/>
    <w:rsid w:val="00607BA5"/>
    <w:rsid w:val="0061180A"/>
    <w:rsid w:val="00613A34"/>
    <w:rsid w:val="00614120"/>
    <w:rsid w:val="0061466A"/>
    <w:rsid w:val="00625C85"/>
    <w:rsid w:val="00626EB6"/>
    <w:rsid w:val="0064765C"/>
    <w:rsid w:val="00655D03"/>
    <w:rsid w:val="00683388"/>
    <w:rsid w:val="00683F84"/>
    <w:rsid w:val="006847FA"/>
    <w:rsid w:val="006A2C7F"/>
    <w:rsid w:val="006A6A81"/>
    <w:rsid w:val="006C6F95"/>
    <w:rsid w:val="006C7B43"/>
    <w:rsid w:val="006D044A"/>
    <w:rsid w:val="006F4243"/>
    <w:rsid w:val="006F7393"/>
    <w:rsid w:val="0070224F"/>
    <w:rsid w:val="0071075F"/>
    <w:rsid w:val="007112AD"/>
    <w:rsid w:val="007115F7"/>
    <w:rsid w:val="007438D0"/>
    <w:rsid w:val="00751799"/>
    <w:rsid w:val="00773C15"/>
    <w:rsid w:val="007742D0"/>
    <w:rsid w:val="00785689"/>
    <w:rsid w:val="007911A9"/>
    <w:rsid w:val="0079754B"/>
    <w:rsid w:val="007A1E6D"/>
    <w:rsid w:val="007B0EB2"/>
    <w:rsid w:val="007C1973"/>
    <w:rsid w:val="007C4749"/>
    <w:rsid w:val="007C759B"/>
    <w:rsid w:val="007C7B77"/>
    <w:rsid w:val="007E4D44"/>
    <w:rsid w:val="00807737"/>
    <w:rsid w:val="00810B6F"/>
    <w:rsid w:val="00811815"/>
    <w:rsid w:val="00811A3F"/>
    <w:rsid w:val="00815D97"/>
    <w:rsid w:val="00821BB3"/>
    <w:rsid w:val="00822CE0"/>
    <w:rsid w:val="00827669"/>
    <w:rsid w:val="00841AB1"/>
    <w:rsid w:val="008574EC"/>
    <w:rsid w:val="00870111"/>
    <w:rsid w:val="00871FBD"/>
    <w:rsid w:val="00883B56"/>
    <w:rsid w:val="008849C0"/>
    <w:rsid w:val="008A0D68"/>
    <w:rsid w:val="008C68F1"/>
    <w:rsid w:val="009210F8"/>
    <w:rsid w:val="00921803"/>
    <w:rsid w:val="00926503"/>
    <w:rsid w:val="00934998"/>
    <w:rsid w:val="00972057"/>
    <w:rsid w:val="009726D8"/>
    <w:rsid w:val="00980F07"/>
    <w:rsid w:val="0098393D"/>
    <w:rsid w:val="0098439E"/>
    <w:rsid w:val="00986215"/>
    <w:rsid w:val="009A51F6"/>
    <w:rsid w:val="009B43E5"/>
    <w:rsid w:val="009E3C00"/>
    <w:rsid w:val="009F76DB"/>
    <w:rsid w:val="00A02EB3"/>
    <w:rsid w:val="00A32C3B"/>
    <w:rsid w:val="00A417BB"/>
    <w:rsid w:val="00A45F4F"/>
    <w:rsid w:val="00A56B22"/>
    <w:rsid w:val="00A600A9"/>
    <w:rsid w:val="00A71737"/>
    <w:rsid w:val="00A74AFB"/>
    <w:rsid w:val="00A9475B"/>
    <w:rsid w:val="00A96B24"/>
    <w:rsid w:val="00AA55B7"/>
    <w:rsid w:val="00AA5B9E"/>
    <w:rsid w:val="00AB2407"/>
    <w:rsid w:val="00AB53DF"/>
    <w:rsid w:val="00AC12BC"/>
    <w:rsid w:val="00AF2B5E"/>
    <w:rsid w:val="00B07E5C"/>
    <w:rsid w:val="00B13ECE"/>
    <w:rsid w:val="00B173DA"/>
    <w:rsid w:val="00B246AA"/>
    <w:rsid w:val="00B2654B"/>
    <w:rsid w:val="00B277DB"/>
    <w:rsid w:val="00B33380"/>
    <w:rsid w:val="00B36708"/>
    <w:rsid w:val="00B54532"/>
    <w:rsid w:val="00B55476"/>
    <w:rsid w:val="00B62F57"/>
    <w:rsid w:val="00B71F26"/>
    <w:rsid w:val="00B77CA9"/>
    <w:rsid w:val="00B811F7"/>
    <w:rsid w:val="00B92D0D"/>
    <w:rsid w:val="00BA5DC6"/>
    <w:rsid w:val="00BA6196"/>
    <w:rsid w:val="00BC455F"/>
    <w:rsid w:val="00BC6D8C"/>
    <w:rsid w:val="00BD6070"/>
    <w:rsid w:val="00BF7CBD"/>
    <w:rsid w:val="00C001EA"/>
    <w:rsid w:val="00C1257E"/>
    <w:rsid w:val="00C2369B"/>
    <w:rsid w:val="00C24589"/>
    <w:rsid w:val="00C34006"/>
    <w:rsid w:val="00C426B1"/>
    <w:rsid w:val="00C4363E"/>
    <w:rsid w:val="00C61264"/>
    <w:rsid w:val="00C61630"/>
    <w:rsid w:val="00C651A7"/>
    <w:rsid w:val="00C66160"/>
    <w:rsid w:val="00C721AC"/>
    <w:rsid w:val="00C74963"/>
    <w:rsid w:val="00C74FE4"/>
    <w:rsid w:val="00C83B51"/>
    <w:rsid w:val="00C90D6A"/>
    <w:rsid w:val="00C92FDA"/>
    <w:rsid w:val="00C94B4C"/>
    <w:rsid w:val="00CA247E"/>
    <w:rsid w:val="00CA416E"/>
    <w:rsid w:val="00CB25C0"/>
    <w:rsid w:val="00CC72B6"/>
    <w:rsid w:val="00CE29BE"/>
    <w:rsid w:val="00CF5D6B"/>
    <w:rsid w:val="00CF7A77"/>
    <w:rsid w:val="00D0218D"/>
    <w:rsid w:val="00D17005"/>
    <w:rsid w:val="00D25FB5"/>
    <w:rsid w:val="00D36B19"/>
    <w:rsid w:val="00D44223"/>
    <w:rsid w:val="00D4650C"/>
    <w:rsid w:val="00D61BC0"/>
    <w:rsid w:val="00D62811"/>
    <w:rsid w:val="00D67EBB"/>
    <w:rsid w:val="00D9249E"/>
    <w:rsid w:val="00DA2529"/>
    <w:rsid w:val="00DB130A"/>
    <w:rsid w:val="00DB2EBB"/>
    <w:rsid w:val="00DB4FB4"/>
    <w:rsid w:val="00DC10A1"/>
    <w:rsid w:val="00DC655F"/>
    <w:rsid w:val="00DD0B59"/>
    <w:rsid w:val="00DD0FEB"/>
    <w:rsid w:val="00DD3C7C"/>
    <w:rsid w:val="00DD7EBD"/>
    <w:rsid w:val="00DF127E"/>
    <w:rsid w:val="00DF3E3F"/>
    <w:rsid w:val="00DF62B6"/>
    <w:rsid w:val="00E07225"/>
    <w:rsid w:val="00E200F2"/>
    <w:rsid w:val="00E41F70"/>
    <w:rsid w:val="00E46F69"/>
    <w:rsid w:val="00E5409F"/>
    <w:rsid w:val="00E54C70"/>
    <w:rsid w:val="00E63B2C"/>
    <w:rsid w:val="00EA2304"/>
    <w:rsid w:val="00EA2704"/>
    <w:rsid w:val="00EC13FA"/>
    <w:rsid w:val="00ED1404"/>
    <w:rsid w:val="00EE3AD3"/>
    <w:rsid w:val="00EE6488"/>
    <w:rsid w:val="00F021FA"/>
    <w:rsid w:val="00F0257E"/>
    <w:rsid w:val="00F04E4D"/>
    <w:rsid w:val="00F265A9"/>
    <w:rsid w:val="00F62E97"/>
    <w:rsid w:val="00F64209"/>
    <w:rsid w:val="00F706E4"/>
    <w:rsid w:val="00F93BF5"/>
    <w:rsid w:val="00FA0786"/>
    <w:rsid w:val="00FA5A63"/>
    <w:rsid w:val="00FA66EE"/>
    <w:rsid w:val="00FB6D96"/>
    <w:rsid w:val="00FD5801"/>
    <w:rsid w:val="00FE072B"/>
    <w:rsid w:val="00FE4587"/>
    <w:rsid w:val="00FE5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3C2C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Samp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4AFF"/>
    <w:pPr>
      <w:widowControl w:val="0"/>
    </w:pPr>
    <w:rPr>
      <w:snapToGrid w:val="0"/>
      <w:kern w:val="28"/>
      <w:sz w:val="22"/>
    </w:rPr>
  </w:style>
  <w:style w:type="paragraph" w:styleId="Heading1">
    <w:name w:val="heading 1"/>
    <w:basedOn w:val="Normal"/>
    <w:next w:val="ParaNum"/>
    <w:qFormat/>
    <w:rsid w:val="004E4AFF"/>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4E4AFF"/>
    <w:pPr>
      <w:keepNext/>
      <w:numPr>
        <w:ilvl w:val="1"/>
        <w:numId w:val="3"/>
      </w:numPr>
      <w:spacing w:after="120"/>
      <w:outlineLvl w:val="1"/>
    </w:pPr>
    <w:rPr>
      <w:b/>
    </w:rPr>
  </w:style>
  <w:style w:type="paragraph" w:styleId="Heading3">
    <w:name w:val="heading 3"/>
    <w:basedOn w:val="Normal"/>
    <w:next w:val="ParaNum"/>
    <w:qFormat/>
    <w:rsid w:val="004E4AFF"/>
    <w:pPr>
      <w:keepNext/>
      <w:numPr>
        <w:ilvl w:val="2"/>
        <w:numId w:val="3"/>
      </w:numPr>
      <w:tabs>
        <w:tab w:val="left" w:pos="2160"/>
      </w:tabs>
      <w:spacing w:after="120"/>
      <w:outlineLvl w:val="2"/>
    </w:pPr>
    <w:rPr>
      <w:b/>
    </w:rPr>
  </w:style>
  <w:style w:type="paragraph" w:styleId="Heading4">
    <w:name w:val="heading 4"/>
    <w:basedOn w:val="Normal"/>
    <w:next w:val="ParaNum"/>
    <w:qFormat/>
    <w:rsid w:val="004E4AFF"/>
    <w:pPr>
      <w:keepNext/>
      <w:numPr>
        <w:ilvl w:val="3"/>
        <w:numId w:val="3"/>
      </w:numPr>
      <w:tabs>
        <w:tab w:val="left" w:pos="2880"/>
      </w:tabs>
      <w:spacing w:after="120"/>
      <w:outlineLvl w:val="3"/>
    </w:pPr>
    <w:rPr>
      <w:b/>
    </w:rPr>
  </w:style>
  <w:style w:type="paragraph" w:styleId="Heading5">
    <w:name w:val="heading 5"/>
    <w:basedOn w:val="Normal"/>
    <w:next w:val="ParaNum"/>
    <w:qFormat/>
    <w:rsid w:val="004E4AFF"/>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4E4AFF"/>
    <w:pPr>
      <w:numPr>
        <w:ilvl w:val="5"/>
        <w:numId w:val="3"/>
      </w:numPr>
      <w:tabs>
        <w:tab w:val="left" w:pos="4320"/>
      </w:tabs>
      <w:spacing w:after="120"/>
      <w:outlineLvl w:val="5"/>
    </w:pPr>
    <w:rPr>
      <w:b/>
    </w:rPr>
  </w:style>
  <w:style w:type="paragraph" w:styleId="Heading7">
    <w:name w:val="heading 7"/>
    <w:basedOn w:val="Normal"/>
    <w:next w:val="ParaNum"/>
    <w:qFormat/>
    <w:rsid w:val="004E4AFF"/>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4E4AFF"/>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4E4AFF"/>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4E4AF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E4AFF"/>
  </w:style>
  <w:style w:type="paragraph" w:customStyle="1" w:styleId="ParaNum">
    <w:name w:val="ParaNum"/>
    <w:basedOn w:val="Normal"/>
    <w:link w:val="ParaNumChar"/>
    <w:rsid w:val="004E4AFF"/>
    <w:pPr>
      <w:numPr>
        <w:numId w:val="2"/>
      </w:numPr>
      <w:tabs>
        <w:tab w:val="clear" w:pos="1080"/>
        <w:tab w:val="num" w:pos="1440"/>
      </w:tabs>
      <w:spacing w:after="120"/>
    </w:pPr>
  </w:style>
  <w:style w:type="paragraph" w:styleId="EndnoteText">
    <w:name w:val="endnote text"/>
    <w:basedOn w:val="Normal"/>
    <w:semiHidden/>
    <w:rsid w:val="004E4AFF"/>
    <w:rPr>
      <w:sz w:val="20"/>
    </w:rPr>
  </w:style>
  <w:style w:type="character" w:styleId="EndnoteReference">
    <w:name w:val="endnote reference"/>
    <w:semiHidden/>
    <w:rsid w:val="004E4AFF"/>
    <w:rPr>
      <w:vertAlign w:val="superscript"/>
    </w:rPr>
  </w:style>
  <w:style w:type="paragraph" w:styleId="FootnoteText">
    <w:name w:val="footnote text"/>
    <w:aliases w:val="Footnote Text Char1 Char,Footnote Text Char Char Char,Footnote Text Char2 Char Char Char,Footnote Text Char1 Char1 Char Char Char,Footnote Text Char Char Char Char Char Char,Footnote Text Char1,Footnote Text Char2,fn Cha,rrfootnote,fn,f"/>
    <w:link w:val="FootnoteTextChar"/>
    <w:rsid w:val="004E4AFF"/>
    <w:pPr>
      <w:spacing w:after="120"/>
    </w:pPr>
  </w:style>
  <w:style w:type="character" w:styleId="FootnoteReference">
    <w:name w:val="footnote reference"/>
    <w:aliases w:val="Style 12,(NECG) Footnote Reference,Appel note de bas de p,Style 124,o,fr,Style 3,Style 13,Style 17,FR,Style 4,Footnote Reference/,Style 6"/>
    <w:rsid w:val="004E4AFF"/>
    <w:rPr>
      <w:rFonts w:ascii="Times New Roman" w:hAnsi="Times New Roman"/>
      <w:dstrike w:val="0"/>
      <w:color w:val="auto"/>
      <w:sz w:val="20"/>
      <w:vertAlign w:val="superscript"/>
    </w:rPr>
  </w:style>
  <w:style w:type="paragraph" w:styleId="TOC1">
    <w:name w:val="toc 1"/>
    <w:basedOn w:val="Normal"/>
    <w:next w:val="Normal"/>
    <w:semiHidden/>
    <w:rsid w:val="004E4AFF"/>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4E4AFF"/>
    <w:pPr>
      <w:tabs>
        <w:tab w:val="left" w:pos="720"/>
        <w:tab w:val="right" w:leader="dot" w:pos="9360"/>
      </w:tabs>
      <w:suppressAutoHyphens/>
      <w:ind w:left="720" w:right="720" w:hanging="360"/>
    </w:pPr>
    <w:rPr>
      <w:noProof/>
    </w:rPr>
  </w:style>
  <w:style w:type="paragraph" w:styleId="TOC3">
    <w:name w:val="toc 3"/>
    <w:basedOn w:val="Normal"/>
    <w:next w:val="Normal"/>
    <w:semiHidden/>
    <w:rsid w:val="004E4AFF"/>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4E4AFF"/>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4E4AFF"/>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4E4AFF"/>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4E4AFF"/>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4E4AFF"/>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4E4AFF"/>
    <w:pPr>
      <w:tabs>
        <w:tab w:val="left" w:pos="3240"/>
        <w:tab w:val="right" w:leader="dot" w:pos="9360"/>
      </w:tabs>
      <w:suppressAutoHyphens/>
      <w:ind w:left="3240" w:hanging="360"/>
    </w:pPr>
    <w:rPr>
      <w:noProof/>
    </w:rPr>
  </w:style>
  <w:style w:type="paragraph" w:styleId="TOAHeading">
    <w:name w:val="toa heading"/>
    <w:basedOn w:val="Normal"/>
    <w:next w:val="Normal"/>
    <w:semiHidden/>
    <w:rsid w:val="004E4AFF"/>
    <w:pPr>
      <w:tabs>
        <w:tab w:val="right" w:pos="9360"/>
      </w:tabs>
      <w:suppressAutoHyphens/>
    </w:pPr>
  </w:style>
  <w:style w:type="character" w:customStyle="1" w:styleId="EquationCaption">
    <w:name w:val="_Equation Caption"/>
    <w:rsid w:val="004E4AFF"/>
  </w:style>
  <w:style w:type="paragraph" w:styleId="Header">
    <w:name w:val="header"/>
    <w:basedOn w:val="Normal"/>
    <w:autoRedefine/>
    <w:rsid w:val="004E4AFF"/>
    <w:pPr>
      <w:tabs>
        <w:tab w:val="center" w:pos="4680"/>
        <w:tab w:val="right" w:pos="9360"/>
      </w:tabs>
    </w:pPr>
    <w:rPr>
      <w:b/>
    </w:rPr>
  </w:style>
  <w:style w:type="paragraph" w:styleId="Footer">
    <w:name w:val="footer"/>
    <w:basedOn w:val="Normal"/>
    <w:rsid w:val="004E4AFF"/>
    <w:pPr>
      <w:tabs>
        <w:tab w:val="center" w:pos="4320"/>
        <w:tab w:val="right" w:pos="8640"/>
      </w:tabs>
    </w:pPr>
  </w:style>
  <w:style w:type="character" w:styleId="PageNumber">
    <w:name w:val="page number"/>
    <w:basedOn w:val="DefaultParagraphFont"/>
    <w:rsid w:val="004E4AFF"/>
  </w:style>
  <w:style w:type="paragraph" w:styleId="BlockText">
    <w:name w:val="Block Text"/>
    <w:basedOn w:val="Normal"/>
    <w:rsid w:val="004E4AFF"/>
    <w:pPr>
      <w:spacing w:after="240"/>
      <w:ind w:left="1440" w:right="1440"/>
    </w:pPr>
  </w:style>
  <w:style w:type="paragraph" w:customStyle="1" w:styleId="Paratitle">
    <w:name w:val="Para title"/>
    <w:basedOn w:val="Normal"/>
    <w:rsid w:val="004E4AFF"/>
    <w:pPr>
      <w:tabs>
        <w:tab w:val="center" w:pos="9270"/>
      </w:tabs>
      <w:spacing w:after="240"/>
    </w:pPr>
    <w:rPr>
      <w:spacing w:val="-2"/>
    </w:rPr>
  </w:style>
  <w:style w:type="paragraph" w:customStyle="1" w:styleId="Bullet">
    <w:name w:val="Bullet"/>
    <w:basedOn w:val="Normal"/>
    <w:rsid w:val="004E4AFF"/>
    <w:pPr>
      <w:tabs>
        <w:tab w:val="left" w:pos="2160"/>
      </w:tabs>
      <w:spacing w:after="220"/>
      <w:ind w:left="2160" w:hanging="720"/>
    </w:pPr>
  </w:style>
  <w:style w:type="paragraph" w:customStyle="1" w:styleId="TableFormat">
    <w:name w:val="TableFormat"/>
    <w:basedOn w:val="Bullet"/>
    <w:rsid w:val="004E4AFF"/>
    <w:pPr>
      <w:tabs>
        <w:tab w:val="clear" w:pos="2160"/>
        <w:tab w:val="left" w:pos="5040"/>
      </w:tabs>
      <w:ind w:left="5040" w:hanging="3600"/>
    </w:pPr>
  </w:style>
  <w:style w:type="paragraph" w:customStyle="1" w:styleId="TOCTitle">
    <w:name w:val="TOC Title"/>
    <w:basedOn w:val="Normal"/>
    <w:rsid w:val="004E4AFF"/>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4E4AFF"/>
    <w:pPr>
      <w:jc w:val="center"/>
    </w:pPr>
    <w:rPr>
      <w:rFonts w:ascii="Times New Roman Bold" w:hAnsi="Times New Roman Bold"/>
      <w:b/>
      <w:bCs/>
      <w:caps/>
      <w:szCs w:val="22"/>
    </w:rPr>
  </w:style>
  <w:style w:type="character" w:styleId="Hyperlink">
    <w:name w:val="Hyperlink"/>
    <w:rsid w:val="004E4AFF"/>
    <w:rPr>
      <w:color w:val="0000FF"/>
      <w:u w:val="single"/>
    </w:rPr>
  </w:style>
  <w:style w:type="character" w:customStyle="1" w:styleId="FootnoteTextChar">
    <w:name w:val="Footnote Text Char"/>
    <w:aliases w:val="Footnote Text Char1 Char Char,Footnote Text Char Char Char Char,Footnote Text Char2 Char Char Char Char,Footnote Text Char1 Char1 Char Char Char Char,Footnote Text Char Char Char Char Char Char Char,Footnote Text Char1 Char1,fn Char"/>
    <w:link w:val="FootnoteText"/>
    <w:rsid w:val="005F5E9B"/>
  </w:style>
  <w:style w:type="character" w:customStyle="1" w:styleId="FootnoteTextCharChar">
    <w:name w:val="Footnote Text Char Char"/>
    <w:aliases w:val="Footnote Text Char3 Char Char,Footnote Text Char1 Char Char Char Char,Footnote Text Char7 Char Char Char Char Char,Footnote Text Char4 Char1 Char Char Char Char Char"/>
    <w:rsid w:val="00A417BB"/>
  </w:style>
  <w:style w:type="character" w:customStyle="1" w:styleId="ParaNumChar">
    <w:name w:val="ParaNum Char"/>
    <w:link w:val="ParaNum"/>
    <w:rsid w:val="00A417BB"/>
    <w:rPr>
      <w:snapToGrid w:val="0"/>
      <w:kern w:val="28"/>
      <w:sz w:val="22"/>
    </w:rPr>
  </w:style>
  <w:style w:type="paragraph" w:styleId="BodyText">
    <w:name w:val="Body Text"/>
    <w:basedOn w:val="Normal"/>
    <w:link w:val="BodyTextChar"/>
    <w:rsid w:val="00A417BB"/>
    <w:pPr>
      <w:widowControl/>
      <w:tabs>
        <w:tab w:val="left" w:pos="720"/>
        <w:tab w:val="left" w:pos="4680"/>
      </w:tabs>
      <w:jc w:val="both"/>
    </w:pPr>
    <w:rPr>
      <w:snapToGrid/>
      <w:kern w:val="0"/>
    </w:rPr>
  </w:style>
  <w:style w:type="character" w:customStyle="1" w:styleId="BodyTextChar">
    <w:name w:val="Body Text Char"/>
    <w:link w:val="BodyText"/>
    <w:rsid w:val="00A417BB"/>
    <w:rPr>
      <w:sz w:val="22"/>
    </w:rPr>
  </w:style>
  <w:style w:type="character" w:styleId="CommentReference">
    <w:name w:val="annotation reference"/>
    <w:rsid w:val="006C7B43"/>
    <w:rPr>
      <w:sz w:val="16"/>
      <w:szCs w:val="16"/>
    </w:rPr>
  </w:style>
  <w:style w:type="paragraph" w:styleId="CommentText">
    <w:name w:val="annotation text"/>
    <w:basedOn w:val="Normal"/>
    <w:link w:val="CommentTextChar"/>
    <w:rsid w:val="006C7B43"/>
    <w:rPr>
      <w:sz w:val="20"/>
    </w:rPr>
  </w:style>
  <w:style w:type="character" w:customStyle="1" w:styleId="CommentTextChar">
    <w:name w:val="Comment Text Char"/>
    <w:link w:val="CommentText"/>
    <w:rsid w:val="006C7B43"/>
    <w:rPr>
      <w:snapToGrid w:val="0"/>
      <w:kern w:val="28"/>
    </w:rPr>
  </w:style>
  <w:style w:type="paragraph" w:styleId="CommentSubject">
    <w:name w:val="annotation subject"/>
    <w:basedOn w:val="CommentText"/>
    <w:next w:val="CommentText"/>
    <w:link w:val="CommentSubjectChar"/>
    <w:rsid w:val="006C7B43"/>
    <w:rPr>
      <w:b/>
      <w:bCs/>
    </w:rPr>
  </w:style>
  <w:style w:type="character" w:customStyle="1" w:styleId="CommentSubjectChar">
    <w:name w:val="Comment Subject Char"/>
    <w:link w:val="CommentSubject"/>
    <w:rsid w:val="006C7B43"/>
    <w:rPr>
      <w:b/>
      <w:bCs/>
      <w:snapToGrid w:val="0"/>
      <w:kern w:val="28"/>
    </w:rPr>
  </w:style>
  <w:style w:type="paragraph" w:styleId="BalloonText">
    <w:name w:val="Balloon Text"/>
    <w:basedOn w:val="Normal"/>
    <w:link w:val="BalloonTextChar"/>
    <w:rsid w:val="006C7B43"/>
    <w:rPr>
      <w:rFonts w:ascii="Segoe UI" w:hAnsi="Segoe UI" w:cs="Segoe UI"/>
      <w:sz w:val="18"/>
      <w:szCs w:val="18"/>
    </w:rPr>
  </w:style>
  <w:style w:type="character" w:customStyle="1" w:styleId="BalloonTextChar">
    <w:name w:val="Balloon Text Char"/>
    <w:link w:val="BalloonText"/>
    <w:rsid w:val="006C7B43"/>
    <w:rPr>
      <w:rFonts w:ascii="Segoe UI" w:hAnsi="Segoe UI" w:cs="Segoe UI"/>
      <w:snapToGrid w:val="0"/>
      <w:kern w:val="28"/>
      <w:sz w:val="18"/>
      <w:szCs w:val="18"/>
    </w:rPr>
  </w:style>
  <w:style w:type="character" w:customStyle="1" w:styleId="pmterms2">
    <w:name w:val="pmterms2"/>
    <w:rsid w:val="00B173DA"/>
  </w:style>
  <w:style w:type="character" w:customStyle="1" w:styleId="pmterms1">
    <w:name w:val="pmterms1"/>
    <w:rsid w:val="00B173DA"/>
  </w:style>
  <w:style w:type="character" w:customStyle="1" w:styleId="term">
    <w:name w:val="term"/>
    <w:rsid w:val="005F6AE7"/>
  </w:style>
  <w:style w:type="paragraph" w:styleId="NormalWeb">
    <w:name w:val="Normal (Web)"/>
    <w:basedOn w:val="Normal"/>
    <w:uiPriority w:val="99"/>
    <w:unhideWhenUsed/>
    <w:rsid w:val="00421A27"/>
    <w:pPr>
      <w:widowControl/>
      <w:spacing w:before="100" w:beforeAutospacing="1" w:after="100" w:afterAutospacing="1"/>
    </w:pPr>
    <w:rPr>
      <w:snapToGrid/>
      <w:kern w:val="0"/>
      <w:sz w:val="24"/>
      <w:szCs w:val="24"/>
    </w:rPr>
  </w:style>
  <w:style w:type="paragraph" w:styleId="Revision">
    <w:name w:val="Revision"/>
    <w:hidden/>
    <w:uiPriority w:val="99"/>
    <w:semiHidden/>
    <w:rsid w:val="00613A34"/>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Samp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4AFF"/>
    <w:pPr>
      <w:widowControl w:val="0"/>
    </w:pPr>
    <w:rPr>
      <w:snapToGrid w:val="0"/>
      <w:kern w:val="28"/>
      <w:sz w:val="22"/>
    </w:rPr>
  </w:style>
  <w:style w:type="paragraph" w:styleId="Heading1">
    <w:name w:val="heading 1"/>
    <w:basedOn w:val="Normal"/>
    <w:next w:val="ParaNum"/>
    <w:qFormat/>
    <w:rsid w:val="004E4AFF"/>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4E4AFF"/>
    <w:pPr>
      <w:keepNext/>
      <w:numPr>
        <w:ilvl w:val="1"/>
        <w:numId w:val="3"/>
      </w:numPr>
      <w:spacing w:after="120"/>
      <w:outlineLvl w:val="1"/>
    </w:pPr>
    <w:rPr>
      <w:b/>
    </w:rPr>
  </w:style>
  <w:style w:type="paragraph" w:styleId="Heading3">
    <w:name w:val="heading 3"/>
    <w:basedOn w:val="Normal"/>
    <w:next w:val="ParaNum"/>
    <w:qFormat/>
    <w:rsid w:val="004E4AFF"/>
    <w:pPr>
      <w:keepNext/>
      <w:numPr>
        <w:ilvl w:val="2"/>
        <w:numId w:val="3"/>
      </w:numPr>
      <w:tabs>
        <w:tab w:val="left" w:pos="2160"/>
      </w:tabs>
      <w:spacing w:after="120"/>
      <w:outlineLvl w:val="2"/>
    </w:pPr>
    <w:rPr>
      <w:b/>
    </w:rPr>
  </w:style>
  <w:style w:type="paragraph" w:styleId="Heading4">
    <w:name w:val="heading 4"/>
    <w:basedOn w:val="Normal"/>
    <w:next w:val="ParaNum"/>
    <w:qFormat/>
    <w:rsid w:val="004E4AFF"/>
    <w:pPr>
      <w:keepNext/>
      <w:numPr>
        <w:ilvl w:val="3"/>
        <w:numId w:val="3"/>
      </w:numPr>
      <w:tabs>
        <w:tab w:val="left" w:pos="2880"/>
      </w:tabs>
      <w:spacing w:after="120"/>
      <w:outlineLvl w:val="3"/>
    </w:pPr>
    <w:rPr>
      <w:b/>
    </w:rPr>
  </w:style>
  <w:style w:type="paragraph" w:styleId="Heading5">
    <w:name w:val="heading 5"/>
    <w:basedOn w:val="Normal"/>
    <w:next w:val="ParaNum"/>
    <w:qFormat/>
    <w:rsid w:val="004E4AFF"/>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4E4AFF"/>
    <w:pPr>
      <w:numPr>
        <w:ilvl w:val="5"/>
        <w:numId w:val="3"/>
      </w:numPr>
      <w:tabs>
        <w:tab w:val="left" w:pos="4320"/>
      </w:tabs>
      <w:spacing w:after="120"/>
      <w:outlineLvl w:val="5"/>
    </w:pPr>
    <w:rPr>
      <w:b/>
    </w:rPr>
  </w:style>
  <w:style w:type="paragraph" w:styleId="Heading7">
    <w:name w:val="heading 7"/>
    <w:basedOn w:val="Normal"/>
    <w:next w:val="ParaNum"/>
    <w:qFormat/>
    <w:rsid w:val="004E4AFF"/>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4E4AFF"/>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4E4AFF"/>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4E4AF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E4AFF"/>
  </w:style>
  <w:style w:type="paragraph" w:customStyle="1" w:styleId="ParaNum">
    <w:name w:val="ParaNum"/>
    <w:basedOn w:val="Normal"/>
    <w:link w:val="ParaNumChar"/>
    <w:rsid w:val="004E4AFF"/>
    <w:pPr>
      <w:numPr>
        <w:numId w:val="2"/>
      </w:numPr>
      <w:tabs>
        <w:tab w:val="clear" w:pos="1080"/>
        <w:tab w:val="num" w:pos="1440"/>
      </w:tabs>
      <w:spacing w:after="120"/>
    </w:pPr>
  </w:style>
  <w:style w:type="paragraph" w:styleId="EndnoteText">
    <w:name w:val="endnote text"/>
    <w:basedOn w:val="Normal"/>
    <w:semiHidden/>
    <w:rsid w:val="004E4AFF"/>
    <w:rPr>
      <w:sz w:val="20"/>
    </w:rPr>
  </w:style>
  <w:style w:type="character" w:styleId="EndnoteReference">
    <w:name w:val="endnote reference"/>
    <w:semiHidden/>
    <w:rsid w:val="004E4AFF"/>
    <w:rPr>
      <w:vertAlign w:val="superscript"/>
    </w:rPr>
  </w:style>
  <w:style w:type="paragraph" w:styleId="FootnoteText">
    <w:name w:val="footnote text"/>
    <w:aliases w:val="Footnote Text Char1 Char,Footnote Text Char Char Char,Footnote Text Char2 Char Char Char,Footnote Text Char1 Char1 Char Char Char,Footnote Text Char Char Char Char Char Char,Footnote Text Char1,Footnote Text Char2,fn Cha,rrfootnote,fn,f"/>
    <w:link w:val="FootnoteTextChar"/>
    <w:rsid w:val="004E4AFF"/>
    <w:pPr>
      <w:spacing w:after="120"/>
    </w:pPr>
  </w:style>
  <w:style w:type="character" w:styleId="FootnoteReference">
    <w:name w:val="footnote reference"/>
    <w:aliases w:val="Style 12,(NECG) Footnote Reference,Appel note de bas de p,Style 124,o,fr,Style 3,Style 13,Style 17,FR,Style 4,Footnote Reference/,Style 6"/>
    <w:rsid w:val="004E4AFF"/>
    <w:rPr>
      <w:rFonts w:ascii="Times New Roman" w:hAnsi="Times New Roman"/>
      <w:dstrike w:val="0"/>
      <w:color w:val="auto"/>
      <w:sz w:val="20"/>
      <w:vertAlign w:val="superscript"/>
    </w:rPr>
  </w:style>
  <w:style w:type="paragraph" w:styleId="TOC1">
    <w:name w:val="toc 1"/>
    <w:basedOn w:val="Normal"/>
    <w:next w:val="Normal"/>
    <w:semiHidden/>
    <w:rsid w:val="004E4AFF"/>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4E4AFF"/>
    <w:pPr>
      <w:tabs>
        <w:tab w:val="left" w:pos="720"/>
        <w:tab w:val="right" w:leader="dot" w:pos="9360"/>
      </w:tabs>
      <w:suppressAutoHyphens/>
      <w:ind w:left="720" w:right="720" w:hanging="360"/>
    </w:pPr>
    <w:rPr>
      <w:noProof/>
    </w:rPr>
  </w:style>
  <w:style w:type="paragraph" w:styleId="TOC3">
    <w:name w:val="toc 3"/>
    <w:basedOn w:val="Normal"/>
    <w:next w:val="Normal"/>
    <w:semiHidden/>
    <w:rsid w:val="004E4AFF"/>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4E4AFF"/>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4E4AFF"/>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4E4AFF"/>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4E4AFF"/>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4E4AFF"/>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4E4AFF"/>
    <w:pPr>
      <w:tabs>
        <w:tab w:val="left" w:pos="3240"/>
        <w:tab w:val="right" w:leader="dot" w:pos="9360"/>
      </w:tabs>
      <w:suppressAutoHyphens/>
      <w:ind w:left="3240" w:hanging="360"/>
    </w:pPr>
    <w:rPr>
      <w:noProof/>
    </w:rPr>
  </w:style>
  <w:style w:type="paragraph" w:styleId="TOAHeading">
    <w:name w:val="toa heading"/>
    <w:basedOn w:val="Normal"/>
    <w:next w:val="Normal"/>
    <w:semiHidden/>
    <w:rsid w:val="004E4AFF"/>
    <w:pPr>
      <w:tabs>
        <w:tab w:val="right" w:pos="9360"/>
      </w:tabs>
      <w:suppressAutoHyphens/>
    </w:pPr>
  </w:style>
  <w:style w:type="character" w:customStyle="1" w:styleId="EquationCaption">
    <w:name w:val="_Equation Caption"/>
    <w:rsid w:val="004E4AFF"/>
  </w:style>
  <w:style w:type="paragraph" w:styleId="Header">
    <w:name w:val="header"/>
    <w:basedOn w:val="Normal"/>
    <w:autoRedefine/>
    <w:rsid w:val="004E4AFF"/>
    <w:pPr>
      <w:tabs>
        <w:tab w:val="center" w:pos="4680"/>
        <w:tab w:val="right" w:pos="9360"/>
      </w:tabs>
    </w:pPr>
    <w:rPr>
      <w:b/>
    </w:rPr>
  </w:style>
  <w:style w:type="paragraph" w:styleId="Footer">
    <w:name w:val="footer"/>
    <w:basedOn w:val="Normal"/>
    <w:rsid w:val="004E4AFF"/>
    <w:pPr>
      <w:tabs>
        <w:tab w:val="center" w:pos="4320"/>
        <w:tab w:val="right" w:pos="8640"/>
      </w:tabs>
    </w:pPr>
  </w:style>
  <w:style w:type="character" w:styleId="PageNumber">
    <w:name w:val="page number"/>
    <w:basedOn w:val="DefaultParagraphFont"/>
    <w:rsid w:val="004E4AFF"/>
  </w:style>
  <w:style w:type="paragraph" w:styleId="BlockText">
    <w:name w:val="Block Text"/>
    <w:basedOn w:val="Normal"/>
    <w:rsid w:val="004E4AFF"/>
    <w:pPr>
      <w:spacing w:after="240"/>
      <w:ind w:left="1440" w:right="1440"/>
    </w:pPr>
  </w:style>
  <w:style w:type="paragraph" w:customStyle="1" w:styleId="Paratitle">
    <w:name w:val="Para title"/>
    <w:basedOn w:val="Normal"/>
    <w:rsid w:val="004E4AFF"/>
    <w:pPr>
      <w:tabs>
        <w:tab w:val="center" w:pos="9270"/>
      </w:tabs>
      <w:spacing w:after="240"/>
    </w:pPr>
    <w:rPr>
      <w:spacing w:val="-2"/>
    </w:rPr>
  </w:style>
  <w:style w:type="paragraph" w:customStyle="1" w:styleId="Bullet">
    <w:name w:val="Bullet"/>
    <w:basedOn w:val="Normal"/>
    <w:rsid w:val="004E4AFF"/>
    <w:pPr>
      <w:tabs>
        <w:tab w:val="left" w:pos="2160"/>
      </w:tabs>
      <w:spacing w:after="220"/>
      <w:ind w:left="2160" w:hanging="720"/>
    </w:pPr>
  </w:style>
  <w:style w:type="paragraph" w:customStyle="1" w:styleId="TableFormat">
    <w:name w:val="TableFormat"/>
    <w:basedOn w:val="Bullet"/>
    <w:rsid w:val="004E4AFF"/>
    <w:pPr>
      <w:tabs>
        <w:tab w:val="clear" w:pos="2160"/>
        <w:tab w:val="left" w:pos="5040"/>
      </w:tabs>
      <w:ind w:left="5040" w:hanging="3600"/>
    </w:pPr>
  </w:style>
  <w:style w:type="paragraph" w:customStyle="1" w:styleId="TOCTitle">
    <w:name w:val="TOC Title"/>
    <w:basedOn w:val="Normal"/>
    <w:rsid w:val="004E4AFF"/>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4E4AFF"/>
    <w:pPr>
      <w:jc w:val="center"/>
    </w:pPr>
    <w:rPr>
      <w:rFonts w:ascii="Times New Roman Bold" w:hAnsi="Times New Roman Bold"/>
      <w:b/>
      <w:bCs/>
      <w:caps/>
      <w:szCs w:val="22"/>
    </w:rPr>
  </w:style>
  <w:style w:type="character" w:styleId="Hyperlink">
    <w:name w:val="Hyperlink"/>
    <w:rsid w:val="004E4AFF"/>
    <w:rPr>
      <w:color w:val="0000FF"/>
      <w:u w:val="single"/>
    </w:rPr>
  </w:style>
  <w:style w:type="character" w:customStyle="1" w:styleId="FootnoteTextChar">
    <w:name w:val="Footnote Text Char"/>
    <w:aliases w:val="Footnote Text Char1 Char Char,Footnote Text Char Char Char Char,Footnote Text Char2 Char Char Char Char,Footnote Text Char1 Char1 Char Char Char Char,Footnote Text Char Char Char Char Char Char Char,Footnote Text Char1 Char1,fn Char"/>
    <w:link w:val="FootnoteText"/>
    <w:rsid w:val="005F5E9B"/>
  </w:style>
  <w:style w:type="character" w:customStyle="1" w:styleId="FootnoteTextCharChar">
    <w:name w:val="Footnote Text Char Char"/>
    <w:aliases w:val="Footnote Text Char3 Char Char,Footnote Text Char1 Char Char Char Char,Footnote Text Char7 Char Char Char Char Char,Footnote Text Char4 Char1 Char Char Char Char Char"/>
    <w:rsid w:val="00A417BB"/>
  </w:style>
  <w:style w:type="character" w:customStyle="1" w:styleId="ParaNumChar">
    <w:name w:val="ParaNum Char"/>
    <w:link w:val="ParaNum"/>
    <w:rsid w:val="00A417BB"/>
    <w:rPr>
      <w:snapToGrid w:val="0"/>
      <w:kern w:val="28"/>
      <w:sz w:val="22"/>
    </w:rPr>
  </w:style>
  <w:style w:type="paragraph" w:styleId="BodyText">
    <w:name w:val="Body Text"/>
    <w:basedOn w:val="Normal"/>
    <w:link w:val="BodyTextChar"/>
    <w:rsid w:val="00A417BB"/>
    <w:pPr>
      <w:widowControl/>
      <w:tabs>
        <w:tab w:val="left" w:pos="720"/>
        <w:tab w:val="left" w:pos="4680"/>
      </w:tabs>
      <w:jc w:val="both"/>
    </w:pPr>
    <w:rPr>
      <w:snapToGrid/>
      <w:kern w:val="0"/>
    </w:rPr>
  </w:style>
  <w:style w:type="character" w:customStyle="1" w:styleId="BodyTextChar">
    <w:name w:val="Body Text Char"/>
    <w:link w:val="BodyText"/>
    <w:rsid w:val="00A417BB"/>
    <w:rPr>
      <w:sz w:val="22"/>
    </w:rPr>
  </w:style>
  <w:style w:type="character" w:styleId="CommentReference">
    <w:name w:val="annotation reference"/>
    <w:rsid w:val="006C7B43"/>
    <w:rPr>
      <w:sz w:val="16"/>
      <w:szCs w:val="16"/>
    </w:rPr>
  </w:style>
  <w:style w:type="paragraph" w:styleId="CommentText">
    <w:name w:val="annotation text"/>
    <w:basedOn w:val="Normal"/>
    <w:link w:val="CommentTextChar"/>
    <w:rsid w:val="006C7B43"/>
    <w:rPr>
      <w:sz w:val="20"/>
    </w:rPr>
  </w:style>
  <w:style w:type="character" w:customStyle="1" w:styleId="CommentTextChar">
    <w:name w:val="Comment Text Char"/>
    <w:link w:val="CommentText"/>
    <w:rsid w:val="006C7B43"/>
    <w:rPr>
      <w:snapToGrid w:val="0"/>
      <w:kern w:val="28"/>
    </w:rPr>
  </w:style>
  <w:style w:type="paragraph" w:styleId="CommentSubject">
    <w:name w:val="annotation subject"/>
    <w:basedOn w:val="CommentText"/>
    <w:next w:val="CommentText"/>
    <w:link w:val="CommentSubjectChar"/>
    <w:rsid w:val="006C7B43"/>
    <w:rPr>
      <w:b/>
      <w:bCs/>
    </w:rPr>
  </w:style>
  <w:style w:type="character" w:customStyle="1" w:styleId="CommentSubjectChar">
    <w:name w:val="Comment Subject Char"/>
    <w:link w:val="CommentSubject"/>
    <w:rsid w:val="006C7B43"/>
    <w:rPr>
      <w:b/>
      <w:bCs/>
      <w:snapToGrid w:val="0"/>
      <w:kern w:val="28"/>
    </w:rPr>
  </w:style>
  <w:style w:type="paragraph" w:styleId="BalloonText">
    <w:name w:val="Balloon Text"/>
    <w:basedOn w:val="Normal"/>
    <w:link w:val="BalloonTextChar"/>
    <w:rsid w:val="006C7B43"/>
    <w:rPr>
      <w:rFonts w:ascii="Segoe UI" w:hAnsi="Segoe UI" w:cs="Segoe UI"/>
      <w:sz w:val="18"/>
      <w:szCs w:val="18"/>
    </w:rPr>
  </w:style>
  <w:style w:type="character" w:customStyle="1" w:styleId="BalloonTextChar">
    <w:name w:val="Balloon Text Char"/>
    <w:link w:val="BalloonText"/>
    <w:rsid w:val="006C7B43"/>
    <w:rPr>
      <w:rFonts w:ascii="Segoe UI" w:hAnsi="Segoe UI" w:cs="Segoe UI"/>
      <w:snapToGrid w:val="0"/>
      <w:kern w:val="28"/>
      <w:sz w:val="18"/>
      <w:szCs w:val="18"/>
    </w:rPr>
  </w:style>
  <w:style w:type="character" w:customStyle="1" w:styleId="pmterms2">
    <w:name w:val="pmterms2"/>
    <w:rsid w:val="00B173DA"/>
  </w:style>
  <w:style w:type="character" w:customStyle="1" w:styleId="pmterms1">
    <w:name w:val="pmterms1"/>
    <w:rsid w:val="00B173DA"/>
  </w:style>
  <w:style w:type="character" w:customStyle="1" w:styleId="term">
    <w:name w:val="term"/>
    <w:rsid w:val="005F6AE7"/>
  </w:style>
  <w:style w:type="paragraph" w:styleId="NormalWeb">
    <w:name w:val="Normal (Web)"/>
    <w:basedOn w:val="Normal"/>
    <w:uiPriority w:val="99"/>
    <w:unhideWhenUsed/>
    <w:rsid w:val="00421A27"/>
    <w:pPr>
      <w:widowControl/>
      <w:spacing w:before="100" w:beforeAutospacing="1" w:after="100" w:afterAutospacing="1"/>
    </w:pPr>
    <w:rPr>
      <w:snapToGrid/>
      <w:kern w:val="0"/>
      <w:sz w:val="24"/>
      <w:szCs w:val="24"/>
    </w:rPr>
  </w:style>
  <w:style w:type="paragraph" w:styleId="Revision">
    <w:name w:val="Revision"/>
    <w:hidden/>
    <w:uiPriority w:val="99"/>
    <w:semiHidden/>
    <w:rsid w:val="00613A34"/>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0346">
      <w:bodyDiv w:val="1"/>
      <w:marLeft w:val="0"/>
      <w:marRight w:val="0"/>
      <w:marTop w:val="0"/>
      <w:marBottom w:val="0"/>
      <w:divBdr>
        <w:top w:val="none" w:sz="0" w:space="0" w:color="auto"/>
        <w:left w:val="none" w:sz="0" w:space="0" w:color="auto"/>
        <w:bottom w:val="none" w:sz="0" w:space="0" w:color="auto"/>
        <w:right w:val="none" w:sz="0" w:space="0" w:color="auto"/>
      </w:divBdr>
    </w:div>
    <w:div w:id="130720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797</Words>
  <Characters>4486</Characters>
  <Application>Microsoft Office Word</Application>
  <DocSecurity>0</DocSecurity>
  <Lines>89</Lines>
  <Paragraphs>29</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5302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2005-07-20T17:06:00Z</cp:lastPrinted>
  <dcterms:created xsi:type="dcterms:W3CDTF">2017-08-16T13:52:00Z</dcterms:created>
  <dcterms:modified xsi:type="dcterms:W3CDTF">2017-08-16T13:52:00Z</dcterms:modified>
  <cp:category> </cp:category>
  <cp:contentStatus> </cp:contentStatus>
</cp:coreProperties>
</file>