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57240" w14:textId="77777777" w:rsidR="009276DC" w:rsidRPr="00925A69" w:rsidRDefault="00A179C3">
      <w:pPr>
        <w:pStyle w:val="Title"/>
        <w:ind w:left="3600"/>
        <w:jc w:val="both"/>
      </w:pPr>
      <w:bookmarkStart w:id="0" w:name="_GoBack"/>
      <w:bookmarkEnd w:id="0"/>
      <w:r>
        <w:t xml:space="preserve">           </w:t>
      </w:r>
      <w:r w:rsidRPr="00925A69">
        <w:t>Before the</w:t>
      </w:r>
    </w:p>
    <w:p w14:paraId="319CCECD" w14:textId="19194085" w:rsidR="009276DC" w:rsidRPr="00925A69" w:rsidRDefault="00A179C3">
      <w:pPr>
        <w:pStyle w:val="Title"/>
      </w:pPr>
      <w:r w:rsidRPr="00925A69">
        <w:t>Federal Communications Commission</w:t>
      </w:r>
    </w:p>
    <w:p w14:paraId="67B6683C" w14:textId="77777777" w:rsidR="009276DC" w:rsidRPr="00925A69" w:rsidRDefault="00A179C3">
      <w:pPr>
        <w:pStyle w:val="Title"/>
      </w:pPr>
      <w:r w:rsidRPr="00925A69">
        <w:t>Washington, D.C. 20554</w:t>
      </w:r>
    </w:p>
    <w:p w14:paraId="5BC9B6DD" w14:textId="77777777" w:rsidR="009276DC" w:rsidRPr="00925A69" w:rsidRDefault="009276DC">
      <w:pPr>
        <w:pStyle w:val="EndnoteText"/>
        <w:tabs>
          <w:tab w:val="left" w:pos="-720"/>
        </w:tabs>
        <w:suppressAutoHyphens/>
        <w:spacing w:after="0" w:line="227" w:lineRule="auto"/>
        <w:rPr>
          <w:spacing w:val="-2"/>
        </w:rPr>
      </w:pPr>
    </w:p>
    <w:p w14:paraId="647919CB" w14:textId="77777777" w:rsidR="009276DC" w:rsidRPr="00925A69" w:rsidRDefault="009276DC">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9276DC" w:rsidRPr="00925A69" w14:paraId="41848757" w14:textId="77777777">
        <w:tc>
          <w:tcPr>
            <w:tcW w:w="4698" w:type="dxa"/>
          </w:tcPr>
          <w:p w14:paraId="14DF74F6" w14:textId="77777777" w:rsidR="009276DC" w:rsidRPr="00925A69" w:rsidRDefault="00E26E9F">
            <w:pPr>
              <w:tabs>
                <w:tab w:val="center" w:pos="4680"/>
              </w:tabs>
              <w:suppressAutoHyphens/>
              <w:rPr>
                <w:spacing w:val="-2"/>
              </w:rPr>
            </w:pPr>
            <w:r w:rsidRPr="00925A69">
              <w:rPr>
                <w:spacing w:val="-2"/>
              </w:rPr>
              <w:t>In the Matter of</w:t>
            </w:r>
          </w:p>
          <w:p w14:paraId="5B96D0A4" w14:textId="77777777" w:rsidR="009276DC" w:rsidRPr="00925A69" w:rsidRDefault="009276DC">
            <w:pPr>
              <w:tabs>
                <w:tab w:val="center" w:pos="4680"/>
              </w:tabs>
              <w:suppressAutoHyphens/>
              <w:rPr>
                <w:spacing w:val="-2"/>
              </w:rPr>
            </w:pPr>
          </w:p>
          <w:p w14:paraId="43CF0429" w14:textId="28332C7C" w:rsidR="009276DC" w:rsidRPr="00925A69" w:rsidRDefault="00755C68">
            <w:pPr>
              <w:tabs>
                <w:tab w:val="center" w:pos="4680"/>
              </w:tabs>
              <w:suppressAutoHyphens/>
              <w:rPr>
                <w:spacing w:val="-2"/>
              </w:rPr>
            </w:pPr>
            <w:r>
              <w:rPr>
                <w:spacing w:val="-2"/>
              </w:rPr>
              <w:t>Woods Communication</w:t>
            </w:r>
            <w:r w:rsidR="001656B1">
              <w:rPr>
                <w:spacing w:val="-2"/>
              </w:rPr>
              <w:t>s</w:t>
            </w:r>
            <w:r>
              <w:rPr>
                <w:spacing w:val="-2"/>
              </w:rPr>
              <w:t xml:space="preserve"> Corporation</w:t>
            </w:r>
          </w:p>
          <w:p w14:paraId="77DF77E7" w14:textId="77777777" w:rsidR="009276DC" w:rsidRPr="00925A69" w:rsidRDefault="009276DC">
            <w:pPr>
              <w:tabs>
                <w:tab w:val="center" w:pos="4680"/>
              </w:tabs>
              <w:suppressAutoHyphens/>
              <w:rPr>
                <w:spacing w:val="-2"/>
              </w:rPr>
            </w:pPr>
          </w:p>
          <w:p w14:paraId="5307BF0B" w14:textId="77777777" w:rsidR="009276DC" w:rsidRPr="00925A69" w:rsidRDefault="00A179C3" w:rsidP="00E26E9F">
            <w:pPr>
              <w:tabs>
                <w:tab w:val="center" w:pos="4680"/>
              </w:tabs>
              <w:suppressAutoHyphens/>
              <w:jc w:val="left"/>
            </w:pPr>
            <w:r w:rsidRPr="00925A69">
              <w:rPr>
                <w:spacing w:val="-2"/>
              </w:rPr>
              <w:t xml:space="preserve">For Modification of the </w:t>
            </w:r>
            <w:r w:rsidR="00E26E9F" w:rsidRPr="00925A69">
              <w:rPr>
                <w:spacing w:val="-2"/>
              </w:rPr>
              <w:t>Television Market for</w:t>
            </w:r>
            <w:r w:rsidRPr="00925A69">
              <w:rPr>
                <w:spacing w:val="-2"/>
              </w:rPr>
              <w:t xml:space="preserve"> </w:t>
            </w:r>
            <w:r w:rsidR="00755C68">
              <w:rPr>
                <w:spacing w:val="-2"/>
              </w:rPr>
              <w:t>WCOV-TV, Montgomery, Alabama</w:t>
            </w:r>
          </w:p>
        </w:tc>
        <w:tc>
          <w:tcPr>
            <w:tcW w:w="630" w:type="dxa"/>
          </w:tcPr>
          <w:p w14:paraId="6B38F903" w14:textId="77777777" w:rsidR="009276DC" w:rsidRPr="00925A69" w:rsidRDefault="00A179C3">
            <w:pPr>
              <w:tabs>
                <w:tab w:val="center" w:pos="4680"/>
              </w:tabs>
              <w:suppressAutoHyphens/>
              <w:rPr>
                <w:b/>
                <w:spacing w:val="-2"/>
              </w:rPr>
            </w:pPr>
            <w:r w:rsidRPr="00925A69">
              <w:rPr>
                <w:b/>
                <w:spacing w:val="-2"/>
              </w:rPr>
              <w:t>)</w:t>
            </w:r>
          </w:p>
          <w:p w14:paraId="03B5D723" w14:textId="77777777" w:rsidR="009276DC" w:rsidRPr="00925A69" w:rsidRDefault="00A179C3">
            <w:pPr>
              <w:tabs>
                <w:tab w:val="center" w:pos="4680"/>
              </w:tabs>
              <w:suppressAutoHyphens/>
              <w:rPr>
                <w:b/>
                <w:spacing w:val="-2"/>
              </w:rPr>
            </w:pPr>
            <w:r w:rsidRPr="00925A69">
              <w:rPr>
                <w:b/>
                <w:spacing w:val="-2"/>
              </w:rPr>
              <w:t>)</w:t>
            </w:r>
          </w:p>
          <w:p w14:paraId="720B14AE" w14:textId="77777777" w:rsidR="009276DC" w:rsidRPr="00925A69" w:rsidRDefault="00A179C3">
            <w:pPr>
              <w:tabs>
                <w:tab w:val="center" w:pos="4680"/>
              </w:tabs>
              <w:suppressAutoHyphens/>
              <w:rPr>
                <w:b/>
                <w:spacing w:val="-2"/>
              </w:rPr>
            </w:pPr>
            <w:r w:rsidRPr="00925A69">
              <w:rPr>
                <w:b/>
                <w:spacing w:val="-2"/>
              </w:rPr>
              <w:t>)</w:t>
            </w:r>
          </w:p>
          <w:p w14:paraId="2E25558B" w14:textId="77777777" w:rsidR="009276DC" w:rsidRPr="00925A69" w:rsidRDefault="00A179C3">
            <w:pPr>
              <w:tabs>
                <w:tab w:val="center" w:pos="4680"/>
              </w:tabs>
              <w:suppressAutoHyphens/>
              <w:rPr>
                <w:b/>
                <w:spacing w:val="-2"/>
              </w:rPr>
            </w:pPr>
            <w:r w:rsidRPr="00925A69">
              <w:rPr>
                <w:b/>
                <w:spacing w:val="-2"/>
              </w:rPr>
              <w:t>)</w:t>
            </w:r>
          </w:p>
          <w:p w14:paraId="694F728F" w14:textId="77777777" w:rsidR="009276DC" w:rsidRPr="00925A69" w:rsidRDefault="00A179C3">
            <w:pPr>
              <w:tabs>
                <w:tab w:val="center" w:pos="4680"/>
              </w:tabs>
              <w:suppressAutoHyphens/>
              <w:rPr>
                <w:b/>
                <w:spacing w:val="-2"/>
              </w:rPr>
            </w:pPr>
            <w:r w:rsidRPr="00925A69">
              <w:rPr>
                <w:b/>
                <w:spacing w:val="-2"/>
              </w:rPr>
              <w:t>)</w:t>
            </w:r>
          </w:p>
          <w:p w14:paraId="27EAD994" w14:textId="77777777" w:rsidR="009276DC" w:rsidRPr="00925A69" w:rsidRDefault="00A179C3">
            <w:pPr>
              <w:tabs>
                <w:tab w:val="center" w:pos="4680"/>
              </w:tabs>
              <w:suppressAutoHyphens/>
              <w:rPr>
                <w:b/>
                <w:spacing w:val="-2"/>
              </w:rPr>
            </w:pPr>
            <w:r w:rsidRPr="00925A69">
              <w:rPr>
                <w:b/>
                <w:spacing w:val="-2"/>
              </w:rPr>
              <w:t>)</w:t>
            </w:r>
          </w:p>
          <w:p w14:paraId="77A9BF61" w14:textId="77777777" w:rsidR="009276DC" w:rsidRPr="00925A69" w:rsidRDefault="00A179C3">
            <w:pPr>
              <w:tabs>
                <w:tab w:val="center" w:pos="4680"/>
              </w:tabs>
              <w:suppressAutoHyphens/>
              <w:rPr>
                <w:b/>
                <w:spacing w:val="-2"/>
              </w:rPr>
            </w:pPr>
            <w:r w:rsidRPr="00925A69">
              <w:rPr>
                <w:b/>
                <w:spacing w:val="-2"/>
              </w:rPr>
              <w:t>)</w:t>
            </w:r>
          </w:p>
          <w:p w14:paraId="461FEA6B" w14:textId="77777777" w:rsidR="009276DC" w:rsidRPr="00925A69" w:rsidRDefault="00A179C3">
            <w:pPr>
              <w:tabs>
                <w:tab w:val="center" w:pos="4680"/>
              </w:tabs>
              <w:suppressAutoHyphens/>
              <w:rPr>
                <w:b/>
                <w:spacing w:val="-2"/>
              </w:rPr>
            </w:pPr>
            <w:r w:rsidRPr="00925A69">
              <w:rPr>
                <w:b/>
                <w:spacing w:val="-2"/>
              </w:rPr>
              <w:t>)</w:t>
            </w:r>
          </w:p>
          <w:p w14:paraId="5170E037" w14:textId="77777777" w:rsidR="009276DC" w:rsidRPr="00925A69" w:rsidRDefault="009276DC">
            <w:pPr>
              <w:tabs>
                <w:tab w:val="center" w:pos="4680"/>
              </w:tabs>
              <w:suppressAutoHyphens/>
              <w:rPr>
                <w:b/>
                <w:spacing w:val="-2"/>
              </w:rPr>
            </w:pPr>
          </w:p>
        </w:tc>
        <w:tc>
          <w:tcPr>
            <w:tcW w:w="4248" w:type="dxa"/>
          </w:tcPr>
          <w:p w14:paraId="7256738C" w14:textId="77777777" w:rsidR="009276DC" w:rsidRPr="00925A69" w:rsidRDefault="009276DC">
            <w:pPr>
              <w:tabs>
                <w:tab w:val="center" w:pos="4680"/>
              </w:tabs>
              <w:suppressAutoHyphens/>
              <w:rPr>
                <w:spacing w:val="-2"/>
              </w:rPr>
            </w:pPr>
          </w:p>
          <w:p w14:paraId="799BAC54" w14:textId="77777777" w:rsidR="009276DC" w:rsidRPr="00925A69" w:rsidRDefault="009276DC">
            <w:pPr>
              <w:tabs>
                <w:tab w:val="center" w:pos="4680"/>
              </w:tabs>
              <w:suppressAutoHyphens/>
              <w:rPr>
                <w:spacing w:val="-2"/>
              </w:rPr>
            </w:pPr>
          </w:p>
          <w:p w14:paraId="642F1710" w14:textId="77777777" w:rsidR="009276DC" w:rsidRPr="00925A69" w:rsidRDefault="00755C68">
            <w:pPr>
              <w:tabs>
                <w:tab w:val="center" w:pos="4680"/>
              </w:tabs>
              <w:suppressAutoHyphens/>
              <w:rPr>
                <w:spacing w:val="-2"/>
              </w:rPr>
            </w:pPr>
            <w:r>
              <w:rPr>
                <w:spacing w:val="-2"/>
              </w:rPr>
              <w:t>MB Docket No. 17-102</w:t>
            </w:r>
            <w:r w:rsidR="00CE3D60">
              <w:rPr>
                <w:spacing w:val="-2"/>
              </w:rPr>
              <w:t>, CSR 8934-A</w:t>
            </w:r>
          </w:p>
          <w:p w14:paraId="7D94A716" w14:textId="77777777" w:rsidR="009276DC" w:rsidRPr="00925A69" w:rsidRDefault="009276DC">
            <w:pPr>
              <w:tabs>
                <w:tab w:val="center" w:pos="4680"/>
              </w:tabs>
              <w:suppressAutoHyphens/>
              <w:rPr>
                <w:spacing w:val="-2"/>
              </w:rPr>
            </w:pPr>
          </w:p>
          <w:p w14:paraId="4ADAF4DF" w14:textId="77777777" w:rsidR="009276DC" w:rsidRPr="00925A69" w:rsidRDefault="009276DC">
            <w:pPr>
              <w:tabs>
                <w:tab w:val="center" w:pos="4680"/>
              </w:tabs>
              <w:suppressAutoHyphens/>
              <w:rPr>
                <w:spacing w:val="-2"/>
              </w:rPr>
            </w:pPr>
          </w:p>
          <w:p w14:paraId="4CF0EED8" w14:textId="77777777" w:rsidR="009276DC" w:rsidRPr="00925A69" w:rsidRDefault="009276DC">
            <w:pPr>
              <w:tabs>
                <w:tab w:val="center" w:pos="4680"/>
              </w:tabs>
              <w:suppressAutoHyphens/>
              <w:rPr>
                <w:spacing w:val="-2"/>
              </w:rPr>
            </w:pPr>
          </w:p>
          <w:p w14:paraId="5207BA85" w14:textId="77777777" w:rsidR="009276DC" w:rsidRPr="00925A69" w:rsidRDefault="009276DC">
            <w:pPr>
              <w:tabs>
                <w:tab w:val="center" w:pos="4680"/>
              </w:tabs>
              <w:suppressAutoHyphens/>
              <w:rPr>
                <w:spacing w:val="-2"/>
              </w:rPr>
            </w:pPr>
          </w:p>
          <w:p w14:paraId="0D8B694B" w14:textId="77777777" w:rsidR="009276DC" w:rsidRPr="00925A69" w:rsidRDefault="009276DC">
            <w:pPr>
              <w:tabs>
                <w:tab w:val="center" w:pos="4680"/>
              </w:tabs>
              <w:suppressAutoHyphens/>
              <w:rPr>
                <w:spacing w:val="-2"/>
              </w:rPr>
            </w:pPr>
          </w:p>
          <w:p w14:paraId="38532814" w14:textId="77777777" w:rsidR="009276DC" w:rsidRPr="00925A69" w:rsidRDefault="009276DC">
            <w:pPr>
              <w:tabs>
                <w:tab w:val="center" w:pos="4680"/>
              </w:tabs>
              <w:suppressAutoHyphens/>
              <w:rPr>
                <w:spacing w:val="-2"/>
              </w:rPr>
            </w:pPr>
          </w:p>
          <w:p w14:paraId="69356C31" w14:textId="77777777" w:rsidR="009276DC" w:rsidRPr="00925A69" w:rsidRDefault="009276DC">
            <w:pPr>
              <w:tabs>
                <w:tab w:val="center" w:pos="4680"/>
              </w:tabs>
              <w:suppressAutoHyphens/>
              <w:rPr>
                <w:spacing w:val="-2"/>
              </w:rPr>
            </w:pPr>
          </w:p>
        </w:tc>
      </w:tr>
    </w:tbl>
    <w:p w14:paraId="1448F1E5" w14:textId="77777777" w:rsidR="009276DC" w:rsidRPr="00925A69" w:rsidRDefault="00A179C3">
      <w:pPr>
        <w:pStyle w:val="Title"/>
      </w:pPr>
      <w:r w:rsidRPr="00925A69">
        <w:fldChar w:fldCharType="begin"/>
      </w:r>
      <w:r w:rsidRPr="00925A69">
        <w:instrText xml:space="preserve"> AUTOTEXTLIST  \* MERGEFORMAT </w:instrText>
      </w:r>
      <w:r w:rsidRPr="00925A69">
        <w:fldChar w:fldCharType="separate"/>
      </w:r>
      <w:r w:rsidRPr="00925A69">
        <w:t>MEMORANDUM OPINION AND ORDER</w:t>
      </w:r>
      <w:r w:rsidRPr="00925A69">
        <w:fldChar w:fldCharType="end"/>
      </w:r>
    </w:p>
    <w:p w14:paraId="4D749723" w14:textId="77777777" w:rsidR="009276DC" w:rsidRPr="00925A69" w:rsidRDefault="009276DC">
      <w:pPr>
        <w:pStyle w:val="FootnoteText"/>
      </w:pPr>
    </w:p>
    <w:p w14:paraId="0CD6F55B" w14:textId="2528C9A4" w:rsidR="009276DC" w:rsidRPr="00925A69" w:rsidRDefault="00755C68">
      <w:pPr>
        <w:tabs>
          <w:tab w:val="left" w:pos="720"/>
          <w:tab w:val="left" w:pos="5760"/>
        </w:tabs>
        <w:suppressAutoHyphens/>
        <w:spacing w:line="227" w:lineRule="auto"/>
        <w:rPr>
          <w:b/>
          <w:spacing w:val="-2"/>
        </w:rPr>
      </w:pPr>
      <w:r>
        <w:rPr>
          <w:b/>
          <w:spacing w:val="-2"/>
        </w:rPr>
        <w:t xml:space="preserve">Adopted:  August </w:t>
      </w:r>
      <w:r w:rsidR="009D633A">
        <w:rPr>
          <w:b/>
          <w:spacing w:val="-2"/>
        </w:rPr>
        <w:t>16</w:t>
      </w:r>
      <w:r w:rsidR="0044798C">
        <w:rPr>
          <w:b/>
          <w:spacing w:val="-2"/>
        </w:rPr>
        <w:t>, 2017</w:t>
      </w:r>
      <w:r w:rsidR="00A179C3" w:rsidRPr="00925A69">
        <w:rPr>
          <w:b/>
          <w:spacing w:val="-2"/>
        </w:rPr>
        <w:tab/>
        <w:t xml:space="preserve">             Released: </w:t>
      </w:r>
      <w:r w:rsidR="009D633A">
        <w:rPr>
          <w:b/>
          <w:spacing w:val="-2"/>
        </w:rPr>
        <w:t>August 16</w:t>
      </w:r>
      <w:r w:rsidR="0044798C">
        <w:rPr>
          <w:b/>
          <w:spacing w:val="-2"/>
        </w:rPr>
        <w:t>, 2017</w:t>
      </w:r>
    </w:p>
    <w:p w14:paraId="2D8F5D28" w14:textId="77777777" w:rsidR="009276DC" w:rsidRPr="00925A69" w:rsidRDefault="009276DC"/>
    <w:p w14:paraId="6FF58ABD" w14:textId="77777777" w:rsidR="009276DC" w:rsidRPr="00925A69" w:rsidRDefault="00A179C3">
      <w:pPr>
        <w:rPr>
          <w:spacing w:val="-2"/>
        </w:rPr>
      </w:pPr>
      <w:r w:rsidRPr="00925A69">
        <w:t xml:space="preserve">By the Senior Deputy Chief, Policy Division, Media </w:t>
      </w:r>
      <w:r w:rsidRPr="00925A69">
        <w:rPr>
          <w:spacing w:val="-2"/>
        </w:rPr>
        <w:t>Bureau:</w:t>
      </w:r>
    </w:p>
    <w:p w14:paraId="39D8723E" w14:textId="77777777" w:rsidR="009276DC" w:rsidRPr="00925A69" w:rsidRDefault="009276DC">
      <w:pPr>
        <w:rPr>
          <w:spacing w:val="-2"/>
        </w:rPr>
      </w:pPr>
    </w:p>
    <w:p w14:paraId="3FA3787C" w14:textId="77777777" w:rsidR="009276DC" w:rsidRPr="00925A69" w:rsidRDefault="00A179C3" w:rsidP="00010EE1">
      <w:pPr>
        <w:pStyle w:val="Heading1"/>
        <w:spacing w:after="120"/>
      </w:pPr>
      <w:r w:rsidRPr="00925A69">
        <w:t>INTRODUCTION</w:t>
      </w:r>
    </w:p>
    <w:p w14:paraId="7D51FD37" w14:textId="3980465B" w:rsidR="003E7A6D" w:rsidRDefault="00755C68" w:rsidP="007F559F">
      <w:pPr>
        <w:pStyle w:val="ParaNum"/>
        <w:tabs>
          <w:tab w:val="clear" w:pos="1080"/>
        </w:tabs>
        <w:spacing w:after="120"/>
        <w:jc w:val="left"/>
      </w:pPr>
      <w:r>
        <w:t>Woods Communication</w:t>
      </w:r>
      <w:r w:rsidR="001656B1">
        <w:t>s</w:t>
      </w:r>
      <w:r>
        <w:t xml:space="preserve"> Corporation</w:t>
      </w:r>
      <w:r w:rsidR="00E26E9F" w:rsidRPr="00925A69">
        <w:t xml:space="preserve"> </w:t>
      </w:r>
      <w:r>
        <w:t>(</w:t>
      </w:r>
      <w:r w:rsidR="007565A4">
        <w:t xml:space="preserve">Woods or </w:t>
      </w:r>
      <w:r>
        <w:t xml:space="preserve">the </w:t>
      </w:r>
      <w:r w:rsidR="00A179C3" w:rsidRPr="00925A69">
        <w:t>Petitioner</w:t>
      </w:r>
      <w:r w:rsidR="00E26E9F" w:rsidRPr="00925A69">
        <w:t>)</w:t>
      </w:r>
      <w:r w:rsidR="00A179C3" w:rsidRPr="00925A69">
        <w:t xml:space="preserve"> filed the above-captioned Petition seeking to modi</w:t>
      </w:r>
      <w:r>
        <w:t xml:space="preserve">fy the television market of WCOV-TV </w:t>
      </w:r>
      <w:r w:rsidR="00A179C3" w:rsidRPr="00925A69">
        <w:t xml:space="preserve">(Facility ID No. </w:t>
      </w:r>
      <w:r>
        <w:t>73642</w:t>
      </w:r>
      <w:r w:rsidR="00A179C3" w:rsidRPr="00925A69">
        <w:t>),</w:t>
      </w:r>
      <w:r>
        <w:t xml:space="preserve"> Montgomery</w:t>
      </w:r>
      <w:r w:rsidR="00A179C3" w:rsidRPr="00925A69">
        <w:t xml:space="preserve">, </w:t>
      </w:r>
      <w:r>
        <w:t>Alabama (WCOV</w:t>
      </w:r>
      <w:r w:rsidR="00A179C3" w:rsidRPr="00925A69">
        <w:t xml:space="preserve"> or the Station) </w:t>
      </w:r>
      <w:r w:rsidR="002614BD" w:rsidRPr="00925A69">
        <w:t xml:space="preserve">to include </w:t>
      </w:r>
      <w:r w:rsidR="004807A3">
        <w:t>the</w:t>
      </w:r>
      <w:r w:rsidR="007565A4">
        <w:t xml:space="preserve"> communities comprising </w:t>
      </w:r>
      <w:r>
        <w:t>Lee County</w:t>
      </w:r>
      <w:r w:rsidR="00253D8C">
        <w:t>, Alabama</w:t>
      </w:r>
      <w:r w:rsidR="00780CA9">
        <w:t xml:space="preserve"> (</w:t>
      </w:r>
      <w:r w:rsidR="007565A4">
        <w:t xml:space="preserve">Lee County or </w:t>
      </w:r>
      <w:r w:rsidR="00780CA9">
        <w:t>the Communit</w:t>
      </w:r>
      <w:r w:rsidR="007565A4">
        <w:t>ies</w:t>
      </w:r>
      <w:r w:rsidR="00780CA9">
        <w:t>)</w:t>
      </w:r>
      <w:r w:rsidR="00C4142A">
        <w:t>.</w:t>
      </w:r>
      <w:r w:rsidR="001656B1">
        <w:rPr>
          <w:rStyle w:val="FootnoteReference"/>
        </w:rPr>
        <w:footnoteReference w:id="2"/>
      </w:r>
      <w:r w:rsidR="00C4142A">
        <w:t xml:space="preserve"> </w:t>
      </w:r>
      <w:r w:rsidR="00596910">
        <w:t xml:space="preserve"> </w:t>
      </w:r>
      <w:r w:rsidR="00A179C3" w:rsidRPr="00925A69">
        <w:t xml:space="preserve">The Petitioner states </w:t>
      </w:r>
      <w:r w:rsidR="003E7A6D">
        <w:t xml:space="preserve">that the Station </w:t>
      </w:r>
      <w:r w:rsidR="005A77B1">
        <w:t>meets all requirements applicable to including Lee County in its market, and that doing so would serve the public interest</w:t>
      </w:r>
      <w:r w:rsidR="003E7A6D">
        <w:t>.</w:t>
      </w:r>
      <w:r w:rsidR="003E7A6D">
        <w:rPr>
          <w:rStyle w:val="FootnoteReference"/>
        </w:rPr>
        <w:footnoteReference w:id="3"/>
      </w:r>
      <w:r w:rsidR="003E7A6D">
        <w:t xml:space="preserve"> </w:t>
      </w:r>
      <w:r w:rsidR="00596910">
        <w:t xml:space="preserve"> </w:t>
      </w:r>
      <w:r w:rsidR="003E7A6D">
        <w:t>No opposition to the Petition has been filed.</w:t>
      </w:r>
      <w:r w:rsidR="001B1748">
        <w:rPr>
          <w:rStyle w:val="FootnoteReference"/>
        </w:rPr>
        <w:footnoteReference w:id="4"/>
      </w:r>
      <w:r w:rsidR="003E7A6D">
        <w:t xml:space="preserve"> </w:t>
      </w:r>
      <w:r w:rsidR="00596910">
        <w:t xml:space="preserve"> </w:t>
      </w:r>
      <w:r w:rsidR="003E7A6D">
        <w:t xml:space="preserve">For the reasons stated below, we grant the Petition. </w:t>
      </w:r>
    </w:p>
    <w:p w14:paraId="4D6C34D2" w14:textId="77777777" w:rsidR="009276DC" w:rsidRPr="00925A69" w:rsidRDefault="00A179C3" w:rsidP="00010EE1">
      <w:pPr>
        <w:pStyle w:val="Heading1"/>
        <w:spacing w:after="120"/>
      </w:pPr>
      <w:r w:rsidRPr="00925A69">
        <w:t>background</w:t>
      </w:r>
    </w:p>
    <w:p w14:paraId="4B333049" w14:textId="536E5BD5" w:rsidR="009276DC" w:rsidRPr="00925A69" w:rsidRDefault="00C67EF6" w:rsidP="00BF3B0D">
      <w:pPr>
        <w:pStyle w:val="ParaNum"/>
        <w:tabs>
          <w:tab w:val="clear" w:pos="1080"/>
        </w:tabs>
        <w:spacing w:after="120"/>
        <w:jc w:val="left"/>
      </w:pPr>
      <w:r w:rsidRPr="00925A69">
        <w:t>Pursuant to s</w:t>
      </w:r>
      <w:r w:rsidR="00A179C3" w:rsidRPr="00925A69">
        <w:t>ection 614 of the Communications Act</w:t>
      </w:r>
      <w:r w:rsidR="003454F4" w:rsidRPr="00925A69">
        <w:t xml:space="preserve"> of 1934, as amended</w:t>
      </w:r>
      <w:r w:rsidR="00A179C3" w:rsidRPr="00925A69">
        <w:t xml:space="preserve"> </w:t>
      </w:r>
      <w:r w:rsidR="003454F4" w:rsidRPr="00925A69">
        <w:t xml:space="preserve">(the Act), </w:t>
      </w:r>
      <w:r w:rsidR="00A179C3" w:rsidRPr="00925A69">
        <w:t xml:space="preserve">and implementing rules adopted by the Commission in </w:t>
      </w:r>
      <w:r w:rsidRPr="00925A69">
        <w:t xml:space="preserve">its </w:t>
      </w:r>
      <w:r w:rsidR="00A179C3" w:rsidRPr="00925A69">
        <w:rPr>
          <w:i/>
        </w:rPr>
        <w:t>Must Carry Order</w:t>
      </w:r>
      <w:r w:rsidR="00A179C3" w:rsidRPr="00925A69">
        <w:t>, commercial television broadcast stations are entitled to assert mandatory carriage rights on cable systems located within the station’s market.</w:t>
      </w:r>
      <w:r w:rsidR="00A179C3" w:rsidRPr="00925A69">
        <w:rPr>
          <w:rStyle w:val="FootnoteReference"/>
        </w:rPr>
        <w:footnoteReference w:id="5"/>
      </w:r>
      <w:r w:rsidR="00596910">
        <w:t xml:space="preserve"> </w:t>
      </w:r>
      <w:r w:rsidR="000251E4">
        <w:t xml:space="preserve"> </w:t>
      </w:r>
      <w:r w:rsidR="00A179C3" w:rsidRPr="00925A69">
        <w:t>A station’s market for this purpose is its “designated market area,” or DMA, as defined by Nielsen Media Research.</w:t>
      </w:r>
      <w:r w:rsidR="00A179C3" w:rsidRPr="00925A69">
        <w:rPr>
          <w:rStyle w:val="FootnoteReference"/>
        </w:rPr>
        <w:footnoteReference w:id="6"/>
      </w:r>
      <w:r w:rsidR="00A179C3" w:rsidRPr="00925A69">
        <w:t xml:space="preserve">  A DMA is a geographic market designation that defines each television market </w:t>
      </w:r>
      <w:r w:rsidR="00A179C3" w:rsidRPr="00925A69">
        <w:lastRenderedPageBreak/>
        <w:t>exclusive of others, based on measured viewing patterns.  Essentially, each county in the United States is allocated to a market based on which home-market stations receive a preponderance of total viewing hours in the county.  For purposes of this calculation, both over-the-air and cable television viewing are included.</w:t>
      </w:r>
      <w:r w:rsidR="00A179C3" w:rsidRPr="00925A69">
        <w:rPr>
          <w:rStyle w:val="FootnoteReference"/>
        </w:rPr>
        <w:footnoteReference w:id="7"/>
      </w:r>
    </w:p>
    <w:p w14:paraId="05D02BC0" w14:textId="7A561605" w:rsidR="003454F4" w:rsidRPr="00925A69" w:rsidRDefault="004866BB" w:rsidP="00BF3B0D">
      <w:pPr>
        <w:pStyle w:val="ParaNum"/>
        <w:tabs>
          <w:tab w:val="clear" w:pos="1080"/>
        </w:tabs>
        <w:spacing w:after="120"/>
        <w:jc w:val="left"/>
      </w:pPr>
      <w:r>
        <w:t>In addition</w:t>
      </w:r>
      <w:r w:rsidR="00A179C3" w:rsidRPr="00925A69">
        <w:t xml:space="preserve">, the </w:t>
      </w:r>
      <w:r w:rsidR="003104D8">
        <w:t xml:space="preserve">Act directs the </w:t>
      </w:r>
      <w:r w:rsidR="00A179C3" w:rsidRPr="00925A69">
        <w:t xml:space="preserve">Commission to consider changes </w:t>
      </w:r>
      <w:r w:rsidR="003104D8">
        <w:t>to</w:t>
      </w:r>
      <w:r w:rsidR="003104D8" w:rsidRPr="00925A69">
        <w:t xml:space="preserve"> </w:t>
      </w:r>
      <w:r>
        <w:t xml:space="preserve">DMA-based television </w:t>
      </w:r>
      <w:r w:rsidR="00A179C3" w:rsidRPr="00925A69">
        <w:t>markets</w:t>
      </w:r>
      <w:r w:rsidR="003104D8">
        <w:t xml:space="preserve"> for purposes of a station’s mandatory carriage rights</w:t>
      </w:r>
      <w:r w:rsidR="00A179C3" w:rsidRPr="00925A69">
        <w:t>.  Section 614(h)(1)(C) provides that the Commission may:</w:t>
      </w:r>
    </w:p>
    <w:p w14:paraId="1E2B2651" w14:textId="77777777" w:rsidR="009276DC" w:rsidRPr="00925A69" w:rsidRDefault="00A179C3" w:rsidP="00010EE1">
      <w:pPr>
        <w:pStyle w:val="ParaNum"/>
        <w:numPr>
          <w:ilvl w:val="0"/>
          <w:numId w:val="0"/>
        </w:numPr>
        <w:spacing w:after="120"/>
        <w:ind w:left="1440" w:right="720"/>
        <w:jc w:val="left"/>
      </w:pPr>
      <w:r w:rsidRPr="00925A69">
        <w:t>with respect to a particular television broadcast station, include additional</w:t>
      </w:r>
      <w:r w:rsidR="003454F4" w:rsidRPr="00925A69">
        <w:t xml:space="preserve"> </w:t>
      </w:r>
      <w:r w:rsidRPr="00925A69">
        <w:t>communities within its television market or exclude communities from such</w:t>
      </w:r>
      <w:r w:rsidR="003454F4" w:rsidRPr="00925A69">
        <w:t xml:space="preserve"> </w:t>
      </w:r>
      <w:r w:rsidRPr="00925A69">
        <w:t>station’s television market to better effectuate the purposes of this section.</w:t>
      </w:r>
      <w:r w:rsidRPr="00925A69">
        <w:rPr>
          <w:rStyle w:val="FootnoteReference"/>
        </w:rPr>
        <w:footnoteReference w:id="8"/>
      </w:r>
    </w:p>
    <w:p w14:paraId="7869A26D" w14:textId="77777777" w:rsidR="003454F4" w:rsidRPr="00925A69" w:rsidRDefault="00A179C3" w:rsidP="00010EE1">
      <w:pPr>
        <w:pStyle w:val="ParaNum"/>
        <w:numPr>
          <w:ilvl w:val="0"/>
          <w:numId w:val="0"/>
        </w:numPr>
        <w:spacing w:after="120"/>
        <w:jc w:val="left"/>
      </w:pPr>
      <w:r w:rsidRPr="00925A69">
        <w:t>In considering such reque</w:t>
      </w:r>
      <w:r w:rsidR="003454F4" w:rsidRPr="00925A69">
        <w:t xml:space="preserve">sts, the </w:t>
      </w:r>
      <w:r w:rsidRPr="00925A69">
        <w:t>Act provides that:</w:t>
      </w:r>
    </w:p>
    <w:p w14:paraId="078927DD" w14:textId="77777777" w:rsidR="009276DC" w:rsidRPr="00925A69" w:rsidRDefault="00A179C3" w:rsidP="00010EE1">
      <w:pPr>
        <w:pStyle w:val="ParaNum"/>
        <w:numPr>
          <w:ilvl w:val="0"/>
          <w:numId w:val="0"/>
        </w:numPr>
        <w:spacing w:after="120"/>
        <w:ind w:left="1440" w:right="720"/>
        <w:jc w:val="left"/>
      </w:pPr>
      <w:r w:rsidRPr="00925A69">
        <w:t>the Commission shall afford particular attention to the value of localism</w:t>
      </w:r>
      <w:r w:rsidR="003454F4" w:rsidRPr="00925A69">
        <w:t xml:space="preserve"> </w:t>
      </w:r>
      <w:r w:rsidRPr="00925A69">
        <w:t>by taking into account such factors as –</w:t>
      </w:r>
    </w:p>
    <w:p w14:paraId="33CAEAEE" w14:textId="77777777" w:rsidR="009276DC" w:rsidRPr="00925A69" w:rsidRDefault="00A179C3" w:rsidP="00010EE1">
      <w:pPr>
        <w:pStyle w:val="ParaNum"/>
        <w:numPr>
          <w:ilvl w:val="0"/>
          <w:numId w:val="29"/>
        </w:numPr>
        <w:tabs>
          <w:tab w:val="clear" w:pos="1440"/>
          <w:tab w:val="clear" w:pos="2160"/>
        </w:tabs>
        <w:spacing w:after="120"/>
        <w:ind w:left="1440" w:right="720" w:firstLine="0"/>
        <w:jc w:val="left"/>
      </w:pPr>
      <w:r w:rsidRPr="00925A69">
        <w:t>whether the station, or other stations located in the same area, have</w:t>
      </w:r>
      <w:r w:rsidR="003454F4" w:rsidRPr="00925A69">
        <w:t xml:space="preserve"> </w:t>
      </w:r>
      <w:r w:rsidRPr="00925A69">
        <w:t>been historically carried on the cable system or systems within such community;</w:t>
      </w:r>
    </w:p>
    <w:p w14:paraId="0AA3754B" w14:textId="77777777" w:rsidR="009276DC" w:rsidRPr="00925A69" w:rsidRDefault="00A179C3" w:rsidP="00010EE1">
      <w:pPr>
        <w:pStyle w:val="ParaNum"/>
        <w:numPr>
          <w:ilvl w:val="0"/>
          <w:numId w:val="29"/>
        </w:numPr>
        <w:tabs>
          <w:tab w:val="clear" w:pos="1440"/>
          <w:tab w:val="clear" w:pos="2160"/>
        </w:tabs>
        <w:spacing w:after="120"/>
        <w:ind w:left="1440" w:right="720" w:firstLine="0"/>
        <w:jc w:val="left"/>
      </w:pPr>
      <w:r w:rsidRPr="00925A69">
        <w:t>whether the television station provides coverage or other local service to such community;</w:t>
      </w:r>
    </w:p>
    <w:p w14:paraId="3BD78701" w14:textId="29626258" w:rsidR="009276DC" w:rsidRPr="00925A69" w:rsidRDefault="00A179C3" w:rsidP="00010EE1">
      <w:pPr>
        <w:pStyle w:val="ParaNum"/>
        <w:numPr>
          <w:ilvl w:val="0"/>
          <w:numId w:val="29"/>
        </w:numPr>
        <w:tabs>
          <w:tab w:val="clear" w:pos="1440"/>
          <w:tab w:val="clear" w:pos="2160"/>
        </w:tabs>
        <w:spacing w:after="120"/>
        <w:ind w:left="1440" w:right="720" w:firstLine="0"/>
        <w:jc w:val="left"/>
      </w:pPr>
      <w:r w:rsidRPr="00925A69">
        <w:t>whether modifying the market of the television station would promote consumers’ access to television broadcast station signals that originate in their State of residence</w:t>
      </w:r>
      <w:r w:rsidR="00403649">
        <w:t>;</w:t>
      </w:r>
      <w:r w:rsidRPr="00925A69">
        <w:rPr>
          <w:rStyle w:val="FootnoteReference"/>
        </w:rPr>
        <w:footnoteReference w:id="9"/>
      </w:r>
    </w:p>
    <w:p w14:paraId="5662F326" w14:textId="76E27821" w:rsidR="009276DC" w:rsidRPr="00925A69" w:rsidRDefault="00A179C3" w:rsidP="00010EE1">
      <w:pPr>
        <w:pStyle w:val="ParaNum"/>
        <w:numPr>
          <w:ilvl w:val="0"/>
          <w:numId w:val="29"/>
        </w:numPr>
        <w:tabs>
          <w:tab w:val="clear" w:pos="1440"/>
          <w:tab w:val="clear" w:pos="2160"/>
        </w:tabs>
        <w:spacing w:after="120"/>
        <w:ind w:left="1440" w:right="720" w:firstLine="0"/>
        <w:jc w:val="left"/>
      </w:pPr>
      <w:r w:rsidRPr="00925A69">
        <w:t>whether any other television station that is eligible to be carried by a</w:t>
      </w:r>
      <w:r w:rsidR="003454F4" w:rsidRPr="00925A69">
        <w:t xml:space="preserve"> cable system in </w:t>
      </w:r>
      <w:r w:rsidRPr="00925A69">
        <w:t>such community in fulfillment of the requirements of this</w:t>
      </w:r>
      <w:r w:rsidR="003454F4" w:rsidRPr="00925A69">
        <w:t xml:space="preserve"> </w:t>
      </w:r>
      <w:r w:rsidRPr="00925A69">
        <w:t>section provides news coverage of issues of concern to such community or</w:t>
      </w:r>
      <w:r w:rsidR="003454F4" w:rsidRPr="00925A69">
        <w:t xml:space="preserve"> </w:t>
      </w:r>
      <w:r w:rsidRPr="00925A69">
        <w:t>provides carriage or coverage of sporting and other events of interest to the</w:t>
      </w:r>
      <w:r w:rsidR="003454F4" w:rsidRPr="00925A69">
        <w:t xml:space="preserve"> </w:t>
      </w:r>
      <w:r w:rsidRPr="00925A69">
        <w:t>community;</w:t>
      </w:r>
      <w:r w:rsidR="003104D8">
        <w:t xml:space="preserve"> and</w:t>
      </w:r>
    </w:p>
    <w:p w14:paraId="2D16E514" w14:textId="77777777" w:rsidR="009276DC" w:rsidRPr="00925A69" w:rsidRDefault="00A179C3" w:rsidP="00010EE1">
      <w:pPr>
        <w:pStyle w:val="ParaNum"/>
        <w:numPr>
          <w:ilvl w:val="0"/>
          <w:numId w:val="29"/>
        </w:numPr>
        <w:tabs>
          <w:tab w:val="clear" w:pos="1440"/>
          <w:tab w:val="clear" w:pos="2160"/>
        </w:tabs>
        <w:spacing w:after="120"/>
        <w:ind w:left="1440" w:right="720" w:firstLine="0"/>
        <w:jc w:val="left"/>
      </w:pPr>
      <w:r w:rsidRPr="00925A69">
        <w:t>evidence of viewing patterns in cable and noncable households within</w:t>
      </w:r>
      <w:r w:rsidR="003454F4" w:rsidRPr="00925A69">
        <w:t xml:space="preserve"> </w:t>
      </w:r>
      <w:r w:rsidRPr="00925A69">
        <w:t>the areas served by the cable system or systems in such community.</w:t>
      </w:r>
      <w:r w:rsidRPr="00925A69">
        <w:rPr>
          <w:rStyle w:val="FootnoteReference"/>
        </w:rPr>
        <w:footnoteReference w:id="10"/>
      </w:r>
    </w:p>
    <w:p w14:paraId="2C6A2423" w14:textId="1860704D" w:rsidR="009276DC" w:rsidRPr="00925A69" w:rsidRDefault="00A179C3" w:rsidP="00BF3B0D">
      <w:pPr>
        <w:pStyle w:val="ParaNum"/>
        <w:tabs>
          <w:tab w:val="clear" w:pos="1080"/>
        </w:tabs>
        <w:spacing w:after="120"/>
        <w:jc w:val="left"/>
      </w:pPr>
      <w:r w:rsidRPr="00925A69">
        <w:lastRenderedPageBreak/>
        <w:t xml:space="preserve">In the </w:t>
      </w:r>
      <w:r w:rsidRPr="00925A69">
        <w:rPr>
          <w:i/>
        </w:rPr>
        <w:t>Modification Final Report and Order</w:t>
      </w:r>
      <w:r w:rsidRPr="004866BB">
        <w:t>,</w:t>
      </w:r>
      <w:r w:rsidR="00BF3B0D">
        <w:rPr>
          <w:rStyle w:val="FootnoteReference"/>
        </w:rPr>
        <w:footnoteReference w:id="11"/>
      </w:r>
      <w:r w:rsidRPr="004866BB">
        <w:t xml:space="preserve"> </w:t>
      </w:r>
      <w:r w:rsidRPr="00925A69">
        <w:t>the Commission, in an effort to promote administrative efficiency, adopted a standardized evidence approach for modification petitions that requires the following evidence be submitted:</w:t>
      </w:r>
    </w:p>
    <w:p w14:paraId="7EF92B6D" w14:textId="69ED57F7" w:rsidR="0035318D" w:rsidRPr="00925A69" w:rsidRDefault="0035318D" w:rsidP="00010EE1">
      <w:pPr>
        <w:pStyle w:val="ParaNum"/>
        <w:numPr>
          <w:ilvl w:val="0"/>
          <w:numId w:val="31"/>
        </w:numPr>
        <w:tabs>
          <w:tab w:val="clear" w:pos="1440"/>
          <w:tab w:val="left" w:pos="1800"/>
        </w:tabs>
        <w:spacing w:after="120"/>
        <w:ind w:left="1440" w:right="720" w:firstLine="0"/>
        <w:jc w:val="left"/>
      </w:pPr>
      <w:r w:rsidRPr="00925A69">
        <w:t>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market</w:t>
      </w:r>
      <w:r w:rsidR="00EE7EB4">
        <w:t>;</w:t>
      </w:r>
    </w:p>
    <w:p w14:paraId="380402B3" w14:textId="5154805C" w:rsidR="0035318D" w:rsidRPr="00925A69" w:rsidRDefault="00A179C3" w:rsidP="00010EE1">
      <w:pPr>
        <w:pStyle w:val="ParaNum"/>
        <w:numPr>
          <w:ilvl w:val="0"/>
          <w:numId w:val="31"/>
        </w:numPr>
        <w:tabs>
          <w:tab w:val="clear" w:pos="1440"/>
          <w:tab w:val="left" w:pos="1800"/>
        </w:tabs>
        <w:spacing w:after="120"/>
        <w:ind w:left="1440" w:right="720" w:firstLine="0"/>
        <w:jc w:val="left"/>
      </w:pPr>
      <w:r w:rsidRPr="00925A69">
        <w:t>Grade B</w:t>
      </w:r>
      <w:r w:rsidRPr="00925A69">
        <w:rPr>
          <w:rStyle w:val="FootnoteReference"/>
        </w:rPr>
        <w:footnoteReference w:id="12"/>
      </w:r>
      <w:r w:rsidRPr="00925A69">
        <w:t xml:space="preserve"> contour maps delineating the station’s technical service</w:t>
      </w:r>
      <w:r w:rsidR="0035318D" w:rsidRPr="00925A69">
        <w:t xml:space="preserve"> </w:t>
      </w:r>
      <w:r w:rsidRPr="00925A69">
        <w:t>area</w:t>
      </w:r>
      <w:r w:rsidRPr="00925A69">
        <w:rPr>
          <w:rStyle w:val="FootnoteReference"/>
        </w:rPr>
        <w:footnoteReference w:id="13"/>
      </w:r>
      <w:r w:rsidRPr="00925A69">
        <w:t xml:space="preserve"> and showing the location of the cable system headends and communities</w:t>
      </w:r>
      <w:r w:rsidR="0035318D" w:rsidRPr="00925A69">
        <w:t xml:space="preserve"> </w:t>
      </w:r>
      <w:r w:rsidRPr="00925A69">
        <w:t>in relation to the service areas</w:t>
      </w:r>
      <w:r w:rsidR="002542B5">
        <w:t>;</w:t>
      </w:r>
    </w:p>
    <w:p w14:paraId="0CE86645" w14:textId="31CD3D43" w:rsidR="0035318D" w:rsidRPr="00925A69" w:rsidRDefault="00A179C3" w:rsidP="00010EE1">
      <w:pPr>
        <w:pStyle w:val="ParaNum"/>
        <w:numPr>
          <w:ilvl w:val="0"/>
          <w:numId w:val="31"/>
        </w:numPr>
        <w:tabs>
          <w:tab w:val="clear" w:pos="1440"/>
          <w:tab w:val="left" w:pos="1800"/>
        </w:tabs>
        <w:spacing w:after="120"/>
        <w:ind w:left="1440" w:right="720" w:firstLine="0"/>
        <w:jc w:val="left"/>
      </w:pPr>
      <w:r w:rsidRPr="00925A69">
        <w:t>Available data on shopping and labor patterns in the local</w:t>
      </w:r>
      <w:r w:rsidR="0035318D" w:rsidRPr="00925A69">
        <w:t xml:space="preserve"> </w:t>
      </w:r>
      <w:r w:rsidRPr="00925A69">
        <w:t>market</w:t>
      </w:r>
      <w:r w:rsidR="002542B5">
        <w:t>;</w:t>
      </w:r>
    </w:p>
    <w:p w14:paraId="4AA8255B" w14:textId="29B40623" w:rsidR="0035318D" w:rsidRPr="00925A69" w:rsidRDefault="00A179C3" w:rsidP="00010EE1">
      <w:pPr>
        <w:pStyle w:val="ParaNum"/>
        <w:numPr>
          <w:ilvl w:val="0"/>
          <w:numId w:val="31"/>
        </w:numPr>
        <w:tabs>
          <w:tab w:val="clear" w:pos="1440"/>
          <w:tab w:val="left" w:pos="1800"/>
        </w:tabs>
        <w:spacing w:after="120"/>
        <w:ind w:left="1440" w:right="720" w:firstLine="0"/>
        <w:jc w:val="left"/>
      </w:pPr>
      <w:r w:rsidRPr="00925A69">
        <w:t>Television station programming information derived from station</w:t>
      </w:r>
      <w:r w:rsidR="0035318D" w:rsidRPr="00925A69">
        <w:t xml:space="preserve"> </w:t>
      </w:r>
      <w:r w:rsidRPr="00925A69">
        <w:t>logs or the local edition of the television guide</w:t>
      </w:r>
      <w:r w:rsidR="002542B5">
        <w:t>;</w:t>
      </w:r>
    </w:p>
    <w:p w14:paraId="2FADE80E" w14:textId="190C843A" w:rsidR="0035318D" w:rsidRPr="00925A69" w:rsidRDefault="00A179C3" w:rsidP="00010EE1">
      <w:pPr>
        <w:pStyle w:val="ParaNum"/>
        <w:numPr>
          <w:ilvl w:val="0"/>
          <w:numId w:val="31"/>
        </w:numPr>
        <w:tabs>
          <w:tab w:val="clear" w:pos="1440"/>
          <w:tab w:val="left" w:pos="1800"/>
        </w:tabs>
        <w:spacing w:after="120"/>
        <w:ind w:left="1440" w:right="720" w:firstLine="0"/>
        <w:jc w:val="left"/>
      </w:pPr>
      <w:r w:rsidRPr="00925A69">
        <w:t>Cable system channel line-up cards or other exhibits establishing</w:t>
      </w:r>
      <w:r w:rsidR="0035318D" w:rsidRPr="00925A69">
        <w:t xml:space="preserve"> </w:t>
      </w:r>
      <w:r w:rsidRPr="00925A69">
        <w:t>historic carriage, such as television guide listings</w:t>
      </w:r>
      <w:r w:rsidR="002542B5">
        <w:t>; and</w:t>
      </w:r>
    </w:p>
    <w:p w14:paraId="112CE0FE" w14:textId="02A508EF" w:rsidR="009276DC" w:rsidRPr="00925A69" w:rsidRDefault="00A179C3" w:rsidP="004866BB">
      <w:pPr>
        <w:pStyle w:val="ParaNum"/>
        <w:numPr>
          <w:ilvl w:val="0"/>
          <w:numId w:val="31"/>
        </w:numPr>
        <w:tabs>
          <w:tab w:val="clear" w:pos="1440"/>
          <w:tab w:val="left" w:pos="1800"/>
        </w:tabs>
        <w:spacing w:after="120"/>
        <w:ind w:left="1440" w:right="720" w:firstLine="0"/>
        <w:jc w:val="left"/>
      </w:pPr>
      <w:r w:rsidRPr="00925A69">
        <w:t>Published audience data for the relevant station showing its</w:t>
      </w:r>
      <w:r w:rsidR="0035318D" w:rsidRPr="00925A69">
        <w:t xml:space="preserve"> </w:t>
      </w:r>
      <w:r w:rsidRPr="00925A69">
        <w:t>average all day audience (</w:t>
      </w:r>
      <w:r w:rsidRPr="00517D71">
        <w:rPr>
          <w:i/>
        </w:rPr>
        <w:t>i.e.</w:t>
      </w:r>
      <w:r w:rsidRPr="00925A69">
        <w:t xml:space="preserve">, the </w:t>
      </w:r>
      <w:r w:rsidR="0035318D" w:rsidRPr="00925A69">
        <w:t xml:space="preserve">reported audience averaged over </w:t>
      </w:r>
      <w:r w:rsidRPr="00925A69">
        <w:t>Sunday-Saturday, 7 a.m.-1 a.m., or an equivalent time period) for both cable and noncable households or other specific audience indicia, such as station advertising and sales data or viewer contribution records.</w:t>
      </w:r>
      <w:r w:rsidRPr="00925A69">
        <w:rPr>
          <w:rStyle w:val="FootnoteReference"/>
        </w:rPr>
        <w:footnoteReference w:id="14"/>
      </w:r>
    </w:p>
    <w:p w14:paraId="42C972B1" w14:textId="77777777" w:rsidR="009276DC" w:rsidRPr="00925A69" w:rsidRDefault="00A179C3" w:rsidP="00010EE1">
      <w:pPr>
        <w:pStyle w:val="Heading1"/>
        <w:spacing w:after="120"/>
      </w:pPr>
      <w:r w:rsidRPr="00925A69">
        <w:t>DISCUSSIOn</w:t>
      </w:r>
    </w:p>
    <w:p w14:paraId="4541B83C" w14:textId="72076575" w:rsidR="00FE1862" w:rsidRPr="00FE1862" w:rsidRDefault="00FE1862" w:rsidP="00FE1862">
      <w:pPr>
        <w:pStyle w:val="ParaNum"/>
        <w:numPr>
          <w:ilvl w:val="0"/>
          <w:numId w:val="19"/>
        </w:numPr>
        <w:tabs>
          <w:tab w:val="clear" w:pos="1080"/>
        </w:tabs>
        <w:spacing w:after="120"/>
        <w:jc w:val="left"/>
        <w:rPr>
          <w:szCs w:val="22"/>
        </w:rPr>
      </w:pPr>
      <w:r w:rsidRPr="00FE1862">
        <w:rPr>
          <w:szCs w:val="22"/>
        </w:rPr>
        <w:t>Fox television network affiliate WCOV</w:t>
      </w:r>
      <w:r w:rsidR="00D26E74">
        <w:rPr>
          <w:szCs w:val="22"/>
        </w:rPr>
        <w:t>,</w:t>
      </w:r>
      <w:r w:rsidRPr="00FE1862">
        <w:rPr>
          <w:szCs w:val="22"/>
        </w:rPr>
        <w:t xml:space="preserve"> Montgomery, Ala</w:t>
      </w:r>
      <w:r w:rsidR="00AC463B">
        <w:rPr>
          <w:szCs w:val="22"/>
        </w:rPr>
        <w:t>bama</w:t>
      </w:r>
      <w:r w:rsidRPr="00FE1862">
        <w:rPr>
          <w:szCs w:val="22"/>
        </w:rPr>
        <w:t xml:space="preserve">, </w:t>
      </w:r>
      <w:r w:rsidR="00D26E74">
        <w:rPr>
          <w:szCs w:val="22"/>
        </w:rPr>
        <w:t>is</w:t>
      </w:r>
      <w:r w:rsidRPr="00FE1862">
        <w:rPr>
          <w:szCs w:val="22"/>
        </w:rPr>
        <w:t xml:space="preserve"> petitioning to expand its market </w:t>
      </w:r>
      <w:r w:rsidR="00C4142A">
        <w:rPr>
          <w:szCs w:val="22"/>
        </w:rPr>
        <w:t>to include</w:t>
      </w:r>
      <w:r w:rsidRPr="00FE1862">
        <w:rPr>
          <w:szCs w:val="22"/>
        </w:rPr>
        <w:t xml:space="preserve"> </w:t>
      </w:r>
      <w:r w:rsidR="007565A4">
        <w:rPr>
          <w:szCs w:val="22"/>
        </w:rPr>
        <w:t xml:space="preserve">the </w:t>
      </w:r>
      <w:r w:rsidRPr="00FE1862">
        <w:rPr>
          <w:szCs w:val="22"/>
        </w:rPr>
        <w:t>Lee County</w:t>
      </w:r>
      <w:r w:rsidR="007565A4">
        <w:rPr>
          <w:szCs w:val="22"/>
        </w:rPr>
        <w:t xml:space="preserve"> Communities</w:t>
      </w:r>
      <w:r w:rsidR="00D26E74">
        <w:rPr>
          <w:szCs w:val="22"/>
        </w:rPr>
        <w:t>,</w:t>
      </w:r>
      <w:r w:rsidR="00B61BB0">
        <w:rPr>
          <w:rStyle w:val="FootnoteReference"/>
          <w:szCs w:val="22"/>
        </w:rPr>
        <w:footnoteReference w:id="15"/>
      </w:r>
      <w:r w:rsidRPr="00FE1862">
        <w:rPr>
          <w:szCs w:val="22"/>
        </w:rPr>
        <w:t xml:space="preserve"> </w:t>
      </w:r>
      <w:r w:rsidR="00D26E74">
        <w:rPr>
          <w:szCs w:val="22"/>
        </w:rPr>
        <w:t xml:space="preserve">which </w:t>
      </w:r>
      <w:r w:rsidR="007565A4">
        <w:rPr>
          <w:szCs w:val="22"/>
        </w:rPr>
        <w:t>are</w:t>
      </w:r>
      <w:r>
        <w:rPr>
          <w:szCs w:val="22"/>
        </w:rPr>
        <w:t xml:space="preserve"> located in Alabama on the Alabama-Georgia state border. </w:t>
      </w:r>
      <w:r w:rsidR="00A377B3">
        <w:rPr>
          <w:szCs w:val="22"/>
        </w:rPr>
        <w:t xml:space="preserve"> </w:t>
      </w:r>
      <w:r w:rsidR="007565A4">
        <w:rPr>
          <w:szCs w:val="22"/>
        </w:rPr>
        <w:t>Lee County</w:t>
      </w:r>
      <w:r w:rsidR="00D26E74">
        <w:rPr>
          <w:szCs w:val="22"/>
        </w:rPr>
        <w:t xml:space="preserve"> </w:t>
      </w:r>
      <w:r>
        <w:rPr>
          <w:szCs w:val="22"/>
        </w:rPr>
        <w:t>is part of the</w:t>
      </w:r>
      <w:r w:rsidR="00780CA9">
        <w:rPr>
          <w:szCs w:val="22"/>
        </w:rPr>
        <w:t xml:space="preserve"> </w:t>
      </w:r>
      <w:r>
        <w:rPr>
          <w:szCs w:val="22"/>
        </w:rPr>
        <w:t>Columbus, G</w:t>
      </w:r>
      <w:r w:rsidR="00757FB3">
        <w:rPr>
          <w:szCs w:val="22"/>
        </w:rPr>
        <w:t>eorgia</w:t>
      </w:r>
      <w:r>
        <w:rPr>
          <w:szCs w:val="22"/>
        </w:rPr>
        <w:t xml:space="preserve"> (Opelika, Ala</w:t>
      </w:r>
      <w:r w:rsidR="00757FB3">
        <w:rPr>
          <w:szCs w:val="22"/>
        </w:rPr>
        <w:t>bama</w:t>
      </w:r>
      <w:r>
        <w:rPr>
          <w:szCs w:val="22"/>
        </w:rPr>
        <w:t>) DMA</w:t>
      </w:r>
      <w:r w:rsidR="000B64FD">
        <w:rPr>
          <w:szCs w:val="22"/>
        </w:rPr>
        <w:t xml:space="preserve">, and not the </w:t>
      </w:r>
      <w:r w:rsidR="00757FB3">
        <w:rPr>
          <w:szCs w:val="22"/>
        </w:rPr>
        <w:t>Montgomery, Alabama</w:t>
      </w:r>
      <w:r w:rsidR="000B64FD">
        <w:rPr>
          <w:szCs w:val="22"/>
        </w:rPr>
        <w:t xml:space="preserve"> DMA</w:t>
      </w:r>
      <w:r>
        <w:rPr>
          <w:szCs w:val="22"/>
        </w:rPr>
        <w:t>.</w:t>
      </w:r>
      <w:r w:rsidR="00B61BB0">
        <w:rPr>
          <w:rStyle w:val="FootnoteReference"/>
          <w:szCs w:val="22"/>
        </w:rPr>
        <w:footnoteReference w:id="16"/>
      </w:r>
      <w:r>
        <w:rPr>
          <w:szCs w:val="22"/>
        </w:rPr>
        <w:t xml:space="preserve"> </w:t>
      </w:r>
      <w:r w:rsidR="00596910">
        <w:rPr>
          <w:szCs w:val="22"/>
        </w:rPr>
        <w:t xml:space="preserve"> </w:t>
      </w:r>
      <w:r w:rsidRPr="00FE1862">
        <w:rPr>
          <w:szCs w:val="22"/>
        </w:rPr>
        <w:t>The Pet</w:t>
      </w:r>
      <w:r>
        <w:rPr>
          <w:szCs w:val="22"/>
        </w:rPr>
        <w:t>itioner asserts that WCOV</w:t>
      </w:r>
      <w:r w:rsidRPr="00FE1862">
        <w:rPr>
          <w:szCs w:val="22"/>
        </w:rPr>
        <w:t xml:space="preserve"> offers local, in-state </w:t>
      </w:r>
      <w:r w:rsidR="00265E34">
        <w:rPr>
          <w:szCs w:val="22"/>
        </w:rPr>
        <w:t>programming</w:t>
      </w:r>
      <w:r w:rsidR="000B64FD">
        <w:rPr>
          <w:szCs w:val="22"/>
        </w:rPr>
        <w:t xml:space="preserve"> relevant</w:t>
      </w:r>
      <w:r w:rsidR="00265E34">
        <w:rPr>
          <w:szCs w:val="22"/>
        </w:rPr>
        <w:t xml:space="preserve"> to Lee County</w:t>
      </w:r>
      <w:r w:rsidRPr="00FE1862">
        <w:rPr>
          <w:szCs w:val="22"/>
        </w:rPr>
        <w:t xml:space="preserve">. </w:t>
      </w:r>
      <w:r w:rsidR="00596910">
        <w:rPr>
          <w:szCs w:val="22"/>
        </w:rPr>
        <w:t xml:space="preserve"> </w:t>
      </w:r>
      <w:r w:rsidRPr="00FE1862">
        <w:rPr>
          <w:szCs w:val="22"/>
        </w:rPr>
        <w:t>Specifically, t</w:t>
      </w:r>
      <w:r>
        <w:rPr>
          <w:szCs w:val="22"/>
        </w:rPr>
        <w:t>he Petitioner emphasizes WCOV’s sports coverage</w:t>
      </w:r>
      <w:r w:rsidRPr="00FE1862">
        <w:rPr>
          <w:szCs w:val="22"/>
        </w:rPr>
        <w:t xml:space="preserve"> of Auburn University, which is based in Lee County.</w:t>
      </w:r>
      <w:r w:rsidR="00B61BB0">
        <w:rPr>
          <w:rStyle w:val="FootnoteReference"/>
          <w:szCs w:val="22"/>
        </w:rPr>
        <w:footnoteReference w:id="17"/>
      </w:r>
      <w:r w:rsidRPr="00FE1862">
        <w:rPr>
          <w:szCs w:val="22"/>
        </w:rPr>
        <w:t xml:space="preserve"> </w:t>
      </w:r>
      <w:r w:rsidR="00596910">
        <w:rPr>
          <w:szCs w:val="22"/>
        </w:rPr>
        <w:t xml:space="preserve"> </w:t>
      </w:r>
      <w:r w:rsidR="00884557">
        <w:rPr>
          <w:szCs w:val="22"/>
        </w:rPr>
        <w:t xml:space="preserve">The </w:t>
      </w:r>
      <w:r w:rsidR="003B50F3">
        <w:rPr>
          <w:szCs w:val="22"/>
        </w:rPr>
        <w:t>Petitioner also asserts that the Station’s</w:t>
      </w:r>
      <w:r>
        <w:rPr>
          <w:szCs w:val="22"/>
        </w:rPr>
        <w:t xml:space="preserve"> local news programming is more relevant to residents of Lee County than the programming provided by the Fox affiliate that currently se</w:t>
      </w:r>
      <w:r w:rsidR="00ED299C">
        <w:rPr>
          <w:szCs w:val="22"/>
        </w:rPr>
        <w:t xml:space="preserve">rves Lee County, which is licensed across the state border in </w:t>
      </w:r>
      <w:r w:rsidR="00F76109">
        <w:rPr>
          <w:szCs w:val="22"/>
        </w:rPr>
        <w:t>Columbus</w:t>
      </w:r>
      <w:r w:rsidR="00625708">
        <w:rPr>
          <w:szCs w:val="22"/>
        </w:rPr>
        <w:t>, G</w:t>
      </w:r>
      <w:r w:rsidR="003335B0">
        <w:rPr>
          <w:szCs w:val="22"/>
        </w:rPr>
        <w:t>eorgia</w:t>
      </w:r>
      <w:r w:rsidR="00625708">
        <w:rPr>
          <w:szCs w:val="22"/>
        </w:rPr>
        <w:t>.</w:t>
      </w:r>
      <w:r w:rsidR="003B50F3">
        <w:rPr>
          <w:rStyle w:val="FootnoteReference"/>
          <w:szCs w:val="22"/>
        </w:rPr>
        <w:footnoteReference w:id="18"/>
      </w:r>
      <w:r w:rsidR="00C4142A">
        <w:rPr>
          <w:szCs w:val="22"/>
        </w:rPr>
        <w:t xml:space="preserve"> </w:t>
      </w:r>
      <w:r w:rsidR="00596910">
        <w:rPr>
          <w:szCs w:val="22"/>
        </w:rPr>
        <w:t xml:space="preserve"> </w:t>
      </w:r>
      <w:r w:rsidRPr="00FE1862">
        <w:rPr>
          <w:szCs w:val="22"/>
        </w:rPr>
        <w:t>For the reasons discussed below, we find that th</w:t>
      </w:r>
      <w:r w:rsidR="00625708">
        <w:rPr>
          <w:szCs w:val="22"/>
        </w:rPr>
        <w:t>e television market of WCOV</w:t>
      </w:r>
      <w:r w:rsidRPr="00FE1862">
        <w:rPr>
          <w:szCs w:val="22"/>
        </w:rPr>
        <w:t xml:space="preserve"> </w:t>
      </w:r>
      <w:r w:rsidR="003335B0">
        <w:rPr>
          <w:szCs w:val="22"/>
        </w:rPr>
        <w:t>should</w:t>
      </w:r>
      <w:r w:rsidRPr="00FE1862">
        <w:rPr>
          <w:szCs w:val="22"/>
        </w:rPr>
        <w:t xml:space="preserve"> be modified to include Lee County. </w:t>
      </w:r>
    </w:p>
    <w:p w14:paraId="0545AEAA" w14:textId="7F3FD6BA" w:rsidR="00FE1862" w:rsidRPr="00FE1862" w:rsidRDefault="00FE1862" w:rsidP="00FE1862">
      <w:pPr>
        <w:pStyle w:val="ParaNum"/>
        <w:numPr>
          <w:ilvl w:val="0"/>
          <w:numId w:val="19"/>
        </w:numPr>
        <w:tabs>
          <w:tab w:val="clear" w:pos="1080"/>
        </w:tabs>
        <w:spacing w:after="120"/>
        <w:jc w:val="left"/>
        <w:rPr>
          <w:b/>
          <w:szCs w:val="22"/>
        </w:rPr>
      </w:pPr>
      <w:r w:rsidRPr="00FE1862">
        <w:rPr>
          <w:szCs w:val="22"/>
        </w:rPr>
        <w:t>The first statutory factor we must consider is “whether the station, or other stations located in the same area, have been historically carried on the cable system or systems within such community.”</w:t>
      </w:r>
      <w:r w:rsidRPr="00FE1862">
        <w:rPr>
          <w:rStyle w:val="FootnoteReference"/>
          <w:rFonts w:ascii="Times New Roman" w:hAnsi="Times New Roman"/>
          <w:sz w:val="22"/>
          <w:szCs w:val="22"/>
        </w:rPr>
        <w:footnoteReference w:id="19"/>
      </w:r>
      <w:r w:rsidRPr="00FE1862">
        <w:rPr>
          <w:szCs w:val="22"/>
        </w:rPr>
        <w:t xml:space="preserve"> </w:t>
      </w:r>
      <w:r w:rsidR="00596910">
        <w:rPr>
          <w:szCs w:val="22"/>
        </w:rPr>
        <w:t xml:space="preserve"> </w:t>
      </w:r>
      <w:r w:rsidRPr="00FE1862">
        <w:rPr>
          <w:szCs w:val="22"/>
        </w:rPr>
        <w:t xml:space="preserve">Even when a station has no history of carriage in a community, the Commission has given weight to this factor when </w:t>
      </w:r>
      <w:r w:rsidR="006F2AB2">
        <w:rPr>
          <w:szCs w:val="22"/>
        </w:rPr>
        <w:t>an</w:t>
      </w:r>
      <w:r w:rsidRPr="00FE1862">
        <w:rPr>
          <w:szCs w:val="22"/>
        </w:rPr>
        <w:t>other station based in the same area ha</w:t>
      </w:r>
      <w:r w:rsidR="006F2AB2">
        <w:rPr>
          <w:szCs w:val="22"/>
        </w:rPr>
        <w:t>s</w:t>
      </w:r>
      <w:r w:rsidRPr="00FE1862">
        <w:rPr>
          <w:szCs w:val="22"/>
        </w:rPr>
        <w:t xml:space="preserve"> been carried in the community.</w:t>
      </w:r>
      <w:r w:rsidR="007B470D">
        <w:rPr>
          <w:rStyle w:val="FootnoteReference"/>
          <w:szCs w:val="22"/>
        </w:rPr>
        <w:footnoteReference w:id="20"/>
      </w:r>
      <w:r w:rsidRPr="00FE1862">
        <w:rPr>
          <w:szCs w:val="22"/>
        </w:rPr>
        <w:t xml:space="preserve"> </w:t>
      </w:r>
      <w:r w:rsidR="00596910">
        <w:rPr>
          <w:szCs w:val="22"/>
        </w:rPr>
        <w:t xml:space="preserve"> </w:t>
      </w:r>
      <w:r w:rsidR="001A3916">
        <w:rPr>
          <w:szCs w:val="22"/>
        </w:rPr>
        <w:t>T</w:t>
      </w:r>
      <w:r w:rsidR="00884557">
        <w:rPr>
          <w:szCs w:val="22"/>
        </w:rPr>
        <w:t xml:space="preserve">he </w:t>
      </w:r>
      <w:r w:rsidRPr="00FE1862">
        <w:rPr>
          <w:szCs w:val="22"/>
        </w:rPr>
        <w:t>Petitioner concedes</w:t>
      </w:r>
      <w:r w:rsidR="001A3916">
        <w:rPr>
          <w:szCs w:val="22"/>
        </w:rPr>
        <w:t xml:space="preserve"> that</w:t>
      </w:r>
      <w:r w:rsidRPr="00FE1862">
        <w:rPr>
          <w:szCs w:val="22"/>
        </w:rPr>
        <w:t xml:space="preserve"> cable operators in Lee County have never carried WCOV in the past.</w:t>
      </w:r>
      <w:r w:rsidRPr="00FE1862">
        <w:rPr>
          <w:rStyle w:val="FootnoteReference"/>
          <w:rFonts w:ascii="Times New Roman" w:hAnsi="Times New Roman"/>
          <w:sz w:val="22"/>
          <w:szCs w:val="22"/>
        </w:rPr>
        <w:footnoteReference w:id="21"/>
      </w:r>
      <w:r w:rsidRPr="00FE1862">
        <w:rPr>
          <w:szCs w:val="22"/>
        </w:rPr>
        <w:t xml:space="preserve"> </w:t>
      </w:r>
      <w:r w:rsidR="00596910">
        <w:rPr>
          <w:szCs w:val="22"/>
        </w:rPr>
        <w:t xml:space="preserve"> </w:t>
      </w:r>
      <w:r w:rsidRPr="00FE1862">
        <w:rPr>
          <w:szCs w:val="22"/>
        </w:rPr>
        <w:t xml:space="preserve">However, the Petitioner notes that </w:t>
      </w:r>
      <w:r w:rsidR="001A3916">
        <w:rPr>
          <w:szCs w:val="22"/>
        </w:rPr>
        <w:t>television</w:t>
      </w:r>
      <w:r w:rsidRPr="00FE1862">
        <w:rPr>
          <w:szCs w:val="22"/>
        </w:rPr>
        <w:t xml:space="preserve"> station WSFA</w:t>
      </w:r>
      <w:r w:rsidR="001A3916">
        <w:rPr>
          <w:szCs w:val="22"/>
        </w:rPr>
        <w:t xml:space="preserve">, which is also licensed to Montgomery, Alabama, </w:t>
      </w:r>
      <w:r w:rsidRPr="00FE1862">
        <w:rPr>
          <w:szCs w:val="22"/>
        </w:rPr>
        <w:t xml:space="preserve">is carried on </w:t>
      </w:r>
      <w:r w:rsidR="001A3916">
        <w:rPr>
          <w:szCs w:val="22"/>
        </w:rPr>
        <w:t>systems in</w:t>
      </w:r>
      <w:r w:rsidRPr="00FE1862">
        <w:rPr>
          <w:szCs w:val="22"/>
        </w:rPr>
        <w:t xml:space="preserve"> Lee County.</w:t>
      </w:r>
      <w:r w:rsidRPr="00FE1862">
        <w:rPr>
          <w:rStyle w:val="FootnoteReference"/>
          <w:rFonts w:ascii="Times New Roman" w:hAnsi="Times New Roman"/>
          <w:sz w:val="22"/>
          <w:szCs w:val="22"/>
        </w:rPr>
        <w:footnoteReference w:id="22"/>
      </w:r>
      <w:r w:rsidRPr="00FE1862">
        <w:rPr>
          <w:szCs w:val="22"/>
        </w:rPr>
        <w:t xml:space="preserve"> </w:t>
      </w:r>
      <w:r w:rsidR="00596910">
        <w:rPr>
          <w:szCs w:val="22"/>
        </w:rPr>
        <w:t xml:space="preserve"> </w:t>
      </w:r>
      <w:r w:rsidR="00AF1133">
        <w:rPr>
          <w:szCs w:val="22"/>
        </w:rPr>
        <w:t>Because of the historic carriage of WSFA in Lee County, w</w:t>
      </w:r>
      <w:r w:rsidRPr="00265E34">
        <w:rPr>
          <w:szCs w:val="22"/>
        </w:rPr>
        <w:t xml:space="preserve">e conclude that the first statutory factor weighs in favor of </w:t>
      </w:r>
      <w:r w:rsidR="001A3916">
        <w:rPr>
          <w:szCs w:val="22"/>
        </w:rPr>
        <w:t xml:space="preserve">the requested </w:t>
      </w:r>
      <w:r w:rsidRPr="00265E34">
        <w:rPr>
          <w:szCs w:val="22"/>
        </w:rPr>
        <w:t>modification.</w:t>
      </w:r>
    </w:p>
    <w:p w14:paraId="5D4A7391" w14:textId="139588D1" w:rsidR="00FE1862" w:rsidRPr="00FE1862" w:rsidRDefault="00FE1862" w:rsidP="00FE1862">
      <w:pPr>
        <w:pStyle w:val="ParaNum"/>
        <w:numPr>
          <w:ilvl w:val="0"/>
          <w:numId w:val="19"/>
        </w:numPr>
        <w:tabs>
          <w:tab w:val="clear" w:pos="1080"/>
        </w:tabs>
        <w:spacing w:after="120"/>
        <w:jc w:val="left"/>
        <w:rPr>
          <w:b/>
          <w:szCs w:val="22"/>
        </w:rPr>
      </w:pPr>
      <w:r w:rsidRPr="00FE1862">
        <w:rPr>
          <w:szCs w:val="22"/>
        </w:rPr>
        <w:t>Second, we consider “whether the television station provides coverage or other local service to such community.”</w:t>
      </w:r>
      <w:r w:rsidRPr="00FE1862">
        <w:rPr>
          <w:rStyle w:val="FootnoteReference"/>
          <w:rFonts w:ascii="Times New Roman" w:hAnsi="Times New Roman"/>
          <w:sz w:val="22"/>
          <w:szCs w:val="22"/>
        </w:rPr>
        <w:footnoteReference w:id="23"/>
      </w:r>
      <w:r w:rsidRPr="00FE1862">
        <w:rPr>
          <w:szCs w:val="22"/>
        </w:rPr>
        <w:t xml:space="preserve"> </w:t>
      </w:r>
      <w:r w:rsidR="00596910">
        <w:rPr>
          <w:szCs w:val="22"/>
        </w:rPr>
        <w:t xml:space="preserve"> </w:t>
      </w:r>
      <w:r w:rsidRPr="00FE1862">
        <w:rPr>
          <w:szCs w:val="22"/>
        </w:rPr>
        <w:t xml:space="preserve">This factor can be demonstrated using </w:t>
      </w:r>
      <w:r w:rsidR="00DE3D6E">
        <w:rPr>
          <w:szCs w:val="22"/>
        </w:rPr>
        <w:t xml:space="preserve">such evidence as </w:t>
      </w:r>
      <w:r w:rsidRPr="00FE1862">
        <w:rPr>
          <w:szCs w:val="22"/>
        </w:rPr>
        <w:t>signal</w:t>
      </w:r>
      <w:r w:rsidR="00DE3D6E">
        <w:rPr>
          <w:szCs w:val="22"/>
        </w:rPr>
        <w:t xml:space="preserve"> contour</w:t>
      </w:r>
      <w:r w:rsidRPr="00FE1862">
        <w:rPr>
          <w:szCs w:val="22"/>
        </w:rPr>
        <w:t xml:space="preserve"> coverage maps and television station programming </w:t>
      </w:r>
      <w:r w:rsidR="00DE3D6E">
        <w:rPr>
          <w:szCs w:val="22"/>
        </w:rPr>
        <w:t>with</w:t>
      </w:r>
      <w:r w:rsidRPr="00FE1862">
        <w:rPr>
          <w:szCs w:val="22"/>
        </w:rPr>
        <w:t xml:space="preserve"> a distinct nexus to the community.</w:t>
      </w:r>
      <w:r w:rsidRPr="00FE1862">
        <w:rPr>
          <w:rStyle w:val="FootnoteReference"/>
          <w:rFonts w:ascii="Times New Roman" w:hAnsi="Times New Roman"/>
          <w:sz w:val="22"/>
          <w:szCs w:val="22"/>
        </w:rPr>
        <w:footnoteReference w:id="24"/>
      </w:r>
      <w:r w:rsidR="0042067F">
        <w:rPr>
          <w:szCs w:val="22"/>
        </w:rPr>
        <w:t xml:space="preserve"> </w:t>
      </w:r>
      <w:r w:rsidR="00596910">
        <w:rPr>
          <w:szCs w:val="22"/>
        </w:rPr>
        <w:t xml:space="preserve"> </w:t>
      </w:r>
      <w:r w:rsidRPr="00FE1862">
        <w:rPr>
          <w:szCs w:val="22"/>
        </w:rPr>
        <w:t>The Petitioner notes that WCOV</w:t>
      </w:r>
      <w:r w:rsidR="00FA37B0">
        <w:rPr>
          <w:szCs w:val="22"/>
        </w:rPr>
        <w:t xml:space="preserve"> </w:t>
      </w:r>
      <w:r w:rsidR="00E81887">
        <w:rPr>
          <w:szCs w:val="22"/>
        </w:rPr>
        <w:t>provides</w:t>
      </w:r>
      <w:r w:rsidR="00FA37B0">
        <w:rPr>
          <w:szCs w:val="22"/>
        </w:rPr>
        <w:t xml:space="preserve"> a predicted</w:t>
      </w:r>
      <w:r w:rsidRPr="00FE1862">
        <w:rPr>
          <w:szCs w:val="22"/>
        </w:rPr>
        <w:t xml:space="preserve"> signal strength </w:t>
      </w:r>
      <w:r w:rsidR="00FA37B0">
        <w:rPr>
          <w:szCs w:val="22"/>
        </w:rPr>
        <w:t>of at least 61 dBm</w:t>
      </w:r>
      <w:r w:rsidRPr="00FE1862">
        <w:rPr>
          <w:szCs w:val="22"/>
        </w:rPr>
        <w:t xml:space="preserve"> </w:t>
      </w:r>
      <w:r w:rsidR="00E81887">
        <w:rPr>
          <w:szCs w:val="22"/>
        </w:rPr>
        <w:t>“to a wide geographical area in Lee County and to</w:t>
      </w:r>
      <w:r w:rsidRPr="00FE1862">
        <w:rPr>
          <w:szCs w:val="22"/>
        </w:rPr>
        <w:t xml:space="preserve"> each of the three cable headends.</w:t>
      </w:r>
      <w:r w:rsidR="00E81887">
        <w:rPr>
          <w:szCs w:val="22"/>
        </w:rPr>
        <w:t>”</w:t>
      </w:r>
      <w:r w:rsidRPr="00FE1862">
        <w:rPr>
          <w:rStyle w:val="FootnoteReference"/>
          <w:rFonts w:ascii="Times New Roman" w:hAnsi="Times New Roman"/>
          <w:sz w:val="22"/>
          <w:szCs w:val="22"/>
        </w:rPr>
        <w:footnoteReference w:id="25"/>
      </w:r>
      <w:r w:rsidRPr="00FE1862">
        <w:rPr>
          <w:szCs w:val="22"/>
        </w:rPr>
        <w:t xml:space="preserve"> </w:t>
      </w:r>
      <w:r w:rsidR="00596910">
        <w:rPr>
          <w:szCs w:val="22"/>
        </w:rPr>
        <w:t xml:space="preserve"> </w:t>
      </w:r>
      <w:r w:rsidR="00E81887">
        <w:rPr>
          <w:szCs w:val="22"/>
        </w:rPr>
        <w:t>The Station’s predicted 41 dBu F contour</w:t>
      </w:r>
      <w:r w:rsidRPr="00FE1862">
        <w:rPr>
          <w:szCs w:val="22"/>
        </w:rPr>
        <w:t xml:space="preserve"> covers 59 percent of the area of Lee County and 69 percent of </w:t>
      </w:r>
      <w:r w:rsidR="00E81887">
        <w:rPr>
          <w:szCs w:val="22"/>
        </w:rPr>
        <w:t>its</w:t>
      </w:r>
      <w:r w:rsidRPr="00FE1862">
        <w:rPr>
          <w:szCs w:val="22"/>
        </w:rPr>
        <w:t xml:space="preserve"> population, </w:t>
      </w:r>
      <w:r w:rsidR="00E81887">
        <w:rPr>
          <w:szCs w:val="22"/>
        </w:rPr>
        <w:t>and each of the three headends fall within WCOV’s predicted 41 dBu F contour</w:t>
      </w:r>
      <w:r w:rsidRPr="00FE1862">
        <w:rPr>
          <w:szCs w:val="22"/>
        </w:rPr>
        <w:t>.</w:t>
      </w:r>
      <w:r w:rsidRPr="00FE1862">
        <w:rPr>
          <w:rStyle w:val="FootnoteReference"/>
          <w:rFonts w:ascii="Times New Roman" w:hAnsi="Times New Roman"/>
          <w:sz w:val="22"/>
          <w:szCs w:val="22"/>
        </w:rPr>
        <w:footnoteReference w:id="26"/>
      </w:r>
    </w:p>
    <w:p w14:paraId="0C406A47" w14:textId="2C58CFF0" w:rsidR="00FE1862" w:rsidRPr="00FE1862" w:rsidRDefault="00FE1862" w:rsidP="00FE1862">
      <w:pPr>
        <w:pStyle w:val="ParaNum"/>
        <w:numPr>
          <w:ilvl w:val="0"/>
          <w:numId w:val="19"/>
        </w:numPr>
        <w:tabs>
          <w:tab w:val="clear" w:pos="1080"/>
        </w:tabs>
        <w:spacing w:after="120"/>
        <w:jc w:val="left"/>
        <w:rPr>
          <w:b/>
          <w:szCs w:val="22"/>
        </w:rPr>
      </w:pPr>
      <w:r w:rsidRPr="00FE1862">
        <w:rPr>
          <w:szCs w:val="22"/>
        </w:rPr>
        <w:t xml:space="preserve">Additionally, </w:t>
      </w:r>
      <w:r w:rsidR="00884557">
        <w:rPr>
          <w:szCs w:val="22"/>
        </w:rPr>
        <w:t xml:space="preserve">the </w:t>
      </w:r>
      <w:r w:rsidRPr="00FE1862">
        <w:rPr>
          <w:szCs w:val="22"/>
        </w:rPr>
        <w:t>Petitioner ex</w:t>
      </w:r>
      <w:r w:rsidR="00B660D9">
        <w:rPr>
          <w:szCs w:val="22"/>
        </w:rPr>
        <w:t xml:space="preserve">plains that WCOV </w:t>
      </w:r>
      <w:r w:rsidR="00A03575">
        <w:rPr>
          <w:szCs w:val="22"/>
        </w:rPr>
        <w:t>“</w:t>
      </w:r>
      <w:r w:rsidR="00B660D9">
        <w:rPr>
          <w:szCs w:val="22"/>
        </w:rPr>
        <w:t>provides</w:t>
      </w:r>
      <w:r w:rsidRPr="00FE1862">
        <w:rPr>
          <w:szCs w:val="22"/>
        </w:rPr>
        <w:t xml:space="preserve"> programming directed to the interests of the residents</w:t>
      </w:r>
      <w:r w:rsidR="00A03575">
        <w:rPr>
          <w:szCs w:val="22"/>
        </w:rPr>
        <w:t xml:space="preserve"> of Lee County</w:t>
      </w:r>
      <w:r w:rsidRPr="00FE1862">
        <w:rPr>
          <w:szCs w:val="22"/>
        </w:rPr>
        <w:t>,” including coverage of Auburn University.</w:t>
      </w:r>
      <w:r w:rsidR="0042067F">
        <w:rPr>
          <w:rStyle w:val="FootnoteReference"/>
          <w:szCs w:val="22"/>
        </w:rPr>
        <w:footnoteReference w:id="27"/>
      </w:r>
      <w:r w:rsidR="00596910">
        <w:rPr>
          <w:szCs w:val="22"/>
        </w:rPr>
        <w:t xml:space="preserve">  </w:t>
      </w:r>
      <w:r w:rsidRPr="00FE1862">
        <w:rPr>
          <w:szCs w:val="22"/>
        </w:rPr>
        <w:t>WCOV airs three seasonal programs dedicated to Auburn University football and basketball.</w:t>
      </w:r>
      <w:r w:rsidR="0042067F">
        <w:rPr>
          <w:rStyle w:val="FootnoteReference"/>
          <w:szCs w:val="22"/>
        </w:rPr>
        <w:footnoteReference w:id="28"/>
      </w:r>
      <w:r w:rsidRPr="00FE1862">
        <w:rPr>
          <w:szCs w:val="22"/>
        </w:rPr>
        <w:t xml:space="preserve"> </w:t>
      </w:r>
      <w:r w:rsidR="00596910">
        <w:rPr>
          <w:szCs w:val="22"/>
        </w:rPr>
        <w:t xml:space="preserve"> </w:t>
      </w:r>
      <w:r w:rsidRPr="00FE1862">
        <w:rPr>
          <w:szCs w:val="22"/>
        </w:rPr>
        <w:t>In total, these programs air 35 times</w:t>
      </w:r>
      <w:r w:rsidR="00A03575">
        <w:rPr>
          <w:szCs w:val="22"/>
        </w:rPr>
        <w:t xml:space="preserve"> per year</w:t>
      </w:r>
      <w:r w:rsidRPr="00FE1862">
        <w:rPr>
          <w:szCs w:val="22"/>
        </w:rPr>
        <w:t>, with nine basketball</w:t>
      </w:r>
      <w:r w:rsidR="00A03575">
        <w:rPr>
          <w:szCs w:val="22"/>
        </w:rPr>
        <w:t>-</w:t>
      </w:r>
      <w:r w:rsidRPr="00FE1862">
        <w:rPr>
          <w:szCs w:val="22"/>
        </w:rPr>
        <w:t xml:space="preserve">related airings running from January through February and 26 </w:t>
      </w:r>
      <w:r w:rsidR="00A03575">
        <w:rPr>
          <w:szCs w:val="22"/>
        </w:rPr>
        <w:t>f</w:t>
      </w:r>
      <w:r w:rsidRPr="00FE1862">
        <w:rPr>
          <w:szCs w:val="22"/>
        </w:rPr>
        <w:t>ootball</w:t>
      </w:r>
      <w:r w:rsidR="00A03575">
        <w:rPr>
          <w:szCs w:val="22"/>
        </w:rPr>
        <w:t>-</w:t>
      </w:r>
      <w:r w:rsidRPr="00FE1862">
        <w:rPr>
          <w:szCs w:val="22"/>
        </w:rPr>
        <w:t>related airings running from September through November.</w:t>
      </w:r>
      <w:r w:rsidR="0042067F">
        <w:rPr>
          <w:rStyle w:val="FootnoteReference"/>
          <w:szCs w:val="22"/>
        </w:rPr>
        <w:footnoteReference w:id="29"/>
      </w:r>
      <w:r w:rsidRPr="00FE1862">
        <w:rPr>
          <w:szCs w:val="22"/>
        </w:rPr>
        <w:t xml:space="preserve"> </w:t>
      </w:r>
      <w:r w:rsidR="00596910">
        <w:rPr>
          <w:szCs w:val="22"/>
        </w:rPr>
        <w:t xml:space="preserve"> </w:t>
      </w:r>
      <w:r w:rsidR="00884557">
        <w:rPr>
          <w:szCs w:val="22"/>
        </w:rPr>
        <w:t xml:space="preserve">The </w:t>
      </w:r>
      <w:r w:rsidRPr="00FE1862">
        <w:rPr>
          <w:szCs w:val="22"/>
        </w:rPr>
        <w:t>Petit</w:t>
      </w:r>
      <w:r w:rsidR="00B660D9">
        <w:rPr>
          <w:szCs w:val="22"/>
        </w:rPr>
        <w:t>ioner also explains that WCOV</w:t>
      </w:r>
      <w:r w:rsidRPr="00FE1862">
        <w:rPr>
          <w:szCs w:val="22"/>
        </w:rPr>
        <w:t xml:space="preserve"> </w:t>
      </w:r>
      <w:r w:rsidR="00E46B94">
        <w:rPr>
          <w:szCs w:val="22"/>
        </w:rPr>
        <w:t>airs</w:t>
      </w:r>
      <w:r w:rsidRPr="00FE1862">
        <w:rPr>
          <w:szCs w:val="22"/>
        </w:rPr>
        <w:t xml:space="preserve"> a nightly news program that covers Auburn University sports, Lee County</w:t>
      </w:r>
      <w:r w:rsidR="00E46B94">
        <w:rPr>
          <w:szCs w:val="22"/>
        </w:rPr>
        <w:t xml:space="preserve"> weather</w:t>
      </w:r>
      <w:r w:rsidRPr="00FE1862">
        <w:rPr>
          <w:szCs w:val="22"/>
        </w:rPr>
        <w:t>, and news segments that are “often” based in Lee County.</w:t>
      </w:r>
      <w:r w:rsidR="0042067F">
        <w:rPr>
          <w:rStyle w:val="FootnoteReference"/>
          <w:szCs w:val="22"/>
        </w:rPr>
        <w:footnoteReference w:id="30"/>
      </w:r>
      <w:r w:rsidRPr="00FE1862">
        <w:rPr>
          <w:szCs w:val="22"/>
        </w:rPr>
        <w:t xml:space="preserve"> </w:t>
      </w:r>
      <w:r w:rsidR="00596910">
        <w:rPr>
          <w:szCs w:val="22"/>
        </w:rPr>
        <w:t xml:space="preserve"> </w:t>
      </w:r>
      <w:r w:rsidRPr="00FE1862">
        <w:rPr>
          <w:szCs w:val="22"/>
        </w:rPr>
        <w:t>Finally, the Petitioner highlights a weekly program produced in collaboration with the Montgomery Police department that may involve crimes “occurring in or impacting Lee County.”</w:t>
      </w:r>
      <w:r w:rsidR="0042067F">
        <w:rPr>
          <w:rStyle w:val="FootnoteReference"/>
          <w:szCs w:val="22"/>
        </w:rPr>
        <w:footnoteReference w:id="31"/>
      </w:r>
      <w:r w:rsidR="00596910">
        <w:rPr>
          <w:szCs w:val="22"/>
        </w:rPr>
        <w:t xml:space="preserve">  </w:t>
      </w:r>
      <w:r w:rsidR="00E46B94">
        <w:rPr>
          <w:szCs w:val="22"/>
        </w:rPr>
        <w:t>Overall, the Petitioner states that the Station “broadcasts programs, including children’s programs, nightly news, news, news specials, and local public affairs and opinion programs, that are focused on iss</w:t>
      </w:r>
      <w:r w:rsidR="004B59D8">
        <w:rPr>
          <w:szCs w:val="22"/>
        </w:rPr>
        <w:t>ues</w:t>
      </w:r>
      <w:r w:rsidR="00E46B94">
        <w:rPr>
          <w:szCs w:val="22"/>
        </w:rPr>
        <w:t xml:space="preserve"> important to reside</w:t>
      </w:r>
      <w:r w:rsidR="00900CE0">
        <w:rPr>
          <w:szCs w:val="22"/>
        </w:rPr>
        <w:t>nts</w:t>
      </w:r>
      <w:r w:rsidR="00E46B94">
        <w:rPr>
          <w:szCs w:val="22"/>
        </w:rPr>
        <w:t xml:space="preserve"> of Lee County.”</w:t>
      </w:r>
      <w:r w:rsidR="00E46B94">
        <w:rPr>
          <w:rStyle w:val="FootnoteReference"/>
          <w:szCs w:val="22"/>
        </w:rPr>
        <w:footnoteReference w:id="32"/>
      </w:r>
      <w:r w:rsidR="00E46B94">
        <w:rPr>
          <w:szCs w:val="22"/>
        </w:rPr>
        <w:t xml:space="preserve">  For all of the above reasons</w:t>
      </w:r>
      <w:r w:rsidRPr="00FE1862">
        <w:rPr>
          <w:szCs w:val="22"/>
        </w:rPr>
        <w:t xml:space="preserve">, </w:t>
      </w:r>
      <w:r w:rsidR="00E46B94">
        <w:rPr>
          <w:szCs w:val="22"/>
        </w:rPr>
        <w:t xml:space="preserve">we find that </w:t>
      </w:r>
      <w:r w:rsidRPr="00FE1862">
        <w:rPr>
          <w:szCs w:val="22"/>
        </w:rPr>
        <w:t xml:space="preserve">this </w:t>
      </w:r>
      <w:r w:rsidR="00E46B94">
        <w:rPr>
          <w:szCs w:val="22"/>
        </w:rPr>
        <w:t xml:space="preserve">second statutory </w:t>
      </w:r>
      <w:r w:rsidRPr="00FE1862">
        <w:rPr>
          <w:szCs w:val="22"/>
        </w:rPr>
        <w:t xml:space="preserve">factor weighs </w:t>
      </w:r>
      <w:r w:rsidR="00EA580E">
        <w:rPr>
          <w:szCs w:val="22"/>
        </w:rPr>
        <w:t xml:space="preserve">in favor of </w:t>
      </w:r>
      <w:r w:rsidR="00E46B94">
        <w:rPr>
          <w:szCs w:val="22"/>
        </w:rPr>
        <w:t xml:space="preserve">the requested </w:t>
      </w:r>
      <w:r w:rsidR="00EA580E">
        <w:rPr>
          <w:szCs w:val="22"/>
        </w:rPr>
        <w:t>modification.</w:t>
      </w:r>
    </w:p>
    <w:p w14:paraId="1E39EF26" w14:textId="359EAC23" w:rsidR="00FE1862" w:rsidRPr="00EA580E" w:rsidRDefault="00FE1862" w:rsidP="00EA580E">
      <w:pPr>
        <w:pStyle w:val="ParaNum"/>
        <w:numPr>
          <w:ilvl w:val="0"/>
          <w:numId w:val="19"/>
        </w:numPr>
        <w:tabs>
          <w:tab w:val="clear" w:pos="1080"/>
        </w:tabs>
        <w:spacing w:after="120"/>
        <w:jc w:val="left"/>
        <w:rPr>
          <w:szCs w:val="22"/>
        </w:rPr>
      </w:pPr>
      <w:r w:rsidRPr="00FE1862">
        <w:rPr>
          <w:szCs w:val="22"/>
        </w:rPr>
        <w:t>The third statutory factor is “whether modifying the market of the television station would promote consumers’ access to television broadcast station signals that originate in their State of residence.”</w:t>
      </w:r>
      <w:r w:rsidR="0042067F" w:rsidRPr="00925A69">
        <w:rPr>
          <w:rStyle w:val="FootnoteReference"/>
        </w:rPr>
        <w:footnoteReference w:id="33"/>
      </w:r>
      <w:r w:rsidR="0042067F">
        <w:t xml:space="preserve"> </w:t>
      </w:r>
      <w:r w:rsidR="00596910">
        <w:t xml:space="preserve"> </w:t>
      </w:r>
      <w:r w:rsidRPr="00FE1862">
        <w:rPr>
          <w:szCs w:val="22"/>
        </w:rPr>
        <w:t xml:space="preserve">This factor is intended to ensure that </w:t>
      </w:r>
      <w:r w:rsidR="00E55DC2">
        <w:rPr>
          <w:szCs w:val="22"/>
        </w:rPr>
        <w:t>multichannel video programming distributor (</w:t>
      </w:r>
      <w:r w:rsidRPr="00FE1862">
        <w:rPr>
          <w:szCs w:val="22"/>
        </w:rPr>
        <w:t>MVPD</w:t>
      </w:r>
      <w:r w:rsidR="00E55DC2">
        <w:rPr>
          <w:szCs w:val="22"/>
        </w:rPr>
        <w:t>)</w:t>
      </w:r>
      <w:r w:rsidRPr="00FE1862">
        <w:rPr>
          <w:szCs w:val="22"/>
        </w:rPr>
        <w:t xml:space="preserve"> subscribers are “receiving news, politics, sports, emergency information, and other television programing relevant to their home state”</w:t>
      </w:r>
      <w:r w:rsidR="00F000DB">
        <w:rPr>
          <w:szCs w:val="22"/>
        </w:rPr>
        <w:t xml:space="preserve"> </w:t>
      </w:r>
      <w:r w:rsidR="00900CE0">
        <w:rPr>
          <w:szCs w:val="22"/>
        </w:rPr>
        <w:t>a</w:t>
      </w:r>
      <w:r w:rsidR="00F000DB">
        <w:rPr>
          <w:szCs w:val="22"/>
        </w:rPr>
        <w:t>nd “relevant to their everyday lives.”</w:t>
      </w:r>
      <w:r w:rsidR="0042067F" w:rsidRPr="00925A69">
        <w:rPr>
          <w:rStyle w:val="FootnoteReference"/>
        </w:rPr>
        <w:footnoteReference w:id="34"/>
      </w:r>
      <w:r w:rsidR="0042067F">
        <w:t xml:space="preserve"> </w:t>
      </w:r>
      <w:r w:rsidR="00596910">
        <w:t xml:space="preserve"> </w:t>
      </w:r>
      <w:r w:rsidR="002101CF">
        <w:t>A petitioner is considered to satisfy this factor if the involved station is licensed to a community within the same state as the new community.</w:t>
      </w:r>
      <w:r w:rsidR="002101CF">
        <w:rPr>
          <w:rStyle w:val="FootnoteReference"/>
        </w:rPr>
        <w:footnoteReference w:id="35"/>
      </w:r>
      <w:r w:rsidR="002101CF">
        <w:t xml:space="preserve">  </w:t>
      </w:r>
      <w:r w:rsidRPr="00FE1862">
        <w:rPr>
          <w:szCs w:val="22"/>
        </w:rPr>
        <w:t xml:space="preserve">The Commission may give this factor increased weight if the </w:t>
      </w:r>
      <w:r w:rsidR="002101CF">
        <w:rPr>
          <w:szCs w:val="22"/>
        </w:rPr>
        <w:t>station provides programming specifically related to subscribers’ state of residence, and may give it even more weight</w:t>
      </w:r>
      <w:r w:rsidR="002101CF" w:rsidRPr="00FE1862">
        <w:rPr>
          <w:szCs w:val="22"/>
        </w:rPr>
        <w:t xml:space="preserve"> if </w:t>
      </w:r>
      <w:r w:rsidR="002101CF">
        <w:rPr>
          <w:szCs w:val="22"/>
        </w:rPr>
        <w:t xml:space="preserve">subscribers in </w:t>
      </w:r>
      <w:r w:rsidR="002101CF" w:rsidRPr="00FE1862">
        <w:rPr>
          <w:szCs w:val="22"/>
        </w:rPr>
        <w:t xml:space="preserve">the </w:t>
      </w:r>
      <w:r w:rsidRPr="00FE1862">
        <w:rPr>
          <w:szCs w:val="22"/>
        </w:rPr>
        <w:t>existing market ha</w:t>
      </w:r>
      <w:r w:rsidR="002101CF">
        <w:rPr>
          <w:szCs w:val="22"/>
        </w:rPr>
        <w:t>ve</w:t>
      </w:r>
      <w:r w:rsidRPr="00FE1862">
        <w:rPr>
          <w:szCs w:val="22"/>
        </w:rPr>
        <w:t xml:space="preserve"> little or no access to such in-state programming.</w:t>
      </w:r>
      <w:r w:rsidRPr="00FE1862">
        <w:rPr>
          <w:rStyle w:val="FootnoteReference"/>
          <w:rFonts w:ascii="Times New Roman" w:hAnsi="Times New Roman"/>
          <w:sz w:val="22"/>
          <w:szCs w:val="22"/>
        </w:rPr>
        <w:footnoteReference w:id="36"/>
      </w:r>
      <w:r w:rsidR="00EA580E">
        <w:rPr>
          <w:b/>
          <w:szCs w:val="22"/>
        </w:rPr>
        <w:t xml:space="preserve"> </w:t>
      </w:r>
      <w:r w:rsidR="00596910">
        <w:rPr>
          <w:b/>
          <w:szCs w:val="22"/>
        </w:rPr>
        <w:t xml:space="preserve"> </w:t>
      </w:r>
      <w:r w:rsidR="00884557">
        <w:rPr>
          <w:szCs w:val="22"/>
        </w:rPr>
        <w:t xml:space="preserve">The </w:t>
      </w:r>
      <w:r w:rsidRPr="00EA580E">
        <w:rPr>
          <w:szCs w:val="22"/>
        </w:rPr>
        <w:t xml:space="preserve">Petitioner asserts that it has satisfied this factor because granting the </w:t>
      </w:r>
      <w:r w:rsidR="00F000DB">
        <w:rPr>
          <w:szCs w:val="22"/>
        </w:rPr>
        <w:t>P</w:t>
      </w:r>
      <w:r w:rsidRPr="00EA580E">
        <w:rPr>
          <w:szCs w:val="22"/>
        </w:rPr>
        <w:t xml:space="preserve">etition would </w:t>
      </w:r>
      <w:r w:rsidR="00EA580E">
        <w:rPr>
          <w:szCs w:val="22"/>
        </w:rPr>
        <w:t xml:space="preserve">promote </w:t>
      </w:r>
      <w:r w:rsidR="00F000DB">
        <w:rPr>
          <w:szCs w:val="22"/>
        </w:rPr>
        <w:t xml:space="preserve">Lee County residents’ </w:t>
      </w:r>
      <w:r w:rsidR="00EA580E">
        <w:rPr>
          <w:szCs w:val="22"/>
        </w:rPr>
        <w:t>access to WCOV</w:t>
      </w:r>
      <w:r w:rsidRPr="00EA580E">
        <w:rPr>
          <w:szCs w:val="22"/>
        </w:rPr>
        <w:t xml:space="preserve">, which broadcasts out of the same state </w:t>
      </w:r>
      <w:r w:rsidR="00F000DB">
        <w:rPr>
          <w:szCs w:val="22"/>
        </w:rPr>
        <w:t>(Alabama) in which</w:t>
      </w:r>
      <w:r w:rsidRPr="00EA580E">
        <w:rPr>
          <w:szCs w:val="22"/>
        </w:rPr>
        <w:t xml:space="preserve"> Lee County</w:t>
      </w:r>
      <w:r w:rsidR="00F000DB">
        <w:rPr>
          <w:szCs w:val="22"/>
        </w:rPr>
        <w:t xml:space="preserve"> is located</w:t>
      </w:r>
      <w:r w:rsidRPr="00EA580E">
        <w:rPr>
          <w:szCs w:val="22"/>
        </w:rPr>
        <w:t>.</w:t>
      </w:r>
      <w:r w:rsidRPr="00FE1862">
        <w:rPr>
          <w:rStyle w:val="FootnoteReference"/>
          <w:rFonts w:ascii="Times New Roman" w:hAnsi="Times New Roman"/>
          <w:sz w:val="22"/>
          <w:szCs w:val="22"/>
        </w:rPr>
        <w:footnoteReference w:id="37"/>
      </w:r>
      <w:r w:rsidRPr="00EA580E">
        <w:rPr>
          <w:szCs w:val="22"/>
        </w:rPr>
        <w:t xml:space="preserve"> </w:t>
      </w:r>
      <w:r w:rsidR="00596910">
        <w:rPr>
          <w:szCs w:val="22"/>
        </w:rPr>
        <w:t xml:space="preserve"> </w:t>
      </w:r>
      <w:r w:rsidRPr="00EA580E">
        <w:rPr>
          <w:szCs w:val="22"/>
        </w:rPr>
        <w:t xml:space="preserve">Separately, the Petitioner asserts that </w:t>
      </w:r>
      <w:r w:rsidR="002101CF">
        <w:rPr>
          <w:szCs w:val="22"/>
        </w:rPr>
        <w:t>although the community is served by at least one other Alabama-based broadcaster,</w:t>
      </w:r>
      <w:r w:rsidR="002101CF">
        <w:rPr>
          <w:rStyle w:val="FootnoteReference"/>
          <w:szCs w:val="22"/>
        </w:rPr>
        <w:footnoteReference w:id="38"/>
      </w:r>
      <w:r w:rsidR="002101CF" w:rsidRPr="00EA580E">
        <w:rPr>
          <w:szCs w:val="22"/>
        </w:rPr>
        <w:t xml:space="preserve"> </w:t>
      </w:r>
      <w:r w:rsidR="002101CF">
        <w:rPr>
          <w:szCs w:val="22"/>
        </w:rPr>
        <w:t>WCOV</w:t>
      </w:r>
      <w:r w:rsidRPr="00EA580E">
        <w:rPr>
          <w:szCs w:val="22"/>
        </w:rPr>
        <w:t xml:space="preserve"> </w:t>
      </w:r>
      <w:r w:rsidR="00F000DB">
        <w:rPr>
          <w:szCs w:val="22"/>
        </w:rPr>
        <w:t>“</w:t>
      </w:r>
      <w:r w:rsidRPr="00EA580E">
        <w:rPr>
          <w:szCs w:val="22"/>
        </w:rPr>
        <w:t>offers</w:t>
      </w:r>
      <w:r w:rsidR="00F000DB">
        <w:rPr>
          <w:szCs w:val="22"/>
        </w:rPr>
        <w:t xml:space="preserve"> unique</w:t>
      </w:r>
      <w:r w:rsidRPr="00EA580E">
        <w:rPr>
          <w:szCs w:val="22"/>
        </w:rPr>
        <w:t xml:space="preserve"> local programming that is not available on othe</w:t>
      </w:r>
      <w:r w:rsidR="00EA580E">
        <w:rPr>
          <w:szCs w:val="22"/>
        </w:rPr>
        <w:t>r stations serving Lee County.”</w:t>
      </w:r>
      <w:r w:rsidR="00EA580E">
        <w:rPr>
          <w:rStyle w:val="FootnoteReference"/>
          <w:szCs w:val="22"/>
        </w:rPr>
        <w:footnoteReference w:id="39"/>
      </w:r>
      <w:r w:rsidR="00EA580E">
        <w:rPr>
          <w:szCs w:val="22"/>
        </w:rPr>
        <w:t xml:space="preserve"> </w:t>
      </w:r>
      <w:r w:rsidR="00596910">
        <w:rPr>
          <w:szCs w:val="22"/>
        </w:rPr>
        <w:t xml:space="preserve"> </w:t>
      </w:r>
      <w:r w:rsidR="00884557">
        <w:rPr>
          <w:szCs w:val="22"/>
        </w:rPr>
        <w:t xml:space="preserve">The </w:t>
      </w:r>
      <w:r w:rsidR="00EA580E">
        <w:rPr>
          <w:szCs w:val="22"/>
        </w:rPr>
        <w:t xml:space="preserve">Petitioner notes that the </w:t>
      </w:r>
      <w:r w:rsidRPr="00EA580E">
        <w:rPr>
          <w:szCs w:val="22"/>
        </w:rPr>
        <w:t xml:space="preserve">Fox affiliate that currently serves </w:t>
      </w:r>
      <w:r w:rsidR="00F000DB">
        <w:rPr>
          <w:szCs w:val="22"/>
        </w:rPr>
        <w:t>Lee</w:t>
      </w:r>
      <w:r w:rsidR="00F000DB" w:rsidRPr="00EA580E">
        <w:rPr>
          <w:szCs w:val="22"/>
        </w:rPr>
        <w:t xml:space="preserve"> </w:t>
      </w:r>
      <w:r w:rsidR="00F000DB">
        <w:rPr>
          <w:szCs w:val="22"/>
        </w:rPr>
        <w:t>C</w:t>
      </w:r>
      <w:r w:rsidRPr="00EA580E">
        <w:rPr>
          <w:szCs w:val="22"/>
        </w:rPr>
        <w:t>ounty</w:t>
      </w:r>
      <w:r w:rsidR="00176296">
        <w:rPr>
          <w:szCs w:val="22"/>
        </w:rPr>
        <w:t>, WXTX,</w:t>
      </w:r>
      <w:r w:rsidRPr="00EA580E">
        <w:rPr>
          <w:szCs w:val="22"/>
        </w:rPr>
        <w:t xml:space="preserve"> is </w:t>
      </w:r>
      <w:r w:rsidR="00F000DB">
        <w:rPr>
          <w:szCs w:val="22"/>
        </w:rPr>
        <w:t>licensed</w:t>
      </w:r>
      <w:r w:rsidRPr="00EA580E">
        <w:rPr>
          <w:szCs w:val="22"/>
        </w:rPr>
        <w:t xml:space="preserve"> across the state’s border in Georgia and in a different time zone</w:t>
      </w:r>
      <w:r w:rsidR="00EA580E">
        <w:rPr>
          <w:szCs w:val="22"/>
        </w:rPr>
        <w:t xml:space="preserve">, </w:t>
      </w:r>
      <w:r w:rsidR="00F000DB">
        <w:rPr>
          <w:szCs w:val="22"/>
        </w:rPr>
        <w:t xml:space="preserve">and that station </w:t>
      </w:r>
      <w:r w:rsidR="00EA580E">
        <w:rPr>
          <w:szCs w:val="22"/>
        </w:rPr>
        <w:t>emphasiz</w:t>
      </w:r>
      <w:r w:rsidR="00F000DB">
        <w:rPr>
          <w:szCs w:val="22"/>
        </w:rPr>
        <w:t>es</w:t>
      </w:r>
      <w:r w:rsidR="00EA580E">
        <w:rPr>
          <w:szCs w:val="22"/>
        </w:rPr>
        <w:t xml:space="preserve"> news coverage of “matters pertaining to Georgia, rather than Alabama.”</w:t>
      </w:r>
      <w:r w:rsidRPr="00FE1862">
        <w:rPr>
          <w:rStyle w:val="FootnoteReference"/>
          <w:rFonts w:ascii="Times New Roman" w:hAnsi="Times New Roman"/>
          <w:sz w:val="22"/>
          <w:szCs w:val="22"/>
        </w:rPr>
        <w:footnoteReference w:id="40"/>
      </w:r>
      <w:r w:rsidR="00EA580E">
        <w:rPr>
          <w:szCs w:val="22"/>
        </w:rPr>
        <w:t xml:space="preserve"> </w:t>
      </w:r>
      <w:r w:rsidR="00596910">
        <w:rPr>
          <w:szCs w:val="22"/>
        </w:rPr>
        <w:t xml:space="preserve"> </w:t>
      </w:r>
      <w:r w:rsidR="00884557">
        <w:rPr>
          <w:szCs w:val="22"/>
        </w:rPr>
        <w:t xml:space="preserve">The </w:t>
      </w:r>
      <w:r w:rsidRPr="00EA580E">
        <w:rPr>
          <w:szCs w:val="22"/>
        </w:rPr>
        <w:t>Petitioner ha</w:t>
      </w:r>
      <w:r w:rsidR="00EA580E">
        <w:rPr>
          <w:szCs w:val="22"/>
        </w:rPr>
        <w:t xml:space="preserve">s provided evidence that </w:t>
      </w:r>
      <w:r w:rsidR="00176296">
        <w:rPr>
          <w:szCs w:val="22"/>
        </w:rPr>
        <w:t xml:space="preserve">modifying </w:t>
      </w:r>
      <w:r w:rsidR="00EA580E">
        <w:rPr>
          <w:szCs w:val="22"/>
        </w:rPr>
        <w:t>WCOV</w:t>
      </w:r>
      <w:r w:rsidR="00176296">
        <w:rPr>
          <w:szCs w:val="22"/>
        </w:rPr>
        <w:t>’s market</w:t>
      </w:r>
      <w:r w:rsidRPr="00EA580E">
        <w:rPr>
          <w:szCs w:val="22"/>
        </w:rPr>
        <w:t xml:space="preserve"> would </w:t>
      </w:r>
      <w:r w:rsidR="00176296">
        <w:rPr>
          <w:szCs w:val="22"/>
        </w:rPr>
        <w:t xml:space="preserve">promote </w:t>
      </w:r>
      <w:r w:rsidR="002101CF">
        <w:rPr>
          <w:szCs w:val="22"/>
        </w:rPr>
        <w:t xml:space="preserve">subscribers’ </w:t>
      </w:r>
      <w:r w:rsidR="00176296">
        <w:rPr>
          <w:szCs w:val="22"/>
        </w:rPr>
        <w:t xml:space="preserve">access to </w:t>
      </w:r>
      <w:r w:rsidR="002101CF">
        <w:rPr>
          <w:szCs w:val="22"/>
        </w:rPr>
        <w:t xml:space="preserve">otherwise unavailable </w:t>
      </w:r>
      <w:r w:rsidRPr="00EA580E">
        <w:rPr>
          <w:szCs w:val="22"/>
        </w:rPr>
        <w:t xml:space="preserve">in-state </w:t>
      </w:r>
      <w:r w:rsidR="00AF1133">
        <w:rPr>
          <w:szCs w:val="22"/>
        </w:rPr>
        <w:t>programming</w:t>
      </w:r>
      <w:r w:rsidR="002101CF">
        <w:rPr>
          <w:szCs w:val="22"/>
        </w:rPr>
        <w:t xml:space="preserve"> provided by an in-state broadcast station</w:t>
      </w:r>
      <w:r w:rsidR="00EA580E">
        <w:rPr>
          <w:szCs w:val="22"/>
        </w:rPr>
        <w:t>.</w:t>
      </w:r>
      <w:r w:rsidRPr="00EA580E">
        <w:rPr>
          <w:szCs w:val="22"/>
        </w:rPr>
        <w:t xml:space="preserve"> </w:t>
      </w:r>
      <w:r w:rsidR="00596910">
        <w:rPr>
          <w:szCs w:val="22"/>
        </w:rPr>
        <w:t xml:space="preserve"> </w:t>
      </w:r>
      <w:r w:rsidRPr="00EA580E">
        <w:rPr>
          <w:szCs w:val="22"/>
        </w:rPr>
        <w:t xml:space="preserve">Accordingly, </w:t>
      </w:r>
      <w:r w:rsidR="00466179">
        <w:rPr>
          <w:szCs w:val="22"/>
        </w:rPr>
        <w:t xml:space="preserve">we find that </w:t>
      </w:r>
      <w:r w:rsidRPr="00EA580E">
        <w:rPr>
          <w:szCs w:val="22"/>
        </w:rPr>
        <w:t xml:space="preserve">this factor weighs </w:t>
      </w:r>
      <w:r w:rsidR="00466179">
        <w:rPr>
          <w:szCs w:val="22"/>
        </w:rPr>
        <w:t xml:space="preserve">substantially </w:t>
      </w:r>
      <w:r w:rsidRPr="00EA580E">
        <w:rPr>
          <w:szCs w:val="22"/>
        </w:rPr>
        <w:t>in favor of</w:t>
      </w:r>
      <w:r w:rsidR="004C170E">
        <w:rPr>
          <w:szCs w:val="22"/>
        </w:rPr>
        <w:t xml:space="preserve"> the requested</w:t>
      </w:r>
      <w:r w:rsidRPr="00EA580E">
        <w:rPr>
          <w:szCs w:val="22"/>
        </w:rPr>
        <w:t xml:space="preserve"> modification. </w:t>
      </w:r>
    </w:p>
    <w:p w14:paraId="2F9857FA" w14:textId="5EC1C28B" w:rsidR="00FE1862" w:rsidRPr="00FE1862" w:rsidRDefault="00FE1862" w:rsidP="00FE1862">
      <w:pPr>
        <w:pStyle w:val="ParaNum"/>
        <w:numPr>
          <w:ilvl w:val="0"/>
          <w:numId w:val="19"/>
        </w:numPr>
        <w:tabs>
          <w:tab w:val="clear" w:pos="1080"/>
        </w:tabs>
        <w:spacing w:after="120"/>
        <w:jc w:val="left"/>
        <w:rPr>
          <w:b/>
          <w:szCs w:val="22"/>
        </w:rPr>
      </w:pPr>
      <w:r w:rsidRPr="00FE1862">
        <w:rPr>
          <w:szCs w:val="22"/>
        </w:rPr>
        <w:t xml:space="preserve">Fourth, we consider “whether any other television station that is eligible to be carried by a cable system in such community in fulfillment of the requirements of this section provides news coverage of issues of concern to such community or provides carriage or coverage of sporting </w:t>
      </w:r>
      <w:r w:rsidR="001F7D43">
        <w:rPr>
          <w:szCs w:val="22"/>
        </w:rPr>
        <w:t xml:space="preserve">and other </w:t>
      </w:r>
      <w:r w:rsidRPr="00FE1862">
        <w:rPr>
          <w:szCs w:val="22"/>
        </w:rPr>
        <w:t>events of interest to the community.”</w:t>
      </w:r>
      <w:r w:rsidRPr="00FE1862">
        <w:rPr>
          <w:rStyle w:val="FootnoteReference"/>
          <w:rFonts w:ascii="Times New Roman" w:hAnsi="Times New Roman"/>
          <w:sz w:val="22"/>
          <w:szCs w:val="22"/>
        </w:rPr>
        <w:footnoteReference w:id="41"/>
      </w:r>
      <w:r w:rsidRPr="00FE1862">
        <w:rPr>
          <w:szCs w:val="22"/>
        </w:rPr>
        <w:t xml:space="preserve"> </w:t>
      </w:r>
      <w:r w:rsidR="00596910">
        <w:rPr>
          <w:szCs w:val="22"/>
        </w:rPr>
        <w:t xml:space="preserve"> </w:t>
      </w:r>
      <w:r w:rsidR="001F7D43">
        <w:rPr>
          <w:szCs w:val="22"/>
        </w:rPr>
        <w:t>In general, t</w:t>
      </w:r>
      <w:r w:rsidRPr="00FE1862">
        <w:rPr>
          <w:szCs w:val="22"/>
        </w:rPr>
        <w:t>he Commission has interpreted this factor as enhanc</w:t>
      </w:r>
      <w:r w:rsidR="00830430">
        <w:rPr>
          <w:szCs w:val="22"/>
        </w:rPr>
        <w:t xml:space="preserve">ing a station’s market modification </w:t>
      </w:r>
      <w:r w:rsidR="002B622F">
        <w:rPr>
          <w:szCs w:val="22"/>
        </w:rPr>
        <w:t xml:space="preserve">petition </w:t>
      </w:r>
      <w:r w:rsidR="00830430">
        <w:rPr>
          <w:szCs w:val="22"/>
        </w:rPr>
        <w:t xml:space="preserve">if </w:t>
      </w:r>
      <w:r w:rsidRPr="00FE1862">
        <w:rPr>
          <w:szCs w:val="22"/>
        </w:rPr>
        <w:t xml:space="preserve">other stations </w:t>
      </w:r>
      <w:r w:rsidR="00830430">
        <w:rPr>
          <w:szCs w:val="22"/>
        </w:rPr>
        <w:t>do not</w:t>
      </w:r>
      <w:r w:rsidR="00830430" w:rsidRPr="00FE1862">
        <w:rPr>
          <w:szCs w:val="22"/>
        </w:rPr>
        <w:t xml:space="preserve"> </w:t>
      </w:r>
      <w:r w:rsidR="001F7D43">
        <w:rPr>
          <w:szCs w:val="22"/>
        </w:rPr>
        <w:t xml:space="preserve">sufficiently </w:t>
      </w:r>
      <w:r w:rsidRPr="00FE1862">
        <w:rPr>
          <w:szCs w:val="22"/>
        </w:rPr>
        <w:t>serve the communit</w:t>
      </w:r>
      <w:r w:rsidR="00830430">
        <w:rPr>
          <w:szCs w:val="22"/>
        </w:rPr>
        <w:t>ies</w:t>
      </w:r>
      <w:r w:rsidRPr="00FE1862">
        <w:rPr>
          <w:szCs w:val="22"/>
        </w:rPr>
        <w:t xml:space="preserve"> at issue</w:t>
      </w:r>
      <w:r w:rsidR="004470AD">
        <w:rPr>
          <w:szCs w:val="22"/>
        </w:rPr>
        <w:t>; however,</w:t>
      </w:r>
      <w:r w:rsidR="00B3561A">
        <w:rPr>
          <w:szCs w:val="22"/>
        </w:rPr>
        <w:t xml:space="preserve"> other stations’ service to the communities rarely has counted against a petition</w:t>
      </w:r>
      <w:r w:rsidR="001F7D43" w:rsidRPr="00FE1862">
        <w:rPr>
          <w:szCs w:val="22"/>
        </w:rPr>
        <w:t>.</w:t>
      </w:r>
      <w:r w:rsidR="001F7D43" w:rsidRPr="00FE1862">
        <w:rPr>
          <w:rStyle w:val="FootnoteReference"/>
          <w:rFonts w:ascii="Times New Roman" w:hAnsi="Times New Roman"/>
          <w:sz w:val="22"/>
          <w:szCs w:val="22"/>
        </w:rPr>
        <w:footnoteReference w:id="42"/>
      </w:r>
      <w:r w:rsidR="001F7D43" w:rsidRPr="00FE1862">
        <w:rPr>
          <w:szCs w:val="22"/>
        </w:rPr>
        <w:t xml:space="preserve"> </w:t>
      </w:r>
      <w:r w:rsidR="001F7D43">
        <w:rPr>
          <w:szCs w:val="22"/>
        </w:rPr>
        <w:t xml:space="preserve"> </w:t>
      </w:r>
      <w:r w:rsidR="008B5D7F">
        <w:rPr>
          <w:szCs w:val="22"/>
        </w:rPr>
        <w:t>T</w:t>
      </w:r>
      <w:r w:rsidRPr="00FE1862">
        <w:rPr>
          <w:szCs w:val="22"/>
        </w:rPr>
        <w:t xml:space="preserve">he </w:t>
      </w:r>
      <w:r w:rsidR="00884557">
        <w:rPr>
          <w:szCs w:val="22"/>
        </w:rPr>
        <w:t>P</w:t>
      </w:r>
      <w:r w:rsidRPr="00FE1862">
        <w:rPr>
          <w:szCs w:val="22"/>
        </w:rPr>
        <w:t>etitioner identifies at least two stations that currently serve Lee County</w:t>
      </w:r>
      <w:r w:rsidR="00B0153D">
        <w:rPr>
          <w:szCs w:val="22"/>
        </w:rPr>
        <w:t xml:space="preserve"> cable subscribers</w:t>
      </w:r>
      <w:r w:rsidR="004B5924">
        <w:rPr>
          <w:szCs w:val="22"/>
        </w:rPr>
        <w:t>, WSFA and WXTX</w:t>
      </w:r>
      <w:r w:rsidRPr="00FE1862">
        <w:rPr>
          <w:szCs w:val="22"/>
        </w:rPr>
        <w:t>.</w:t>
      </w:r>
      <w:r w:rsidRPr="00FE1862">
        <w:rPr>
          <w:rStyle w:val="FootnoteReference"/>
          <w:rFonts w:ascii="Times New Roman" w:hAnsi="Times New Roman"/>
          <w:sz w:val="22"/>
          <w:szCs w:val="22"/>
        </w:rPr>
        <w:footnoteReference w:id="43"/>
      </w:r>
      <w:r w:rsidR="00A92D98">
        <w:rPr>
          <w:szCs w:val="22"/>
        </w:rPr>
        <w:t xml:space="preserve"> </w:t>
      </w:r>
      <w:r w:rsidR="00596910">
        <w:rPr>
          <w:szCs w:val="22"/>
        </w:rPr>
        <w:t xml:space="preserve"> </w:t>
      </w:r>
      <w:r w:rsidRPr="00FE1862">
        <w:rPr>
          <w:szCs w:val="22"/>
        </w:rPr>
        <w:t xml:space="preserve">While </w:t>
      </w:r>
      <w:r w:rsidR="003335B0">
        <w:rPr>
          <w:szCs w:val="22"/>
        </w:rPr>
        <w:t xml:space="preserve">the </w:t>
      </w:r>
      <w:r w:rsidRPr="00FE1862">
        <w:rPr>
          <w:szCs w:val="22"/>
        </w:rPr>
        <w:t>Petitioner asserts that WCOV would offer “unique local programming,”</w:t>
      </w:r>
      <w:r w:rsidR="00830430">
        <w:rPr>
          <w:rStyle w:val="FootnoteReference"/>
          <w:szCs w:val="22"/>
        </w:rPr>
        <w:footnoteReference w:id="44"/>
      </w:r>
      <w:r w:rsidRPr="00FE1862">
        <w:rPr>
          <w:szCs w:val="22"/>
        </w:rPr>
        <w:t xml:space="preserve"> the record does not </w:t>
      </w:r>
      <w:r w:rsidR="0045356A">
        <w:rPr>
          <w:szCs w:val="22"/>
        </w:rPr>
        <w:t>show that</w:t>
      </w:r>
      <w:r w:rsidR="00B0153D">
        <w:rPr>
          <w:szCs w:val="22"/>
        </w:rPr>
        <w:t xml:space="preserve"> the broadcast stations currently serving subscribers in the Communities</w:t>
      </w:r>
      <w:r w:rsidR="0045356A">
        <w:rPr>
          <w:szCs w:val="22"/>
        </w:rPr>
        <w:t xml:space="preserve"> do not provide news and sports/events coverage of Lee County</w:t>
      </w:r>
      <w:r w:rsidR="00B0153D" w:rsidRPr="00FE1862">
        <w:rPr>
          <w:szCs w:val="22"/>
        </w:rPr>
        <w:t xml:space="preserve">. </w:t>
      </w:r>
      <w:r w:rsidR="00B0153D">
        <w:rPr>
          <w:szCs w:val="22"/>
        </w:rPr>
        <w:t xml:space="preserve"> Absent such </w:t>
      </w:r>
      <w:r w:rsidR="00DE15B8">
        <w:rPr>
          <w:szCs w:val="22"/>
        </w:rPr>
        <w:t>a</w:t>
      </w:r>
      <w:r w:rsidR="0045356A">
        <w:rPr>
          <w:szCs w:val="22"/>
        </w:rPr>
        <w:t xml:space="preserve"> demonstration</w:t>
      </w:r>
      <w:r w:rsidR="00B0153D">
        <w:rPr>
          <w:szCs w:val="22"/>
        </w:rPr>
        <w:t xml:space="preserve">, and consistent with our precedent, we accord </w:t>
      </w:r>
      <w:r w:rsidRPr="00FE1862">
        <w:rPr>
          <w:szCs w:val="22"/>
        </w:rPr>
        <w:t xml:space="preserve">no weight to this factor. </w:t>
      </w:r>
    </w:p>
    <w:p w14:paraId="0273DD21" w14:textId="062E9C5C" w:rsidR="00FE1862" w:rsidRPr="00FE1862" w:rsidRDefault="00FE1862" w:rsidP="00FE1862">
      <w:pPr>
        <w:pStyle w:val="ParaNum"/>
        <w:numPr>
          <w:ilvl w:val="0"/>
          <w:numId w:val="19"/>
        </w:numPr>
        <w:tabs>
          <w:tab w:val="clear" w:pos="1080"/>
        </w:tabs>
        <w:spacing w:after="120"/>
        <w:jc w:val="left"/>
        <w:rPr>
          <w:szCs w:val="22"/>
        </w:rPr>
      </w:pPr>
      <w:r w:rsidRPr="00FE1862">
        <w:rPr>
          <w:szCs w:val="22"/>
        </w:rPr>
        <w:t>The fifth statutory factor focuses on “evidence of viewing patterns</w:t>
      </w:r>
      <w:r w:rsidR="00935C6C">
        <w:rPr>
          <w:szCs w:val="22"/>
        </w:rPr>
        <w:t>”</w:t>
      </w:r>
      <w:r w:rsidRPr="00FE1862">
        <w:rPr>
          <w:szCs w:val="22"/>
        </w:rPr>
        <w:t xml:space="preserve"> in cable and noncable households </w:t>
      </w:r>
      <w:r w:rsidR="00935C6C">
        <w:rPr>
          <w:szCs w:val="22"/>
        </w:rPr>
        <w:t>“</w:t>
      </w:r>
      <w:r w:rsidRPr="00FE1862">
        <w:rPr>
          <w:szCs w:val="22"/>
        </w:rPr>
        <w:t>within the areas served by</w:t>
      </w:r>
      <w:r w:rsidR="00AE0FD6">
        <w:rPr>
          <w:szCs w:val="22"/>
        </w:rPr>
        <w:t>”</w:t>
      </w:r>
      <w:r w:rsidRPr="00FE1862">
        <w:rPr>
          <w:szCs w:val="22"/>
        </w:rPr>
        <w:t xml:space="preserve"> the cable system or systems in such community.</w:t>
      </w:r>
      <w:r w:rsidRPr="00FE1862">
        <w:rPr>
          <w:rStyle w:val="FootnoteReference"/>
          <w:rFonts w:ascii="Times New Roman" w:hAnsi="Times New Roman"/>
          <w:sz w:val="22"/>
          <w:szCs w:val="22"/>
        </w:rPr>
        <w:footnoteReference w:id="45"/>
      </w:r>
      <w:r w:rsidRPr="00FE1862">
        <w:rPr>
          <w:szCs w:val="22"/>
        </w:rPr>
        <w:t xml:space="preserve"> </w:t>
      </w:r>
      <w:r w:rsidR="00596910">
        <w:rPr>
          <w:szCs w:val="22"/>
        </w:rPr>
        <w:t xml:space="preserve"> </w:t>
      </w:r>
      <w:r w:rsidRPr="00FE1862">
        <w:rPr>
          <w:szCs w:val="22"/>
        </w:rPr>
        <w:t xml:space="preserve">The </w:t>
      </w:r>
      <w:r w:rsidR="003335B0">
        <w:rPr>
          <w:szCs w:val="22"/>
        </w:rPr>
        <w:t>P</w:t>
      </w:r>
      <w:r w:rsidRPr="00FE1862">
        <w:rPr>
          <w:szCs w:val="22"/>
        </w:rPr>
        <w:t xml:space="preserve">etitioner notes that WCOV has no cable viewership in Lee County because the </w:t>
      </w:r>
      <w:r w:rsidR="007672BB">
        <w:rPr>
          <w:szCs w:val="22"/>
        </w:rPr>
        <w:t>S</w:t>
      </w:r>
      <w:r w:rsidRPr="00FE1862">
        <w:rPr>
          <w:szCs w:val="22"/>
        </w:rPr>
        <w:t xml:space="preserve">tation is not carried </w:t>
      </w:r>
      <w:r w:rsidR="007672BB">
        <w:rPr>
          <w:szCs w:val="22"/>
        </w:rPr>
        <w:t xml:space="preserve">on any cable system </w:t>
      </w:r>
      <w:r w:rsidRPr="00FE1862">
        <w:rPr>
          <w:szCs w:val="22"/>
        </w:rPr>
        <w:t>there.</w:t>
      </w:r>
      <w:r w:rsidR="003774E7">
        <w:rPr>
          <w:rStyle w:val="FootnoteReference"/>
          <w:szCs w:val="22"/>
        </w:rPr>
        <w:footnoteReference w:id="46"/>
      </w:r>
      <w:r w:rsidRPr="00FE1862">
        <w:rPr>
          <w:szCs w:val="22"/>
        </w:rPr>
        <w:t xml:space="preserve"> </w:t>
      </w:r>
      <w:r w:rsidR="00596910">
        <w:rPr>
          <w:szCs w:val="22"/>
        </w:rPr>
        <w:t xml:space="preserve"> </w:t>
      </w:r>
      <w:r w:rsidRPr="00FE1862">
        <w:rPr>
          <w:szCs w:val="22"/>
        </w:rPr>
        <w:t xml:space="preserve">The </w:t>
      </w:r>
      <w:r w:rsidR="003335B0">
        <w:rPr>
          <w:szCs w:val="22"/>
        </w:rPr>
        <w:t>P</w:t>
      </w:r>
      <w:r w:rsidRPr="00FE1862">
        <w:rPr>
          <w:szCs w:val="22"/>
        </w:rPr>
        <w:t xml:space="preserve">etitioner explains, however, that WCOV receives some over-the-air </w:t>
      </w:r>
      <w:r w:rsidR="00A92D98">
        <w:rPr>
          <w:szCs w:val="22"/>
        </w:rPr>
        <w:t>viewers in Lee County</w:t>
      </w:r>
      <w:r w:rsidRPr="00FE1862">
        <w:rPr>
          <w:szCs w:val="22"/>
        </w:rPr>
        <w:t xml:space="preserve">. </w:t>
      </w:r>
      <w:r w:rsidR="00596910">
        <w:rPr>
          <w:szCs w:val="22"/>
        </w:rPr>
        <w:t xml:space="preserve"> </w:t>
      </w:r>
      <w:r w:rsidRPr="00FE1862">
        <w:rPr>
          <w:szCs w:val="22"/>
        </w:rPr>
        <w:t xml:space="preserve">According to </w:t>
      </w:r>
      <w:r w:rsidR="00AF1133">
        <w:rPr>
          <w:szCs w:val="22"/>
        </w:rPr>
        <w:t xml:space="preserve">the </w:t>
      </w:r>
      <w:r w:rsidRPr="00FE1862">
        <w:rPr>
          <w:szCs w:val="22"/>
        </w:rPr>
        <w:t>evidence pr</w:t>
      </w:r>
      <w:r w:rsidR="00AF1133">
        <w:rPr>
          <w:szCs w:val="22"/>
        </w:rPr>
        <w:t>esented</w:t>
      </w:r>
      <w:r w:rsidRPr="00FE1862">
        <w:rPr>
          <w:szCs w:val="22"/>
        </w:rPr>
        <w:t>, 9 percent of WCOV’s audience from 9-10 p.m. Monday through Friday comes from the Columbus, G</w:t>
      </w:r>
      <w:r w:rsidR="007672BB">
        <w:rPr>
          <w:szCs w:val="22"/>
        </w:rPr>
        <w:t>eorgia</w:t>
      </w:r>
      <w:r w:rsidRPr="00FE1862">
        <w:rPr>
          <w:szCs w:val="22"/>
        </w:rPr>
        <w:t xml:space="preserve"> DMA</w:t>
      </w:r>
      <w:r w:rsidR="007672BB">
        <w:rPr>
          <w:szCs w:val="22"/>
        </w:rPr>
        <w:t xml:space="preserve"> in which Lee County is located</w:t>
      </w:r>
      <w:r w:rsidRPr="00FE1862">
        <w:rPr>
          <w:szCs w:val="22"/>
        </w:rPr>
        <w:t>.</w:t>
      </w:r>
      <w:r w:rsidRPr="00FE1862">
        <w:rPr>
          <w:rStyle w:val="FootnoteReference"/>
          <w:rFonts w:ascii="Times New Roman" w:hAnsi="Times New Roman"/>
          <w:sz w:val="22"/>
          <w:szCs w:val="22"/>
        </w:rPr>
        <w:footnoteReference w:id="47"/>
      </w:r>
      <w:r w:rsidRPr="00FE1862">
        <w:rPr>
          <w:szCs w:val="22"/>
        </w:rPr>
        <w:t xml:space="preserve"> </w:t>
      </w:r>
      <w:r w:rsidR="00596910">
        <w:rPr>
          <w:szCs w:val="22"/>
        </w:rPr>
        <w:t xml:space="preserve"> </w:t>
      </w:r>
      <w:r w:rsidRPr="00FE1862">
        <w:rPr>
          <w:szCs w:val="22"/>
        </w:rPr>
        <w:t xml:space="preserve">Similarly, </w:t>
      </w:r>
      <w:r w:rsidR="007D11F1">
        <w:rPr>
          <w:szCs w:val="22"/>
        </w:rPr>
        <w:t>five</w:t>
      </w:r>
      <w:r w:rsidRPr="00FE1862">
        <w:rPr>
          <w:szCs w:val="22"/>
        </w:rPr>
        <w:t xml:space="preserve"> percent of WCOV’s audience </w:t>
      </w:r>
      <w:r w:rsidR="007672BB">
        <w:rPr>
          <w:szCs w:val="22"/>
        </w:rPr>
        <w:t>from</w:t>
      </w:r>
      <w:r w:rsidR="007672BB" w:rsidRPr="00FE1862">
        <w:rPr>
          <w:szCs w:val="22"/>
        </w:rPr>
        <w:t xml:space="preserve"> </w:t>
      </w:r>
      <w:r w:rsidRPr="00FE1862">
        <w:rPr>
          <w:szCs w:val="22"/>
        </w:rPr>
        <w:t xml:space="preserve">6:30-7 p.m. Monday through Friday comes from the </w:t>
      </w:r>
      <w:r w:rsidR="007672BB">
        <w:rPr>
          <w:szCs w:val="22"/>
        </w:rPr>
        <w:t xml:space="preserve">Columbus </w:t>
      </w:r>
      <w:r w:rsidRPr="00FE1862">
        <w:rPr>
          <w:szCs w:val="22"/>
        </w:rPr>
        <w:t>DMA.</w:t>
      </w:r>
      <w:r w:rsidRPr="00FE1862">
        <w:rPr>
          <w:rStyle w:val="FootnoteReference"/>
          <w:rFonts w:ascii="Times New Roman" w:hAnsi="Times New Roman"/>
          <w:sz w:val="22"/>
          <w:szCs w:val="22"/>
        </w:rPr>
        <w:footnoteReference w:id="48"/>
      </w:r>
      <w:r w:rsidRPr="00FE1862">
        <w:rPr>
          <w:szCs w:val="22"/>
        </w:rPr>
        <w:t xml:space="preserve"> </w:t>
      </w:r>
      <w:r w:rsidR="00596910">
        <w:rPr>
          <w:szCs w:val="22"/>
        </w:rPr>
        <w:t xml:space="preserve"> </w:t>
      </w:r>
      <w:r w:rsidRPr="00FE1862">
        <w:rPr>
          <w:szCs w:val="22"/>
        </w:rPr>
        <w:t xml:space="preserve">The </w:t>
      </w:r>
      <w:r w:rsidR="003335B0">
        <w:rPr>
          <w:szCs w:val="22"/>
        </w:rPr>
        <w:t>P</w:t>
      </w:r>
      <w:r w:rsidRPr="00FE1862">
        <w:rPr>
          <w:szCs w:val="22"/>
        </w:rPr>
        <w:t>etitioner speculates that “</w:t>
      </w:r>
      <w:r w:rsidR="007672BB">
        <w:rPr>
          <w:szCs w:val="22"/>
        </w:rPr>
        <w:t>[</w:t>
      </w:r>
      <w:r w:rsidRPr="00FE1862">
        <w:rPr>
          <w:szCs w:val="22"/>
        </w:rPr>
        <w:t>t</w:t>
      </w:r>
      <w:r w:rsidR="007672BB">
        <w:rPr>
          <w:szCs w:val="22"/>
        </w:rPr>
        <w:t>]</w:t>
      </w:r>
      <w:r w:rsidRPr="00FE1862">
        <w:rPr>
          <w:szCs w:val="22"/>
        </w:rPr>
        <w:t xml:space="preserve">his viewing is most likely from Lee County” because residents likely prefer a newscast from in-state and because </w:t>
      </w:r>
      <w:r w:rsidR="004C3F56">
        <w:t>the WCOV signal does not extend</w:t>
      </w:r>
      <w:r w:rsidR="004260C4">
        <w:t xml:space="preserve"> across the Georgia border into the city of Columbus.</w:t>
      </w:r>
      <w:r w:rsidR="00C2167F">
        <w:rPr>
          <w:rStyle w:val="FootnoteReference"/>
          <w:szCs w:val="22"/>
        </w:rPr>
        <w:footnoteReference w:id="49"/>
      </w:r>
      <w:r w:rsidRPr="00FE1862">
        <w:rPr>
          <w:szCs w:val="22"/>
        </w:rPr>
        <w:t xml:space="preserve"> </w:t>
      </w:r>
      <w:r w:rsidR="00596910">
        <w:rPr>
          <w:szCs w:val="22"/>
        </w:rPr>
        <w:t xml:space="preserve"> </w:t>
      </w:r>
      <w:r w:rsidRPr="00FE1862">
        <w:rPr>
          <w:szCs w:val="22"/>
        </w:rPr>
        <w:t xml:space="preserve">This </w:t>
      </w:r>
      <w:r w:rsidR="009B5109">
        <w:rPr>
          <w:szCs w:val="22"/>
        </w:rPr>
        <w:t>portion of viewers did not register as television household ratings</w:t>
      </w:r>
      <w:r w:rsidR="00EA6DE7">
        <w:rPr>
          <w:szCs w:val="22"/>
        </w:rPr>
        <w:t xml:space="preserve"> for WCOV in Lee County</w:t>
      </w:r>
      <w:r w:rsidRPr="00FE1862">
        <w:rPr>
          <w:szCs w:val="22"/>
        </w:rPr>
        <w:t>.</w:t>
      </w:r>
      <w:r w:rsidRPr="00FE1862">
        <w:rPr>
          <w:rStyle w:val="FootnoteReference"/>
          <w:rFonts w:ascii="Times New Roman" w:hAnsi="Times New Roman"/>
          <w:sz w:val="22"/>
          <w:szCs w:val="22"/>
        </w:rPr>
        <w:footnoteReference w:id="50"/>
      </w:r>
      <w:r w:rsidRPr="00FE1862">
        <w:rPr>
          <w:szCs w:val="22"/>
        </w:rPr>
        <w:t xml:space="preserve"> </w:t>
      </w:r>
      <w:r w:rsidR="00596910">
        <w:rPr>
          <w:szCs w:val="22"/>
        </w:rPr>
        <w:t xml:space="preserve"> </w:t>
      </w:r>
      <w:r w:rsidRPr="00FE1862">
        <w:rPr>
          <w:szCs w:val="22"/>
        </w:rPr>
        <w:t xml:space="preserve">Moreover, </w:t>
      </w:r>
      <w:r w:rsidR="003335B0">
        <w:rPr>
          <w:szCs w:val="22"/>
        </w:rPr>
        <w:t>the P</w:t>
      </w:r>
      <w:r w:rsidRPr="00FE1862">
        <w:rPr>
          <w:szCs w:val="22"/>
        </w:rPr>
        <w:t xml:space="preserve">etitioner concedes that </w:t>
      </w:r>
      <w:r w:rsidR="00EA6DE7">
        <w:rPr>
          <w:szCs w:val="22"/>
        </w:rPr>
        <w:t>its</w:t>
      </w:r>
      <w:r w:rsidR="00EA6DE7" w:rsidRPr="00FE1862">
        <w:rPr>
          <w:szCs w:val="22"/>
        </w:rPr>
        <w:t xml:space="preserve"> </w:t>
      </w:r>
      <w:r w:rsidRPr="00FE1862">
        <w:rPr>
          <w:szCs w:val="22"/>
        </w:rPr>
        <w:t xml:space="preserve">viewership </w:t>
      </w:r>
      <w:r w:rsidR="00EA6DE7">
        <w:rPr>
          <w:szCs w:val="22"/>
        </w:rPr>
        <w:t>estimates for Lee County are</w:t>
      </w:r>
      <w:r w:rsidRPr="00FE1862">
        <w:rPr>
          <w:szCs w:val="22"/>
        </w:rPr>
        <w:t xml:space="preserve"> speculative.</w:t>
      </w:r>
      <w:r w:rsidRPr="00FE1862">
        <w:rPr>
          <w:rStyle w:val="FootnoteReference"/>
          <w:rFonts w:ascii="Times New Roman" w:hAnsi="Times New Roman"/>
          <w:sz w:val="22"/>
          <w:szCs w:val="22"/>
        </w:rPr>
        <w:footnoteReference w:id="51"/>
      </w:r>
      <w:r w:rsidRPr="00FE1862">
        <w:rPr>
          <w:szCs w:val="22"/>
        </w:rPr>
        <w:t xml:space="preserve"> </w:t>
      </w:r>
      <w:r w:rsidR="00596910">
        <w:rPr>
          <w:szCs w:val="22"/>
        </w:rPr>
        <w:t xml:space="preserve"> </w:t>
      </w:r>
      <w:r w:rsidRPr="00FE1862">
        <w:rPr>
          <w:szCs w:val="22"/>
        </w:rPr>
        <w:t xml:space="preserve">Accordingly, we assign </w:t>
      </w:r>
      <w:r w:rsidR="00C35ED0">
        <w:rPr>
          <w:szCs w:val="22"/>
        </w:rPr>
        <w:t xml:space="preserve">only marginal weight </w:t>
      </w:r>
      <w:r w:rsidR="00EA6DE7">
        <w:rPr>
          <w:szCs w:val="22"/>
        </w:rPr>
        <w:t xml:space="preserve">in favor of the requested modification </w:t>
      </w:r>
      <w:r w:rsidR="00C35ED0">
        <w:rPr>
          <w:szCs w:val="22"/>
        </w:rPr>
        <w:t xml:space="preserve">to this </w:t>
      </w:r>
      <w:r w:rsidR="00EA6DE7">
        <w:rPr>
          <w:szCs w:val="22"/>
        </w:rPr>
        <w:t xml:space="preserve">fifth </w:t>
      </w:r>
      <w:r w:rsidR="00C35ED0">
        <w:rPr>
          <w:szCs w:val="22"/>
        </w:rPr>
        <w:t>factor</w:t>
      </w:r>
      <w:r w:rsidRPr="00FE1862">
        <w:rPr>
          <w:szCs w:val="22"/>
        </w:rPr>
        <w:t xml:space="preserve">.   </w:t>
      </w:r>
    </w:p>
    <w:p w14:paraId="31F6DD28" w14:textId="3E7828FF" w:rsidR="009276DC" w:rsidRDefault="00FE1862" w:rsidP="00FE1862">
      <w:pPr>
        <w:pStyle w:val="ParaNum"/>
        <w:numPr>
          <w:ilvl w:val="0"/>
          <w:numId w:val="19"/>
        </w:numPr>
        <w:tabs>
          <w:tab w:val="clear" w:pos="1080"/>
        </w:tabs>
        <w:spacing w:after="120"/>
        <w:jc w:val="left"/>
        <w:rPr>
          <w:szCs w:val="22"/>
        </w:rPr>
      </w:pPr>
      <w:r w:rsidRPr="00FE1862">
        <w:rPr>
          <w:szCs w:val="22"/>
        </w:rPr>
        <w:t xml:space="preserve">In addition to the enumerated statutory factors, the </w:t>
      </w:r>
      <w:r w:rsidR="003335B0">
        <w:rPr>
          <w:szCs w:val="22"/>
        </w:rPr>
        <w:t>P</w:t>
      </w:r>
      <w:r w:rsidRPr="00FE1862">
        <w:rPr>
          <w:szCs w:val="22"/>
        </w:rPr>
        <w:t>etitioner points to other factors that it states demonstrate a relationship between Montgomery County and Lee County.</w:t>
      </w:r>
      <w:r w:rsidRPr="00FE1862">
        <w:rPr>
          <w:rStyle w:val="FootnoteReference"/>
          <w:rFonts w:ascii="Times New Roman" w:hAnsi="Times New Roman"/>
          <w:sz w:val="22"/>
          <w:szCs w:val="22"/>
        </w:rPr>
        <w:footnoteReference w:id="52"/>
      </w:r>
      <w:r w:rsidRPr="00FE1862">
        <w:rPr>
          <w:szCs w:val="22"/>
        </w:rPr>
        <w:t xml:space="preserve"> </w:t>
      </w:r>
      <w:r w:rsidR="00596910">
        <w:rPr>
          <w:szCs w:val="22"/>
        </w:rPr>
        <w:t xml:space="preserve"> </w:t>
      </w:r>
      <w:r w:rsidRPr="00FE1862">
        <w:rPr>
          <w:szCs w:val="22"/>
        </w:rPr>
        <w:t xml:space="preserve">The </w:t>
      </w:r>
      <w:r w:rsidR="003335B0">
        <w:rPr>
          <w:szCs w:val="22"/>
        </w:rPr>
        <w:t>P</w:t>
      </w:r>
      <w:r w:rsidRPr="00FE1862">
        <w:rPr>
          <w:szCs w:val="22"/>
        </w:rPr>
        <w:t xml:space="preserve">etitioner notes </w:t>
      </w:r>
      <w:r w:rsidR="00054E52">
        <w:rPr>
          <w:szCs w:val="22"/>
        </w:rPr>
        <w:t xml:space="preserve">that </w:t>
      </w:r>
      <w:r w:rsidR="00BF0AEB">
        <w:rPr>
          <w:szCs w:val="22"/>
        </w:rPr>
        <w:t>Lee County and part of Mon</w:t>
      </w:r>
      <w:r w:rsidR="00E55DC2">
        <w:rPr>
          <w:szCs w:val="22"/>
        </w:rPr>
        <w:t>tgomery County are in the same c</w:t>
      </w:r>
      <w:r w:rsidR="00BF0AEB">
        <w:rPr>
          <w:szCs w:val="22"/>
        </w:rPr>
        <w:t>ongressional district</w:t>
      </w:r>
      <w:r w:rsidRPr="00FE1862">
        <w:rPr>
          <w:szCs w:val="22"/>
        </w:rPr>
        <w:t xml:space="preserve">, </w:t>
      </w:r>
      <w:r w:rsidR="00BF0AEB">
        <w:rPr>
          <w:szCs w:val="22"/>
        </w:rPr>
        <w:t xml:space="preserve">and the two counties share </w:t>
      </w:r>
      <w:r w:rsidRPr="00FE1862">
        <w:rPr>
          <w:szCs w:val="22"/>
        </w:rPr>
        <w:t>a common electric company and various community projects.</w:t>
      </w:r>
      <w:r w:rsidR="009B5109">
        <w:rPr>
          <w:rStyle w:val="FootnoteReference"/>
          <w:szCs w:val="22"/>
        </w:rPr>
        <w:footnoteReference w:id="53"/>
      </w:r>
      <w:r w:rsidRPr="00FE1862">
        <w:rPr>
          <w:szCs w:val="22"/>
        </w:rPr>
        <w:t xml:space="preserve"> </w:t>
      </w:r>
      <w:r w:rsidR="00596910">
        <w:rPr>
          <w:szCs w:val="22"/>
        </w:rPr>
        <w:t xml:space="preserve"> </w:t>
      </w:r>
      <w:r w:rsidRPr="00FE1862">
        <w:rPr>
          <w:szCs w:val="22"/>
        </w:rPr>
        <w:t>It also notes that Auburn University has a branch campus in Montgomery and that a Montgomery-based newspaper hosts online advertising for Lee County properties.</w:t>
      </w:r>
      <w:r w:rsidR="009B5109">
        <w:rPr>
          <w:rStyle w:val="FootnoteReference"/>
          <w:szCs w:val="22"/>
        </w:rPr>
        <w:footnoteReference w:id="54"/>
      </w:r>
      <w:r w:rsidRPr="00FE1862">
        <w:rPr>
          <w:szCs w:val="22"/>
        </w:rPr>
        <w:t xml:space="preserve"> </w:t>
      </w:r>
      <w:r w:rsidR="00596910">
        <w:rPr>
          <w:szCs w:val="22"/>
        </w:rPr>
        <w:t xml:space="preserve"> </w:t>
      </w:r>
      <w:r w:rsidR="002F5B7D">
        <w:rPr>
          <w:szCs w:val="22"/>
        </w:rPr>
        <w:t xml:space="preserve">According to </w:t>
      </w:r>
      <w:r w:rsidR="00474E73">
        <w:rPr>
          <w:szCs w:val="22"/>
        </w:rPr>
        <w:t xml:space="preserve">the </w:t>
      </w:r>
      <w:r w:rsidR="002F5B7D">
        <w:rPr>
          <w:szCs w:val="22"/>
        </w:rPr>
        <w:t>Petitioner, t</w:t>
      </w:r>
      <w:r w:rsidRPr="00FE1862">
        <w:rPr>
          <w:szCs w:val="22"/>
        </w:rPr>
        <w:t xml:space="preserve">hese facts </w:t>
      </w:r>
      <w:r w:rsidR="00E55DC2">
        <w:rPr>
          <w:szCs w:val="22"/>
        </w:rPr>
        <w:t>further</w:t>
      </w:r>
      <w:r w:rsidRPr="00FE1862">
        <w:rPr>
          <w:szCs w:val="22"/>
        </w:rPr>
        <w:t xml:space="preserve"> demonstrate a connection between the Station and </w:t>
      </w:r>
      <w:r w:rsidR="00E55DC2">
        <w:rPr>
          <w:szCs w:val="22"/>
        </w:rPr>
        <w:t xml:space="preserve">the </w:t>
      </w:r>
      <w:r w:rsidRPr="00FE1862">
        <w:rPr>
          <w:szCs w:val="22"/>
        </w:rPr>
        <w:t>Communit</w:t>
      </w:r>
      <w:r w:rsidR="004807A3">
        <w:rPr>
          <w:szCs w:val="22"/>
        </w:rPr>
        <w:t>ies</w:t>
      </w:r>
      <w:r w:rsidRPr="00FE1862">
        <w:rPr>
          <w:szCs w:val="22"/>
        </w:rPr>
        <w:t xml:space="preserve">. </w:t>
      </w:r>
    </w:p>
    <w:p w14:paraId="668F1AC7" w14:textId="61AF64C9" w:rsidR="00344C99" w:rsidRPr="00344C99" w:rsidRDefault="00344C99" w:rsidP="000824E1">
      <w:pPr>
        <w:pStyle w:val="ParaNum"/>
        <w:numPr>
          <w:ilvl w:val="0"/>
          <w:numId w:val="19"/>
        </w:numPr>
        <w:tabs>
          <w:tab w:val="clear" w:pos="1080"/>
        </w:tabs>
        <w:spacing w:after="120"/>
        <w:jc w:val="left"/>
      </w:pPr>
      <w:r w:rsidRPr="00925A69">
        <w:t xml:space="preserve">We conclude that the facts support the grant of </w:t>
      </w:r>
      <w:r>
        <w:t xml:space="preserve">the </w:t>
      </w:r>
      <w:r w:rsidRPr="00925A69">
        <w:t xml:space="preserve">Petitioner’s request to modify the market of the Station </w:t>
      </w:r>
      <w:r>
        <w:t>to include Lee County</w:t>
      </w:r>
      <w:r w:rsidRPr="00925A69">
        <w:t>.</w:t>
      </w:r>
      <w:r w:rsidR="00596910">
        <w:t xml:space="preserve">  </w:t>
      </w:r>
      <w:r w:rsidRPr="00925A69">
        <w:t>Section 614(h)(1)(C) of the Act authorizes the Commission to include or exclude particular communities from a television station’s market for the purposes of ensuring that a television station is carried in the areas which it serves and which form its economic market.</w:t>
      </w:r>
      <w:r w:rsidRPr="00925A69">
        <w:rPr>
          <w:rStyle w:val="FootnoteReference"/>
        </w:rPr>
        <w:footnoteReference w:id="55"/>
      </w:r>
      <w:r w:rsidRPr="00925A69">
        <w:t xml:space="preserve">  Section 614(h)(1)(C)(ii) directs the Commission, in considering requests for market modification, to afford particular attention to the value of localism by taking certain specific factors into account.</w:t>
      </w:r>
      <w:r w:rsidRPr="00925A69">
        <w:rPr>
          <w:rStyle w:val="FootnoteReference"/>
        </w:rPr>
        <w:footnoteReference w:id="56"/>
      </w:r>
      <w:r w:rsidRPr="00925A69">
        <w:t xml:space="preserve">  </w:t>
      </w:r>
      <w:r w:rsidR="002F5B7D">
        <w:t>W</w:t>
      </w:r>
      <w:r w:rsidRPr="00925A69">
        <w:t xml:space="preserve">e have considered those factors and </w:t>
      </w:r>
      <w:r w:rsidR="00C35ED0">
        <w:t>find that</w:t>
      </w:r>
      <w:r w:rsidR="00E55DC2">
        <w:t>, with the exception of the fourth statutory factor to which we assign no weight, all of the</w:t>
      </w:r>
      <w:r w:rsidR="00C35ED0">
        <w:t xml:space="preserve"> </w:t>
      </w:r>
      <w:r w:rsidR="00466179">
        <w:t xml:space="preserve">other </w:t>
      </w:r>
      <w:r w:rsidR="00C35ED0">
        <w:t xml:space="preserve">factors </w:t>
      </w:r>
      <w:r w:rsidR="002F5B7D">
        <w:t xml:space="preserve">in varying degrees </w:t>
      </w:r>
      <w:r w:rsidR="00C35ED0">
        <w:t xml:space="preserve">weigh in favor of </w:t>
      </w:r>
      <w:r w:rsidR="00E55DC2">
        <w:t>granting the Petition</w:t>
      </w:r>
      <w:r w:rsidR="000824E1">
        <w:t>.</w:t>
      </w:r>
      <w:r w:rsidR="00596910">
        <w:t xml:space="preserve">  </w:t>
      </w:r>
      <w:r w:rsidR="000824E1">
        <w:t xml:space="preserve">We emphasize the Station provides local programming relevant to the </w:t>
      </w:r>
      <w:r w:rsidR="00E55DC2">
        <w:t>C</w:t>
      </w:r>
      <w:r w:rsidR="000824E1">
        <w:t>ommunit</w:t>
      </w:r>
      <w:r w:rsidR="002F5B7D">
        <w:t>ies</w:t>
      </w:r>
      <w:r w:rsidR="000824E1">
        <w:t xml:space="preserve"> and that it originates within the same state as the </w:t>
      </w:r>
      <w:r w:rsidR="00E55DC2">
        <w:t>C</w:t>
      </w:r>
      <w:r w:rsidR="000824E1">
        <w:t>ommunit</w:t>
      </w:r>
      <w:r w:rsidR="002F5B7D">
        <w:t>ies</w:t>
      </w:r>
      <w:r w:rsidR="000824E1">
        <w:t xml:space="preserve">. </w:t>
      </w:r>
      <w:r w:rsidR="00596910">
        <w:t xml:space="preserve"> </w:t>
      </w:r>
      <w:r w:rsidRPr="00925A69">
        <w:t>For the reasons discussed herein, we grant the Petition.</w:t>
      </w:r>
    </w:p>
    <w:p w14:paraId="1B032D92" w14:textId="77777777" w:rsidR="009276DC" w:rsidRPr="00925A69" w:rsidRDefault="00A179C3" w:rsidP="00010EE1">
      <w:pPr>
        <w:pStyle w:val="Heading1"/>
        <w:spacing w:after="120"/>
      </w:pPr>
      <w:r w:rsidRPr="00925A69">
        <w:t>ORDERING CLAUSES</w:t>
      </w:r>
    </w:p>
    <w:p w14:paraId="63F7F561" w14:textId="5DF58160" w:rsidR="009276DC" w:rsidRPr="00925A69" w:rsidRDefault="00A179C3" w:rsidP="00010EE1">
      <w:pPr>
        <w:pStyle w:val="ParaNum"/>
        <w:numPr>
          <w:ilvl w:val="0"/>
          <w:numId w:val="19"/>
        </w:numPr>
        <w:tabs>
          <w:tab w:val="clear" w:pos="1080"/>
        </w:tabs>
        <w:spacing w:after="120"/>
        <w:jc w:val="left"/>
      </w:pPr>
      <w:r w:rsidRPr="00925A69">
        <w:t xml:space="preserve">Accordingly, </w:t>
      </w:r>
      <w:r w:rsidRPr="00925A69">
        <w:rPr>
          <w:b/>
        </w:rPr>
        <w:t>IT IS ORDERED,</w:t>
      </w:r>
      <w:r w:rsidRPr="00925A69">
        <w:t xml:space="preserve"> pursuant to </w:t>
      </w:r>
      <w:r w:rsidR="00CD2BF2">
        <w:t>s</w:t>
      </w:r>
      <w:r w:rsidRPr="00925A69">
        <w:t>ection 614(h) of the Communications Act of 1934, as amended, 47 U.S.C. §</w:t>
      </w:r>
      <w:r w:rsidR="00925A69" w:rsidRPr="00925A69">
        <w:t xml:space="preserve"> </w:t>
      </w:r>
      <w:r w:rsidRPr="00925A69">
        <w:t xml:space="preserve">534, and </w:t>
      </w:r>
      <w:r w:rsidR="00CD2BF2">
        <w:t>s</w:t>
      </w:r>
      <w:r w:rsidRPr="00925A69">
        <w:t>ection 76.59 of the Commission’s rules, 47 CFR §</w:t>
      </w:r>
      <w:r w:rsidR="00925A69" w:rsidRPr="00925A69">
        <w:t xml:space="preserve"> </w:t>
      </w:r>
      <w:r w:rsidRPr="00925A69">
        <w:t xml:space="preserve">76.59, that the captioned petition for </w:t>
      </w:r>
      <w:r w:rsidR="00925A69" w:rsidRPr="00925A69">
        <w:t>special relief (MB Docket No. 17</w:t>
      </w:r>
      <w:r w:rsidRPr="00925A69">
        <w:t>-1</w:t>
      </w:r>
      <w:r w:rsidR="00CE3D60">
        <w:t>02</w:t>
      </w:r>
      <w:r w:rsidRPr="00925A69">
        <w:t xml:space="preserve">, CSR </w:t>
      </w:r>
      <w:r w:rsidR="00CE3D60">
        <w:t>8934</w:t>
      </w:r>
      <w:r w:rsidRPr="00925A69">
        <w:t xml:space="preserve">-A) filed by </w:t>
      </w:r>
      <w:r w:rsidR="00CE3D60">
        <w:t>Woods Communication</w:t>
      </w:r>
      <w:r w:rsidR="00E55DC2">
        <w:t>s</w:t>
      </w:r>
      <w:r w:rsidR="00CE3D60">
        <w:t xml:space="preserve"> Corporation</w:t>
      </w:r>
      <w:r w:rsidRPr="00925A69">
        <w:t xml:space="preserve"> </w:t>
      </w:r>
      <w:r w:rsidRPr="00925A69">
        <w:rPr>
          <w:b/>
        </w:rPr>
        <w:t>IS GRANTED.</w:t>
      </w:r>
    </w:p>
    <w:p w14:paraId="3A8D850C" w14:textId="77777777" w:rsidR="009276DC" w:rsidRPr="00925A69" w:rsidRDefault="00A179C3" w:rsidP="00010EE1">
      <w:pPr>
        <w:pStyle w:val="ParaNum"/>
        <w:numPr>
          <w:ilvl w:val="0"/>
          <w:numId w:val="19"/>
        </w:numPr>
        <w:tabs>
          <w:tab w:val="clear" w:pos="1080"/>
        </w:tabs>
        <w:spacing w:after="120"/>
        <w:jc w:val="left"/>
      </w:pPr>
      <w:r w:rsidRPr="00925A69">
        <w:t xml:space="preserve">This action is taken pursuant to authority delegated by </w:t>
      </w:r>
      <w:r w:rsidR="00CD2BF2">
        <w:t>s</w:t>
      </w:r>
      <w:r w:rsidRPr="00925A69">
        <w:t>ection 0.283 of the Commission’s rules.</w:t>
      </w:r>
      <w:r w:rsidRPr="00925A69">
        <w:rPr>
          <w:rStyle w:val="FootnoteReference"/>
        </w:rPr>
        <w:footnoteReference w:id="57"/>
      </w:r>
    </w:p>
    <w:p w14:paraId="6235EC08" w14:textId="77777777" w:rsidR="009276DC" w:rsidRPr="00925A69" w:rsidRDefault="009276DC">
      <w:pPr>
        <w:pStyle w:val="ParaNum"/>
        <w:numPr>
          <w:ilvl w:val="0"/>
          <w:numId w:val="0"/>
        </w:numPr>
        <w:spacing w:after="0"/>
      </w:pPr>
    </w:p>
    <w:p w14:paraId="49ACE478" w14:textId="77777777" w:rsidR="009276DC" w:rsidRPr="00925A69" w:rsidRDefault="009276DC">
      <w:pPr>
        <w:pStyle w:val="ParaNum"/>
        <w:numPr>
          <w:ilvl w:val="0"/>
          <w:numId w:val="0"/>
        </w:numPr>
        <w:spacing w:after="0"/>
      </w:pPr>
    </w:p>
    <w:p w14:paraId="08C5A936" w14:textId="77777777" w:rsidR="009276DC" w:rsidRPr="00925A69" w:rsidRDefault="00A179C3">
      <w:pPr>
        <w:pStyle w:val="ParaNum"/>
        <w:numPr>
          <w:ilvl w:val="0"/>
          <w:numId w:val="0"/>
        </w:numPr>
      </w:pPr>
      <w:r w:rsidRPr="00925A69">
        <w:tab/>
      </w:r>
      <w:r w:rsidRPr="00925A69">
        <w:tab/>
      </w:r>
      <w:r w:rsidRPr="00925A69">
        <w:tab/>
      </w:r>
      <w:r w:rsidRPr="00925A69">
        <w:tab/>
      </w:r>
      <w:r w:rsidRPr="00925A69">
        <w:tab/>
        <w:t>FEDERAL COMMUNICATIONS COMMISSION</w:t>
      </w:r>
    </w:p>
    <w:p w14:paraId="21F93963" w14:textId="77777777" w:rsidR="009276DC" w:rsidRPr="00925A69" w:rsidRDefault="00A179C3">
      <w:pPr>
        <w:pStyle w:val="ParaNum"/>
        <w:numPr>
          <w:ilvl w:val="0"/>
          <w:numId w:val="0"/>
        </w:numPr>
      </w:pPr>
      <w:r w:rsidRPr="00925A69">
        <w:tab/>
      </w:r>
      <w:r w:rsidRPr="00925A69">
        <w:tab/>
      </w:r>
      <w:r w:rsidRPr="00925A69">
        <w:tab/>
      </w:r>
      <w:r w:rsidRPr="00925A69">
        <w:tab/>
      </w:r>
      <w:r w:rsidRPr="00925A69">
        <w:tab/>
      </w:r>
    </w:p>
    <w:p w14:paraId="711B4A5A" w14:textId="77777777" w:rsidR="009276DC" w:rsidRPr="00925A69" w:rsidRDefault="009276DC">
      <w:pPr>
        <w:pStyle w:val="ParaNum"/>
        <w:numPr>
          <w:ilvl w:val="0"/>
          <w:numId w:val="0"/>
        </w:numPr>
      </w:pPr>
    </w:p>
    <w:p w14:paraId="3F005229" w14:textId="77777777" w:rsidR="009276DC" w:rsidRPr="00925A69" w:rsidRDefault="00A179C3">
      <w:pPr>
        <w:pStyle w:val="ParaNum"/>
        <w:numPr>
          <w:ilvl w:val="0"/>
          <w:numId w:val="0"/>
        </w:numPr>
        <w:spacing w:after="0"/>
      </w:pPr>
      <w:r w:rsidRPr="00925A69">
        <w:tab/>
      </w:r>
      <w:r w:rsidRPr="00925A69">
        <w:tab/>
      </w:r>
      <w:r w:rsidRPr="00925A69">
        <w:tab/>
      </w:r>
      <w:r w:rsidRPr="00925A69">
        <w:tab/>
      </w:r>
      <w:r w:rsidRPr="00925A69">
        <w:tab/>
        <w:t xml:space="preserve"> Steven A. Broeckaert</w:t>
      </w:r>
      <w:r w:rsidRPr="00925A69">
        <w:tab/>
      </w:r>
      <w:r w:rsidRPr="00925A69">
        <w:tab/>
      </w:r>
      <w:r w:rsidRPr="00925A69">
        <w:tab/>
      </w:r>
      <w:r w:rsidRPr="00925A69">
        <w:tab/>
      </w:r>
      <w:r w:rsidRPr="00925A69">
        <w:tab/>
      </w:r>
    </w:p>
    <w:p w14:paraId="0A5CC54A" w14:textId="77777777" w:rsidR="00A179C3" w:rsidRDefault="00A179C3">
      <w:pPr>
        <w:pStyle w:val="ParaNum"/>
        <w:numPr>
          <w:ilvl w:val="0"/>
          <w:numId w:val="0"/>
        </w:numPr>
        <w:spacing w:after="0"/>
      </w:pPr>
      <w:r w:rsidRPr="00925A69">
        <w:tab/>
      </w:r>
      <w:r w:rsidRPr="00925A69">
        <w:tab/>
      </w:r>
      <w:r w:rsidRPr="00925A69">
        <w:tab/>
      </w:r>
      <w:r w:rsidRPr="00925A69">
        <w:tab/>
      </w:r>
      <w:r w:rsidRPr="00925A69">
        <w:tab/>
        <w:t xml:space="preserve"> Senior Deputy Chief, Policy Division, Media Bureau</w:t>
      </w:r>
    </w:p>
    <w:p w14:paraId="24096BEB" w14:textId="5DA9E3F3" w:rsidR="00C04CAE" w:rsidRPr="0085045E" w:rsidRDefault="00C04CAE">
      <w:pPr>
        <w:pStyle w:val="ParaNum"/>
        <w:numPr>
          <w:ilvl w:val="0"/>
          <w:numId w:val="0"/>
        </w:numPr>
        <w:spacing w:after="0"/>
      </w:pPr>
    </w:p>
    <w:sectPr w:rsidR="00C04CAE" w:rsidRPr="0085045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4" w:right="1440" w:bottom="1440" w:left="1440" w:header="720" w:footer="4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E4C11" w14:textId="77777777" w:rsidR="00596796" w:rsidRDefault="00596796">
      <w:pPr>
        <w:spacing w:line="20" w:lineRule="exact"/>
      </w:pPr>
    </w:p>
  </w:endnote>
  <w:endnote w:type="continuationSeparator" w:id="0">
    <w:p w14:paraId="251F75FF" w14:textId="77777777" w:rsidR="00596796" w:rsidRDefault="00596796">
      <w:r>
        <w:t xml:space="preserve"> </w:t>
      </w:r>
    </w:p>
  </w:endnote>
  <w:endnote w:type="continuationNotice" w:id="1">
    <w:p w14:paraId="37CA0D67" w14:textId="77777777" w:rsidR="00596796" w:rsidRDefault="005967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7FF2" w14:textId="77777777" w:rsidR="009276DC" w:rsidRDefault="00A179C3">
    <w:pPr>
      <w:pStyle w:val="Footer"/>
      <w:framePr w:wrap="around" w:vAnchor="text" w:hAnchor="margin" w:xAlign="center" w:y="1"/>
    </w:pPr>
    <w:r>
      <w:fldChar w:fldCharType="begin"/>
    </w:r>
    <w:r>
      <w:instrText xml:space="preserve">PAGE  </w:instrText>
    </w:r>
    <w:r>
      <w:fldChar w:fldCharType="end"/>
    </w:r>
  </w:p>
  <w:p w14:paraId="667B4612" w14:textId="77777777" w:rsidR="009276DC" w:rsidRDefault="00927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3FA5" w14:textId="5613EA73" w:rsidR="009276DC" w:rsidRDefault="00A179C3">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sidR="00DF67BC">
      <w:rPr>
        <w:rStyle w:val="PageNumber"/>
        <w:noProof/>
        <w:sz w:val="20"/>
      </w:rPr>
      <w:t>2</w:t>
    </w:r>
    <w:r>
      <w:rPr>
        <w:rStyle w:val="PageNumber"/>
        <w:sz w:val="20"/>
      </w:rPr>
      <w:fldChar w:fldCharType="end"/>
    </w:r>
  </w:p>
  <w:p w14:paraId="766985C3" w14:textId="77777777" w:rsidR="009276DC" w:rsidRDefault="009276DC">
    <w:pPr>
      <w:suppressAutoHyphens/>
      <w:spacing w:line="227" w:lineRule="auto"/>
    </w:pPr>
  </w:p>
  <w:p w14:paraId="493D8E8A" w14:textId="77777777" w:rsidR="009276DC" w:rsidRDefault="009276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75AF1" w14:textId="77777777" w:rsidR="009276DC" w:rsidRDefault="009276D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5AA78" w14:textId="77777777" w:rsidR="00596796" w:rsidRDefault="00596796">
      <w:r>
        <w:separator/>
      </w:r>
    </w:p>
  </w:footnote>
  <w:footnote w:type="continuationSeparator" w:id="0">
    <w:p w14:paraId="2C4FF2BF" w14:textId="77777777" w:rsidR="00596796" w:rsidRDefault="00596796">
      <w:pPr>
        <w:pStyle w:val="Footer"/>
      </w:pPr>
      <w:r>
        <w:separator/>
      </w:r>
    </w:p>
    <w:p w14:paraId="12206733" w14:textId="77777777" w:rsidR="00596796" w:rsidRDefault="00596796">
      <w:pPr>
        <w:pStyle w:val="Footer"/>
      </w:pPr>
      <w:r>
        <w:t>(…continued from previous page)</w:t>
      </w:r>
    </w:p>
  </w:footnote>
  <w:footnote w:type="continuationNotice" w:id="1">
    <w:p w14:paraId="795E339D" w14:textId="77777777" w:rsidR="00596796" w:rsidRDefault="00596796">
      <w:pPr>
        <w:jc w:val="right"/>
        <w:rPr>
          <w:sz w:val="20"/>
        </w:rPr>
      </w:pPr>
    </w:p>
  </w:footnote>
  <w:footnote w:id="2">
    <w:p w14:paraId="043EED86" w14:textId="7BA63A07" w:rsidR="001656B1" w:rsidRPr="001656B1" w:rsidRDefault="001656B1" w:rsidP="00517D71">
      <w:pPr>
        <w:pStyle w:val="FootnoteText"/>
        <w:jc w:val="left"/>
      </w:pPr>
      <w:r>
        <w:rPr>
          <w:rStyle w:val="FootnoteReference"/>
        </w:rPr>
        <w:footnoteRef/>
      </w:r>
      <w:r>
        <w:t xml:space="preserve"> </w:t>
      </w:r>
      <w:r>
        <w:rPr>
          <w:i/>
        </w:rPr>
        <w:t xml:space="preserve">See </w:t>
      </w:r>
      <w:r w:rsidR="004D78AF">
        <w:t xml:space="preserve">Petition at 1.  </w:t>
      </w:r>
      <w:r w:rsidR="001B32A2" w:rsidRPr="00B5543F">
        <w:rPr>
          <w:color w:val="252525"/>
        </w:rPr>
        <w:t>The Communities are Auburn, Loachapoka, Notasulga, Opelika</w:t>
      </w:r>
      <w:r w:rsidR="004807A3">
        <w:rPr>
          <w:color w:val="252525"/>
        </w:rPr>
        <w:t xml:space="preserve"> (unincorporated)</w:t>
      </w:r>
      <w:r w:rsidR="001B32A2" w:rsidRPr="00B5543F">
        <w:rPr>
          <w:color w:val="252525"/>
        </w:rPr>
        <w:t xml:space="preserve">, </w:t>
      </w:r>
      <w:r w:rsidR="001B32A2" w:rsidRPr="001B32A2">
        <w:rPr>
          <w:color w:val="252525"/>
        </w:rPr>
        <w:t>Ph</w:t>
      </w:r>
      <w:r w:rsidR="001B32A2" w:rsidRPr="00B5543F">
        <w:rPr>
          <w:color w:val="252525"/>
        </w:rPr>
        <w:t>enix City</w:t>
      </w:r>
      <w:r w:rsidR="004807A3">
        <w:rPr>
          <w:color w:val="252525"/>
        </w:rPr>
        <w:t xml:space="preserve"> (unincorporated)</w:t>
      </w:r>
      <w:r w:rsidR="001B32A2" w:rsidRPr="00B5543F">
        <w:rPr>
          <w:color w:val="252525"/>
        </w:rPr>
        <w:t>, Smiths Station, and Waverly</w:t>
      </w:r>
      <w:r w:rsidR="001B32A2">
        <w:rPr>
          <w:color w:val="252525"/>
        </w:rPr>
        <w:t>.</w:t>
      </w:r>
      <w:r w:rsidR="004D78AF">
        <w:t xml:space="preserve">  </w:t>
      </w:r>
      <w:r w:rsidR="00EC419D">
        <w:rPr>
          <w:i/>
        </w:rPr>
        <w:t xml:space="preserve">See </w:t>
      </w:r>
      <w:r w:rsidR="004D78AF">
        <w:t>Further Supplement to Petition for Special Relief at 1 (filed July 24, 2017) (Further Supplement).</w:t>
      </w:r>
    </w:p>
  </w:footnote>
  <w:footnote w:id="3">
    <w:p w14:paraId="393BF624" w14:textId="1A8689F2" w:rsidR="003E7A6D" w:rsidRDefault="003E7A6D" w:rsidP="00517D71">
      <w:pPr>
        <w:pStyle w:val="FootnoteText"/>
        <w:jc w:val="left"/>
      </w:pPr>
      <w:r>
        <w:rPr>
          <w:rStyle w:val="FootnoteReference"/>
        </w:rPr>
        <w:footnoteRef/>
      </w:r>
      <w:r>
        <w:t xml:space="preserve"> </w:t>
      </w:r>
      <w:r w:rsidR="001B32A2">
        <w:t>Petition at 1.</w:t>
      </w:r>
      <w:r>
        <w:t xml:space="preserve"> </w:t>
      </w:r>
    </w:p>
  </w:footnote>
  <w:footnote w:id="4">
    <w:p w14:paraId="50EEB8B7" w14:textId="3666C48F" w:rsidR="001B1748" w:rsidRPr="002C56D1" w:rsidRDefault="001B1748" w:rsidP="00517D71">
      <w:pPr>
        <w:pStyle w:val="FootnoteText"/>
        <w:jc w:val="left"/>
      </w:pPr>
      <w:r>
        <w:rPr>
          <w:rStyle w:val="FootnoteReference"/>
        </w:rPr>
        <w:footnoteRef/>
      </w:r>
      <w:r>
        <w:t xml:space="preserve"> We note that </w:t>
      </w:r>
      <w:r w:rsidR="003335B0">
        <w:t xml:space="preserve">the </w:t>
      </w:r>
      <w:r>
        <w:t xml:space="preserve">Petitioner filed </w:t>
      </w:r>
      <w:r w:rsidR="00EC419D">
        <w:t xml:space="preserve">both </w:t>
      </w:r>
      <w:r>
        <w:t>a su</w:t>
      </w:r>
      <w:r w:rsidR="002C56D1">
        <w:t>pplement</w:t>
      </w:r>
      <w:r w:rsidR="004D78AF">
        <w:t xml:space="preserve"> and </w:t>
      </w:r>
      <w:r w:rsidR="00EC419D">
        <w:t xml:space="preserve">a </w:t>
      </w:r>
      <w:r w:rsidR="004D78AF">
        <w:t>further supplement</w:t>
      </w:r>
      <w:r w:rsidR="002C56D1">
        <w:t xml:space="preserve"> at the request of Commission staff to provide additional information needed to resolve the Petition.  </w:t>
      </w:r>
      <w:r w:rsidR="002C56D1">
        <w:rPr>
          <w:i/>
        </w:rPr>
        <w:t xml:space="preserve">See </w:t>
      </w:r>
      <w:r w:rsidR="002C56D1">
        <w:t>Supplement to Petition for Special Relief (filed Apr. 11, 2017) (Supplement)</w:t>
      </w:r>
      <w:r w:rsidR="004D78AF">
        <w:t>; Further Supplement.</w:t>
      </w:r>
    </w:p>
  </w:footnote>
  <w:footnote w:id="5">
    <w:p w14:paraId="4C5E94AD" w14:textId="2924C704" w:rsidR="009276DC" w:rsidRPr="00BA5304" w:rsidRDefault="00A179C3" w:rsidP="00FA37B0">
      <w:pPr>
        <w:pStyle w:val="FootnoteText"/>
        <w:jc w:val="left"/>
        <w:rPr>
          <w:highlight w:val="yellow"/>
        </w:rPr>
      </w:pPr>
      <w:r w:rsidRPr="00C67EF6">
        <w:rPr>
          <w:rStyle w:val="FootnoteReference"/>
        </w:rPr>
        <w:footnoteRef/>
      </w:r>
      <w:r w:rsidR="00416B5D" w:rsidRPr="00C67EF6">
        <w:t xml:space="preserve"> </w:t>
      </w:r>
      <w:r w:rsidR="00C67EF6" w:rsidRPr="00C67EF6">
        <w:rPr>
          <w:i/>
        </w:rPr>
        <w:t>Implementation of the Cable Television Consumer Prot</w:t>
      </w:r>
      <w:r w:rsidR="00795FD2">
        <w:rPr>
          <w:i/>
        </w:rPr>
        <w:t>.</w:t>
      </w:r>
      <w:r w:rsidR="00C67EF6" w:rsidRPr="00C67EF6">
        <w:rPr>
          <w:i/>
        </w:rPr>
        <w:t xml:space="preserve"> </w:t>
      </w:r>
      <w:r w:rsidR="00795FD2">
        <w:rPr>
          <w:i/>
        </w:rPr>
        <w:t>&amp;</w:t>
      </w:r>
      <w:r w:rsidR="00C67EF6" w:rsidRPr="00C67EF6">
        <w:rPr>
          <w:i/>
        </w:rPr>
        <w:t xml:space="preserve"> Competition Act of 1992, Broadcast Signal Carriage Issues</w:t>
      </w:r>
      <w:r w:rsidR="00C67EF6">
        <w:t>,</w:t>
      </w:r>
      <w:r w:rsidR="00C67EF6" w:rsidRPr="00C67EF6">
        <w:rPr>
          <w:i/>
        </w:rPr>
        <w:t xml:space="preserve"> </w:t>
      </w:r>
      <w:r w:rsidR="00795FD2">
        <w:t xml:space="preserve">Report and Order, </w:t>
      </w:r>
      <w:r w:rsidR="00C67EF6">
        <w:t>8 FCC Rcd 2965, 2976-</w:t>
      </w:r>
      <w:r w:rsidRPr="00C67EF6">
        <w:t>77</w:t>
      </w:r>
      <w:r w:rsidR="00C62AC0">
        <w:t>, paras. 42-47</w:t>
      </w:r>
      <w:r w:rsidRPr="00C67EF6">
        <w:t xml:space="preserve"> (1993)</w:t>
      </w:r>
      <w:r w:rsidR="003375C0">
        <w:t xml:space="preserve"> (</w:t>
      </w:r>
      <w:r w:rsidR="003375C0">
        <w:rPr>
          <w:i/>
        </w:rPr>
        <w:t>Must Carry Order</w:t>
      </w:r>
      <w:r w:rsidR="003375C0">
        <w:t>)</w:t>
      </w:r>
      <w:r w:rsidRPr="00C67EF6">
        <w:t xml:space="preserve">. </w:t>
      </w:r>
    </w:p>
  </w:footnote>
  <w:footnote w:id="6">
    <w:p w14:paraId="637A8344" w14:textId="7EA03019" w:rsidR="009276DC" w:rsidRPr="00BA5304" w:rsidRDefault="00A179C3" w:rsidP="00E46B94">
      <w:pPr>
        <w:pStyle w:val="FootnoteText"/>
        <w:jc w:val="left"/>
        <w:rPr>
          <w:highlight w:val="yellow"/>
        </w:rPr>
      </w:pPr>
      <w:r w:rsidRPr="00C62AC0">
        <w:rPr>
          <w:rStyle w:val="FootnoteReference"/>
        </w:rPr>
        <w:footnoteRef/>
      </w:r>
      <w:r w:rsidR="00C62AC0" w:rsidRPr="00C62AC0">
        <w:t xml:space="preserve"> </w:t>
      </w:r>
      <w:r w:rsidRPr="00C62AC0">
        <w:t xml:space="preserve">Section 614(h)(1)(C) of the </w:t>
      </w:r>
      <w:r w:rsidR="003454F4">
        <w:t>A</w:t>
      </w:r>
      <w:r w:rsidRPr="00C62AC0">
        <w:t xml:space="preserve">ct, as amended by the Telecommunications Act of 1996, provides that a station’s market shall be determined by the Commission by regulation or order using, where available, commercial publications which delineate television markets based on viewing patterns.  </w:t>
      </w:r>
      <w:r w:rsidRPr="00C62AC0">
        <w:rPr>
          <w:i/>
        </w:rPr>
        <w:t>See</w:t>
      </w:r>
      <w:r w:rsidRPr="00C62AC0">
        <w:t xml:space="preserve"> 47 U.S.C. §</w:t>
      </w:r>
      <w:r w:rsidR="00C62AC0" w:rsidRPr="00C62AC0">
        <w:t xml:space="preserve"> </w:t>
      </w:r>
      <w:r w:rsidRPr="00C62AC0">
        <w:t xml:space="preserve">534(h)(1)(C).  Section 76.55(e) </w:t>
      </w:r>
      <w:r w:rsidR="00795FD2">
        <w:t xml:space="preserve">of the Commission’s rules </w:t>
      </w:r>
      <w:r w:rsidRPr="00C62AC0">
        <w:t>requires that a commercial broadcast television station’s market be defined by Nielsen Media Research’s DMAs.  47 CFR § 76.55(e); s</w:t>
      </w:r>
      <w:r w:rsidRPr="00C62AC0">
        <w:rPr>
          <w:i/>
        </w:rPr>
        <w:t xml:space="preserve">ee Definition of Markets for Purposes of the Cable Television Broadcast Signal Carriage Rules, </w:t>
      </w:r>
      <w:r w:rsidRPr="00C62AC0">
        <w:t>Order on Reconsideration and Second Report and Order, 14 FCC Rcd 8366 (1999)</w:t>
      </w:r>
      <w:r w:rsidR="0078114E">
        <w:t xml:space="preserve"> </w:t>
      </w:r>
      <w:r w:rsidRPr="00C62AC0">
        <w:t>(</w:t>
      </w:r>
      <w:r w:rsidRPr="00C62AC0">
        <w:rPr>
          <w:i/>
        </w:rPr>
        <w:t>Modification Final Report and Order</w:t>
      </w:r>
      <w:r w:rsidRPr="00C62AC0">
        <w:t xml:space="preserve">). </w:t>
      </w:r>
    </w:p>
  </w:footnote>
  <w:footnote w:id="7">
    <w:p w14:paraId="6E0AC069" w14:textId="77777777" w:rsidR="009276DC" w:rsidRPr="00BA5304" w:rsidRDefault="00A179C3" w:rsidP="00830430">
      <w:pPr>
        <w:pStyle w:val="FootnoteText"/>
        <w:jc w:val="left"/>
        <w:rPr>
          <w:highlight w:val="yellow"/>
        </w:rPr>
      </w:pPr>
      <w:r w:rsidRPr="00C62AC0">
        <w:rPr>
          <w:rStyle w:val="FootnoteReference"/>
        </w:rPr>
        <w:footnoteRef/>
      </w:r>
      <w:r w:rsidR="00C62AC0" w:rsidRPr="00C62AC0">
        <w:t xml:space="preserve"> </w:t>
      </w:r>
      <w:r w:rsidRPr="00C62AC0">
        <w:t xml:space="preserve">For a more complete description of how counties are allocated, </w:t>
      </w:r>
      <w:r w:rsidRPr="00C62AC0">
        <w:rPr>
          <w:i/>
        </w:rPr>
        <w:t>see</w:t>
      </w:r>
      <w:r w:rsidRPr="00C62AC0">
        <w:t xml:space="preserve"> Nielsen Media Research’s </w:t>
      </w:r>
      <w:r w:rsidRPr="00C62AC0">
        <w:rPr>
          <w:i/>
        </w:rPr>
        <w:t>Nielsen Station Index:  Methodology Techniques and Data Interpretation.</w:t>
      </w:r>
      <w:r w:rsidRPr="00C62AC0">
        <w:t xml:space="preserve"> </w:t>
      </w:r>
    </w:p>
  </w:footnote>
  <w:footnote w:id="8">
    <w:p w14:paraId="2D846DE3" w14:textId="77777777" w:rsidR="009276DC" w:rsidRPr="003454F4" w:rsidRDefault="00A179C3" w:rsidP="007672BB">
      <w:pPr>
        <w:pStyle w:val="FootnoteText"/>
        <w:jc w:val="left"/>
      </w:pPr>
      <w:r w:rsidRPr="003454F4">
        <w:rPr>
          <w:rStyle w:val="FootnoteReference"/>
        </w:rPr>
        <w:footnoteRef/>
      </w:r>
      <w:r w:rsidR="003454F4" w:rsidRPr="003454F4">
        <w:t xml:space="preserve"> </w:t>
      </w:r>
      <w:r w:rsidRPr="003454F4">
        <w:t>47 U.S.C. §</w:t>
      </w:r>
      <w:r w:rsidR="003454F4" w:rsidRPr="003454F4">
        <w:t xml:space="preserve"> </w:t>
      </w:r>
      <w:r w:rsidRPr="003454F4">
        <w:t xml:space="preserve">534(h)(1)(C). </w:t>
      </w:r>
    </w:p>
  </w:footnote>
  <w:footnote w:id="9">
    <w:p w14:paraId="4C786D1D" w14:textId="7638C33D" w:rsidR="009276DC" w:rsidRPr="003454F4" w:rsidRDefault="00A179C3" w:rsidP="00BF0AEB">
      <w:pPr>
        <w:pStyle w:val="FootnoteText"/>
        <w:jc w:val="left"/>
      </w:pPr>
      <w:r w:rsidRPr="003454F4">
        <w:rPr>
          <w:rStyle w:val="FootnoteReference"/>
        </w:rPr>
        <w:footnoteRef/>
      </w:r>
      <w:r w:rsidRPr="003454F4">
        <w:t xml:space="preserve"> The STELA Reauthorization Act of 2014, Pub. L. No. 113-200, 128 Stat. 2059 (2014), enacted December 4, 2014, added a new statutory factor, denominated as factor III above.  </w:t>
      </w:r>
      <w:r w:rsidRPr="003454F4">
        <w:rPr>
          <w:i/>
        </w:rPr>
        <w:t>See also Amendment to the Commission’s Rules Concerning Mkt</w:t>
      </w:r>
      <w:r w:rsidR="00795FD2">
        <w:rPr>
          <w:i/>
        </w:rPr>
        <w:t>.</w:t>
      </w:r>
      <w:r w:rsidRPr="003454F4">
        <w:rPr>
          <w:i/>
        </w:rPr>
        <w:t xml:space="preserve"> Modification, Implementation of Section 102 of the STELA Reauthorization Act of 2014</w:t>
      </w:r>
      <w:r w:rsidRPr="004866BB">
        <w:t>,</w:t>
      </w:r>
      <w:r w:rsidRPr="003454F4">
        <w:rPr>
          <w:i/>
        </w:rPr>
        <w:t xml:space="preserve"> </w:t>
      </w:r>
      <w:r w:rsidRPr="003454F4">
        <w:t xml:space="preserve">Report and Order, </w:t>
      </w:r>
      <w:r w:rsidR="003454F4" w:rsidRPr="003454F4">
        <w:t>30 FCC Rcd 1040</w:t>
      </w:r>
      <w:r w:rsidR="00A06BAA">
        <w:t>6</w:t>
      </w:r>
      <w:r w:rsidR="003454F4" w:rsidRPr="003454F4">
        <w:t xml:space="preserve"> (</w:t>
      </w:r>
      <w:r w:rsidRPr="003454F4">
        <w:t>2015</w:t>
      </w:r>
      <w:r w:rsidR="003454F4" w:rsidRPr="003454F4">
        <w:t>)</w:t>
      </w:r>
      <w:r w:rsidR="00A06BAA">
        <w:t xml:space="preserve"> (</w:t>
      </w:r>
      <w:r w:rsidR="00A06BAA">
        <w:rPr>
          <w:i/>
        </w:rPr>
        <w:t>STELAR Market Mod</w:t>
      </w:r>
      <w:r w:rsidR="00795FD2">
        <w:rPr>
          <w:i/>
        </w:rPr>
        <w:t>.</w:t>
      </w:r>
      <w:r w:rsidR="00A06BAA">
        <w:rPr>
          <w:i/>
        </w:rPr>
        <w:t xml:space="preserve"> Order</w:t>
      </w:r>
      <w:r w:rsidR="00A06BAA">
        <w:t>)</w:t>
      </w:r>
      <w:r w:rsidRPr="003454F4">
        <w:t>.</w:t>
      </w:r>
      <w:r w:rsidRPr="003454F4">
        <w:rPr>
          <w:i/>
        </w:rPr>
        <w:t xml:space="preserve"> </w:t>
      </w:r>
      <w:r w:rsidRPr="003454F4">
        <w:t xml:space="preserve">  </w:t>
      </w:r>
    </w:p>
  </w:footnote>
  <w:footnote w:id="10">
    <w:p w14:paraId="42FECE99" w14:textId="48160F92" w:rsidR="009276DC" w:rsidRDefault="00A179C3" w:rsidP="00E55DC2">
      <w:pPr>
        <w:pStyle w:val="FootnoteText"/>
        <w:jc w:val="left"/>
      </w:pPr>
      <w:r w:rsidRPr="003454F4">
        <w:rPr>
          <w:rStyle w:val="FootnoteReference"/>
        </w:rPr>
        <w:footnoteRef/>
      </w:r>
      <w:r w:rsidR="003454F4" w:rsidRPr="003454F4">
        <w:t xml:space="preserve"> </w:t>
      </w:r>
      <w:r w:rsidRPr="003454F4">
        <w:t>47 U.S.C. §</w:t>
      </w:r>
      <w:r w:rsidR="00795FD2">
        <w:t xml:space="preserve"> </w:t>
      </w:r>
      <w:r w:rsidRPr="003454F4">
        <w:t xml:space="preserve">534(h)(1)(C)(ii)(I)-(V).  </w:t>
      </w:r>
      <w:r w:rsidR="00BF3B0D" w:rsidRPr="00925A69">
        <w:t>The legislative history of the provision states that:</w:t>
      </w:r>
    </w:p>
    <w:p w14:paraId="1C1CF139" w14:textId="77777777" w:rsidR="00BF3B0D" w:rsidRPr="004866BB" w:rsidRDefault="00BF3B0D" w:rsidP="00BF3B0D">
      <w:pPr>
        <w:pStyle w:val="ParaNum"/>
        <w:numPr>
          <w:ilvl w:val="0"/>
          <w:numId w:val="0"/>
        </w:numPr>
        <w:tabs>
          <w:tab w:val="clear" w:pos="1440"/>
        </w:tabs>
        <w:spacing w:after="120"/>
        <w:ind w:left="720" w:right="720"/>
        <w:jc w:val="left"/>
        <w:rPr>
          <w:sz w:val="20"/>
        </w:rPr>
      </w:pPr>
      <w:r w:rsidRPr="004866BB">
        <w:rPr>
          <w:sz w:val="20"/>
        </w:rPr>
        <w:t>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serve and which form their economic market.</w:t>
      </w:r>
    </w:p>
    <w:p w14:paraId="1D5EE6E9" w14:textId="75BC78CA" w:rsidR="00BF3B0D" w:rsidRPr="004866BB" w:rsidRDefault="00BF3B0D" w:rsidP="00BF3B0D">
      <w:pPr>
        <w:pStyle w:val="ParaNum"/>
        <w:numPr>
          <w:ilvl w:val="0"/>
          <w:numId w:val="0"/>
        </w:numPr>
        <w:spacing w:after="120"/>
        <w:ind w:left="720" w:right="720"/>
        <w:rPr>
          <w:sz w:val="20"/>
        </w:rPr>
      </w:pPr>
      <w:r w:rsidRPr="004866BB">
        <w:rPr>
          <w:sz w:val="20"/>
        </w:rPr>
        <w:t xml:space="preserve">* </w:t>
      </w:r>
      <w:r w:rsidRPr="004866BB">
        <w:rPr>
          <w:sz w:val="20"/>
        </w:rPr>
        <w:tab/>
        <w:t>*</w:t>
      </w:r>
      <w:r w:rsidRPr="004866BB">
        <w:rPr>
          <w:sz w:val="20"/>
        </w:rPr>
        <w:tab/>
        <w:t>*</w:t>
      </w:r>
      <w:r w:rsidRPr="004866BB">
        <w:rPr>
          <w:sz w:val="20"/>
        </w:rPr>
        <w:tab/>
        <w:t>*</w:t>
      </w:r>
    </w:p>
    <w:p w14:paraId="4F9B7965" w14:textId="75B7FD23" w:rsidR="00BF3B0D" w:rsidRDefault="00BF3B0D" w:rsidP="00BF3B0D">
      <w:pPr>
        <w:pStyle w:val="FootnoteText"/>
        <w:ind w:left="720"/>
        <w:jc w:val="left"/>
      </w:pPr>
      <w:r w:rsidRPr="00BF3B0D">
        <w:t>[This subsection] establishes certain criteria which the Commission shall consider in acting on requests to modify the geographic area in which stations have signal carriage rights.  These factors are not intended to be exclusive, but may be used to demonstrate that a community is part of a particular station’s market.</w:t>
      </w:r>
    </w:p>
    <w:p w14:paraId="2E772DC3" w14:textId="5F61D979" w:rsidR="00BF3B0D" w:rsidRPr="00BF3B0D" w:rsidRDefault="00BF3B0D" w:rsidP="004866BB">
      <w:pPr>
        <w:pStyle w:val="FootnoteText"/>
        <w:jc w:val="left"/>
      </w:pPr>
      <w:r w:rsidRPr="003454F4">
        <w:t>H.R. Rep. 102-628, 102d Cong., 2d Sess. 97 (1992).</w:t>
      </w:r>
      <w:r>
        <w:t xml:space="preserve"> </w:t>
      </w:r>
      <w:r w:rsidRPr="00BF3B0D">
        <w:t xml:space="preserve"> </w:t>
      </w:r>
      <w:r w:rsidRPr="00925A69">
        <w:t xml:space="preserve">In adopting rules to implement </w:t>
      </w:r>
      <w:r>
        <w:t>Section 614(h)(1)(C)</w:t>
      </w:r>
      <w:r w:rsidRPr="00925A69">
        <w:t>, the Commission indicated that requested changes should be considered on a community-by-community basis rather than on a county-by-county basis, and that they should be treated as specific to particular stations rather than applicable in common to all stations in the market.</w:t>
      </w:r>
      <w:r>
        <w:t xml:space="preserve">  </w:t>
      </w:r>
      <w:r w:rsidRPr="0035318D">
        <w:rPr>
          <w:i/>
        </w:rPr>
        <w:t>Must Carry Order</w:t>
      </w:r>
      <w:r w:rsidRPr="004866BB">
        <w:t>,</w:t>
      </w:r>
      <w:r w:rsidRPr="0035318D">
        <w:rPr>
          <w:i/>
        </w:rPr>
        <w:t xml:space="preserve"> </w:t>
      </w:r>
      <w:r w:rsidRPr="0035318D">
        <w:t xml:space="preserve">8 FCC Rcd </w:t>
      </w:r>
      <w:r>
        <w:t>at</w:t>
      </w:r>
      <w:r w:rsidRPr="0035318D">
        <w:t xml:space="preserve"> 2977 n.139.</w:t>
      </w:r>
    </w:p>
  </w:footnote>
  <w:footnote w:id="11">
    <w:p w14:paraId="46C0E761" w14:textId="63416117" w:rsidR="00BF3B0D" w:rsidRDefault="00BF3B0D">
      <w:pPr>
        <w:pStyle w:val="FootnoteText"/>
      </w:pPr>
      <w:r>
        <w:rPr>
          <w:rStyle w:val="FootnoteReference"/>
        </w:rPr>
        <w:footnoteRef/>
      </w:r>
      <w:r>
        <w:t xml:space="preserve"> </w:t>
      </w:r>
      <w:r w:rsidRPr="00C62AC0">
        <w:rPr>
          <w:i/>
        </w:rPr>
        <w:t>Modification Final Report and Order</w:t>
      </w:r>
      <w:r>
        <w:t xml:space="preserve">, </w:t>
      </w:r>
      <w:r w:rsidR="00600A02">
        <w:t>14 FCC Rcd at 8406-07, App</w:t>
      </w:r>
      <w:r w:rsidR="00795FD2">
        <w:t>x</w:t>
      </w:r>
      <w:r w:rsidR="00600A02">
        <w:t>. C (Rule Changes).</w:t>
      </w:r>
    </w:p>
  </w:footnote>
  <w:footnote w:id="12">
    <w:p w14:paraId="61FBAD31" w14:textId="77777777" w:rsidR="009276DC" w:rsidRPr="0035318D" w:rsidRDefault="00A179C3">
      <w:pPr>
        <w:pStyle w:val="FootnoteText"/>
        <w:jc w:val="left"/>
      </w:pPr>
      <w:r w:rsidRPr="0035318D">
        <w:rPr>
          <w:rStyle w:val="FootnoteReference"/>
        </w:rPr>
        <w:footnoteRef/>
      </w:r>
      <w:r w:rsidRPr="0035318D">
        <w:t xml:space="preserve"> Service area maps using Longley-Rice (version 1.2.2) propagation curves may also be included to support a technical service exhibit.  The Longley-Rice model provides a more accurate representation of a station’s technical coverage area because it takes into account such factors as mountains and valleys that are not specifically reflected in a traditional Grade B contour analysis.  In situations involving mountainous terrain or other unusual geographic features, Longley-Rice propagation studies can aid in determining whether or not a television station actually provides local service to a community under factor two of the market modification test. </w:t>
      </w:r>
    </w:p>
  </w:footnote>
  <w:footnote w:id="13">
    <w:p w14:paraId="0F3024F1" w14:textId="07F0F8CA" w:rsidR="009276DC" w:rsidRPr="00BA5304" w:rsidRDefault="00A179C3">
      <w:pPr>
        <w:pStyle w:val="FootnoteText"/>
        <w:jc w:val="left"/>
        <w:rPr>
          <w:highlight w:val="yellow"/>
        </w:rPr>
      </w:pPr>
      <w:r w:rsidRPr="0035318D">
        <w:rPr>
          <w:rStyle w:val="FootnoteReference"/>
        </w:rPr>
        <w:footnoteRef/>
      </w:r>
      <w:r w:rsidRPr="0035318D">
        <w:t xml:space="preserve"> While the Grade B contour defined an analog television station’s service area, </w:t>
      </w:r>
      <w:r w:rsidRPr="0035318D">
        <w:rPr>
          <w:i/>
        </w:rPr>
        <w:t>see</w:t>
      </w:r>
      <w:r w:rsidRPr="0035318D">
        <w:t xml:space="preserve"> 47 CFR § 73.683(a), with the completion of the full power digital television transition on June 12, 2009, there are no longer any full power analog stations.  Instead, as set forth in </w:t>
      </w:r>
      <w:r w:rsidR="00CA5923">
        <w:t>s</w:t>
      </w:r>
      <w:r w:rsidRPr="0035318D">
        <w:t xml:space="preserve">ection 73.622(e), a station’s DTV service area is defined as the area within its noise-limited contour where its signal strength is predicted to exceed the noise-limited contour service level – which for UHF stations is 41 dBu.  </w:t>
      </w:r>
      <w:r w:rsidRPr="0035318D">
        <w:rPr>
          <w:i/>
        </w:rPr>
        <w:t>See</w:t>
      </w:r>
      <w:r w:rsidRPr="0035318D">
        <w:t xml:space="preserve"> 47 CFR § 73.622(e).  Accordingly, the Commission has treated a digital station’s noise-limited contour as the functional equivalent of an analog station’s Grade B contour.  </w:t>
      </w:r>
      <w:r w:rsidRPr="0035318D">
        <w:rPr>
          <w:i/>
        </w:rPr>
        <w:t>See Report To Congress: The Satellite Home Viewer Extension and Reauthorization Act of 2004; Study of Digital Television Field Strength Standards and Testing Procedures</w:t>
      </w:r>
      <w:r w:rsidRPr="0035318D">
        <w:t>,</w:t>
      </w:r>
      <w:r w:rsidRPr="0035318D">
        <w:rPr>
          <w:i/>
        </w:rPr>
        <w:t xml:space="preserve"> </w:t>
      </w:r>
      <w:r w:rsidRPr="0035318D">
        <w:t xml:space="preserve">20 FCC Rcd 19504, 19507, </w:t>
      </w:r>
      <w:r w:rsidR="0035318D" w:rsidRPr="0035318D">
        <w:t>para.</w:t>
      </w:r>
      <w:r w:rsidRPr="0035318D">
        <w:t xml:space="preserve"> 3, 19554, </w:t>
      </w:r>
      <w:r w:rsidR="0035318D" w:rsidRPr="0035318D">
        <w:t>para.</w:t>
      </w:r>
      <w:r w:rsidRPr="0035318D">
        <w:t xml:space="preserve"> 111 (2005); </w:t>
      </w:r>
      <w:r w:rsidRPr="0035318D">
        <w:rPr>
          <w:i/>
        </w:rPr>
        <w:t>Implementation of the Satellite Home Viewer Extension and Reauthorization Act of 2004, Implementation of Section 340 of the Communic</w:t>
      </w:r>
      <w:r w:rsidR="00795FD2">
        <w:rPr>
          <w:i/>
        </w:rPr>
        <w:t>’</w:t>
      </w:r>
      <w:r w:rsidRPr="0035318D">
        <w:rPr>
          <w:i/>
        </w:rPr>
        <w:t>ns Act</w:t>
      </w:r>
      <w:r w:rsidRPr="0035318D">
        <w:t xml:space="preserve">, Report and Order, 20 FCC Rcd 17278, 17292, </w:t>
      </w:r>
      <w:r w:rsidR="0035318D" w:rsidRPr="0035318D">
        <w:t>para.</w:t>
      </w:r>
      <w:r w:rsidRPr="0035318D">
        <w:t xml:space="preserve"> 31 (2005).  </w:t>
      </w:r>
      <w:r w:rsidRPr="0035318D">
        <w:rPr>
          <w:i/>
        </w:rPr>
        <w:t>See also Lenfest Broad</w:t>
      </w:r>
      <w:r w:rsidR="00795FD2">
        <w:rPr>
          <w:i/>
        </w:rPr>
        <w:t>.</w:t>
      </w:r>
      <w:r w:rsidRPr="0035318D">
        <w:rPr>
          <w:i/>
        </w:rPr>
        <w:t>, LLC</w:t>
      </w:r>
      <w:r w:rsidR="00795FD2">
        <w:rPr>
          <w:i/>
        </w:rPr>
        <w:t xml:space="preserve"> Petition for Modification of the Television Mkt. of Television Station WMCN-DT, Atlantic City, New Jersey</w:t>
      </w:r>
      <w:r w:rsidRPr="0035318D">
        <w:t xml:space="preserve">, </w:t>
      </w:r>
      <w:r w:rsidR="0035318D" w:rsidRPr="0035318D">
        <w:t>Memorandum Opinion and Order, 19 FCC Rcd 8970, 8974, para.</w:t>
      </w:r>
      <w:r w:rsidRPr="0035318D">
        <w:t xml:space="preserve"> 7 n.27 (2004) (“For digital stations operating on channels 14-69 [UHF stations], for market modification purposes the 41 dBu DTV service area contour is the digital equivalent of analog station’s Grade B contour.”).  </w:t>
      </w:r>
      <w:r w:rsidRPr="0035318D">
        <w:rPr>
          <w:i/>
        </w:rPr>
        <w:t xml:space="preserve">  </w:t>
      </w:r>
      <w:r w:rsidRPr="0035318D">
        <w:t xml:space="preserve"> </w:t>
      </w:r>
    </w:p>
  </w:footnote>
  <w:footnote w:id="14">
    <w:p w14:paraId="4505F9DB" w14:textId="05A8B2EE" w:rsidR="009276DC" w:rsidRPr="00BA5304" w:rsidRDefault="00A179C3">
      <w:pPr>
        <w:pStyle w:val="FootnoteText"/>
        <w:jc w:val="left"/>
        <w:rPr>
          <w:highlight w:val="yellow"/>
        </w:rPr>
      </w:pPr>
      <w:r w:rsidRPr="0035318D">
        <w:rPr>
          <w:rStyle w:val="FootnoteReference"/>
        </w:rPr>
        <w:footnoteRef/>
      </w:r>
      <w:r w:rsidR="0035318D" w:rsidRPr="0035318D">
        <w:t xml:space="preserve"> </w:t>
      </w:r>
      <w:r w:rsidRPr="0035318D">
        <w:t>47 CFR §</w:t>
      </w:r>
      <w:r w:rsidR="0035318D" w:rsidRPr="0035318D">
        <w:t xml:space="preserve"> </w:t>
      </w:r>
      <w:r w:rsidRPr="0035318D">
        <w:t>76.59(b).</w:t>
      </w:r>
      <w:r w:rsidR="00A377B3">
        <w:t xml:space="preserve">  </w:t>
      </w:r>
      <w:r w:rsidR="00A377B3" w:rsidRPr="00925A69">
        <w:t xml:space="preserve">Petitions for special relief to modify television markets that do not include the above evidence shall be dismissed without prejudice and may be re-filed at a later date with the appropriate filing fee.  </w:t>
      </w:r>
      <w:r w:rsidR="00762F88">
        <w:rPr>
          <w:i/>
        </w:rPr>
        <w:t xml:space="preserve">Id. </w:t>
      </w:r>
      <w:r w:rsidR="00762F88" w:rsidRPr="0035318D">
        <w:t>§</w:t>
      </w:r>
      <w:r w:rsidR="00762F88">
        <w:t xml:space="preserve"> 76.59(c).  </w:t>
      </w:r>
      <w:r w:rsidR="00A377B3" w:rsidRPr="00925A69">
        <w:t xml:space="preserve">The </w:t>
      </w:r>
      <w:r w:rsidR="00A377B3" w:rsidRPr="00925A69">
        <w:rPr>
          <w:i/>
        </w:rPr>
        <w:t xml:space="preserve">Modification Final Report and Order </w:t>
      </w:r>
      <w:r w:rsidR="00A377B3" w:rsidRPr="00925A69">
        <w:t>provides that parties may continue to submit whatever additional evidence they deem appropriate and relevant.</w:t>
      </w:r>
      <w:r w:rsidR="00A377B3">
        <w:t xml:space="preserve">  </w:t>
      </w:r>
      <w:r w:rsidR="00762F88" w:rsidRPr="00C62AC0">
        <w:rPr>
          <w:i/>
        </w:rPr>
        <w:t>Modification Final Report and Order</w:t>
      </w:r>
      <w:r w:rsidR="00762F88">
        <w:t xml:space="preserve">, 14 FCC Rcd at 8389, para. 52.  </w:t>
      </w:r>
    </w:p>
  </w:footnote>
  <w:footnote w:id="15">
    <w:p w14:paraId="6CAAA0BD" w14:textId="26EFD20E" w:rsidR="00B61BB0" w:rsidRDefault="00B61BB0" w:rsidP="00517D71">
      <w:pPr>
        <w:pStyle w:val="FootnoteText"/>
        <w:jc w:val="left"/>
      </w:pPr>
      <w:r>
        <w:rPr>
          <w:rStyle w:val="FootnoteReference"/>
        </w:rPr>
        <w:footnoteRef/>
      </w:r>
      <w:r>
        <w:t xml:space="preserve"> Petition at 1, 12</w:t>
      </w:r>
      <w:r w:rsidR="00D26E74">
        <w:t>.</w:t>
      </w:r>
    </w:p>
  </w:footnote>
  <w:footnote w:id="16">
    <w:p w14:paraId="68E5527E" w14:textId="3232529D" w:rsidR="00B61BB0" w:rsidRDefault="00B61BB0" w:rsidP="00517D71">
      <w:pPr>
        <w:pStyle w:val="FootnoteText"/>
        <w:jc w:val="left"/>
      </w:pPr>
      <w:r>
        <w:rPr>
          <w:rStyle w:val="FootnoteReference"/>
        </w:rPr>
        <w:footnoteRef/>
      </w:r>
      <w:r>
        <w:t xml:space="preserve"> Supplement at 2. </w:t>
      </w:r>
    </w:p>
  </w:footnote>
  <w:footnote w:id="17">
    <w:p w14:paraId="409A91E7" w14:textId="77777777" w:rsidR="00B61BB0" w:rsidRDefault="00B61BB0" w:rsidP="00517D71">
      <w:pPr>
        <w:pStyle w:val="FootnoteText"/>
        <w:jc w:val="left"/>
      </w:pPr>
      <w:r>
        <w:rPr>
          <w:rStyle w:val="FootnoteReference"/>
        </w:rPr>
        <w:footnoteRef/>
      </w:r>
      <w:r>
        <w:t xml:space="preserve"> Petition at 9.</w:t>
      </w:r>
    </w:p>
  </w:footnote>
  <w:footnote w:id="18">
    <w:p w14:paraId="04DC1480" w14:textId="19F41918" w:rsidR="003B50F3" w:rsidRPr="004E526E" w:rsidRDefault="003B50F3" w:rsidP="00517D71">
      <w:pPr>
        <w:pStyle w:val="FootnoteText"/>
        <w:jc w:val="left"/>
      </w:pPr>
      <w:r w:rsidRPr="004E526E">
        <w:rPr>
          <w:rStyle w:val="FootnoteReference"/>
          <w:rFonts w:ascii="Times New Roman" w:hAnsi="Times New Roman"/>
        </w:rPr>
        <w:footnoteRef/>
      </w:r>
      <w:r w:rsidRPr="004E526E">
        <w:t xml:space="preserve"> </w:t>
      </w:r>
      <w:r w:rsidR="003335B0">
        <w:rPr>
          <w:i/>
        </w:rPr>
        <w:t>Id.</w:t>
      </w:r>
      <w:r w:rsidR="003335B0" w:rsidRPr="004E526E">
        <w:t xml:space="preserve"> </w:t>
      </w:r>
      <w:r w:rsidRPr="004E526E">
        <w:t xml:space="preserve">at 12. </w:t>
      </w:r>
    </w:p>
  </w:footnote>
  <w:footnote w:id="19">
    <w:p w14:paraId="6ADEE0EB" w14:textId="77777777" w:rsidR="00FE1862" w:rsidRPr="004E526E" w:rsidRDefault="00FE1862" w:rsidP="00FA37B0">
      <w:pPr>
        <w:pStyle w:val="FootnoteText"/>
        <w:jc w:val="left"/>
        <w:rPr>
          <w:highlight w:val="yellow"/>
        </w:rPr>
      </w:pPr>
      <w:r w:rsidRPr="004E526E">
        <w:rPr>
          <w:rStyle w:val="FootnoteReference"/>
          <w:rFonts w:ascii="Times New Roman" w:hAnsi="Times New Roman"/>
        </w:rPr>
        <w:footnoteRef/>
      </w:r>
      <w:r w:rsidRPr="004E526E">
        <w:t xml:space="preserve"> 47 U.S.C. § 534(h)(1)(C)(ii)(I). </w:t>
      </w:r>
    </w:p>
  </w:footnote>
  <w:footnote w:id="20">
    <w:p w14:paraId="03678765" w14:textId="445D93AB" w:rsidR="007B470D" w:rsidRPr="004E526E" w:rsidRDefault="007B470D" w:rsidP="00517D71">
      <w:pPr>
        <w:pStyle w:val="FootnoteText"/>
        <w:jc w:val="left"/>
      </w:pPr>
      <w:r w:rsidRPr="004E526E">
        <w:rPr>
          <w:rStyle w:val="FootnoteReference"/>
          <w:rFonts w:ascii="Times New Roman" w:hAnsi="Times New Roman"/>
        </w:rPr>
        <w:footnoteRef/>
      </w:r>
      <w:r w:rsidRPr="004E526E">
        <w:t xml:space="preserve"> </w:t>
      </w:r>
      <w:r w:rsidR="0042067F" w:rsidRPr="004E526E">
        <w:rPr>
          <w:i/>
        </w:rPr>
        <w:t>Petition of</w:t>
      </w:r>
      <w:r w:rsidR="0042067F" w:rsidRPr="004E526E">
        <w:t xml:space="preserve"> </w:t>
      </w:r>
      <w:r w:rsidRPr="004E526E">
        <w:rPr>
          <w:i/>
        </w:rPr>
        <w:t>Tennessee Broad</w:t>
      </w:r>
      <w:r w:rsidR="00C52E03">
        <w:rPr>
          <w:i/>
        </w:rPr>
        <w:t>.</w:t>
      </w:r>
      <w:r w:rsidRPr="004E526E">
        <w:rPr>
          <w:i/>
        </w:rPr>
        <w:t xml:space="preserve"> Partners</w:t>
      </w:r>
      <w:r w:rsidR="00C52E03">
        <w:rPr>
          <w:i/>
        </w:rPr>
        <w:t xml:space="preserve"> for Modification of the Television Market for WBBJ-TV/DT, Jackson, Tennessee</w:t>
      </w:r>
      <w:r w:rsidRPr="004E526E">
        <w:t xml:space="preserve">, Memorandum Opinion and Order, 23 FCC Rcd 3928, 3934, para. 10 (MB 2008) </w:t>
      </w:r>
      <w:r w:rsidR="00C52E03">
        <w:t>(</w:t>
      </w:r>
      <w:r w:rsidR="00C52E03">
        <w:rPr>
          <w:i/>
        </w:rPr>
        <w:t>Jackson Tennessee Order</w:t>
      </w:r>
      <w:r w:rsidR="00C52E03">
        <w:t xml:space="preserve">) </w:t>
      </w:r>
      <w:r w:rsidRPr="004E526E">
        <w:t>(finding that carriage of a competing station</w:t>
      </w:r>
      <w:r w:rsidR="00C66F11">
        <w:t xml:space="preserve"> in the same community</w:t>
      </w:r>
      <w:r w:rsidRPr="004E526E">
        <w:t xml:space="preserve"> provides evidence to support market modification). </w:t>
      </w:r>
    </w:p>
  </w:footnote>
  <w:footnote w:id="21">
    <w:p w14:paraId="35C1D016" w14:textId="77777777"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Petition at 7. </w:t>
      </w:r>
    </w:p>
  </w:footnote>
  <w:footnote w:id="22">
    <w:p w14:paraId="67589DC7" w14:textId="447379B2"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1A3916">
        <w:rPr>
          <w:i/>
        </w:rPr>
        <w:t>Id</w:t>
      </w:r>
      <w:r w:rsidRPr="00082866">
        <w:rPr>
          <w:i/>
        </w:rPr>
        <w:t xml:space="preserve">. </w:t>
      </w:r>
    </w:p>
  </w:footnote>
  <w:footnote w:id="23">
    <w:p w14:paraId="4DA9C790" w14:textId="77777777" w:rsidR="00FE1862" w:rsidRPr="004E526E" w:rsidRDefault="00FE1862" w:rsidP="00FA37B0">
      <w:pPr>
        <w:pStyle w:val="FootnoteText"/>
        <w:jc w:val="left"/>
        <w:rPr>
          <w:highlight w:val="yellow"/>
        </w:rPr>
      </w:pPr>
      <w:r w:rsidRPr="004E526E">
        <w:rPr>
          <w:rStyle w:val="FootnoteReference"/>
          <w:rFonts w:ascii="Times New Roman" w:hAnsi="Times New Roman"/>
        </w:rPr>
        <w:footnoteRef/>
      </w:r>
      <w:r w:rsidRPr="004E526E">
        <w:t xml:space="preserve"> 47 U.S.C. § 534(h)(1)(C)(ii)(II). </w:t>
      </w:r>
    </w:p>
  </w:footnote>
  <w:footnote w:id="24">
    <w:p w14:paraId="0559CB37" w14:textId="54F6DFC3"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DE3D6E">
        <w:rPr>
          <w:i/>
        </w:rPr>
        <w:t xml:space="preserve">See Petition of </w:t>
      </w:r>
      <w:r w:rsidRPr="004E526E">
        <w:rPr>
          <w:i/>
        </w:rPr>
        <w:t>Tobacco Valley Communic</w:t>
      </w:r>
      <w:r w:rsidR="00C52E03">
        <w:rPr>
          <w:i/>
        </w:rPr>
        <w:t>’</w:t>
      </w:r>
      <w:r w:rsidRPr="004E526E">
        <w:rPr>
          <w:i/>
        </w:rPr>
        <w:t>ns</w:t>
      </w:r>
      <w:r w:rsidR="00C52E03">
        <w:rPr>
          <w:i/>
        </w:rPr>
        <w:t xml:space="preserve"> to Exclude Eureka &amp; Communities in N. Lincoln County from the Local Mkt. of Several Spokane, Washington Broadcasters &amp; Include It in the Local Mkt. of Several Missoula, Montana Broadcasters</w:t>
      </w:r>
      <w:r w:rsidR="006572B9" w:rsidRPr="004E526E">
        <w:t>, Memorandum Opinion and Order, 31 FCC Rcd 8972, 8977</w:t>
      </w:r>
      <w:r w:rsidR="00DE3D6E">
        <w:t>-78</w:t>
      </w:r>
      <w:r w:rsidR="006572B9" w:rsidRPr="004E526E">
        <w:t xml:space="preserve">, para. 11 (MB 2016). </w:t>
      </w:r>
    </w:p>
  </w:footnote>
  <w:footnote w:id="25">
    <w:p w14:paraId="60D59FAC" w14:textId="1D10828C"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42067F" w:rsidRPr="004E526E">
        <w:rPr>
          <w:i/>
        </w:rPr>
        <w:t>See</w:t>
      </w:r>
      <w:r w:rsidR="00CE3D60" w:rsidRPr="004E526E">
        <w:t xml:space="preserve"> Petition at 7</w:t>
      </w:r>
      <w:r w:rsidR="00E81887">
        <w:t xml:space="preserve"> and Ex.</w:t>
      </w:r>
      <w:r w:rsidR="0042067F" w:rsidRPr="004E526E">
        <w:t xml:space="preserve"> 7.</w:t>
      </w:r>
    </w:p>
  </w:footnote>
  <w:footnote w:id="26">
    <w:p w14:paraId="7E5B6724" w14:textId="77777777"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42067F" w:rsidRPr="004E526E">
        <w:rPr>
          <w:i/>
        </w:rPr>
        <w:t>Id.</w:t>
      </w:r>
      <w:r w:rsidRPr="004E526E">
        <w:t xml:space="preserve"> </w:t>
      </w:r>
    </w:p>
  </w:footnote>
  <w:footnote w:id="27">
    <w:p w14:paraId="1390D23B" w14:textId="18EC46BD" w:rsidR="0042067F" w:rsidRPr="004E526E" w:rsidRDefault="0042067F" w:rsidP="00517D71">
      <w:pPr>
        <w:pStyle w:val="FootnoteText"/>
        <w:jc w:val="left"/>
      </w:pPr>
      <w:r w:rsidRPr="004E526E">
        <w:rPr>
          <w:rStyle w:val="FootnoteReference"/>
          <w:rFonts w:ascii="Times New Roman" w:hAnsi="Times New Roman"/>
        </w:rPr>
        <w:footnoteRef/>
      </w:r>
      <w:r w:rsidRPr="004E526E">
        <w:t xml:space="preserve"> </w:t>
      </w:r>
      <w:r w:rsidR="00A03575">
        <w:rPr>
          <w:i/>
        </w:rPr>
        <w:t>Id.</w:t>
      </w:r>
      <w:r w:rsidRPr="004E526E">
        <w:t xml:space="preserve"> at 8-9</w:t>
      </w:r>
      <w:r w:rsidR="00C52E03">
        <w:t>.</w:t>
      </w:r>
    </w:p>
  </w:footnote>
  <w:footnote w:id="28">
    <w:p w14:paraId="35DDE88B" w14:textId="77777777" w:rsidR="0042067F" w:rsidRPr="004E526E" w:rsidRDefault="0042067F" w:rsidP="00517D71">
      <w:pPr>
        <w:pStyle w:val="FootnoteText"/>
        <w:jc w:val="left"/>
      </w:pPr>
      <w:r w:rsidRPr="004E526E">
        <w:rPr>
          <w:rStyle w:val="FootnoteReference"/>
          <w:rFonts w:ascii="Times New Roman" w:hAnsi="Times New Roman"/>
        </w:rPr>
        <w:footnoteRef/>
      </w:r>
      <w:r w:rsidRPr="004E526E">
        <w:t xml:space="preserve"> </w:t>
      </w:r>
      <w:r w:rsidRPr="004E526E">
        <w:rPr>
          <w:i/>
        </w:rPr>
        <w:t>Id.</w:t>
      </w:r>
      <w:r w:rsidRPr="004E526E">
        <w:t xml:space="preserve"> at 9.</w:t>
      </w:r>
    </w:p>
  </w:footnote>
  <w:footnote w:id="29">
    <w:p w14:paraId="1D2EDE6F" w14:textId="77777777" w:rsidR="0042067F" w:rsidRPr="004E526E" w:rsidRDefault="0042067F" w:rsidP="00517D71">
      <w:pPr>
        <w:pStyle w:val="FootnoteText"/>
        <w:jc w:val="left"/>
      </w:pPr>
      <w:r w:rsidRPr="004E526E">
        <w:rPr>
          <w:rStyle w:val="FootnoteReference"/>
          <w:rFonts w:ascii="Times New Roman" w:hAnsi="Times New Roman"/>
        </w:rPr>
        <w:footnoteRef/>
      </w:r>
      <w:r w:rsidRPr="004E526E">
        <w:t xml:space="preserve"> </w:t>
      </w:r>
      <w:r w:rsidRPr="004E526E">
        <w:rPr>
          <w:i/>
        </w:rPr>
        <w:t xml:space="preserve">Id. </w:t>
      </w:r>
    </w:p>
  </w:footnote>
  <w:footnote w:id="30">
    <w:p w14:paraId="2A181C2C" w14:textId="69705030" w:rsidR="0042067F" w:rsidRPr="004E526E" w:rsidRDefault="0042067F" w:rsidP="00517D71">
      <w:pPr>
        <w:pStyle w:val="FootnoteText"/>
        <w:jc w:val="left"/>
      </w:pPr>
      <w:r w:rsidRPr="004E526E">
        <w:rPr>
          <w:rStyle w:val="FootnoteReference"/>
          <w:rFonts w:ascii="Times New Roman" w:hAnsi="Times New Roman"/>
        </w:rPr>
        <w:footnoteRef/>
      </w:r>
      <w:r w:rsidRPr="004E526E">
        <w:t xml:space="preserve"> </w:t>
      </w:r>
      <w:r w:rsidRPr="004E526E">
        <w:rPr>
          <w:i/>
        </w:rPr>
        <w:t>Id.</w:t>
      </w:r>
      <w:r w:rsidRPr="004E526E">
        <w:t xml:space="preserve"> at 8</w:t>
      </w:r>
      <w:r w:rsidR="00E46B94">
        <w:t>-9</w:t>
      </w:r>
      <w:r w:rsidRPr="004E526E">
        <w:t>.</w:t>
      </w:r>
    </w:p>
  </w:footnote>
  <w:footnote w:id="31">
    <w:p w14:paraId="79FD8146" w14:textId="77777777" w:rsidR="0042067F" w:rsidRPr="004E526E" w:rsidRDefault="0042067F" w:rsidP="00517D71">
      <w:pPr>
        <w:pStyle w:val="FootnoteText"/>
        <w:jc w:val="left"/>
      </w:pPr>
      <w:r w:rsidRPr="004E526E">
        <w:rPr>
          <w:rStyle w:val="FootnoteReference"/>
          <w:rFonts w:ascii="Times New Roman" w:hAnsi="Times New Roman"/>
        </w:rPr>
        <w:footnoteRef/>
      </w:r>
      <w:r w:rsidRPr="004E526E">
        <w:t xml:space="preserve"> </w:t>
      </w:r>
      <w:r w:rsidRPr="004E526E">
        <w:rPr>
          <w:i/>
        </w:rPr>
        <w:t>Id.</w:t>
      </w:r>
      <w:r w:rsidRPr="004E526E">
        <w:t xml:space="preserve"> at 9-10.</w:t>
      </w:r>
    </w:p>
  </w:footnote>
  <w:footnote w:id="32">
    <w:p w14:paraId="29A368DB" w14:textId="6CC891EA" w:rsidR="00E46B94" w:rsidRPr="00E46B94" w:rsidRDefault="00E46B94">
      <w:pPr>
        <w:pStyle w:val="FootnoteText"/>
      </w:pPr>
      <w:r>
        <w:rPr>
          <w:rStyle w:val="FootnoteReference"/>
        </w:rPr>
        <w:footnoteRef/>
      </w:r>
      <w:r>
        <w:t xml:space="preserve"> </w:t>
      </w:r>
      <w:r>
        <w:rPr>
          <w:i/>
        </w:rPr>
        <w:t xml:space="preserve">Id. </w:t>
      </w:r>
      <w:r>
        <w:t>at 2.</w:t>
      </w:r>
    </w:p>
  </w:footnote>
  <w:footnote w:id="33">
    <w:p w14:paraId="0D554A9A" w14:textId="77777777" w:rsidR="0042067F" w:rsidRPr="004E526E" w:rsidRDefault="0042067F" w:rsidP="00FA37B0">
      <w:pPr>
        <w:pStyle w:val="FootnoteText"/>
        <w:jc w:val="left"/>
        <w:rPr>
          <w:highlight w:val="yellow"/>
        </w:rPr>
      </w:pPr>
      <w:r w:rsidRPr="004E526E">
        <w:rPr>
          <w:rStyle w:val="FootnoteReference"/>
          <w:rFonts w:ascii="Times New Roman" w:hAnsi="Times New Roman"/>
        </w:rPr>
        <w:footnoteRef/>
      </w:r>
      <w:r w:rsidRPr="004E526E">
        <w:t xml:space="preserve"> 47 U.S.C. § 534(h)(1)(C)(ii)(III).</w:t>
      </w:r>
    </w:p>
  </w:footnote>
  <w:footnote w:id="34">
    <w:p w14:paraId="1C1BA647" w14:textId="11EDB36E" w:rsidR="0042067F" w:rsidRPr="004E526E" w:rsidRDefault="0042067F" w:rsidP="00E46B94">
      <w:pPr>
        <w:pStyle w:val="FootnoteText"/>
        <w:jc w:val="left"/>
      </w:pPr>
      <w:r w:rsidRPr="004E526E">
        <w:rPr>
          <w:rStyle w:val="FootnoteReference"/>
          <w:rFonts w:ascii="Times New Roman" w:hAnsi="Times New Roman"/>
        </w:rPr>
        <w:footnoteRef/>
      </w:r>
      <w:r w:rsidRPr="004E526E">
        <w:t xml:space="preserve"> </w:t>
      </w:r>
      <w:r w:rsidRPr="004E526E">
        <w:rPr>
          <w:i/>
        </w:rPr>
        <w:t>STELAR Market Mod</w:t>
      </w:r>
      <w:r w:rsidR="00795FD2">
        <w:rPr>
          <w:i/>
        </w:rPr>
        <w:t>.</w:t>
      </w:r>
      <w:r w:rsidRPr="004E526E">
        <w:rPr>
          <w:i/>
        </w:rPr>
        <w:t xml:space="preserve"> Order</w:t>
      </w:r>
      <w:r w:rsidRPr="004E526E">
        <w:t>, 30 FCC Rcd at 10407, para. 1, 10420, para. 18 (2015) (</w:t>
      </w:r>
      <w:r w:rsidRPr="002B622F">
        <w:t>citing</w:t>
      </w:r>
      <w:r w:rsidRPr="004E526E">
        <w:rPr>
          <w:i/>
        </w:rPr>
        <w:t xml:space="preserve"> </w:t>
      </w:r>
      <w:r w:rsidRPr="004E526E">
        <w:t>Report from the Senate Committee on Commerce, Science, and Transportation accompanying S. 2799, 113th Cong., S. Rep. No. 113-322, at 11 (2014).</w:t>
      </w:r>
    </w:p>
  </w:footnote>
  <w:footnote w:id="35">
    <w:p w14:paraId="28B0C114" w14:textId="77777777" w:rsidR="002101CF" w:rsidRDefault="002101CF" w:rsidP="002101CF">
      <w:pPr>
        <w:pStyle w:val="FootnoteText"/>
      </w:pPr>
      <w:r>
        <w:rPr>
          <w:rStyle w:val="FootnoteReference"/>
        </w:rPr>
        <w:footnoteRef/>
      </w:r>
      <w:r>
        <w:t xml:space="preserve"> </w:t>
      </w:r>
      <w:r w:rsidRPr="004E526E">
        <w:rPr>
          <w:i/>
        </w:rPr>
        <w:t>Id.</w:t>
      </w:r>
      <w:r w:rsidRPr="004E526E">
        <w:t xml:space="preserve"> at 10420, para. 18.</w:t>
      </w:r>
    </w:p>
  </w:footnote>
  <w:footnote w:id="36">
    <w:p w14:paraId="6BC6AB56" w14:textId="5862DE13"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0D019D" w:rsidRPr="004E526E">
        <w:rPr>
          <w:i/>
        </w:rPr>
        <w:t>Id.</w:t>
      </w:r>
      <w:r w:rsidR="000D019D" w:rsidRPr="004E526E">
        <w:t xml:space="preserve"> </w:t>
      </w:r>
    </w:p>
  </w:footnote>
  <w:footnote w:id="37">
    <w:p w14:paraId="3FA7EF43" w14:textId="5554E02E" w:rsidR="00FE1862" w:rsidRPr="004E526E" w:rsidRDefault="00FE1862" w:rsidP="00517D71">
      <w:pPr>
        <w:pStyle w:val="FootnoteText"/>
        <w:jc w:val="left"/>
      </w:pPr>
      <w:r w:rsidRPr="004E526E">
        <w:rPr>
          <w:rStyle w:val="FootnoteReference"/>
          <w:rFonts w:ascii="Times New Roman" w:hAnsi="Times New Roman"/>
        </w:rPr>
        <w:footnoteRef/>
      </w:r>
      <w:r w:rsidR="000D019D" w:rsidRPr="004E526E">
        <w:t xml:space="preserve"> Suppl</w:t>
      </w:r>
      <w:r w:rsidR="00F000DB">
        <w:t>e</w:t>
      </w:r>
      <w:r w:rsidR="000D019D" w:rsidRPr="004E526E">
        <w:t>ment at</w:t>
      </w:r>
      <w:r w:rsidRPr="004E526E">
        <w:t xml:space="preserve"> 2-3.</w:t>
      </w:r>
    </w:p>
  </w:footnote>
  <w:footnote w:id="38">
    <w:p w14:paraId="206D5B98" w14:textId="3A8FA7A7" w:rsidR="002101CF" w:rsidRDefault="004B5924" w:rsidP="002101CF">
      <w:pPr>
        <w:pStyle w:val="FootnoteText"/>
      </w:pPr>
      <w:r>
        <w:rPr>
          <w:rStyle w:val="FootnoteReference"/>
        </w:rPr>
        <w:footnoteRef/>
      </w:r>
      <w:r>
        <w:t xml:space="preserve"> Petition at 7.</w:t>
      </w:r>
    </w:p>
  </w:footnote>
  <w:footnote w:id="39">
    <w:p w14:paraId="2892C245" w14:textId="35063A22" w:rsidR="00EA580E" w:rsidRPr="004B5924" w:rsidRDefault="004B5924" w:rsidP="00517D71">
      <w:pPr>
        <w:pStyle w:val="FootnoteText"/>
        <w:jc w:val="left"/>
      </w:pPr>
      <w:r>
        <w:rPr>
          <w:rStyle w:val="FootnoteReference"/>
        </w:rPr>
        <w:footnoteRef/>
      </w:r>
      <w:r>
        <w:t xml:space="preserve"> </w:t>
      </w:r>
      <w:r>
        <w:rPr>
          <w:i/>
        </w:rPr>
        <w:t xml:space="preserve">Id. </w:t>
      </w:r>
      <w:r>
        <w:t>at 12.</w:t>
      </w:r>
    </w:p>
  </w:footnote>
  <w:footnote w:id="40">
    <w:p w14:paraId="21339E3F" w14:textId="6AF84A24"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F000DB">
        <w:rPr>
          <w:i/>
        </w:rPr>
        <w:t>Id.</w:t>
      </w:r>
      <w:r w:rsidR="00F000DB" w:rsidRPr="004E526E">
        <w:t xml:space="preserve"> </w:t>
      </w:r>
      <w:r w:rsidRPr="004E526E">
        <w:t xml:space="preserve"> </w:t>
      </w:r>
    </w:p>
  </w:footnote>
  <w:footnote w:id="41">
    <w:p w14:paraId="4B2F1D82" w14:textId="77777777" w:rsidR="00FE1862" w:rsidRPr="004E526E" w:rsidRDefault="00FE1862" w:rsidP="00FA37B0">
      <w:pPr>
        <w:pStyle w:val="FootnoteText"/>
        <w:jc w:val="left"/>
      </w:pPr>
      <w:r w:rsidRPr="004E526E">
        <w:rPr>
          <w:rStyle w:val="FootnoteReference"/>
          <w:rFonts w:ascii="Times New Roman" w:hAnsi="Times New Roman"/>
        </w:rPr>
        <w:footnoteRef/>
      </w:r>
      <w:r w:rsidRPr="004E526E">
        <w:t xml:space="preserve"> 47 U.S.C. § 534(h)(1)(C)(ii)(IV).</w:t>
      </w:r>
    </w:p>
  </w:footnote>
  <w:footnote w:id="42">
    <w:p w14:paraId="5CFE0871" w14:textId="4F90ECDB" w:rsidR="001F7D43" w:rsidRPr="004E526E" w:rsidRDefault="001F7D43" w:rsidP="001F7D43">
      <w:pPr>
        <w:shd w:val="clear" w:color="auto" w:fill="FFFFFF"/>
        <w:spacing w:after="120"/>
        <w:jc w:val="left"/>
        <w:rPr>
          <w:color w:val="212121"/>
          <w:sz w:val="20"/>
        </w:rPr>
      </w:pPr>
      <w:r w:rsidRPr="004E526E">
        <w:rPr>
          <w:rStyle w:val="FootnoteReference"/>
          <w:rFonts w:ascii="Times New Roman" w:hAnsi="Times New Roman"/>
        </w:rPr>
        <w:footnoteRef/>
      </w:r>
      <w:r w:rsidRPr="004E526E">
        <w:rPr>
          <w:sz w:val="20"/>
        </w:rPr>
        <w:t xml:space="preserve"> </w:t>
      </w:r>
      <w:r>
        <w:rPr>
          <w:i/>
          <w:color w:val="212121"/>
          <w:sz w:val="20"/>
        </w:rPr>
        <w:t>See, e.g., Petition for Modification of Dayton, OH Designated Mkt</w:t>
      </w:r>
      <w:r w:rsidR="00C52E03">
        <w:rPr>
          <w:i/>
          <w:color w:val="212121"/>
          <w:sz w:val="20"/>
        </w:rPr>
        <w:t>.</w:t>
      </w:r>
      <w:r>
        <w:rPr>
          <w:i/>
          <w:color w:val="212121"/>
          <w:sz w:val="20"/>
        </w:rPr>
        <w:t xml:space="preserve"> Area</w:t>
      </w:r>
      <w:r w:rsidR="00C52E03">
        <w:rPr>
          <w:i/>
          <w:color w:val="212121"/>
          <w:sz w:val="20"/>
        </w:rPr>
        <w:t xml:space="preserve"> with Regard to Television Station WHIO-TV, Dayton, OH</w:t>
      </w:r>
      <w:r w:rsidRPr="004E526E">
        <w:rPr>
          <w:color w:val="212121"/>
          <w:sz w:val="20"/>
        </w:rPr>
        <w:t xml:space="preserve">, Memorandum Opinion and Order, </w:t>
      </w:r>
      <w:r>
        <w:rPr>
          <w:color w:val="212121"/>
          <w:sz w:val="20"/>
        </w:rPr>
        <w:t>28 FCC Rcd 16011, 16019, para. 22</w:t>
      </w:r>
      <w:r w:rsidRPr="004E526E">
        <w:rPr>
          <w:color w:val="212121"/>
          <w:sz w:val="20"/>
        </w:rPr>
        <w:t xml:space="preserve"> (MB 201</w:t>
      </w:r>
      <w:r>
        <w:rPr>
          <w:color w:val="212121"/>
          <w:sz w:val="20"/>
        </w:rPr>
        <w:t>3</w:t>
      </w:r>
      <w:r w:rsidRPr="004E526E">
        <w:rPr>
          <w:color w:val="212121"/>
          <w:sz w:val="20"/>
        </w:rPr>
        <w:t>)</w:t>
      </w:r>
      <w:r>
        <w:rPr>
          <w:color w:val="212121"/>
          <w:sz w:val="20"/>
        </w:rPr>
        <w:t xml:space="preserve">; </w:t>
      </w:r>
      <w:r>
        <w:rPr>
          <w:i/>
          <w:color w:val="212121"/>
          <w:sz w:val="20"/>
        </w:rPr>
        <w:t>see also, e.</w:t>
      </w:r>
      <w:r w:rsidRPr="004B50E1">
        <w:rPr>
          <w:i/>
          <w:color w:val="212121"/>
          <w:sz w:val="20"/>
        </w:rPr>
        <w:t>g</w:t>
      </w:r>
      <w:r>
        <w:rPr>
          <w:i/>
          <w:color w:val="212121"/>
          <w:sz w:val="20"/>
        </w:rPr>
        <w:t>.,</w:t>
      </w:r>
      <w:r>
        <w:rPr>
          <w:color w:val="212121"/>
          <w:sz w:val="20"/>
        </w:rPr>
        <w:t xml:space="preserve"> </w:t>
      </w:r>
      <w:r w:rsidR="00C52E03">
        <w:rPr>
          <w:i/>
          <w:color w:val="212121"/>
          <w:sz w:val="20"/>
        </w:rPr>
        <w:t xml:space="preserve">Jackson </w:t>
      </w:r>
      <w:r w:rsidRPr="004B50E1">
        <w:rPr>
          <w:i/>
          <w:color w:val="212121"/>
          <w:sz w:val="20"/>
        </w:rPr>
        <w:t xml:space="preserve">Tennessee Broadcasting </w:t>
      </w:r>
      <w:r w:rsidR="00C52E03">
        <w:rPr>
          <w:i/>
          <w:color w:val="212121"/>
          <w:sz w:val="20"/>
        </w:rPr>
        <w:t>Order</w:t>
      </w:r>
      <w:r w:rsidRPr="00714B37">
        <w:rPr>
          <w:color w:val="212121"/>
          <w:sz w:val="20"/>
        </w:rPr>
        <w:t xml:space="preserve">, 23 FCC Rcd </w:t>
      </w:r>
      <w:r w:rsidR="00C52E03">
        <w:rPr>
          <w:color w:val="212121"/>
          <w:sz w:val="20"/>
        </w:rPr>
        <w:t>at</w:t>
      </w:r>
      <w:r>
        <w:rPr>
          <w:color w:val="212121"/>
          <w:sz w:val="20"/>
        </w:rPr>
        <w:t xml:space="preserve"> 3947, para. 49.</w:t>
      </w:r>
    </w:p>
  </w:footnote>
  <w:footnote w:id="43">
    <w:p w14:paraId="51E16299" w14:textId="669445F2"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0D019D" w:rsidRPr="004E526E">
        <w:t xml:space="preserve">Petition at 7, 12 (noting that Lee County is served by </w:t>
      </w:r>
      <w:r w:rsidRPr="004E526E">
        <w:t xml:space="preserve">WSFA </w:t>
      </w:r>
      <w:r w:rsidR="00830430">
        <w:t>licensed to</w:t>
      </w:r>
      <w:r w:rsidRPr="004E526E">
        <w:t xml:space="preserve"> Montgomery, Ala</w:t>
      </w:r>
      <w:r w:rsidR="00830430">
        <w:t>bama</w:t>
      </w:r>
      <w:r w:rsidR="000D019D" w:rsidRPr="004E526E">
        <w:t>, a</w:t>
      </w:r>
      <w:r w:rsidRPr="004E526E">
        <w:t xml:space="preserve">nd WXTX </w:t>
      </w:r>
      <w:r w:rsidR="00830430">
        <w:t>licensed to</w:t>
      </w:r>
      <w:r w:rsidRPr="004E526E">
        <w:t xml:space="preserve"> Columb</w:t>
      </w:r>
      <w:r w:rsidR="004B59D8">
        <w:t>us</w:t>
      </w:r>
      <w:r w:rsidRPr="004E526E">
        <w:t>, Georgia)</w:t>
      </w:r>
      <w:r w:rsidR="000D019D" w:rsidRPr="004E526E">
        <w:t>.</w:t>
      </w:r>
    </w:p>
  </w:footnote>
  <w:footnote w:id="44">
    <w:p w14:paraId="6A1C23B7" w14:textId="033D1030" w:rsidR="00830430" w:rsidRPr="00830430" w:rsidRDefault="00830430">
      <w:pPr>
        <w:pStyle w:val="FootnoteText"/>
      </w:pPr>
      <w:r>
        <w:rPr>
          <w:rStyle w:val="FootnoteReference"/>
        </w:rPr>
        <w:footnoteRef/>
      </w:r>
      <w:r>
        <w:t xml:space="preserve"> </w:t>
      </w:r>
      <w:r>
        <w:rPr>
          <w:i/>
        </w:rPr>
        <w:t>Id.</w:t>
      </w:r>
      <w:r>
        <w:t xml:space="preserve"> at 12.</w:t>
      </w:r>
    </w:p>
  </w:footnote>
  <w:footnote w:id="45">
    <w:p w14:paraId="4E905ECC" w14:textId="614C5291" w:rsidR="00FE1862" w:rsidRPr="004E526E" w:rsidRDefault="00FE1862" w:rsidP="00FA37B0">
      <w:pPr>
        <w:pStyle w:val="FootnoteText"/>
        <w:jc w:val="left"/>
      </w:pPr>
      <w:r w:rsidRPr="004E526E">
        <w:rPr>
          <w:rStyle w:val="FootnoteReference"/>
          <w:rFonts w:ascii="Times New Roman" w:hAnsi="Times New Roman"/>
        </w:rPr>
        <w:footnoteRef/>
      </w:r>
      <w:r w:rsidRPr="004E526E">
        <w:t xml:space="preserve"> 47 U.S.C. § 53</w:t>
      </w:r>
      <w:r w:rsidR="00AE0FD6">
        <w:t>4</w:t>
      </w:r>
      <w:r w:rsidRPr="004E526E">
        <w:t>(h)(1)(C)(ii)(V).</w:t>
      </w:r>
    </w:p>
  </w:footnote>
  <w:footnote w:id="46">
    <w:p w14:paraId="1391A270" w14:textId="7EC1AE4A" w:rsidR="003774E7" w:rsidRPr="004E526E" w:rsidRDefault="003774E7" w:rsidP="00517D71">
      <w:pPr>
        <w:pStyle w:val="FootnoteText"/>
        <w:jc w:val="left"/>
      </w:pPr>
      <w:r w:rsidRPr="004E526E">
        <w:rPr>
          <w:rStyle w:val="FootnoteReference"/>
          <w:rFonts w:ascii="Times New Roman" w:hAnsi="Times New Roman"/>
        </w:rPr>
        <w:footnoteRef/>
      </w:r>
      <w:r w:rsidRPr="004E526E">
        <w:t xml:space="preserve"> Suppl</w:t>
      </w:r>
      <w:r w:rsidR="007672BB">
        <w:t>e</w:t>
      </w:r>
      <w:r w:rsidRPr="004E526E">
        <w:t xml:space="preserve">ment at 2, n. 1. </w:t>
      </w:r>
    </w:p>
  </w:footnote>
  <w:footnote w:id="47">
    <w:p w14:paraId="55114C7F" w14:textId="2E2E18E6"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7672BB">
        <w:rPr>
          <w:i/>
        </w:rPr>
        <w:t xml:space="preserve">Id. </w:t>
      </w:r>
      <w:r w:rsidR="000D019D" w:rsidRPr="004E526E">
        <w:t>at</w:t>
      </w:r>
      <w:r w:rsidR="00CE3D60" w:rsidRPr="004E526E">
        <w:t xml:space="preserve"> 2</w:t>
      </w:r>
      <w:r w:rsidR="007672BB">
        <w:t xml:space="preserve"> and Attach.</w:t>
      </w:r>
      <w:r w:rsidR="003774E7" w:rsidRPr="004E526E">
        <w:t xml:space="preserve"> B. </w:t>
      </w:r>
      <w:r w:rsidR="00CE3D60" w:rsidRPr="004E526E">
        <w:t xml:space="preserve">The WCOV </w:t>
      </w:r>
      <w:r w:rsidR="007672BB">
        <w:t xml:space="preserve">local </w:t>
      </w:r>
      <w:r w:rsidR="00CE3D60" w:rsidRPr="004E526E">
        <w:t xml:space="preserve">news </w:t>
      </w:r>
      <w:r w:rsidR="007672BB">
        <w:t>airs</w:t>
      </w:r>
      <w:r w:rsidRPr="004E526E">
        <w:t xml:space="preserve"> from 9-</w:t>
      </w:r>
      <w:r w:rsidR="007672BB">
        <w:t>9:35</w:t>
      </w:r>
      <w:r w:rsidRPr="004E526E">
        <w:t xml:space="preserve"> p.m.</w:t>
      </w:r>
    </w:p>
  </w:footnote>
  <w:footnote w:id="48">
    <w:p w14:paraId="13B08B9E" w14:textId="77777777"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3774E7" w:rsidRPr="004E526E">
        <w:rPr>
          <w:i/>
        </w:rPr>
        <w:t>Id.</w:t>
      </w:r>
    </w:p>
  </w:footnote>
  <w:footnote w:id="49">
    <w:p w14:paraId="6D3BFE89" w14:textId="543E5993" w:rsidR="00C2167F" w:rsidRPr="00C2167F" w:rsidRDefault="00C2167F">
      <w:pPr>
        <w:pStyle w:val="FootnoteText"/>
      </w:pPr>
      <w:r>
        <w:rPr>
          <w:rStyle w:val="FootnoteReference"/>
        </w:rPr>
        <w:footnoteRef/>
      </w:r>
      <w:r>
        <w:t xml:space="preserve"> </w:t>
      </w:r>
      <w:r>
        <w:rPr>
          <w:i/>
        </w:rPr>
        <w:t>Id.</w:t>
      </w:r>
      <w:r>
        <w:t xml:space="preserve"> at 2.</w:t>
      </w:r>
    </w:p>
  </w:footnote>
  <w:footnote w:id="50">
    <w:p w14:paraId="76E8D9F4" w14:textId="75BEA4BA"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EA6DE7">
        <w:rPr>
          <w:i/>
        </w:rPr>
        <w:t>Id.</w:t>
      </w:r>
      <w:r w:rsidR="00DA2B8E">
        <w:rPr>
          <w:i/>
        </w:rPr>
        <w:t xml:space="preserve"> </w:t>
      </w:r>
      <w:r w:rsidR="00C2167F" w:rsidRPr="00B5543F">
        <w:t xml:space="preserve">at </w:t>
      </w:r>
      <w:r w:rsidR="00C2167F" w:rsidRPr="007F559F">
        <w:t>Attach</w:t>
      </w:r>
      <w:r w:rsidR="009B5137" w:rsidRPr="007F559F">
        <w:t>.</w:t>
      </w:r>
      <w:r w:rsidR="00C2167F" w:rsidRPr="007F559F">
        <w:t xml:space="preserve"> B.</w:t>
      </w:r>
    </w:p>
  </w:footnote>
  <w:footnote w:id="51">
    <w:p w14:paraId="5DFE5043" w14:textId="34CDDE46" w:rsidR="00FE1862" w:rsidRPr="004E526E" w:rsidRDefault="00FE1862" w:rsidP="00517D71">
      <w:pPr>
        <w:pStyle w:val="FootnoteText"/>
        <w:jc w:val="left"/>
      </w:pPr>
      <w:r w:rsidRPr="004E526E">
        <w:rPr>
          <w:rStyle w:val="FootnoteReference"/>
          <w:rFonts w:ascii="Times New Roman" w:hAnsi="Times New Roman"/>
        </w:rPr>
        <w:footnoteRef/>
      </w:r>
      <w:r w:rsidR="009B5109" w:rsidRPr="004E526E">
        <w:t xml:space="preserve"> </w:t>
      </w:r>
      <w:r w:rsidR="00EA6DE7">
        <w:rPr>
          <w:i/>
        </w:rPr>
        <w:t>Id.</w:t>
      </w:r>
      <w:r w:rsidR="00C2167F">
        <w:t xml:space="preserve"> at 2.</w:t>
      </w:r>
    </w:p>
  </w:footnote>
  <w:footnote w:id="52">
    <w:p w14:paraId="005A0677" w14:textId="77777777" w:rsidR="00FE1862" w:rsidRPr="004E526E" w:rsidRDefault="00FE1862" w:rsidP="00517D71">
      <w:pPr>
        <w:pStyle w:val="FootnoteText"/>
        <w:jc w:val="left"/>
      </w:pPr>
      <w:r w:rsidRPr="004E526E">
        <w:rPr>
          <w:rStyle w:val="FootnoteReference"/>
          <w:rFonts w:ascii="Times New Roman" w:hAnsi="Times New Roman"/>
        </w:rPr>
        <w:footnoteRef/>
      </w:r>
      <w:r w:rsidRPr="004E526E">
        <w:t xml:space="preserve"> </w:t>
      </w:r>
      <w:r w:rsidR="009B5109" w:rsidRPr="004E526E">
        <w:t>Petition at 6</w:t>
      </w:r>
      <w:r w:rsidR="00CE3D60" w:rsidRPr="004E526E">
        <w:t>.</w:t>
      </w:r>
    </w:p>
  </w:footnote>
  <w:footnote w:id="53">
    <w:p w14:paraId="18B6BAD4" w14:textId="4BD34415" w:rsidR="009B5109" w:rsidRPr="00E55DC2" w:rsidRDefault="009B5109" w:rsidP="00517D71">
      <w:pPr>
        <w:pStyle w:val="FootnoteText"/>
        <w:jc w:val="left"/>
      </w:pPr>
      <w:r w:rsidRPr="004E526E">
        <w:rPr>
          <w:rStyle w:val="FootnoteReference"/>
          <w:rFonts w:ascii="Times New Roman" w:hAnsi="Times New Roman"/>
        </w:rPr>
        <w:footnoteRef/>
      </w:r>
      <w:r w:rsidRPr="004E526E">
        <w:t xml:space="preserve"> </w:t>
      </w:r>
      <w:r w:rsidRPr="00925467">
        <w:rPr>
          <w:i/>
        </w:rPr>
        <w:t>Id.</w:t>
      </w:r>
      <w:r w:rsidRPr="004E526E">
        <w:t xml:space="preserve"> </w:t>
      </w:r>
      <w:r w:rsidR="00E55DC2">
        <w:t xml:space="preserve"> </w:t>
      </w:r>
      <w:r w:rsidR="00E55DC2">
        <w:rPr>
          <w:i/>
        </w:rPr>
        <w:t>See also Mapale LLC for Modification of the Miami, Florida DMA</w:t>
      </w:r>
      <w:r w:rsidR="00E55DC2">
        <w:t>, Memorandum Opinion and Order, 24 FCC Rcd 8366, 8375, para. 12 (MB 2009) (</w:t>
      </w:r>
      <w:r w:rsidR="00C52E03">
        <w:t xml:space="preserve">determining that </w:t>
      </w:r>
      <w:r w:rsidR="00E55DC2">
        <w:t>an overlap of congressional districts can “confirm the commonality of interest” between a station and communities at issue).</w:t>
      </w:r>
    </w:p>
  </w:footnote>
  <w:footnote w:id="54">
    <w:p w14:paraId="352A2851" w14:textId="7E472EC3" w:rsidR="009B5109" w:rsidRPr="004E526E" w:rsidRDefault="009B5109" w:rsidP="00517D71">
      <w:pPr>
        <w:pStyle w:val="FootnoteText"/>
        <w:jc w:val="left"/>
      </w:pPr>
      <w:r w:rsidRPr="004E526E">
        <w:rPr>
          <w:rStyle w:val="FootnoteReference"/>
          <w:rFonts w:ascii="Times New Roman" w:hAnsi="Times New Roman"/>
        </w:rPr>
        <w:footnoteRef/>
      </w:r>
      <w:r w:rsidRPr="004E526E">
        <w:t xml:space="preserve"> </w:t>
      </w:r>
      <w:r w:rsidR="00E55DC2">
        <w:t>Petition at 6.</w:t>
      </w:r>
    </w:p>
  </w:footnote>
  <w:footnote w:id="55">
    <w:p w14:paraId="2D597058" w14:textId="77777777" w:rsidR="00344C99" w:rsidRPr="004E526E" w:rsidRDefault="00344C99" w:rsidP="00FA37B0">
      <w:pPr>
        <w:pStyle w:val="FootnoteText"/>
        <w:jc w:val="left"/>
      </w:pPr>
      <w:r w:rsidRPr="004E526E">
        <w:rPr>
          <w:rStyle w:val="FootnoteReference"/>
          <w:rFonts w:ascii="Times New Roman" w:hAnsi="Times New Roman"/>
        </w:rPr>
        <w:footnoteRef/>
      </w:r>
      <w:r w:rsidRPr="004E526E">
        <w:t xml:space="preserve"> 47 U.S.C. § 534(h)(1)(C).</w:t>
      </w:r>
    </w:p>
  </w:footnote>
  <w:footnote w:id="56">
    <w:p w14:paraId="5B379F82" w14:textId="77777777" w:rsidR="00344C99" w:rsidRPr="004E526E" w:rsidRDefault="00344C99" w:rsidP="00E46B94">
      <w:pPr>
        <w:pStyle w:val="FootnoteText"/>
        <w:jc w:val="left"/>
        <w:rPr>
          <w:highlight w:val="yellow"/>
        </w:rPr>
      </w:pPr>
      <w:r w:rsidRPr="004E526E">
        <w:rPr>
          <w:rStyle w:val="FootnoteReference"/>
          <w:rFonts w:ascii="Times New Roman" w:hAnsi="Times New Roman"/>
        </w:rPr>
        <w:footnoteRef/>
      </w:r>
      <w:r w:rsidRPr="004E526E">
        <w:t xml:space="preserve"> </w:t>
      </w:r>
      <w:r w:rsidRPr="004E526E">
        <w:rPr>
          <w:i/>
        </w:rPr>
        <w:t>Id.</w:t>
      </w:r>
      <w:r w:rsidRPr="004E526E">
        <w:t xml:space="preserve"> § 534(h)(1)(C)(ii). </w:t>
      </w:r>
    </w:p>
  </w:footnote>
  <w:footnote w:id="57">
    <w:p w14:paraId="7FEF1943" w14:textId="77777777" w:rsidR="009276DC" w:rsidRPr="004E526E" w:rsidRDefault="00A179C3" w:rsidP="00830430">
      <w:pPr>
        <w:pStyle w:val="FootnoteText"/>
        <w:jc w:val="left"/>
      </w:pPr>
      <w:r w:rsidRPr="004E526E">
        <w:rPr>
          <w:rStyle w:val="FootnoteReference"/>
          <w:rFonts w:ascii="Times New Roman" w:hAnsi="Times New Roman"/>
        </w:rPr>
        <w:footnoteRef/>
      </w:r>
      <w:r w:rsidR="00925A69" w:rsidRPr="004E526E">
        <w:t xml:space="preserve"> 47 CFR</w:t>
      </w:r>
      <w:r w:rsidRPr="004E526E">
        <w:t xml:space="preserve">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9A83" w14:textId="77777777" w:rsidR="0027591D" w:rsidRDefault="00275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6C2E2" w14:textId="3F822380" w:rsidR="009276DC" w:rsidRDefault="00A179C3">
    <w:pPr>
      <w:tabs>
        <w:tab w:val="center" w:pos="4680"/>
        <w:tab w:val="right" w:pos="9360"/>
      </w:tabs>
      <w:suppressAutoHyphens/>
      <w:spacing w:line="227" w:lineRule="auto"/>
      <w:rPr>
        <w:spacing w:val="-2"/>
      </w:rPr>
    </w:pPr>
    <w:r>
      <w:rPr>
        <w:b/>
        <w:spacing w:val="-2"/>
      </w:rPr>
      <w:tab/>
      <w:t>Federal Communications Commission</w:t>
    </w:r>
    <w:r>
      <w:rPr>
        <w:spacing w:val="-2"/>
      </w:rPr>
      <w:tab/>
    </w:r>
    <w:r w:rsidR="00334079">
      <w:rPr>
        <w:b/>
      </w:rPr>
      <w:t>DA 17</w:t>
    </w:r>
    <w:r>
      <w:rPr>
        <w:b/>
      </w:rPr>
      <w:t>-</w:t>
    </w:r>
    <w:r w:rsidR="00C3502F">
      <w:rPr>
        <w:b/>
      </w:rPr>
      <w:t>779</w:t>
    </w:r>
  </w:p>
  <w:p w14:paraId="169F449A" w14:textId="77777777" w:rsidR="009276DC" w:rsidRDefault="006B3A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DE625F4" wp14:editId="414ACA06">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7B689D9E" w14:textId="77777777" w:rsidR="009276DC" w:rsidRDefault="00927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DE625F4" id="Rectangle 1" o:spid="_x0000_s1026"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XqUBPegIAAAQFAAAOAAAAAAAA&#10;AAAAAAAAAC4CAABkcnMvZTJvRG9jLnhtbFBLAQItABQABgAIAAAAIQAiPO7R1wAAAAMBAAAPAAAA&#10;AAAAAAAAAAAAANQEAABkcnMvZG93bnJldi54bWxQSwUGAAAAAAQABADzAAAA2AUAAAAA&#10;" o:allowincell="f" fillcolor="black" stroked="f" strokeweight=".05pt">
              <v:textbox>
                <w:txbxContent>
                  <w:p w14:paraId="7B689D9E" w14:textId="77777777" w:rsidR="009276DC" w:rsidRDefault="009276DC"/>
                </w:txbxContent>
              </v:textbox>
              <w10:wrap anchorx="margin"/>
            </v:rect>
          </w:pict>
        </mc:Fallback>
      </mc:AlternateContent>
    </w:r>
  </w:p>
  <w:p w14:paraId="77177C04" w14:textId="77777777" w:rsidR="009276DC" w:rsidRDefault="009276D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8BFD2" w14:textId="5B17F600" w:rsidR="00755C68" w:rsidRPr="00755C68" w:rsidRDefault="00A179C3">
    <w:pPr>
      <w:tabs>
        <w:tab w:val="center" w:pos="4680"/>
        <w:tab w:val="right" w:pos="9360"/>
      </w:tabs>
      <w:suppressAutoHyphens/>
      <w:spacing w:line="227" w:lineRule="auto"/>
      <w:rPr>
        <w:b/>
      </w:rPr>
    </w:pPr>
    <w:r>
      <w:rPr>
        <w:b/>
        <w:spacing w:val="-2"/>
      </w:rPr>
      <w:t xml:space="preserve">  </w:t>
    </w:r>
    <w:r>
      <w:rPr>
        <w:b/>
        <w:spacing w:val="-2"/>
      </w:rPr>
      <w:tab/>
      <w:t>Federal Communications Commission</w:t>
    </w:r>
    <w:r>
      <w:rPr>
        <w:spacing w:val="-2"/>
      </w:rPr>
      <w:tab/>
    </w:r>
    <w:r>
      <w:rPr>
        <w:b/>
      </w:rPr>
      <w:t>DA 1</w:t>
    </w:r>
    <w:r w:rsidR="00BA5304">
      <w:rPr>
        <w:b/>
      </w:rPr>
      <w:t>7</w:t>
    </w:r>
    <w:r w:rsidR="00755C68">
      <w:rPr>
        <w:b/>
      </w:rPr>
      <w:t>-</w:t>
    </w:r>
    <w:r w:rsidR="00E836FB">
      <w:rPr>
        <w:b/>
      </w:rPr>
      <w:t>779</w:t>
    </w:r>
  </w:p>
  <w:p w14:paraId="5773BBDF" w14:textId="77777777" w:rsidR="009276DC" w:rsidRDefault="006B3A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14:anchorId="6D350D7C" wp14:editId="27534EED">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E70156A" w14:textId="77777777" w:rsidR="009276DC" w:rsidRDefault="00927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D350D7C" id="Rectangle 2"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PfQIAAAs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Dur+iPfQIAAAsFAAAOAAAA&#10;AAAAAAAAAAAAAC4CAABkcnMvZTJvRG9jLnhtbFBLAQItABQABgAIAAAAIQAiPO7R1wAAAAMBAAAP&#10;AAAAAAAAAAAAAAAAANcEAABkcnMvZG93bnJldi54bWxQSwUGAAAAAAQABADzAAAA2wUAAAAA&#10;" o:allowincell="f" fillcolor="black" stroked="f" strokeweight=".05pt">
              <v:textbox>
                <w:txbxContent>
                  <w:p w14:paraId="2E70156A" w14:textId="77777777" w:rsidR="009276DC" w:rsidRDefault="009276DC"/>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D33F9C"/>
    <w:multiLevelType w:val="hybridMultilevel"/>
    <w:tmpl w:val="637846C2"/>
    <w:lvl w:ilvl="0" w:tplc="40986F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2">
    <w:nsid w:val="305E3024"/>
    <w:multiLevelType w:val="singleLevel"/>
    <w:tmpl w:val="EA9E5D9A"/>
    <w:lvl w:ilvl="0">
      <w:start w:val="2"/>
      <w:numFmt w:val="decimal"/>
      <w:lvlText w:val="%1."/>
      <w:lvlJc w:val="left"/>
      <w:pPr>
        <w:tabs>
          <w:tab w:val="num" w:pos="1080"/>
        </w:tabs>
        <w:ind w:left="0" w:firstLine="720"/>
      </w:pPr>
    </w:lvl>
  </w:abstractNum>
  <w:abstractNum w:abstractNumId="13">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4">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5">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6">
    <w:nsid w:val="43D27EFD"/>
    <w:multiLevelType w:val="singleLevel"/>
    <w:tmpl w:val="42701C86"/>
    <w:lvl w:ilvl="0">
      <w:start w:val="1"/>
      <w:numFmt w:val="decimal"/>
      <w:lvlText w:val="%1."/>
      <w:lvlJc w:val="left"/>
      <w:pPr>
        <w:tabs>
          <w:tab w:val="num" w:pos="1440"/>
        </w:tabs>
        <w:ind w:left="1440" w:hanging="720"/>
      </w:pPr>
    </w:lvl>
  </w:abstractNum>
  <w:abstractNum w:abstractNumId="17">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5FFF125B"/>
    <w:multiLevelType w:val="singleLevel"/>
    <w:tmpl w:val="B1F45678"/>
    <w:lvl w:ilvl="0">
      <w:start w:val="1"/>
      <w:numFmt w:val="decimal"/>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24">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9"/>
  </w:num>
  <w:num w:numId="3">
    <w:abstractNumId w:val="3"/>
  </w:num>
  <w:num w:numId="4">
    <w:abstractNumId w:val="18"/>
  </w:num>
  <w:num w:numId="5">
    <w:abstractNumId w:val="21"/>
  </w:num>
  <w:num w:numId="6">
    <w:abstractNumId w:val="12"/>
  </w:num>
  <w:num w:numId="7">
    <w:abstractNumId w:val="14"/>
  </w:num>
  <w:num w:numId="8">
    <w:abstractNumId w:val="16"/>
  </w:num>
  <w:num w:numId="9">
    <w:abstractNumId w:val="1"/>
  </w:num>
  <w:num w:numId="10">
    <w:abstractNumId w:val="0"/>
  </w:num>
  <w:num w:numId="11">
    <w:abstractNumId w:val="5"/>
  </w:num>
  <w:num w:numId="12">
    <w:abstractNumId w:val="11"/>
  </w:num>
  <w:num w:numId="13">
    <w:abstractNumId w:val="3"/>
  </w:num>
  <w:num w:numId="14">
    <w:abstractNumId w:val="17"/>
  </w:num>
  <w:num w:numId="15">
    <w:abstractNumId w:val="6"/>
  </w:num>
  <w:num w:numId="16">
    <w:abstractNumId w:val="15"/>
  </w:num>
  <w:num w:numId="17">
    <w:abstractNumId w:val="7"/>
  </w:num>
  <w:num w:numId="18">
    <w:abstractNumId w:val="22"/>
  </w:num>
  <w:num w:numId="19">
    <w:abstractNumId w:val="2"/>
  </w:num>
  <w:num w:numId="20">
    <w:abstractNumId w:val="19"/>
  </w:num>
  <w:num w:numId="21">
    <w:abstractNumId w:val="10"/>
  </w:num>
  <w:num w:numId="22">
    <w:abstractNumId w:val="2"/>
  </w:num>
  <w:num w:numId="23">
    <w:abstractNumId w:val="19"/>
  </w:num>
  <w:num w:numId="24">
    <w:abstractNumId w:val="19"/>
  </w:num>
  <w:num w:numId="25">
    <w:abstractNumId w:val="19"/>
  </w:num>
  <w:num w:numId="26">
    <w:abstractNumId w:val="24"/>
  </w:num>
  <w:num w:numId="27">
    <w:abstractNumId w:val="8"/>
  </w:num>
  <w:num w:numId="28">
    <w:abstractNumId w:val="10"/>
  </w:num>
  <w:num w:numId="29">
    <w:abstractNumId w:val="23"/>
  </w:num>
  <w:num w:numId="30">
    <w:abstractNumId w:val="13"/>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04"/>
    <w:rsid w:val="00002FF4"/>
    <w:rsid w:val="00010DC8"/>
    <w:rsid w:val="00010EE1"/>
    <w:rsid w:val="000251E4"/>
    <w:rsid w:val="00036115"/>
    <w:rsid w:val="00054E52"/>
    <w:rsid w:val="0006751E"/>
    <w:rsid w:val="000824E1"/>
    <w:rsid w:val="00082866"/>
    <w:rsid w:val="000A462C"/>
    <w:rsid w:val="000B1CEF"/>
    <w:rsid w:val="000B45EE"/>
    <w:rsid w:val="000B64FD"/>
    <w:rsid w:val="000D019D"/>
    <w:rsid w:val="000F7549"/>
    <w:rsid w:val="001338DC"/>
    <w:rsid w:val="00156133"/>
    <w:rsid w:val="001642E9"/>
    <w:rsid w:val="001656B1"/>
    <w:rsid w:val="00176296"/>
    <w:rsid w:val="001A379A"/>
    <w:rsid w:val="001A3916"/>
    <w:rsid w:val="001A6FAE"/>
    <w:rsid w:val="001B07D1"/>
    <w:rsid w:val="001B1748"/>
    <w:rsid w:val="001B32A2"/>
    <w:rsid w:val="001B6369"/>
    <w:rsid w:val="001D4341"/>
    <w:rsid w:val="001D4E34"/>
    <w:rsid w:val="001F4232"/>
    <w:rsid w:val="001F7D43"/>
    <w:rsid w:val="00202D97"/>
    <w:rsid w:val="002101CF"/>
    <w:rsid w:val="00227296"/>
    <w:rsid w:val="00242EE5"/>
    <w:rsid w:val="002437F4"/>
    <w:rsid w:val="00253D8C"/>
    <w:rsid w:val="002542B5"/>
    <w:rsid w:val="002614BD"/>
    <w:rsid w:val="00265E34"/>
    <w:rsid w:val="0027591D"/>
    <w:rsid w:val="00291351"/>
    <w:rsid w:val="00295775"/>
    <w:rsid w:val="002A4853"/>
    <w:rsid w:val="002B622F"/>
    <w:rsid w:val="002C3EC2"/>
    <w:rsid w:val="002C56D1"/>
    <w:rsid w:val="002F5B7D"/>
    <w:rsid w:val="003104D8"/>
    <w:rsid w:val="003201A6"/>
    <w:rsid w:val="003335B0"/>
    <w:rsid w:val="00334079"/>
    <w:rsid w:val="003375C0"/>
    <w:rsid w:val="00344C99"/>
    <w:rsid w:val="00344DA8"/>
    <w:rsid w:val="003454F4"/>
    <w:rsid w:val="00351D9E"/>
    <w:rsid w:val="003527C0"/>
    <w:rsid w:val="0035318D"/>
    <w:rsid w:val="00364717"/>
    <w:rsid w:val="003774E7"/>
    <w:rsid w:val="00397FE9"/>
    <w:rsid w:val="003A7FDE"/>
    <w:rsid w:val="003B427A"/>
    <w:rsid w:val="003B50F3"/>
    <w:rsid w:val="003C1D30"/>
    <w:rsid w:val="003D0568"/>
    <w:rsid w:val="003D5560"/>
    <w:rsid w:val="003E585B"/>
    <w:rsid w:val="003E7A6D"/>
    <w:rsid w:val="003F1CF8"/>
    <w:rsid w:val="00403649"/>
    <w:rsid w:val="00416B5D"/>
    <w:rsid w:val="0042067F"/>
    <w:rsid w:val="004260C4"/>
    <w:rsid w:val="004470AD"/>
    <w:rsid w:val="0044798C"/>
    <w:rsid w:val="004503C2"/>
    <w:rsid w:val="0045356A"/>
    <w:rsid w:val="00455B9C"/>
    <w:rsid w:val="00466179"/>
    <w:rsid w:val="00474E73"/>
    <w:rsid w:val="004807A3"/>
    <w:rsid w:val="00482A5B"/>
    <w:rsid w:val="00485D29"/>
    <w:rsid w:val="004866BB"/>
    <w:rsid w:val="004B5924"/>
    <w:rsid w:val="004B59D8"/>
    <w:rsid w:val="004C170E"/>
    <w:rsid w:val="004C3767"/>
    <w:rsid w:val="004C3F56"/>
    <w:rsid w:val="004C4080"/>
    <w:rsid w:val="004D78AF"/>
    <w:rsid w:val="004E526E"/>
    <w:rsid w:val="005171F7"/>
    <w:rsid w:val="00517D71"/>
    <w:rsid w:val="00523335"/>
    <w:rsid w:val="00543C17"/>
    <w:rsid w:val="00562FE6"/>
    <w:rsid w:val="00587CF2"/>
    <w:rsid w:val="00596796"/>
    <w:rsid w:val="00596910"/>
    <w:rsid w:val="005A6DBF"/>
    <w:rsid w:val="005A77B1"/>
    <w:rsid w:val="005E112A"/>
    <w:rsid w:val="00600A02"/>
    <w:rsid w:val="00606B2B"/>
    <w:rsid w:val="00625708"/>
    <w:rsid w:val="00632B9B"/>
    <w:rsid w:val="00632C6E"/>
    <w:rsid w:val="00634967"/>
    <w:rsid w:val="006572B9"/>
    <w:rsid w:val="00660CCC"/>
    <w:rsid w:val="00670FB9"/>
    <w:rsid w:val="00675644"/>
    <w:rsid w:val="00677C4F"/>
    <w:rsid w:val="006B3A77"/>
    <w:rsid w:val="006C0FBF"/>
    <w:rsid w:val="006C3332"/>
    <w:rsid w:val="006C7CD4"/>
    <w:rsid w:val="006D0391"/>
    <w:rsid w:val="006D0AA1"/>
    <w:rsid w:val="006F2AB2"/>
    <w:rsid w:val="007349FE"/>
    <w:rsid w:val="0075128A"/>
    <w:rsid w:val="00755C68"/>
    <w:rsid w:val="007565A4"/>
    <w:rsid w:val="00757FB3"/>
    <w:rsid w:val="00760555"/>
    <w:rsid w:val="00762F88"/>
    <w:rsid w:val="007672BB"/>
    <w:rsid w:val="007674EA"/>
    <w:rsid w:val="0077148B"/>
    <w:rsid w:val="00780CA9"/>
    <w:rsid w:val="0078114E"/>
    <w:rsid w:val="007925FF"/>
    <w:rsid w:val="00795FD2"/>
    <w:rsid w:val="007A7E23"/>
    <w:rsid w:val="007B470D"/>
    <w:rsid w:val="007B6600"/>
    <w:rsid w:val="007D11F1"/>
    <w:rsid w:val="007D3AC8"/>
    <w:rsid w:val="007E508C"/>
    <w:rsid w:val="007F559F"/>
    <w:rsid w:val="00821844"/>
    <w:rsid w:val="008241CE"/>
    <w:rsid w:val="00830430"/>
    <w:rsid w:val="00835172"/>
    <w:rsid w:val="0085045E"/>
    <w:rsid w:val="00852701"/>
    <w:rsid w:val="00853AB8"/>
    <w:rsid w:val="00860A7C"/>
    <w:rsid w:val="0086137C"/>
    <w:rsid w:val="0086266D"/>
    <w:rsid w:val="00884557"/>
    <w:rsid w:val="00887B58"/>
    <w:rsid w:val="00894B39"/>
    <w:rsid w:val="008A05A0"/>
    <w:rsid w:val="008B5D7F"/>
    <w:rsid w:val="008B6C00"/>
    <w:rsid w:val="008B7AE3"/>
    <w:rsid w:val="008D7C60"/>
    <w:rsid w:val="008F3AA6"/>
    <w:rsid w:val="008F7F9C"/>
    <w:rsid w:val="00900CE0"/>
    <w:rsid w:val="00903755"/>
    <w:rsid w:val="00911173"/>
    <w:rsid w:val="00923381"/>
    <w:rsid w:val="00925467"/>
    <w:rsid w:val="00925A69"/>
    <w:rsid w:val="009276DC"/>
    <w:rsid w:val="0093223F"/>
    <w:rsid w:val="00935C6C"/>
    <w:rsid w:val="009411A8"/>
    <w:rsid w:val="009624D3"/>
    <w:rsid w:val="009B5109"/>
    <w:rsid w:val="009B5137"/>
    <w:rsid w:val="009D11DD"/>
    <w:rsid w:val="009D537E"/>
    <w:rsid w:val="009D633A"/>
    <w:rsid w:val="009D7E58"/>
    <w:rsid w:val="009E42F7"/>
    <w:rsid w:val="00A03575"/>
    <w:rsid w:val="00A06BAA"/>
    <w:rsid w:val="00A179C3"/>
    <w:rsid w:val="00A3712A"/>
    <w:rsid w:val="00A377B3"/>
    <w:rsid w:val="00A46545"/>
    <w:rsid w:val="00A54A29"/>
    <w:rsid w:val="00A72EC1"/>
    <w:rsid w:val="00A92D98"/>
    <w:rsid w:val="00AA0D7E"/>
    <w:rsid w:val="00AC463B"/>
    <w:rsid w:val="00AE0FD6"/>
    <w:rsid w:val="00AE30BB"/>
    <w:rsid w:val="00AF1133"/>
    <w:rsid w:val="00AF1A85"/>
    <w:rsid w:val="00AF6B6E"/>
    <w:rsid w:val="00B0153D"/>
    <w:rsid w:val="00B22D99"/>
    <w:rsid w:val="00B3561A"/>
    <w:rsid w:val="00B443BD"/>
    <w:rsid w:val="00B5543F"/>
    <w:rsid w:val="00B61BB0"/>
    <w:rsid w:val="00B660D9"/>
    <w:rsid w:val="00B66202"/>
    <w:rsid w:val="00BA5304"/>
    <w:rsid w:val="00BC51F5"/>
    <w:rsid w:val="00BF0AEB"/>
    <w:rsid w:val="00BF3B0D"/>
    <w:rsid w:val="00BF587F"/>
    <w:rsid w:val="00C04CAE"/>
    <w:rsid w:val="00C062FE"/>
    <w:rsid w:val="00C14F85"/>
    <w:rsid w:val="00C2167F"/>
    <w:rsid w:val="00C34FF7"/>
    <w:rsid w:val="00C3502F"/>
    <w:rsid w:val="00C35ED0"/>
    <w:rsid w:val="00C375AC"/>
    <w:rsid w:val="00C4142A"/>
    <w:rsid w:val="00C45D30"/>
    <w:rsid w:val="00C52E03"/>
    <w:rsid w:val="00C612B8"/>
    <w:rsid w:val="00C62AC0"/>
    <w:rsid w:val="00C66F11"/>
    <w:rsid w:val="00C67EF6"/>
    <w:rsid w:val="00C7233C"/>
    <w:rsid w:val="00C86E25"/>
    <w:rsid w:val="00CA5923"/>
    <w:rsid w:val="00CB523A"/>
    <w:rsid w:val="00CD1CB0"/>
    <w:rsid w:val="00CD2BF2"/>
    <w:rsid w:val="00CE01FF"/>
    <w:rsid w:val="00CE3239"/>
    <w:rsid w:val="00CE3D60"/>
    <w:rsid w:val="00D26E74"/>
    <w:rsid w:val="00D316F0"/>
    <w:rsid w:val="00D33B5C"/>
    <w:rsid w:val="00D36B2E"/>
    <w:rsid w:val="00D64AFB"/>
    <w:rsid w:val="00D84F68"/>
    <w:rsid w:val="00DA2B8E"/>
    <w:rsid w:val="00DA3BB3"/>
    <w:rsid w:val="00DB14E3"/>
    <w:rsid w:val="00DC68D4"/>
    <w:rsid w:val="00DD3685"/>
    <w:rsid w:val="00DE15B8"/>
    <w:rsid w:val="00DE3D6E"/>
    <w:rsid w:val="00DE5448"/>
    <w:rsid w:val="00DF67BC"/>
    <w:rsid w:val="00E26E9F"/>
    <w:rsid w:val="00E36FBE"/>
    <w:rsid w:val="00E46B94"/>
    <w:rsid w:val="00E55DC2"/>
    <w:rsid w:val="00E70DCD"/>
    <w:rsid w:val="00E81887"/>
    <w:rsid w:val="00E836FB"/>
    <w:rsid w:val="00E86D27"/>
    <w:rsid w:val="00EA1C42"/>
    <w:rsid w:val="00EA580E"/>
    <w:rsid w:val="00EA6DE7"/>
    <w:rsid w:val="00EB7EBC"/>
    <w:rsid w:val="00EC419D"/>
    <w:rsid w:val="00ED299C"/>
    <w:rsid w:val="00EE7EB4"/>
    <w:rsid w:val="00F000DB"/>
    <w:rsid w:val="00F0784B"/>
    <w:rsid w:val="00F17358"/>
    <w:rsid w:val="00F270C2"/>
    <w:rsid w:val="00F76109"/>
    <w:rsid w:val="00FA37B0"/>
    <w:rsid w:val="00FB554C"/>
    <w:rsid w:val="00FE1862"/>
    <w:rsid w:val="00FE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26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link w:val="FootnoteTextChar"/>
    <w:semiHidden/>
    <w:pPr>
      <w:widowControl w:val="0"/>
      <w:tabs>
        <w:tab w:val="left" w:pos="720"/>
        <w:tab w:val="left" w:pos="1440"/>
      </w:tabs>
      <w:spacing w:after="120"/>
      <w:jc w:val="both"/>
    </w:pPr>
    <w:rPr>
      <w:noProof/>
    </w:rPr>
  </w:style>
  <w:style w:type="character" w:styleId="FootnoteReference">
    <w:name w:val="footnote reference"/>
    <w:semiHidden/>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rsid w:val="003454F4"/>
    <w:pPr>
      <w:ind w:left="720"/>
    </w:pPr>
  </w:style>
  <w:style w:type="character" w:customStyle="1" w:styleId="HeaderChar">
    <w:name w:val="Header Char"/>
    <w:basedOn w:val="DefaultParagraphFont"/>
    <w:link w:val="Header"/>
    <w:uiPriority w:val="99"/>
    <w:rsid w:val="00755C68"/>
    <w:rPr>
      <w:snapToGrid w:val="0"/>
      <w:kern w:val="28"/>
      <w:sz w:val="22"/>
    </w:rPr>
  </w:style>
  <w:style w:type="character" w:customStyle="1" w:styleId="FootnoteTextChar">
    <w:name w:val="Footnote Text Char"/>
    <w:basedOn w:val="DefaultParagraphFont"/>
    <w:link w:val="FootnoteText"/>
    <w:semiHidden/>
    <w:rsid w:val="00FE1862"/>
    <w:rPr>
      <w:noProof/>
    </w:rPr>
  </w:style>
  <w:style w:type="character" w:styleId="CommentReference">
    <w:name w:val="annotation reference"/>
    <w:basedOn w:val="DefaultParagraphFont"/>
    <w:uiPriority w:val="99"/>
    <w:semiHidden/>
    <w:unhideWhenUsed/>
    <w:rsid w:val="001656B1"/>
    <w:rPr>
      <w:sz w:val="16"/>
      <w:szCs w:val="16"/>
    </w:rPr>
  </w:style>
  <w:style w:type="paragraph" w:styleId="CommentText">
    <w:name w:val="annotation text"/>
    <w:basedOn w:val="Normal"/>
    <w:link w:val="CommentTextChar"/>
    <w:uiPriority w:val="99"/>
    <w:semiHidden/>
    <w:unhideWhenUsed/>
    <w:rsid w:val="001656B1"/>
    <w:rPr>
      <w:sz w:val="20"/>
    </w:rPr>
  </w:style>
  <w:style w:type="character" w:customStyle="1" w:styleId="CommentTextChar">
    <w:name w:val="Comment Text Char"/>
    <w:basedOn w:val="DefaultParagraphFont"/>
    <w:link w:val="CommentText"/>
    <w:uiPriority w:val="99"/>
    <w:semiHidden/>
    <w:rsid w:val="001656B1"/>
    <w:rPr>
      <w:snapToGrid w:val="0"/>
      <w:kern w:val="28"/>
    </w:rPr>
  </w:style>
  <w:style w:type="paragraph" w:styleId="CommentSubject">
    <w:name w:val="annotation subject"/>
    <w:basedOn w:val="CommentText"/>
    <w:next w:val="CommentText"/>
    <w:link w:val="CommentSubjectChar"/>
    <w:uiPriority w:val="99"/>
    <w:semiHidden/>
    <w:unhideWhenUsed/>
    <w:rsid w:val="001656B1"/>
    <w:rPr>
      <w:b/>
      <w:bCs/>
    </w:rPr>
  </w:style>
  <w:style w:type="character" w:customStyle="1" w:styleId="CommentSubjectChar">
    <w:name w:val="Comment Subject Char"/>
    <w:basedOn w:val="CommentTextChar"/>
    <w:link w:val="CommentSubject"/>
    <w:uiPriority w:val="99"/>
    <w:semiHidden/>
    <w:rsid w:val="001656B1"/>
    <w:rPr>
      <w:b/>
      <w:bCs/>
      <w:snapToGrid w:val="0"/>
      <w:kern w:val="28"/>
    </w:rPr>
  </w:style>
  <w:style w:type="paragraph" w:styleId="Revision">
    <w:name w:val="Revision"/>
    <w:hidden/>
    <w:uiPriority w:val="99"/>
    <w:semiHidden/>
    <w:rsid w:val="0006751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link w:val="FootnoteTextChar"/>
    <w:semiHidden/>
    <w:pPr>
      <w:widowControl w:val="0"/>
      <w:tabs>
        <w:tab w:val="left" w:pos="720"/>
        <w:tab w:val="left" w:pos="1440"/>
      </w:tabs>
      <w:spacing w:after="120"/>
      <w:jc w:val="both"/>
    </w:pPr>
    <w:rPr>
      <w:noProof/>
    </w:rPr>
  </w:style>
  <w:style w:type="character" w:styleId="FootnoteReference">
    <w:name w:val="footnote reference"/>
    <w:semiHidden/>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rsid w:val="003454F4"/>
    <w:pPr>
      <w:ind w:left="720"/>
    </w:pPr>
  </w:style>
  <w:style w:type="character" w:customStyle="1" w:styleId="HeaderChar">
    <w:name w:val="Header Char"/>
    <w:basedOn w:val="DefaultParagraphFont"/>
    <w:link w:val="Header"/>
    <w:uiPriority w:val="99"/>
    <w:rsid w:val="00755C68"/>
    <w:rPr>
      <w:snapToGrid w:val="0"/>
      <w:kern w:val="28"/>
      <w:sz w:val="22"/>
    </w:rPr>
  </w:style>
  <w:style w:type="character" w:customStyle="1" w:styleId="FootnoteTextChar">
    <w:name w:val="Footnote Text Char"/>
    <w:basedOn w:val="DefaultParagraphFont"/>
    <w:link w:val="FootnoteText"/>
    <w:semiHidden/>
    <w:rsid w:val="00FE1862"/>
    <w:rPr>
      <w:noProof/>
    </w:rPr>
  </w:style>
  <w:style w:type="character" w:styleId="CommentReference">
    <w:name w:val="annotation reference"/>
    <w:basedOn w:val="DefaultParagraphFont"/>
    <w:uiPriority w:val="99"/>
    <w:semiHidden/>
    <w:unhideWhenUsed/>
    <w:rsid w:val="001656B1"/>
    <w:rPr>
      <w:sz w:val="16"/>
      <w:szCs w:val="16"/>
    </w:rPr>
  </w:style>
  <w:style w:type="paragraph" w:styleId="CommentText">
    <w:name w:val="annotation text"/>
    <w:basedOn w:val="Normal"/>
    <w:link w:val="CommentTextChar"/>
    <w:uiPriority w:val="99"/>
    <w:semiHidden/>
    <w:unhideWhenUsed/>
    <w:rsid w:val="001656B1"/>
    <w:rPr>
      <w:sz w:val="20"/>
    </w:rPr>
  </w:style>
  <w:style w:type="character" w:customStyle="1" w:styleId="CommentTextChar">
    <w:name w:val="Comment Text Char"/>
    <w:basedOn w:val="DefaultParagraphFont"/>
    <w:link w:val="CommentText"/>
    <w:uiPriority w:val="99"/>
    <w:semiHidden/>
    <w:rsid w:val="001656B1"/>
    <w:rPr>
      <w:snapToGrid w:val="0"/>
      <w:kern w:val="28"/>
    </w:rPr>
  </w:style>
  <w:style w:type="paragraph" w:styleId="CommentSubject">
    <w:name w:val="annotation subject"/>
    <w:basedOn w:val="CommentText"/>
    <w:next w:val="CommentText"/>
    <w:link w:val="CommentSubjectChar"/>
    <w:uiPriority w:val="99"/>
    <w:semiHidden/>
    <w:unhideWhenUsed/>
    <w:rsid w:val="001656B1"/>
    <w:rPr>
      <w:b/>
      <w:bCs/>
    </w:rPr>
  </w:style>
  <w:style w:type="character" w:customStyle="1" w:styleId="CommentSubjectChar">
    <w:name w:val="Comment Subject Char"/>
    <w:basedOn w:val="CommentTextChar"/>
    <w:link w:val="CommentSubject"/>
    <w:uiPriority w:val="99"/>
    <w:semiHidden/>
    <w:rsid w:val="001656B1"/>
    <w:rPr>
      <w:b/>
      <w:bCs/>
      <w:snapToGrid w:val="0"/>
      <w:kern w:val="28"/>
    </w:rPr>
  </w:style>
  <w:style w:type="paragraph" w:styleId="Revision">
    <w:name w:val="Revision"/>
    <w:hidden/>
    <w:uiPriority w:val="99"/>
    <w:semiHidden/>
    <w:rsid w:val="0006751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2232</Words>
  <Characters>12448</Characters>
  <Application>Microsoft Office Word</Application>
  <DocSecurity>0</DocSecurity>
  <Lines>210</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14741</CharactersWithSpaces>
  <SharedDoc>false</SharedDoc>
  <HyperlinkBase> </HyperlinkBase>
  <HLinks>
    <vt:vector size="18" baseType="variant">
      <vt:variant>
        <vt:i4>3997785</vt:i4>
      </vt:variant>
      <vt:variant>
        <vt:i4>6</vt:i4>
      </vt:variant>
      <vt:variant>
        <vt:i4>0</vt:i4>
      </vt:variant>
      <vt:variant>
        <vt:i4>5</vt:i4>
      </vt:variant>
      <vt:variant>
        <vt:lpwstr>http://www.pressofatlanticcity.com/business/fla-company-buys-station-tobroadcast-television-in-atlantic-city/article_13e42cf5-5663-5701-a9c4-e4a69b877c3e.html</vt:lpwstr>
      </vt:variant>
      <vt:variant>
        <vt:lpwstr/>
      </vt:variant>
      <vt:variant>
        <vt:i4>5242968</vt:i4>
      </vt:variant>
      <vt:variant>
        <vt:i4>3</vt:i4>
      </vt:variant>
      <vt:variant>
        <vt:i4>0</vt:i4>
      </vt:variant>
      <vt:variant>
        <vt:i4>5</vt:i4>
      </vt:variant>
      <vt:variant>
        <vt:lpwstr>http://www.tvtechnology.com/feature-box/0124/richland-tower-formed--company-wins-new-vhf-tv-station-licenses-for--millions/208385</vt:lpwstr>
      </vt:variant>
      <vt:variant>
        <vt:lpwstr/>
      </vt:variant>
      <vt:variant>
        <vt:i4>65565</vt:i4>
      </vt:variant>
      <vt:variant>
        <vt:i4>0</vt:i4>
      </vt:variant>
      <vt:variant>
        <vt:i4>0</vt:i4>
      </vt:variant>
      <vt:variant>
        <vt:i4>5</vt:i4>
      </vt:variant>
      <vt:variant>
        <vt:lpwstr>http://www.tvtechnology.com/feature-box/0124/fcc-releases-feb-dtv-license-auction-details/207975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2017-07-26T14:20:00Z</cp:lastPrinted>
  <dcterms:created xsi:type="dcterms:W3CDTF">2017-08-16T14:03:00Z</dcterms:created>
  <dcterms:modified xsi:type="dcterms:W3CDTF">2017-08-16T14:03:00Z</dcterms:modified>
  <cp:category> </cp:category>
  <cp:contentStatus> </cp:contentStatus>
</cp:coreProperties>
</file>