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D7AA4" w14:textId="77777777" w:rsidR="004C2EE3" w:rsidRDefault="004C2EE3">
      <w:pPr>
        <w:jc w:val="center"/>
        <w:rPr>
          <w:b/>
        </w:rPr>
      </w:pPr>
      <w:bookmarkStart w:id="0" w:name="_GoBack"/>
      <w:bookmarkEnd w:id="0"/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14:paraId="6626D778" w14:textId="77777777" w:rsidR="00921803" w:rsidRDefault="00921803" w:rsidP="00921803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14:paraId="7B24F407" w14:textId="77777777" w:rsidR="004C2EE3" w:rsidRDefault="00810B6F" w:rsidP="00096D8C">
      <w:pPr>
        <w:pStyle w:val="StyleBoldCentered"/>
      </w:pPr>
      <w:r>
        <w:rPr>
          <w:caps w:val="0"/>
        </w:rPr>
        <w:t>Washington, D.C. 20554</w:t>
      </w:r>
    </w:p>
    <w:p w14:paraId="53B29DCA" w14:textId="77777777" w:rsidR="004C2EE3" w:rsidRDefault="004C2EE3" w:rsidP="0070224F"/>
    <w:p w14:paraId="065C21EF" w14:textId="77777777" w:rsidR="004C2EE3" w:rsidRDefault="004C2EE3" w:rsidP="0070224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4C2EE3" w14:paraId="05741605" w14:textId="77777777">
        <w:tc>
          <w:tcPr>
            <w:tcW w:w="4698" w:type="dxa"/>
          </w:tcPr>
          <w:p w14:paraId="178E6F3F" w14:textId="77777777"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14:paraId="4E4E77D0" w14:textId="77777777"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14:paraId="33573BAF" w14:textId="77777777" w:rsidR="004C2EE3" w:rsidRPr="007115F7" w:rsidRDefault="00006CB9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006CB9">
              <w:rPr>
                <w:spacing w:val="-2"/>
              </w:rPr>
              <w:t>Petition for Rulemaking to Amend</w:t>
            </w:r>
            <w:r>
              <w:rPr>
                <w:spacing w:val="-2"/>
              </w:rPr>
              <w:t xml:space="preserve"> </w:t>
            </w:r>
            <w:r w:rsidRPr="00006CB9">
              <w:rPr>
                <w:spacing w:val="-2"/>
              </w:rPr>
              <w:t>and Modernize Parts 25 and 101 of</w:t>
            </w:r>
            <w:r>
              <w:rPr>
                <w:spacing w:val="-2"/>
              </w:rPr>
              <w:t xml:space="preserve"> </w:t>
            </w:r>
            <w:r w:rsidRPr="00006CB9">
              <w:rPr>
                <w:spacing w:val="-2"/>
              </w:rPr>
              <w:t>the Commission’s Rules to Authorize</w:t>
            </w:r>
            <w:r>
              <w:rPr>
                <w:spacing w:val="-2"/>
              </w:rPr>
              <w:t xml:space="preserve"> </w:t>
            </w:r>
            <w:r w:rsidRPr="00006CB9">
              <w:rPr>
                <w:spacing w:val="-2"/>
              </w:rPr>
              <w:t>and Facilitate the Deployment of</w:t>
            </w:r>
            <w:r>
              <w:rPr>
                <w:spacing w:val="-2"/>
              </w:rPr>
              <w:t xml:space="preserve"> </w:t>
            </w:r>
            <w:r w:rsidRPr="00006CB9">
              <w:rPr>
                <w:spacing w:val="-2"/>
              </w:rPr>
              <w:t>Licensed Point-to-Multipoint Fixed</w:t>
            </w:r>
            <w:r>
              <w:rPr>
                <w:spacing w:val="-2"/>
              </w:rPr>
              <w:t xml:space="preserve"> </w:t>
            </w:r>
            <w:r w:rsidRPr="00006CB9">
              <w:rPr>
                <w:spacing w:val="-2"/>
              </w:rPr>
              <w:t>Wireless Broadband Service in the</w:t>
            </w:r>
            <w:r>
              <w:rPr>
                <w:spacing w:val="-2"/>
              </w:rPr>
              <w:t xml:space="preserve"> </w:t>
            </w:r>
            <w:r w:rsidRPr="00006CB9">
              <w:rPr>
                <w:spacing w:val="-2"/>
              </w:rPr>
              <w:t>3700-4200 MHz Band</w:t>
            </w:r>
          </w:p>
        </w:tc>
        <w:tc>
          <w:tcPr>
            <w:tcW w:w="630" w:type="dxa"/>
          </w:tcPr>
          <w:p w14:paraId="3499693D" w14:textId="77777777"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7C6719A1" w14:textId="77777777"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1A4F38D7" w14:textId="77777777"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6C44539D" w14:textId="77777777" w:rsidR="00006CB9" w:rsidRDefault="00006CB9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1448A121" w14:textId="77777777" w:rsidR="00006CB9" w:rsidRDefault="00006CB9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415A2277" w14:textId="77777777" w:rsidR="00006CB9" w:rsidRDefault="00006CB9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39E900E7" w14:textId="77777777" w:rsidR="00006CB9" w:rsidRDefault="00006CB9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3AD4774F" w14:textId="77777777" w:rsidR="00006CB9" w:rsidRPr="00316921" w:rsidRDefault="00006CB9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</w:p>
        </w:tc>
        <w:tc>
          <w:tcPr>
            <w:tcW w:w="4248" w:type="dxa"/>
          </w:tcPr>
          <w:p w14:paraId="03F1DFEE" w14:textId="77777777"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14:paraId="712852D9" w14:textId="77777777" w:rsidR="004C2EE3" w:rsidRDefault="004C2EE3">
            <w:pPr>
              <w:pStyle w:val="TOAHeading"/>
              <w:tabs>
                <w:tab w:val="clear" w:pos="9360"/>
                <w:tab w:val="center" w:pos="4680"/>
              </w:tabs>
              <w:rPr>
                <w:spacing w:val="-2"/>
              </w:rPr>
            </w:pPr>
          </w:p>
          <w:p w14:paraId="32FF412C" w14:textId="77777777" w:rsidR="004C2EE3" w:rsidRDefault="00006CB9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RM-11791</w:t>
            </w:r>
          </w:p>
        </w:tc>
      </w:tr>
    </w:tbl>
    <w:p w14:paraId="517D79E8" w14:textId="77777777" w:rsidR="004C2EE3" w:rsidRDefault="004C2EE3" w:rsidP="0070224F"/>
    <w:p w14:paraId="55BAAD0B" w14:textId="77777777" w:rsidR="00841AB1" w:rsidRDefault="00316921" w:rsidP="00F021FA">
      <w:pPr>
        <w:pStyle w:val="StyleBoldCentered"/>
      </w:pPr>
      <w:r>
        <w:t>Order</w:t>
      </w:r>
    </w:p>
    <w:p w14:paraId="758D712F" w14:textId="77777777" w:rsidR="004C2EE3" w:rsidRDefault="004C2EE3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14:paraId="4E3C1162" w14:textId="7D6E772A" w:rsidR="00316921" w:rsidRDefault="00316921" w:rsidP="00316921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  <w:r>
        <w:rPr>
          <w:b/>
          <w:spacing w:val="-2"/>
        </w:rPr>
        <w:t xml:space="preserve">Adopted:  August </w:t>
      </w:r>
      <w:r w:rsidR="00E71A7D">
        <w:rPr>
          <w:b/>
          <w:spacing w:val="-2"/>
        </w:rPr>
        <w:t>18</w:t>
      </w:r>
      <w:r>
        <w:rPr>
          <w:b/>
          <w:spacing w:val="-2"/>
        </w:rPr>
        <w:t>, 2017</w:t>
      </w:r>
      <w:r>
        <w:rPr>
          <w:b/>
          <w:spacing w:val="-2"/>
        </w:rPr>
        <w:tab/>
        <w:t xml:space="preserve">Released:  August </w:t>
      </w:r>
      <w:r w:rsidR="00E71A7D">
        <w:rPr>
          <w:b/>
          <w:spacing w:val="-2"/>
        </w:rPr>
        <w:t>18</w:t>
      </w:r>
      <w:r>
        <w:rPr>
          <w:b/>
          <w:spacing w:val="-2"/>
        </w:rPr>
        <w:t>, 2017</w:t>
      </w:r>
    </w:p>
    <w:p w14:paraId="7173B96F" w14:textId="77777777" w:rsidR="00316921" w:rsidRDefault="00316921" w:rsidP="00316921"/>
    <w:p w14:paraId="7F9DD98C" w14:textId="77777777" w:rsidR="00316921" w:rsidRDefault="00316921" w:rsidP="00316921">
      <w:pPr>
        <w:rPr>
          <w:spacing w:val="-2"/>
        </w:rPr>
      </w:pPr>
      <w:r>
        <w:t xml:space="preserve">By the </w:t>
      </w:r>
      <w:r>
        <w:rPr>
          <w:spacing w:val="-2"/>
        </w:rPr>
        <w:t xml:space="preserve">Chief, </w:t>
      </w:r>
      <w:r w:rsidR="00006CB9">
        <w:rPr>
          <w:spacing w:val="-2"/>
        </w:rPr>
        <w:t xml:space="preserve">Broadband Division, </w:t>
      </w:r>
      <w:r>
        <w:rPr>
          <w:spacing w:val="-2"/>
        </w:rPr>
        <w:t>Wirel</w:t>
      </w:r>
      <w:r w:rsidR="00006CB9">
        <w:rPr>
          <w:spacing w:val="-2"/>
        </w:rPr>
        <w:t xml:space="preserve">ess Telecommunications </w:t>
      </w:r>
      <w:r>
        <w:rPr>
          <w:spacing w:val="-2"/>
        </w:rPr>
        <w:t>Bureau:</w:t>
      </w:r>
    </w:p>
    <w:p w14:paraId="65AFC45F" w14:textId="77777777" w:rsidR="00316921" w:rsidRDefault="00316921" w:rsidP="00316921"/>
    <w:p w14:paraId="230D5BBC" w14:textId="4E07C407" w:rsidR="00316921" w:rsidRPr="00CB7AFD" w:rsidRDefault="00316921" w:rsidP="00316921">
      <w:pPr>
        <w:pStyle w:val="ParaNum"/>
        <w:rPr>
          <w:snapToGrid/>
        </w:rPr>
      </w:pPr>
      <w:r w:rsidRPr="00CB7AFD">
        <w:rPr>
          <w:snapToGrid/>
        </w:rPr>
        <w:t xml:space="preserve">By this </w:t>
      </w:r>
      <w:r>
        <w:rPr>
          <w:snapToGrid/>
        </w:rPr>
        <w:t>Order</w:t>
      </w:r>
      <w:r w:rsidRPr="00CB7AFD">
        <w:rPr>
          <w:snapToGrid/>
        </w:rPr>
        <w:t>, the Wirel</w:t>
      </w:r>
      <w:r w:rsidR="009334C1">
        <w:rPr>
          <w:snapToGrid/>
        </w:rPr>
        <w:t xml:space="preserve">ess Telecommunications </w:t>
      </w:r>
      <w:r w:rsidRPr="00CB7AFD">
        <w:rPr>
          <w:snapToGrid/>
        </w:rPr>
        <w:t xml:space="preserve">Bureau (Bureau) </w:t>
      </w:r>
      <w:r w:rsidR="008B4FE5">
        <w:rPr>
          <w:snapToGrid/>
        </w:rPr>
        <w:t>denies a motion</w:t>
      </w:r>
      <w:r w:rsidR="008B2B18">
        <w:rPr>
          <w:snapToGrid/>
        </w:rPr>
        <w:t xml:space="preserve">, filed </w:t>
      </w:r>
      <w:r w:rsidR="00CD15BB">
        <w:rPr>
          <w:snapToGrid/>
        </w:rPr>
        <w:t>by CTIA (CTIA Comments and Motion)</w:t>
      </w:r>
      <w:r w:rsidR="001B49C4">
        <w:rPr>
          <w:rStyle w:val="FootnoteReference"/>
          <w:snapToGrid/>
        </w:rPr>
        <w:footnoteReference w:id="2"/>
      </w:r>
      <w:r w:rsidR="008B2B18">
        <w:rPr>
          <w:snapToGrid/>
        </w:rPr>
        <w:t>,</w:t>
      </w:r>
      <w:r w:rsidR="008B4FE5">
        <w:rPr>
          <w:snapToGrid/>
        </w:rPr>
        <w:t xml:space="preserve"> to extend the reply comment date in the above-captioned </w:t>
      </w:r>
      <w:r w:rsidR="0085156A">
        <w:rPr>
          <w:snapToGrid/>
        </w:rPr>
        <w:t xml:space="preserve">petition for rulemaking </w:t>
      </w:r>
      <w:r w:rsidR="00CD15BB">
        <w:rPr>
          <w:snapToGrid/>
        </w:rPr>
        <w:t>proceeding</w:t>
      </w:r>
      <w:r w:rsidR="006274EA">
        <w:rPr>
          <w:snapToGrid/>
        </w:rPr>
        <w:t>.</w:t>
      </w:r>
      <w:r w:rsidR="004A7467">
        <w:rPr>
          <w:rStyle w:val="FootnoteReference"/>
          <w:snapToGrid/>
        </w:rPr>
        <w:footnoteReference w:id="3"/>
      </w:r>
      <w:r w:rsidR="008B4FE5">
        <w:rPr>
          <w:snapToGrid/>
        </w:rPr>
        <w:t xml:space="preserve">  </w:t>
      </w:r>
    </w:p>
    <w:p w14:paraId="5285125D" w14:textId="77777777" w:rsidR="00316921" w:rsidRPr="001548D6" w:rsidRDefault="009606BB" w:rsidP="0084601C">
      <w:pPr>
        <w:pStyle w:val="ParaNum"/>
        <w:widowControl/>
      </w:pPr>
      <w:r>
        <w:rPr>
          <w:snapToGrid/>
        </w:rPr>
        <w:t xml:space="preserve">The public notice </w:t>
      </w:r>
      <w:r w:rsidR="008604D2">
        <w:rPr>
          <w:snapToGrid/>
        </w:rPr>
        <w:t xml:space="preserve">announcing the filing of the </w:t>
      </w:r>
      <w:r w:rsidR="006274EA">
        <w:rPr>
          <w:snapToGrid/>
        </w:rPr>
        <w:t xml:space="preserve">above-captioned </w:t>
      </w:r>
      <w:r w:rsidR="0085156A">
        <w:rPr>
          <w:snapToGrid/>
        </w:rPr>
        <w:t xml:space="preserve">Petition for Rulemaking </w:t>
      </w:r>
      <w:r w:rsidR="00901C47">
        <w:rPr>
          <w:snapToGrid/>
        </w:rPr>
        <w:t xml:space="preserve">by the </w:t>
      </w:r>
      <w:r w:rsidR="006274EA">
        <w:rPr>
          <w:snapToGrid/>
        </w:rPr>
        <w:t>Broadband Access Coalition (</w:t>
      </w:r>
      <w:r w:rsidR="008F625E">
        <w:rPr>
          <w:snapToGrid/>
        </w:rPr>
        <w:t xml:space="preserve">BAC </w:t>
      </w:r>
      <w:r w:rsidR="00B1608A">
        <w:rPr>
          <w:snapToGrid/>
        </w:rPr>
        <w:t>Petition</w:t>
      </w:r>
      <w:r w:rsidR="006274EA">
        <w:rPr>
          <w:snapToGrid/>
        </w:rPr>
        <w:t>)</w:t>
      </w:r>
      <w:r w:rsidR="00B1608A">
        <w:rPr>
          <w:snapToGrid/>
        </w:rPr>
        <w:t xml:space="preserve"> </w:t>
      </w:r>
      <w:r w:rsidR="008604D2" w:rsidRPr="00CB7AFD">
        <w:rPr>
          <w:snapToGrid/>
        </w:rPr>
        <w:t xml:space="preserve">set dates for filing comments and reply comments of </w:t>
      </w:r>
      <w:r w:rsidR="008604D2">
        <w:rPr>
          <w:snapToGrid/>
        </w:rPr>
        <w:t xml:space="preserve">August 7, 2017, and August 22, 2017, </w:t>
      </w:r>
      <w:r w:rsidR="008604D2" w:rsidRPr="00CB7AFD">
        <w:rPr>
          <w:snapToGrid/>
        </w:rPr>
        <w:t>respectively.</w:t>
      </w:r>
      <w:r w:rsidR="003020AC" w:rsidRPr="00CB7AFD">
        <w:rPr>
          <w:snapToGrid/>
          <w:vertAlign w:val="superscript"/>
        </w:rPr>
        <w:footnoteReference w:id="4"/>
      </w:r>
      <w:r w:rsidR="00625C40">
        <w:rPr>
          <w:snapToGrid/>
        </w:rPr>
        <w:t xml:space="preserve">  On August </w:t>
      </w:r>
      <w:r w:rsidR="008B4FE5">
        <w:rPr>
          <w:snapToGrid/>
        </w:rPr>
        <w:t>7</w:t>
      </w:r>
      <w:r w:rsidR="00A9638B">
        <w:rPr>
          <w:snapToGrid/>
        </w:rPr>
        <w:t xml:space="preserve">, 2017, </w:t>
      </w:r>
      <w:r w:rsidR="008B4FE5">
        <w:rPr>
          <w:snapToGrid/>
        </w:rPr>
        <w:t xml:space="preserve">CTIA </w:t>
      </w:r>
      <w:r w:rsidR="006A747D">
        <w:rPr>
          <w:snapToGrid/>
        </w:rPr>
        <w:t xml:space="preserve">filed a </w:t>
      </w:r>
      <w:r w:rsidR="00316921" w:rsidRPr="00CB7AFD">
        <w:rPr>
          <w:snapToGrid/>
        </w:rPr>
        <w:t>motion requesting a</w:t>
      </w:r>
      <w:r w:rsidR="006A747D">
        <w:rPr>
          <w:snapToGrid/>
        </w:rPr>
        <w:t xml:space="preserve"> </w:t>
      </w:r>
      <w:r w:rsidR="008B4FE5">
        <w:t>72-day extension</w:t>
      </w:r>
      <w:r w:rsidR="008B4FE5">
        <w:rPr>
          <w:snapToGrid/>
        </w:rPr>
        <w:t xml:space="preserve"> </w:t>
      </w:r>
      <w:r w:rsidR="00316921" w:rsidRPr="00CB7AFD">
        <w:rPr>
          <w:snapToGrid/>
        </w:rPr>
        <w:t xml:space="preserve">of the reply comment deadline in </w:t>
      </w:r>
      <w:r w:rsidR="000E6A83">
        <w:rPr>
          <w:snapToGrid/>
        </w:rPr>
        <w:t xml:space="preserve">the instant </w:t>
      </w:r>
      <w:r w:rsidR="00316921" w:rsidRPr="00CB7AFD">
        <w:rPr>
          <w:snapToGrid/>
        </w:rPr>
        <w:t>proceeding</w:t>
      </w:r>
      <w:r w:rsidR="00FF5564">
        <w:rPr>
          <w:snapToGrid/>
        </w:rPr>
        <w:t xml:space="preserve"> to </w:t>
      </w:r>
      <w:r w:rsidR="000E6A83">
        <w:rPr>
          <w:snapToGrid/>
        </w:rPr>
        <w:t xml:space="preserve">match the </w:t>
      </w:r>
      <w:r w:rsidR="00FF5564">
        <w:rPr>
          <w:snapToGrid/>
        </w:rPr>
        <w:t>November 1, 2017</w:t>
      </w:r>
      <w:r w:rsidR="000E6A83">
        <w:rPr>
          <w:snapToGrid/>
        </w:rPr>
        <w:t xml:space="preserve">, reply comment deadline in the </w:t>
      </w:r>
      <w:r w:rsidR="000E6A83" w:rsidRPr="000E6A83">
        <w:rPr>
          <w:i/>
          <w:snapToGrid/>
        </w:rPr>
        <w:t xml:space="preserve">Mid-Band </w:t>
      </w:r>
      <w:r w:rsidR="001B49C4">
        <w:rPr>
          <w:i/>
          <w:snapToGrid/>
        </w:rPr>
        <w:t xml:space="preserve">Spectrum Exploration </w:t>
      </w:r>
      <w:r w:rsidR="000E6A83" w:rsidRPr="000E6A83">
        <w:rPr>
          <w:i/>
          <w:snapToGrid/>
        </w:rPr>
        <w:t>Notice of Inquiry</w:t>
      </w:r>
      <w:r w:rsidR="000E6A83">
        <w:rPr>
          <w:snapToGrid/>
        </w:rPr>
        <w:t xml:space="preserve"> </w:t>
      </w:r>
      <w:r w:rsidR="001B49C4">
        <w:rPr>
          <w:snapToGrid/>
        </w:rPr>
        <w:t>(</w:t>
      </w:r>
      <w:r w:rsidR="001B49C4" w:rsidRPr="00DC32CE">
        <w:rPr>
          <w:i/>
          <w:snapToGrid/>
        </w:rPr>
        <w:t>Mid-Band NOI</w:t>
      </w:r>
      <w:r w:rsidR="001B49C4">
        <w:rPr>
          <w:snapToGrid/>
        </w:rPr>
        <w:t xml:space="preserve">) </w:t>
      </w:r>
      <w:r w:rsidR="000E6A83">
        <w:rPr>
          <w:snapToGrid/>
        </w:rPr>
        <w:t>proceeding</w:t>
      </w:r>
      <w:r w:rsidR="00FF5564">
        <w:rPr>
          <w:snapToGrid/>
        </w:rPr>
        <w:t>.</w:t>
      </w:r>
      <w:r w:rsidR="00316921" w:rsidRPr="00CB7AFD">
        <w:rPr>
          <w:snapToGrid/>
          <w:vertAlign w:val="superscript"/>
        </w:rPr>
        <w:footnoteReference w:id="5"/>
      </w:r>
      <w:r w:rsidR="006A747D">
        <w:rPr>
          <w:snapToGrid/>
        </w:rPr>
        <w:t xml:space="preserve">  </w:t>
      </w:r>
      <w:r w:rsidR="0084601C">
        <w:rPr>
          <w:snapToGrid/>
        </w:rPr>
        <w:t xml:space="preserve">Although styled as a request to extend a filing deadline, </w:t>
      </w:r>
      <w:r w:rsidR="00FF5564" w:rsidRPr="008F625E">
        <w:rPr>
          <w:snapToGrid/>
        </w:rPr>
        <w:t>CTIA</w:t>
      </w:r>
      <w:r w:rsidR="0084601C">
        <w:rPr>
          <w:snapToGrid/>
        </w:rPr>
        <w:t>’</w:t>
      </w:r>
      <w:r w:rsidR="000E6A83">
        <w:rPr>
          <w:snapToGrid/>
        </w:rPr>
        <w:t xml:space="preserve">s motion </w:t>
      </w:r>
      <w:r w:rsidR="00FD055B">
        <w:rPr>
          <w:snapToGrid/>
        </w:rPr>
        <w:t xml:space="preserve">also </w:t>
      </w:r>
      <w:r w:rsidR="000E6A83">
        <w:rPr>
          <w:snapToGrid/>
        </w:rPr>
        <w:t xml:space="preserve">seeks to consolidate the </w:t>
      </w:r>
      <w:r w:rsidR="00CF6188">
        <w:rPr>
          <w:snapToGrid/>
        </w:rPr>
        <w:t xml:space="preserve">BAC Petition, which </w:t>
      </w:r>
      <w:r w:rsidR="00065F43">
        <w:rPr>
          <w:snapToGrid/>
        </w:rPr>
        <w:t xml:space="preserve">seeks </w:t>
      </w:r>
      <w:r w:rsidR="00CF6188">
        <w:rPr>
          <w:snapToGrid/>
        </w:rPr>
        <w:t xml:space="preserve">rule changes to allow point-to-multipoint fixed use of the 3.7-4.2 GHz band, into the </w:t>
      </w:r>
      <w:r w:rsidR="008F625E">
        <w:t>Mid-</w:t>
      </w:r>
      <w:r w:rsidR="008F625E">
        <w:rPr>
          <w:i/>
          <w:iCs/>
        </w:rPr>
        <w:t>Band N</w:t>
      </w:r>
      <w:r w:rsidR="002E7E36">
        <w:rPr>
          <w:i/>
          <w:iCs/>
        </w:rPr>
        <w:t xml:space="preserve">OI </w:t>
      </w:r>
      <w:r w:rsidR="002E7E36">
        <w:t>proceeding</w:t>
      </w:r>
      <w:r w:rsidR="00CF6188">
        <w:t xml:space="preserve">, </w:t>
      </w:r>
      <w:r w:rsidR="00065F43">
        <w:t xml:space="preserve">which </w:t>
      </w:r>
      <w:r w:rsidR="00CF6188">
        <w:t xml:space="preserve">asks broad </w:t>
      </w:r>
      <w:r w:rsidR="00776F68" w:rsidRPr="00776F68">
        <w:t xml:space="preserve">questions regarding </w:t>
      </w:r>
      <w:r w:rsidR="002B1046">
        <w:t xml:space="preserve">potential use of the </w:t>
      </w:r>
      <w:r w:rsidR="00776F68" w:rsidRPr="00776F68">
        <w:t>3.7-4.2 GHz band</w:t>
      </w:r>
      <w:r w:rsidR="002B1046">
        <w:t>.</w:t>
      </w:r>
      <w:r w:rsidR="00742B11">
        <w:rPr>
          <w:rStyle w:val="FootnoteReference"/>
        </w:rPr>
        <w:footnoteReference w:id="6"/>
      </w:r>
      <w:r w:rsidR="00776F68">
        <w:t xml:space="preserve"> </w:t>
      </w:r>
      <w:r w:rsidR="002B1046">
        <w:t xml:space="preserve"> C</w:t>
      </w:r>
      <w:r w:rsidR="00742B11" w:rsidRPr="00742B11">
        <w:t xml:space="preserve">ontinued consideration of the </w:t>
      </w:r>
      <w:r w:rsidR="00742B11" w:rsidRPr="0084601C">
        <w:rPr>
          <w:i/>
        </w:rPr>
        <w:t>Mid-Band NO</w:t>
      </w:r>
      <w:r w:rsidR="00742B11" w:rsidRPr="00B11716">
        <w:rPr>
          <w:i/>
        </w:rPr>
        <w:t>I</w:t>
      </w:r>
      <w:r w:rsidR="00742B11" w:rsidRPr="00742B11">
        <w:t xml:space="preserve"> and the </w:t>
      </w:r>
      <w:r w:rsidR="004F76F6">
        <w:t xml:space="preserve">BAC </w:t>
      </w:r>
      <w:r w:rsidR="00742B11" w:rsidRPr="00742B11">
        <w:t>Petition in separate proceedings would</w:t>
      </w:r>
      <w:r w:rsidR="004F76F6">
        <w:t xml:space="preserve"> not serve the public interest, according to CTIA, b</w:t>
      </w:r>
      <w:r w:rsidR="00742B11" w:rsidRPr="00742B11">
        <w:t xml:space="preserve">ecause the </w:t>
      </w:r>
      <w:r w:rsidR="00742B11" w:rsidRPr="0084601C">
        <w:rPr>
          <w:i/>
        </w:rPr>
        <w:t>Mid-Band NOI</w:t>
      </w:r>
      <w:r w:rsidR="00742B11" w:rsidRPr="00742B11">
        <w:t xml:space="preserve"> </w:t>
      </w:r>
      <w:r w:rsidR="004F76F6">
        <w:t>“</w:t>
      </w:r>
      <w:r w:rsidR="00742B11" w:rsidRPr="00742B11">
        <w:t>subsumes the fundamental issues raised in the Petition</w:t>
      </w:r>
      <w:r w:rsidR="00974C10">
        <w:t>.</w:t>
      </w:r>
      <w:r w:rsidR="004F76F6">
        <w:t>”</w:t>
      </w:r>
      <w:r w:rsidR="004F76F6">
        <w:rPr>
          <w:rStyle w:val="FootnoteReference"/>
        </w:rPr>
        <w:footnoteReference w:id="7"/>
      </w:r>
      <w:r w:rsidR="00742B11" w:rsidRPr="00742B11">
        <w:t xml:space="preserve"> </w:t>
      </w:r>
      <w:r w:rsidR="004F76F6">
        <w:t xml:space="preserve">such that </w:t>
      </w:r>
      <w:r w:rsidR="00742B11" w:rsidRPr="00742B11">
        <w:t xml:space="preserve">separate consideration would require </w:t>
      </w:r>
      <w:r w:rsidR="00742B11" w:rsidRPr="00742B11">
        <w:lastRenderedPageBreak/>
        <w:t>parties to make duplicative filings.</w:t>
      </w:r>
      <w:r w:rsidR="004F76F6">
        <w:rPr>
          <w:rStyle w:val="FootnoteReference"/>
        </w:rPr>
        <w:footnoteReference w:id="8"/>
      </w:r>
      <w:r w:rsidR="00742B11" w:rsidRPr="00742B11">
        <w:t xml:space="preserve"> </w:t>
      </w:r>
      <w:r w:rsidR="004F76F6">
        <w:t xml:space="preserve"> CTIA </w:t>
      </w:r>
      <w:r w:rsidR="008B2B18">
        <w:t>further asserts</w:t>
      </w:r>
      <w:r w:rsidR="00065F43">
        <w:t xml:space="preserve"> that </w:t>
      </w:r>
      <w:r w:rsidR="000F682C">
        <w:t xml:space="preserve">point-to-multipoint fixed use </w:t>
      </w:r>
      <w:r w:rsidR="00742B11" w:rsidRPr="00742B11">
        <w:t>would preclude mobile use</w:t>
      </w:r>
      <w:r w:rsidR="000F682C">
        <w:t xml:space="preserve"> of the band so</w:t>
      </w:r>
      <w:r w:rsidR="00742B11" w:rsidRPr="00742B11">
        <w:t xml:space="preserve"> consideration of the </w:t>
      </w:r>
      <w:r w:rsidR="00065F43">
        <w:t xml:space="preserve">BAC </w:t>
      </w:r>
      <w:r w:rsidR="00742B11" w:rsidRPr="00742B11">
        <w:t xml:space="preserve">Petition would be premature until the Commission resolves the larger question of whether </w:t>
      </w:r>
      <w:r w:rsidR="000F682C">
        <w:t xml:space="preserve">to </w:t>
      </w:r>
      <w:r w:rsidR="00742B11" w:rsidRPr="00742B11">
        <w:t>permit flexible use of the 3.7-4.2 GHz band.</w:t>
      </w:r>
      <w:r w:rsidR="00065F43">
        <w:rPr>
          <w:rStyle w:val="FootnoteReference"/>
        </w:rPr>
        <w:footnoteReference w:id="9"/>
      </w:r>
      <w:r w:rsidR="00065F43">
        <w:t xml:space="preserve">  </w:t>
      </w:r>
    </w:p>
    <w:p w14:paraId="561E562C" w14:textId="77777777" w:rsidR="00F96BF4" w:rsidRPr="00F96BF4" w:rsidRDefault="0014297E" w:rsidP="005E2BBD">
      <w:pPr>
        <w:pStyle w:val="ParaNum"/>
      </w:pPr>
      <w:r>
        <w:t>CTIA</w:t>
      </w:r>
      <w:r w:rsidR="00D73CE5">
        <w:t xml:space="preserve">’s </w:t>
      </w:r>
      <w:r>
        <w:t>justif</w:t>
      </w:r>
      <w:r w:rsidR="00D73CE5">
        <w:t xml:space="preserve">ication for a 72-day extension </w:t>
      </w:r>
      <w:r w:rsidR="00607EA2">
        <w:t xml:space="preserve">is that the two separate proceedings should be consolidated.  But the Commission has </w:t>
      </w:r>
      <w:r w:rsidR="00D73CE5">
        <w:rPr>
          <w:szCs w:val="22"/>
        </w:rPr>
        <w:t>already declined</w:t>
      </w:r>
      <w:r w:rsidR="00607EA2">
        <w:rPr>
          <w:szCs w:val="22"/>
        </w:rPr>
        <w:t xml:space="preserve"> this approach</w:t>
      </w:r>
      <w:r w:rsidR="00D73CE5">
        <w:rPr>
          <w:szCs w:val="22"/>
        </w:rPr>
        <w:t>.  T</w:t>
      </w:r>
      <w:r w:rsidR="005A3BE3">
        <w:t xml:space="preserve">he Commission recognized </w:t>
      </w:r>
      <w:r w:rsidR="00113131">
        <w:rPr>
          <w:szCs w:val="22"/>
        </w:rPr>
        <w:t>i</w:t>
      </w:r>
      <w:r w:rsidR="00CA56B9">
        <w:t xml:space="preserve">n the </w:t>
      </w:r>
      <w:r w:rsidR="00CA56B9" w:rsidRPr="00CA56B9">
        <w:rPr>
          <w:i/>
        </w:rPr>
        <w:t>Mid Band NOI</w:t>
      </w:r>
      <w:r w:rsidR="005A3BE3">
        <w:t xml:space="preserve"> </w:t>
      </w:r>
      <w:r w:rsidR="00CA56B9">
        <w:t>that there are ongoing proceedings, including RM-11791, that relate to spectrum within the 3.7-24 GHz frequency range and stated that the Inquiry “</w:t>
      </w:r>
      <w:r w:rsidR="00CA56B9" w:rsidRPr="00CA56B9">
        <w:rPr>
          <w:szCs w:val="22"/>
        </w:rPr>
        <w:t>is not intended to preclude us from acting on or otherwise addressing these matters prior to the development of a record in this docket, nor is it intended to prejudge any of the matters we may decide in those proceedings.”</w:t>
      </w:r>
      <w:r w:rsidR="00CA56B9">
        <w:rPr>
          <w:rStyle w:val="FootnoteReference"/>
        </w:rPr>
        <w:footnoteReference w:id="10"/>
      </w:r>
      <w:r w:rsidR="00CA56B9" w:rsidRPr="00CA56B9">
        <w:rPr>
          <w:szCs w:val="22"/>
        </w:rPr>
        <w:t xml:space="preserve"> </w:t>
      </w:r>
      <w:r w:rsidR="00113131">
        <w:rPr>
          <w:szCs w:val="22"/>
        </w:rPr>
        <w:t xml:space="preserve"> </w:t>
      </w:r>
    </w:p>
    <w:p w14:paraId="64DCAE66" w14:textId="1AF826E6" w:rsidR="00CA56B9" w:rsidRPr="00CA56B9" w:rsidRDefault="00607EA2" w:rsidP="005E2BBD">
      <w:pPr>
        <w:pStyle w:val="ParaNum"/>
      </w:pPr>
      <w:r w:rsidRPr="00CA56B9">
        <w:rPr>
          <w:snapToGrid/>
        </w:rPr>
        <w:t>It is the policy of the Commission that “extensions</w:t>
      </w:r>
      <w:r>
        <w:rPr>
          <w:snapToGrid/>
        </w:rPr>
        <w:t xml:space="preserve"> shall not be routinely granted.</w:t>
      </w:r>
      <w:r w:rsidRPr="00CA56B9">
        <w:rPr>
          <w:snapToGrid/>
        </w:rPr>
        <w:t>”</w:t>
      </w:r>
      <w:r w:rsidRPr="00CB7AFD">
        <w:rPr>
          <w:snapToGrid/>
          <w:vertAlign w:val="superscript"/>
        </w:rPr>
        <w:footnoteReference w:id="11"/>
      </w:r>
      <w:r>
        <w:rPr>
          <w:snapToGrid/>
        </w:rPr>
        <w:t xml:space="preserve">  Based on the record before us, we find that </w:t>
      </w:r>
      <w:r w:rsidR="00D73CE5">
        <w:t xml:space="preserve">CTIA has </w:t>
      </w:r>
      <w:r w:rsidR="008B2B18">
        <w:t>failed to</w:t>
      </w:r>
      <w:r w:rsidR="00D73CE5">
        <w:t xml:space="preserve"> demonstrate </w:t>
      </w:r>
      <w:r w:rsidR="008B2B18">
        <w:t xml:space="preserve">that </w:t>
      </w:r>
      <w:r w:rsidR="00D73CE5">
        <w:t xml:space="preserve">departing from this policy to grant a 72-day extension </w:t>
      </w:r>
      <w:r w:rsidR="005219D1">
        <w:t>will serve the public interest</w:t>
      </w:r>
      <w:r w:rsidR="00D73CE5">
        <w:t xml:space="preserve">.  </w:t>
      </w:r>
    </w:p>
    <w:p w14:paraId="131C849F" w14:textId="1E1EFD04" w:rsidR="00316921" w:rsidRDefault="00316921" w:rsidP="00681C6F">
      <w:pPr>
        <w:pStyle w:val="ParaNum"/>
        <w:widowControl/>
      </w:pPr>
      <w:r w:rsidRPr="0048208E">
        <w:t xml:space="preserve">Accordingly, IT IS ORDERED, pursuant to sections 4(i), 4(j), 5, and 303(r) of the Communications Act, as amended, 47 U.S.C. §§ 154(i), 154(j), 155, and 303(r), and sections </w:t>
      </w:r>
      <w:r>
        <w:t>0.</w:t>
      </w:r>
      <w:r w:rsidR="002B36AB">
        <w:t>131</w:t>
      </w:r>
      <w:r>
        <w:t>, 0.</w:t>
      </w:r>
      <w:r w:rsidR="002B36AB">
        <w:t>331</w:t>
      </w:r>
      <w:r>
        <w:t xml:space="preserve">, </w:t>
      </w:r>
      <w:r w:rsidRPr="0048208E">
        <w:t>1.46, and 1.4</w:t>
      </w:r>
      <w:r w:rsidR="002B36AB">
        <w:t>0</w:t>
      </w:r>
      <w:r w:rsidRPr="0048208E">
        <w:t>5 of the Commission’s rules, 47 C</w:t>
      </w:r>
      <w:r w:rsidR="00813401">
        <w:t>.</w:t>
      </w:r>
      <w:r w:rsidRPr="0048208E">
        <w:t>F</w:t>
      </w:r>
      <w:r w:rsidR="00813401">
        <w:t>.</w:t>
      </w:r>
      <w:r w:rsidRPr="0048208E">
        <w:t>R</w:t>
      </w:r>
      <w:r w:rsidR="00813401">
        <w:t>.</w:t>
      </w:r>
      <w:r w:rsidRPr="0048208E">
        <w:t xml:space="preserve"> §§ 0.</w:t>
      </w:r>
      <w:r w:rsidR="002B36AB">
        <w:t>131</w:t>
      </w:r>
      <w:r w:rsidRPr="0048208E">
        <w:t>, 0.</w:t>
      </w:r>
      <w:r w:rsidR="002B36AB">
        <w:t>33</w:t>
      </w:r>
      <w:r>
        <w:t>1</w:t>
      </w:r>
      <w:r w:rsidRPr="0048208E">
        <w:t>, 1.46</w:t>
      </w:r>
      <w:r w:rsidR="002B36AB">
        <w:t>, and 1.40</w:t>
      </w:r>
      <w:r w:rsidRPr="0048208E">
        <w:t xml:space="preserve">5, that the </w:t>
      </w:r>
      <w:r>
        <w:t xml:space="preserve">Motion </w:t>
      </w:r>
      <w:r w:rsidR="00607EA2">
        <w:t xml:space="preserve">to Extend Reply Comment Date </w:t>
      </w:r>
      <w:r w:rsidR="006A546E">
        <w:t xml:space="preserve">filed by </w:t>
      </w:r>
      <w:r w:rsidR="00607EA2">
        <w:t>CTIA</w:t>
      </w:r>
      <w:r w:rsidR="006474BF">
        <w:t xml:space="preserve"> on August 7, 2017</w:t>
      </w:r>
      <w:r w:rsidRPr="0048208E">
        <w:t xml:space="preserve">, IS </w:t>
      </w:r>
      <w:r w:rsidR="00607EA2">
        <w:t>DENIED</w:t>
      </w:r>
      <w:r w:rsidR="006474BF">
        <w:t xml:space="preserve">. </w:t>
      </w:r>
    </w:p>
    <w:p w14:paraId="48188EDF" w14:textId="77777777" w:rsidR="00316921" w:rsidRDefault="00316921" w:rsidP="00316921"/>
    <w:p w14:paraId="712DCE73" w14:textId="77777777" w:rsidR="00316921" w:rsidRDefault="00316921" w:rsidP="00316921">
      <w:pPr>
        <w:pStyle w:val="ParaNum"/>
        <w:widowControl/>
        <w:numPr>
          <w:ilvl w:val="0"/>
          <w:numId w:val="0"/>
        </w:numPr>
        <w:spacing w:after="0"/>
        <w:ind w:left="3600"/>
      </w:pPr>
      <w:r>
        <w:t>FEDERAL COMMUNICATIONS COMMISSION</w:t>
      </w:r>
    </w:p>
    <w:p w14:paraId="0555F43D" w14:textId="77777777" w:rsidR="00316921" w:rsidRDefault="00316921" w:rsidP="00316921">
      <w:pPr>
        <w:pStyle w:val="ParaNum"/>
        <w:widowControl/>
        <w:numPr>
          <w:ilvl w:val="0"/>
          <w:numId w:val="0"/>
        </w:numPr>
        <w:spacing w:after="0"/>
        <w:ind w:left="3600"/>
      </w:pPr>
    </w:p>
    <w:p w14:paraId="4D876F59" w14:textId="77777777" w:rsidR="00316921" w:rsidRDefault="00316921" w:rsidP="00316921">
      <w:pPr>
        <w:pStyle w:val="ParaNum"/>
        <w:widowControl/>
        <w:numPr>
          <w:ilvl w:val="0"/>
          <w:numId w:val="0"/>
        </w:numPr>
        <w:spacing w:after="0"/>
        <w:ind w:left="3600"/>
      </w:pPr>
    </w:p>
    <w:p w14:paraId="5FC78318" w14:textId="77777777" w:rsidR="00316921" w:rsidRDefault="00316921" w:rsidP="00316921">
      <w:pPr>
        <w:pStyle w:val="ParaNum"/>
        <w:widowControl/>
        <w:numPr>
          <w:ilvl w:val="0"/>
          <w:numId w:val="0"/>
        </w:numPr>
        <w:spacing w:after="0"/>
        <w:ind w:left="3600"/>
      </w:pPr>
    </w:p>
    <w:p w14:paraId="03FD20CA" w14:textId="77777777" w:rsidR="00316921" w:rsidRDefault="00316921" w:rsidP="00316921">
      <w:pPr>
        <w:pStyle w:val="ParaNum"/>
        <w:widowControl/>
        <w:numPr>
          <w:ilvl w:val="0"/>
          <w:numId w:val="0"/>
        </w:numPr>
        <w:spacing w:after="0"/>
        <w:ind w:left="3600"/>
      </w:pPr>
    </w:p>
    <w:p w14:paraId="20DF9C88" w14:textId="77777777" w:rsidR="00316921" w:rsidRPr="00DE2301" w:rsidRDefault="002B36AB" w:rsidP="00316921">
      <w:pPr>
        <w:ind w:left="2880" w:firstLine="720"/>
        <w:rPr>
          <w:b/>
        </w:rPr>
      </w:pPr>
      <w:r>
        <w:t>Blaise A. Scinto</w:t>
      </w:r>
    </w:p>
    <w:p w14:paraId="3D84DB42" w14:textId="77777777" w:rsidR="00316921" w:rsidRPr="00DE2301" w:rsidRDefault="00316921" w:rsidP="00316921">
      <w:pPr>
        <w:pStyle w:val="ParaNum"/>
        <w:widowControl/>
        <w:numPr>
          <w:ilvl w:val="0"/>
          <w:numId w:val="0"/>
        </w:numPr>
        <w:spacing w:after="0"/>
        <w:ind w:left="3600"/>
      </w:pPr>
      <w:r w:rsidRPr="00DE2301">
        <w:t xml:space="preserve">Chief </w:t>
      </w:r>
    </w:p>
    <w:p w14:paraId="2CDC4241" w14:textId="77777777" w:rsidR="00316921" w:rsidRPr="00DE2301" w:rsidRDefault="002B36AB" w:rsidP="00316921">
      <w:pPr>
        <w:ind w:left="2880" w:firstLine="720"/>
      </w:pPr>
      <w:r>
        <w:t>Broadband Division</w:t>
      </w:r>
    </w:p>
    <w:p w14:paraId="18E671D6" w14:textId="77777777" w:rsidR="00316921" w:rsidRPr="00EE1B4C" w:rsidRDefault="002B36AB" w:rsidP="00901C47">
      <w:pPr>
        <w:ind w:left="2880" w:firstLine="720"/>
      </w:pPr>
      <w:r>
        <w:t>Wireless Telecommunications Bureau</w:t>
      </w:r>
    </w:p>
    <w:p w14:paraId="5BA9D763" w14:textId="77777777" w:rsidR="002C00E8" w:rsidRPr="002C00E8" w:rsidRDefault="002C00E8" w:rsidP="001B260A">
      <w:pPr>
        <w:pStyle w:val="Heading1"/>
        <w:numPr>
          <w:ilvl w:val="0"/>
          <w:numId w:val="0"/>
        </w:numPr>
        <w:ind w:left="720"/>
      </w:pPr>
    </w:p>
    <w:sectPr w:rsidR="002C00E8" w:rsidRPr="002C00E8" w:rsidSect="0055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B9A36" w14:textId="77777777" w:rsidR="00C34D9B" w:rsidRDefault="00C34D9B">
      <w:pPr>
        <w:spacing w:line="20" w:lineRule="exact"/>
      </w:pPr>
    </w:p>
  </w:endnote>
  <w:endnote w:type="continuationSeparator" w:id="0">
    <w:p w14:paraId="61D1BE9C" w14:textId="77777777" w:rsidR="00C34D9B" w:rsidRDefault="00C34D9B">
      <w:r>
        <w:t xml:space="preserve"> </w:t>
      </w:r>
    </w:p>
  </w:endnote>
  <w:endnote w:type="continuationNotice" w:id="1">
    <w:p w14:paraId="40C5942B" w14:textId="77777777" w:rsidR="00C34D9B" w:rsidRDefault="00C34D9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F7795" w14:textId="77777777"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591B8A3C" w14:textId="77777777"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396EA" w14:textId="1065044A"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B91545">
      <w:rPr>
        <w:noProof/>
      </w:rPr>
      <w:t>2</w:t>
    </w:r>
    <w:r>
      <w:fldChar w:fldCharType="end"/>
    </w:r>
  </w:p>
  <w:p w14:paraId="48C18C5D" w14:textId="77777777"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54BF8" w14:textId="77777777"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E4D29" w14:textId="77777777" w:rsidR="00C34D9B" w:rsidRDefault="00C34D9B">
      <w:r>
        <w:separator/>
      </w:r>
    </w:p>
  </w:footnote>
  <w:footnote w:type="continuationSeparator" w:id="0">
    <w:p w14:paraId="2CC6A26A" w14:textId="77777777" w:rsidR="00C34D9B" w:rsidRDefault="00C34D9B" w:rsidP="00C721AC">
      <w:pPr>
        <w:spacing w:before="120"/>
        <w:rPr>
          <w:sz w:val="20"/>
        </w:rPr>
      </w:pPr>
      <w:r>
        <w:continuationSeparator/>
      </w:r>
    </w:p>
  </w:footnote>
  <w:footnote w:type="continuationNotice" w:id="1">
    <w:p w14:paraId="63804BD2" w14:textId="77777777" w:rsidR="00C34D9B" w:rsidRDefault="00C34D9B" w:rsidP="00C721AC">
      <w:pPr>
        <w:jc w:val="right"/>
        <w:rPr>
          <w:sz w:val="20"/>
        </w:rPr>
      </w:pPr>
    </w:p>
  </w:footnote>
  <w:footnote w:id="2">
    <w:p w14:paraId="31CE82A7" w14:textId="77777777" w:rsidR="001B49C4" w:rsidRDefault="001B49C4">
      <w:pPr>
        <w:pStyle w:val="FootnoteText"/>
      </w:pPr>
      <w:r>
        <w:rPr>
          <w:rStyle w:val="FootnoteReference"/>
        </w:rPr>
        <w:footnoteRef/>
      </w:r>
      <w:r>
        <w:t xml:space="preserve"> Comments of CTIA and Motion to Extend Reply Comment Date, RM-11791 (filed Aug. 7, 2017) (CTIA Comments and Motion).  </w:t>
      </w:r>
    </w:p>
  </w:footnote>
  <w:footnote w:id="3">
    <w:p w14:paraId="5A77047A" w14:textId="77777777" w:rsidR="004A7467" w:rsidRPr="008F625E" w:rsidRDefault="004A7467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="008F625E">
        <w:rPr>
          <w:i/>
        </w:rPr>
        <w:t xml:space="preserve">See </w:t>
      </w:r>
      <w:r w:rsidR="008F625E" w:rsidRPr="00786982">
        <w:t>Petition of Broadband Access Coalition for a Rulemaking to Amend and Modernize Parts 25 and 101 of the Commission’s Rules to Authorize and Facilitate the Deployment of Licensed Point-to-Multipoint Fixed Wireless Broadband Service in the 3700-4200 MHz Band, RM-11791 (filed June 21, 2017)</w:t>
      </w:r>
      <w:r w:rsidR="002E7E36" w:rsidRPr="002E7E36">
        <w:t xml:space="preserve"> </w:t>
      </w:r>
      <w:r w:rsidR="002E7E36">
        <w:t>(BAC Petition).</w:t>
      </w:r>
      <w:r w:rsidR="008F625E" w:rsidRPr="00786982">
        <w:t xml:space="preserve">  </w:t>
      </w:r>
    </w:p>
  </w:footnote>
  <w:footnote w:id="4">
    <w:p w14:paraId="22F3A4EC" w14:textId="77777777" w:rsidR="003020AC" w:rsidRPr="00DE2301" w:rsidRDefault="003020AC" w:rsidP="003020AC">
      <w:pPr>
        <w:pStyle w:val="FootnoteText"/>
        <w:tabs>
          <w:tab w:val="left" w:pos="4770"/>
        </w:tabs>
      </w:pPr>
      <w:r w:rsidRPr="00DE2301">
        <w:rPr>
          <w:rStyle w:val="FootnoteReference"/>
        </w:rPr>
        <w:footnoteRef/>
      </w:r>
      <w:r w:rsidRPr="00DE2301">
        <w:t xml:space="preserve"> </w:t>
      </w:r>
      <w:r w:rsidRPr="008604D2">
        <w:rPr>
          <w:i/>
        </w:rPr>
        <w:t>Consumer and Governmental Affairs Bureau Reference Information Center Petition for Rulemaking Filed,</w:t>
      </w:r>
      <w:r w:rsidRPr="007C19D0">
        <w:t xml:space="preserve"> </w:t>
      </w:r>
      <w:r w:rsidR="008604D2">
        <w:t xml:space="preserve">Public Notice, </w:t>
      </w:r>
      <w:r w:rsidRPr="007C19D0">
        <w:t>Report No. 30</w:t>
      </w:r>
      <w:r>
        <w:t>80</w:t>
      </w:r>
      <w:r w:rsidRPr="007C19D0">
        <w:t xml:space="preserve"> (CGB</w:t>
      </w:r>
      <w:r>
        <w:t>,</w:t>
      </w:r>
      <w:r w:rsidRPr="007C19D0">
        <w:t xml:space="preserve"> </w:t>
      </w:r>
      <w:r>
        <w:t>July 7</w:t>
      </w:r>
      <w:r w:rsidRPr="007C19D0">
        <w:t>, 201</w:t>
      </w:r>
      <w:r>
        <w:t>7)</w:t>
      </w:r>
      <w:r w:rsidR="007E611A">
        <w:t xml:space="preserve">; </w:t>
      </w:r>
      <w:r w:rsidR="005B1782">
        <w:t xml:space="preserve">47 C.F.R. § 1.405(b) (a statement in support of or in opposition to a petition for rule making may be filed prior to Commission action on the petition but not later than 30 days after public notice is given and a reply to such a statement may be filed prior to Commission action on the petition but not later than 15 days after the filing of such a statement).  </w:t>
      </w:r>
      <w:r>
        <w:t xml:space="preserve">  </w:t>
      </w:r>
    </w:p>
  </w:footnote>
  <w:footnote w:id="5">
    <w:p w14:paraId="780ABB16" w14:textId="743A3058" w:rsidR="00316921" w:rsidRPr="00DE2301" w:rsidRDefault="00316921" w:rsidP="00316921">
      <w:pPr>
        <w:pStyle w:val="FootnoteText"/>
      </w:pPr>
      <w:r w:rsidRPr="00DE2301">
        <w:rPr>
          <w:rStyle w:val="FootnoteReference"/>
        </w:rPr>
        <w:footnoteRef/>
      </w:r>
      <w:r w:rsidRPr="00DE2301">
        <w:t xml:space="preserve"> </w:t>
      </w:r>
      <w:r w:rsidR="002E7E36">
        <w:t xml:space="preserve">CTIA </w:t>
      </w:r>
      <w:r w:rsidR="00EE0F62">
        <w:t xml:space="preserve">Comments and </w:t>
      </w:r>
      <w:r w:rsidR="002E7E36">
        <w:t>Motion</w:t>
      </w:r>
      <w:r w:rsidR="004A7467">
        <w:t xml:space="preserve"> </w:t>
      </w:r>
      <w:r w:rsidR="002E7E36">
        <w:t xml:space="preserve">at 1-2 </w:t>
      </w:r>
      <w:r w:rsidR="002E7E36" w:rsidRPr="002E7E36">
        <w:rPr>
          <w:i/>
        </w:rPr>
        <w:t>citing</w:t>
      </w:r>
      <w:r w:rsidR="002E7E36" w:rsidRPr="00137E63">
        <w:rPr>
          <w:i/>
        </w:rPr>
        <w:t xml:space="preserve"> Expanding Flexible Use in Mid-Band Spectrum Between 3.7 and 24 GHz</w:t>
      </w:r>
      <w:r w:rsidR="002E7E36" w:rsidRPr="00137E63">
        <w:t>, Notice of Inquiry, GN Docket No. 17-183, F</w:t>
      </w:r>
      <w:r w:rsidR="002E7E36">
        <w:t>CC 17-104 (rel. Aug. 3, 2017) (</w:t>
      </w:r>
      <w:r w:rsidR="002E7E36" w:rsidRPr="00137E63">
        <w:rPr>
          <w:i/>
        </w:rPr>
        <w:t>Mid-Band NOI</w:t>
      </w:r>
      <w:r w:rsidR="002E7E36" w:rsidRPr="00137E63">
        <w:t>).</w:t>
      </w:r>
    </w:p>
  </w:footnote>
  <w:footnote w:id="6">
    <w:p w14:paraId="4EB83486" w14:textId="77777777" w:rsidR="00742B11" w:rsidRDefault="00742B11">
      <w:pPr>
        <w:pStyle w:val="FootnoteText"/>
      </w:pPr>
      <w:r>
        <w:rPr>
          <w:rStyle w:val="FootnoteReference"/>
        </w:rPr>
        <w:footnoteRef/>
      </w:r>
      <w:r>
        <w:t xml:space="preserve"> CTIA </w:t>
      </w:r>
      <w:r w:rsidR="00EE0F62">
        <w:t xml:space="preserve">Comments and </w:t>
      </w:r>
      <w:r>
        <w:t xml:space="preserve">Motion at 3 </w:t>
      </w:r>
      <w:r w:rsidRPr="00742B11">
        <w:rPr>
          <w:i/>
        </w:rPr>
        <w:t>citing Mid-Band NOI</w:t>
      </w:r>
      <w:r>
        <w:t xml:space="preserve"> at </w:t>
      </w:r>
      <w:r w:rsidR="002B1046">
        <w:t>¶</w:t>
      </w:r>
      <w:r>
        <w:t>¶ 18</w:t>
      </w:r>
      <w:r w:rsidR="002B1046">
        <w:t>-19</w:t>
      </w:r>
      <w:r>
        <w:t>.</w:t>
      </w:r>
    </w:p>
  </w:footnote>
  <w:footnote w:id="7">
    <w:p w14:paraId="0BC3EA80" w14:textId="77777777" w:rsidR="004F76F6" w:rsidRDefault="004F76F6">
      <w:pPr>
        <w:pStyle w:val="FootnoteText"/>
      </w:pPr>
      <w:r>
        <w:rPr>
          <w:rStyle w:val="FootnoteReference"/>
        </w:rPr>
        <w:footnoteRef/>
      </w:r>
      <w:r>
        <w:t xml:space="preserve"> CTIA </w:t>
      </w:r>
      <w:r w:rsidR="00065F43">
        <w:t xml:space="preserve">Comments and </w:t>
      </w:r>
      <w:r>
        <w:t xml:space="preserve">Motion at 3.  </w:t>
      </w:r>
    </w:p>
  </w:footnote>
  <w:footnote w:id="8">
    <w:p w14:paraId="7607E09A" w14:textId="77777777" w:rsidR="004F76F6" w:rsidRPr="00E21EE8" w:rsidRDefault="004F76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Id.  </w:t>
      </w:r>
      <w:r w:rsidR="00383040">
        <w:rPr>
          <w:i/>
        </w:rPr>
        <w:t xml:space="preserve">Compare </w:t>
      </w:r>
      <w:r w:rsidR="00E21EE8" w:rsidRPr="00E21EE8">
        <w:t>Comments of T</w:t>
      </w:r>
      <w:r w:rsidR="00E21EE8">
        <w:t xml:space="preserve">-Mobile USA, Inc., RM-11791, GN Docket No. 17-183 (filed Aug. 7, 2017) </w:t>
      </w:r>
      <w:r w:rsidR="008D1E70">
        <w:t xml:space="preserve">(T-Mobile Comments) </w:t>
      </w:r>
      <w:r w:rsidR="00383040">
        <w:t xml:space="preserve">(calling for consolidation of the proceedings but not seeking a delay in the August 22, 2017, reply comment date in RM-11791).  </w:t>
      </w:r>
    </w:p>
  </w:footnote>
  <w:footnote w:id="9">
    <w:p w14:paraId="27406550" w14:textId="77777777" w:rsidR="00065F43" w:rsidRPr="00065F43" w:rsidRDefault="00065F43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  <w:r w:rsidR="008D3503">
        <w:rPr>
          <w:i/>
        </w:rPr>
        <w:t xml:space="preserve">  </w:t>
      </w:r>
    </w:p>
  </w:footnote>
  <w:footnote w:id="10">
    <w:p w14:paraId="6C7B8128" w14:textId="77777777" w:rsidR="00CA56B9" w:rsidRPr="008017EC" w:rsidRDefault="00CA56B9" w:rsidP="00CA56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C7DC7">
        <w:rPr>
          <w:i/>
          <w:szCs w:val="22"/>
        </w:rPr>
        <w:t>Mid-Band NOI</w:t>
      </w:r>
      <w:r>
        <w:rPr>
          <w:szCs w:val="22"/>
        </w:rPr>
        <w:t xml:space="preserve"> at 5 </w:t>
      </w:r>
      <w:r w:rsidR="008017EC">
        <w:rPr>
          <w:szCs w:val="22"/>
        </w:rPr>
        <w:t>¶</w:t>
      </w:r>
      <w:r>
        <w:rPr>
          <w:szCs w:val="22"/>
        </w:rPr>
        <w:t xml:space="preserve"> 11; </w:t>
      </w:r>
      <w:r w:rsidRPr="007C7DC7">
        <w:rPr>
          <w:i/>
          <w:szCs w:val="22"/>
        </w:rPr>
        <w:t>see also id</w:t>
      </w:r>
      <w:r>
        <w:rPr>
          <w:szCs w:val="22"/>
        </w:rPr>
        <w:t xml:space="preserve">. at n.14.  </w:t>
      </w:r>
      <w:r w:rsidR="008017EC">
        <w:rPr>
          <w:i/>
          <w:szCs w:val="22"/>
        </w:rPr>
        <w:t xml:space="preserve">Accord </w:t>
      </w:r>
      <w:r w:rsidR="008017EC" w:rsidRPr="008017EC">
        <w:rPr>
          <w:szCs w:val="22"/>
        </w:rPr>
        <w:t>T-Mobile Comments at</w:t>
      </w:r>
      <w:r w:rsidR="008017EC">
        <w:rPr>
          <w:i/>
          <w:szCs w:val="22"/>
        </w:rPr>
        <w:t xml:space="preserve"> </w:t>
      </w:r>
      <w:r w:rsidR="008017EC">
        <w:rPr>
          <w:szCs w:val="22"/>
        </w:rPr>
        <w:t xml:space="preserve">4.  </w:t>
      </w:r>
    </w:p>
  </w:footnote>
  <w:footnote w:id="11">
    <w:p w14:paraId="5916C63A" w14:textId="77777777" w:rsidR="00607EA2" w:rsidRPr="00DE2301" w:rsidRDefault="00607EA2" w:rsidP="00607EA2">
      <w:pPr>
        <w:pStyle w:val="FootnoteText"/>
      </w:pPr>
      <w:r w:rsidRPr="00DE2301">
        <w:rPr>
          <w:rStyle w:val="FootnoteReference"/>
        </w:rPr>
        <w:footnoteRef/>
      </w:r>
      <w:r>
        <w:t xml:space="preserve"> 47 C</w:t>
      </w:r>
      <w:r w:rsidR="00813401">
        <w:t>.</w:t>
      </w:r>
      <w:r>
        <w:t>F</w:t>
      </w:r>
      <w:r w:rsidR="00813401">
        <w:t>.</w:t>
      </w:r>
      <w:r>
        <w:t>R</w:t>
      </w:r>
      <w:r w:rsidR="00813401">
        <w:t>.</w:t>
      </w:r>
      <w:r>
        <w:t xml:space="preserve"> § 1.46</w:t>
      </w:r>
      <w:r w:rsidRPr="00DE2301">
        <w:t>(a).</w:t>
      </w:r>
      <w:r w:rsidR="004D36B9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360D7" w14:textId="77777777" w:rsidR="00C27E18" w:rsidRDefault="00C27E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D825A" w14:textId="1D1E6CD2" w:rsidR="00D25FB5" w:rsidRDefault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953F92">
      <w:t>DA 17-</w:t>
    </w:r>
    <w:r w:rsidR="00861795">
      <w:t>788</w:t>
    </w:r>
  </w:p>
  <w:p w14:paraId="32AE6321" w14:textId="77777777" w:rsidR="00D25FB5" w:rsidRDefault="008023A2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1508E15" wp14:editId="0A677DA5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rect w14:anchorId="66D2B09B" id="Rectangle 1" o:spid="_x0000_s1026" style="position:absolute;margin-left:0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    <w10:wrap anchorx="margin"/>
            </v:rect>
          </w:pict>
        </mc:Fallback>
      </mc:AlternateContent>
    </w:r>
  </w:p>
  <w:p w14:paraId="671DB7D0" w14:textId="77777777" w:rsidR="00D25FB5" w:rsidRDefault="00D25FB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2044C" w14:textId="48402361" w:rsidR="00D25FB5" w:rsidRDefault="008023A2" w:rsidP="00810B6F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F4BD765" wp14:editId="5B93025D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rect w14:anchorId="780F8131" id="Rectangle 3" o:spid="_x0000_s1026" style="position:absolute;margin-left:.6pt;margin-top:12.65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    <w10:wrap anchorx="margin"/>
            </v:rect>
          </w:pict>
        </mc:Fallback>
      </mc:AlternateContent>
    </w:r>
    <w:r w:rsidR="00D25FB5">
      <w:tab/>
      <w:t>Federal Communications Commission</w:t>
    </w:r>
    <w:r w:rsidR="00D25FB5">
      <w:tab/>
    </w:r>
    <w:r w:rsidR="00953F92">
      <w:rPr>
        <w:spacing w:val="-2"/>
      </w:rPr>
      <w:t>DA 17-</w:t>
    </w:r>
    <w:r w:rsidR="00861795">
      <w:rPr>
        <w:spacing w:val="-2"/>
      </w:rPr>
      <w:t>788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21"/>
    <w:rsid w:val="00006CB9"/>
    <w:rsid w:val="00006DD5"/>
    <w:rsid w:val="00036039"/>
    <w:rsid w:val="00037F90"/>
    <w:rsid w:val="00065F43"/>
    <w:rsid w:val="000875BF"/>
    <w:rsid w:val="00096D8C"/>
    <w:rsid w:val="000B0823"/>
    <w:rsid w:val="000B3F85"/>
    <w:rsid w:val="000C0B65"/>
    <w:rsid w:val="000E05FE"/>
    <w:rsid w:val="000E3D42"/>
    <w:rsid w:val="000E6A83"/>
    <w:rsid w:val="000F682C"/>
    <w:rsid w:val="00104414"/>
    <w:rsid w:val="00113131"/>
    <w:rsid w:val="00114B02"/>
    <w:rsid w:val="00122BD5"/>
    <w:rsid w:val="001303E4"/>
    <w:rsid w:val="00133F79"/>
    <w:rsid w:val="0014297E"/>
    <w:rsid w:val="00194A66"/>
    <w:rsid w:val="001B260A"/>
    <w:rsid w:val="001B49C4"/>
    <w:rsid w:val="001C4D71"/>
    <w:rsid w:val="001D6BCF"/>
    <w:rsid w:val="001E01CA"/>
    <w:rsid w:val="002064FD"/>
    <w:rsid w:val="00237E23"/>
    <w:rsid w:val="002543DE"/>
    <w:rsid w:val="00275CF5"/>
    <w:rsid w:val="0028301F"/>
    <w:rsid w:val="00285017"/>
    <w:rsid w:val="00291435"/>
    <w:rsid w:val="00291ED6"/>
    <w:rsid w:val="002A2D2E"/>
    <w:rsid w:val="002B1046"/>
    <w:rsid w:val="002B36AB"/>
    <w:rsid w:val="002B7AA8"/>
    <w:rsid w:val="002C00E8"/>
    <w:rsid w:val="002E7E36"/>
    <w:rsid w:val="003020AC"/>
    <w:rsid w:val="00316921"/>
    <w:rsid w:val="00341D06"/>
    <w:rsid w:val="00343749"/>
    <w:rsid w:val="003660ED"/>
    <w:rsid w:val="00383040"/>
    <w:rsid w:val="003A1D9D"/>
    <w:rsid w:val="003B0550"/>
    <w:rsid w:val="003B0E28"/>
    <w:rsid w:val="003B694F"/>
    <w:rsid w:val="003E5A77"/>
    <w:rsid w:val="003F171C"/>
    <w:rsid w:val="003F24B3"/>
    <w:rsid w:val="00412FC5"/>
    <w:rsid w:val="00422276"/>
    <w:rsid w:val="004242F1"/>
    <w:rsid w:val="00445A00"/>
    <w:rsid w:val="00451B0F"/>
    <w:rsid w:val="00496AF6"/>
    <w:rsid w:val="004A7467"/>
    <w:rsid w:val="004B6DAA"/>
    <w:rsid w:val="004C2EE3"/>
    <w:rsid w:val="004D0771"/>
    <w:rsid w:val="004D2CF8"/>
    <w:rsid w:val="004D36B9"/>
    <w:rsid w:val="004E4A22"/>
    <w:rsid w:val="004F76F6"/>
    <w:rsid w:val="00511968"/>
    <w:rsid w:val="005219D1"/>
    <w:rsid w:val="0055614C"/>
    <w:rsid w:val="005A3BE3"/>
    <w:rsid w:val="005A5657"/>
    <w:rsid w:val="005B1782"/>
    <w:rsid w:val="005B6016"/>
    <w:rsid w:val="005D650A"/>
    <w:rsid w:val="005E14C2"/>
    <w:rsid w:val="00607BA5"/>
    <w:rsid w:val="00607EA2"/>
    <w:rsid w:val="0061180A"/>
    <w:rsid w:val="00625C40"/>
    <w:rsid w:val="00626EB6"/>
    <w:rsid w:val="006274EA"/>
    <w:rsid w:val="00641B3D"/>
    <w:rsid w:val="006474BF"/>
    <w:rsid w:val="00655D03"/>
    <w:rsid w:val="00681C6F"/>
    <w:rsid w:val="00682397"/>
    <w:rsid w:val="00683388"/>
    <w:rsid w:val="00683F84"/>
    <w:rsid w:val="006A546E"/>
    <w:rsid w:val="006A6A81"/>
    <w:rsid w:val="006A747D"/>
    <w:rsid w:val="006F7393"/>
    <w:rsid w:val="0070224F"/>
    <w:rsid w:val="007115F7"/>
    <w:rsid w:val="00742B11"/>
    <w:rsid w:val="00776F68"/>
    <w:rsid w:val="00785689"/>
    <w:rsid w:val="0079754B"/>
    <w:rsid w:val="007A1E6D"/>
    <w:rsid w:val="007B0EB2"/>
    <w:rsid w:val="007C7DC7"/>
    <w:rsid w:val="007D5F1A"/>
    <w:rsid w:val="007E611A"/>
    <w:rsid w:val="008017EC"/>
    <w:rsid w:val="008023A2"/>
    <w:rsid w:val="00810B6F"/>
    <w:rsid w:val="00813401"/>
    <w:rsid w:val="00822CE0"/>
    <w:rsid w:val="00841AB1"/>
    <w:rsid w:val="0084601C"/>
    <w:rsid w:val="0085156A"/>
    <w:rsid w:val="008604D2"/>
    <w:rsid w:val="00861795"/>
    <w:rsid w:val="008754DA"/>
    <w:rsid w:val="008772A3"/>
    <w:rsid w:val="00892375"/>
    <w:rsid w:val="008B2B18"/>
    <w:rsid w:val="008B4FE5"/>
    <w:rsid w:val="008C68F1"/>
    <w:rsid w:val="008D1E70"/>
    <w:rsid w:val="008D3503"/>
    <w:rsid w:val="008F625E"/>
    <w:rsid w:val="00901C47"/>
    <w:rsid w:val="00921803"/>
    <w:rsid w:val="00926503"/>
    <w:rsid w:val="009334C1"/>
    <w:rsid w:val="00953F92"/>
    <w:rsid w:val="009606BB"/>
    <w:rsid w:val="009726D8"/>
    <w:rsid w:val="00973FDE"/>
    <w:rsid w:val="00974C10"/>
    <w:rsid w:val="009D2344"/>
    <w:rsid w:val="009F76DB"/>
    <w:rsid w:val="00A12D3D"/>
    <w:rsid w:val="00A16558"/>
    <w:rsid w:val="00A26EE6"/>
    <w:rsid w:val="00A32C3B"/>
    <w:rsid w:val="00A45F4F"/>
    <w:rsid w:val="00A600A9"/>
    <w:rsid w:val="00A71601"/>
    <w:rsid w:val="00A7557D"/>
    <w:rsid w:val="00A9638B"/>
    <w:rsid w:val="00AA55B7"/>
    <w:rsid w:val="00AA5B9E"/>
    <w:rsid w:val="00AB2407"/>
    <w:rsid w:val="00AB53DF"/>
    <w:rsid w:val="00AE3CA8"/>
    <w:rsid w:val="00B07E5C"/>
    <w:rsid w:val="00B11716"/>
    <w:rsid w:val="00B1608A"/>
    <w:rsid w:val="00B811F7"/>
    <w:rsid w:val="00B91545"/>
    <w:rsid w:val="00BA5DC6"/>
    <w:rsid w:val="00BA6196"/>
    <w:rsid w:val="00BC0341"/>
    <w:rsid w:val="00BC6D8C"/>
    <w:rsid w:val="00C27E18"/>
    <w:rsid w:val="00C34006"/>
    <w:rsid w:val="00C34D9B"/>
    <w:rsid w:val="00C426B1"/>
    <w:rsid w:val="00C5554C"/>
    <w:rsid w:val="00C61000"/>
    <w:rsid w:val="00C66160"/>
    <w:rsid w:val="00C721AC"/>
    <w:rsid w:val="00C74771"/>
    <w:rsid w:val="00C90D6A"/>
    <w:rsid w:val="00CA247E"/>
    <w:rsid w:val="00CA3671"/>
    <w:rsid w:val="00CA56B9"/>
    <w:rsid w:val="00CC72B6"/>
    <w:rsid w:val="00CD15BB"/>
    <w:rsid w:val="00CF5EA4"/>
    <w:rsid w:val="00CF6188"/>
    <w:rsid w:val="00D0218D"/>
    <w:rsid w:val="00D14E3E"/>
    <w:rsid w:val="00D228B9"/>
    <w:rsid w:val="00D25FB5"/>
    <w:rsid w:val="00D37A36"/>
    <w:rsid w:val="00D44223"/>
    <w:rsid w:val="00D73CE5"/>
    <w:rsid w:val="00DA2529"/>
    <w:rsid w:val="00DB130A"/>
    <w:rsid w:val="00DB2EBB"/>
    <w:rsid w:val="00DB41A2"/>
    <w:rsid w:val="00DC10A1"/>
    <w:rsid w:val="00DC32CE"/>
    <w:rsid w:val="00DC655F"/>
    <w:rsid w:val="00DD0B59"/>
    <w:rsid w:val="00DD7EBD"/>
    <w:rsid w:val="00DF32D0"/>
    <w:rsid w:val="00DF62B6"/>
    <w:rsid w:val="00E07225"/>
    <w:rsid w:val="00E107E6"/>
    <w:rsid w:val="00E21EE8"/>
    <w:rsid w:val="00E5409F"/>
    <w:rsid w:val="00E71A7D"/>
    <w:rsid w:val="00EC30C1"/>
    <w:rsid w:val="00EE0F62"/>
    <w:rsid w:val="00EE2713"/>
    <w:rsid w:val="00EE6488"/>
    <w:rsid w:val="00F021FA"/>
    <w:rsid w:val="00F02E84"/>
    <w:rsid w:val="00F62E97"/>
    <w:rsid w:val="00F64209"/>
    <w:rsid w:val="00F93BF5"/>
    <w:rsid w:val="00F96BF4"/>
    <w:rsid w:val="00FD055B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9A2A4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E84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F02E84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F02E84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F02E84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F02E84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F02E84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F02E84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F02E84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F02E84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F02E84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Char1"/>
    <w:rsid w:val="00F02E84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F02E84"/>
    <w:rPr>
      <w:sz w:val="20"/>
    </w:rPr>
  </w:style>
  <w:style w:type="character" w:styleId="EndnoteReference">
    <w:name w:val="endnote reference"/>
    <w:semiHidden/>
    <w:rsid w:val="00F02E84"/>
    <w:rPr>
      <w:vertAlign w:val="superscript"/>
    </w:rPr>
  </w:style>
  <w:style w:type="paragraph" w:styleId="FootnoteText">
    <w:name w:val="footnote text"/>
    <w:rsid w:val="00F02E84"/>
    <w:pPr>
      <w:spacing w:after="120"/>
    </w:pPr>
  </w:style>
  <w:style w:type="character" w:styleId="FootnoteReference">
    <w:name w:val="footnote reference"/>
    <w:rsid w:val="00F02E84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F02E84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F02E84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F02E84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F02E84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F02E84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F02E84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F02E84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F02E84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F02E84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F02E84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F02E84"/>
  </w:style>
  <w:style w:type="paragraph" w:styleId="Header">
    <w:name w:val="header"/>
    <w:basedOn w:val="Normal"/>
    <w:autoRedefine/>
    <w:rsid w:val="00F02E84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F02E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2E84"/>
  </w:style>
  <w:style w:type="paragraph" w:styleId="BlockText">
    <w:name w:val="Block Text"/>
    <w:basedOn w:val="Normal"/>
    <w:rsid w:val="00F02E84"/>
    <w:pPr>
      <w:spacing w:after="240"/>
      <w:ind w:left="1440" w:right="1440"/>
    </w:pPr>
  </w:style>
  <w:style w:type="paragraph" w:customStyle="1" w:styleId="Paratitle">
    <w:name w:val="Para title"/>
    <w:basedOn w:val="Normal"/>
    <w:rsid w:val="00F02E84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F02E84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F02E84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F02E84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F02E84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F02E84"/>
    <w:rPr>
      <w:color w:val="0000FF"/>
      <w:u w:val="single"/>
    </w:rPr>
  </w:style>
  <w:style w:type="character" w:customStyle="1" w:styleId="ParaNumCharChar1">
    <w:name w:val="ParaNum Char Char1"/>
    <w:link w:val="ParaNum"/>
    <w:rsid w:val="00316921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rsid w:val="00B160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608A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B6D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6DA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6DAA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6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6DAA"/>
    <w:rPr>
      <w:b/>
      <w:bCs/>
      <w:snapToGrid w:val="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E84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F02E84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F02E84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F02E84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F02E84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F02E84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F02E84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F02E84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F02E84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F02E84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Char1"/>
    <w:rsid w:val="00F02E84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F02E84"/>
    <w:rPr>
      <w:sz w:val="20"/>
    </w:rPr>
  </w:style>
  <w:style w:type="character" w:styleId="EndnoteReference">
    <w:name w:val="endnote reference"/>
    <w:semiHidden/>
    <w:rsid w:val="00F02E84"/>
    <w:rPr>
      <w:vertAlign w:val="superscript"/>
    </w:rPr>
  </w:style>
  <w:style w:type="paragraph" w:styleId="FootnoteText">
    <w:name w:val="footnote text"/>
    <w:rsid w:val="00F02E84"/>
    <w:pPr>
      <w:spacing w:after="120"/>
    </w:pPr>
  </w:style>
  <w:style w:type="character" w:styleId="FootnoteReference">
    <w:name w:val="footnote reference"/>
    <w:rsid w:val="00F02E84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F02E84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F02E84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F02E84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F02E84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F02E84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F02E84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F02E84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F02E84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F02E84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F02E84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F02E84"/>
  </w:style>
  <w:style w:type="paragraph" w:styleId="Header">
    <w:name w:val="header"/>
    <w:basedOn w:val="Normal"/>
    <w:autoRedefine/>
    <w:rsid w:val="00F02E84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F02E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2E84"/>
  </w:style>
  <w:style w:type="paragraph" w:styleId="BlockText">
    <w:name w:val="Block Text"/>
    <w:basedOn w:val="Normal"/>
    <w:rsid w:val="00F02E84"/>
    <w:pPr>
      <w:spacing w:after="240"/>
      <w:ind w:left="1440" w:right="1440"/>
    </w:pPr>
  </w:style>
  <w:style w:type="paragraph" w:customStyle="1" w:styleId="Paratitle">
    <w:name w:val="Para title"/>
    <w:basedOn w:val="Normal"/>
    <w:rsid w:val="00F02E84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F02E84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F02E84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F02E84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F02E84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F02E84"/>
    <w:rPr>
      <w:color w:val="0000FF"/>
      <w:u w:val="single"/>
    </w:rPr>
  </w:style>
  <w:style w:type="character" w:customStyle="1" w:styleId="ParaNumCharChar1">
    <w:name w:val="ParaNum Char Char1"/>
    <w:link w:val="ParaNum"/>
    <w:rsid w:val="00316921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rsid w:val="00B160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608A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B6D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6DA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6DAA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6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6DAA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2858</Characters>
  <Application>Microsoft Office Word</Application>
  <DocSecurity>0</DocSecurity>
  <Lines>70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3380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2017-08-18T14:35:00Z</dcterms:created>
  <dcterms:modified xsi:type="dcterms:W3CDTF">2017-08-18T14:35:00Z</dcterms:modified>
  <cp:category> </cp:category>
  <cp:contentStatus> </cp:contentStatus>
</cp:coreProperties>
</file>