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BB4E" w14:textId="77777777" w:rsidR="00FD486B" w:rsidRPr="00D77885" w:rsidRDefault="00FD486B">
      <w:pPr>
        <w:rPr>
          <w:strike/>
        </w:rPr>
      </w:pPr>
      <w:bookmarkStart w:id="0" w:name="_GoBack"/>
      <w:bookmarkEnd w:id="0"/>
    </w:p>
    <w:p w14:paraId="45456F49" w14:textId="6A61C795" w:rsidR="00FD486B" w:rsidRDefault="00FD486B">
      <w:pPr>
        <w:jc w:val="center"/>
        <w:rPr>
          <w:b/>
          <w:sz w:val="24"/>
          <w:szCs w:val="24"/>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b/>
          <w:sz w:val="24"/>
          <w:szCs w:val="24"/>
        </w:rPr>
        <w:t xml:space="preserve">DA </w:t>
      </w:r>
      <w:r w:rsidR="000C17F3" w:rsidRPr="000C17F3">
        <w:rPr>
          <w:b/>
          <w:sz w:val="24"/>
          <w:szCs w:val="24"/>
        </w:rPr>
        <w:t>17-795</w:t>
      </w:r>
    </w:p>
    <w:p w14:paraId="13CB1618" w14:textId="77777777" w:rsidR="00FD486B" w:rsidRDefault="00FD486B">
      <w:pPr>
        <w:jc w:val="center"/>
        <w:rPr>
          <w:sz w:val="36"/>
          <w:szCs w:val="36"/>
        </w:rPr>
      </w:pPr>
    </w:p>
    <w:p w14:paraId="711B50A3" w14:textId="77777777" w:rsidR="00FD486B" w:rsidRDefault="00FD486B">
      <w:pPr>
        <w:jc w:val="center"/>
        <w:rPr>
          <w:b/>
          <w:sz w:val="36"/>
          <w:szCs w:val="36"/>
        </w:rPr>
      </w:pPr>
      <w:r>
        <w:rPr>
          <w:b/>
          <w:sz w:val="36"/>
          <w:szCs w:val="36"/>
        </w:rPr>
        <w:t>Small Entity Compliance Guide</w:t>
      </w:r>
    </w:p>
    <w:p w14:paraId="3FF166B7" w14:textId="77777777" w:rsidR="00FD486B" w:rsidRDefault="00FD486B">
      <w:pPr>
        <w:jc w:val="center"/>
        <w:rPr>
          <w:sz w:val="24"/>
          <w:szCs w:val="24"/>
        </w:rPr>
      </w:pPr>
    </w:p>
    <w:p w14:paraId="2AFE4ABB" w14:textId="77777777" w:rsidR="00FD486B" w:rsidRDefault="00721E73">
      <w:pPr>
        <w:jc w:val="center"/>
        <w:rPr>
          <w:sz w:val="28"/>
          <w:szCs w:val="28"/>
        </w:rPr>
      </w:pPr>
      <w:r>
        <w:rPr>
          <w:b/>
          <w:sz w:val="28"/>
          <w:szCs w:val="28"/>
        </w:rPr>
        <w:t>Promoting Diversification of Ownership in the Broadcasting Services</w:t>
      </w:r>
    </w:p>
    <w:p w14:paraId="7885B003" w14:textId="77777777" w:rsidR="00FD486B" w:rsidRDefault="00FD486B">
      <w:pPr>
        <w:jc w:val="center"/>
        <w:rPr>
          <w:sz w:val="22"/>
          <w:szCs w:val="22"/>
        </w:rPr>
      </w:pPr>
    </w:p>
    <w:p w14:paraId="3BBE5941" w14:textId="36FFF28F" w:rsidR="00B511AF" w:rsidRPr="00B511AF" w:rsidRDefault="00E37256" w:rsidP="00B511AF">
      <w:pPr>
        <w:jc w:val="center"/>
        <w:rPr>
          <w:b/>
          <w:spacing w:val="-2"/>
          <w:sz w:val="24"/>
          <w:szCs w:val="24"/>
        </w:rPr>
      </w:pPr>
      <w:r>
        <w:rPr>
          <w:b/>
          <w:spacing w:val="-2"/>
          <w:sz w:val="24"/>
          <w:szCs w:val="24"/>
        </w:rPr>
        <w:t>FCC 17-42</w:t>
      </w:r>
    </w:p>
    <w:p w14:paraId="1072D753" w14:textId="711A56D6" w:rsidR="009E70F2" w:rsidRDefault="00147A25" w:rsidP="00B511AF">
      <w:pPr>
        <w:jc w:val="center"/>
        <w:rPr>
          <w:b/>
          <w:spacing w:val="-2"/>
          <w:sz w:val="24"/>
          <w:szCs w:val="24"/>
        </w:rPr>
      </w:pPr>
      <w:r>
        <w:rPr>
          <w:b/>
          <w:spacing w:val="-2"/>
          <w:sz w:val="24"/>
          <w:szCs w:val="24"/>
        </w:rPr>
        <w:t>MB Docket No</w:t>
      </w:r>
      <w:r w:rsidR="00B511AF" w:rsidRPr="00B511AF">
        <w:rPr>
          <w:b/>
          <w:spacing w:val="-2"/>
          <w:sz w:val="24"/>
          <w:szCs w:val="24"/>
        </w:rPr>
        <w:t xml:space="preserve">. </w:t>
      </w:r>
      <w:r w:rsidR="000B6F51">
        <w:rPr>
          <w:b/>
          <w:spacing w:val="-2"/>
          <w:sz w:val="24"/>
          <w:szCs w:val="24"/>
        </w:rPr>
        <w:t>07-294</w:t>
      </w:r>
    </w:p>
    <w:p w14:paraId="20BB5449" w14:textId="77777777" w:rsidR="009E70F2" w:rsidRPr="00B511AF" w:rsidRDefault="000B6F51" w:rsidP="00E37256">
      <w:pPr>
        <w:jc w:val="center"/>
        <w:rPr>
          <w:b/>
          <w:spacing w:val="-2"/>
          <w:sz w:val="24"/>
          <w:szCs w:val="24"/>
        </w:rPr>
      </w:pPr>
      <w:r>
        <w:rPr>
          <w:b/>
          <w:spacing w:val="-2"/>
          <w:sz w:val="24"/>
          <w:szCs w:val="24"/>
        </w:rPr>
        <w:t>MD Docket N</w:t>
      </w:r>
      <w:r w:rsidR="00B511AF">
        <w:rPr>
          <w:b/>
          <w:spacing w:val="-2"/>
          <w:sz w:val="24"/>
          <w:szCs w:val="24"/>
        </w:rPr>
        <w:t>o. 10-234</w:t>
      </w:r>
    </w:p>
    <w:p w14:paraId="4D9D32C9" w14:textId="77777777" w:rsidR="00B511AF" w:rsidRPr="00B511AF" w:rsidRDefault="00B511AF" w:rsidP="00B511AF">
      <w:pPr>
        <w:jc w:val="center"/>
        <w:rPr>
          <w:spacing w:val="-2"/>
          <w:sz w:val="24"/>
          <w:szCs w:val="24"/>
        </w:rPr>
      </w:pPr>
    </w:p>
    <w:p w14:paraId="22B220B0" w14:textId="77777777" w:rsidR="00FD486B" w:rsidRDefault="00FD486B">
      <w:pPr>
        <w:jc w:val="center"/>
        <w:rPr>
          <w:b/>
          <w:spacing w:val="-2"/>
          <w:sz w:val="24"/>
          <w:szCs w:val="24"/>
        </w:rPr>
      </w:pPr>
    </w:p>
    <w:p w14:paraId="269CC759" w14:textId="77777777" w:rsidR="00FD486B" w:rsidRDefault="00FD486B">
      <w:pPr>
        <w:tabs>
          <w:tab w:val="left" w:pos="360"/>
        </w:tabs>
        <w:ind w:left="1080" w:right="720"/>
        <w:jc w:val="both"/>
        <w:rPr>
          <w:b/>
          <w:sz w:val="22"/>
          <w:szCs w:val="22"/>
        </w:rPr>
      </w:pPr>
      <w:r>
        <w:rPr>
          <w:b/>
          <w:sz w:val="22"/>
          <w:szCs w:val="22"/>
        </w:rPr>
        <w:t>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w:t>
      </w:r>
      <w:r w:rsidR="00646FBD">
        <w:rPr>
          <w:b/>
          <w:sz w:val="22"/>
          <w:szCs w:val="22"/>
        </w:rPr>
        <w:t>s</w:t>
      </w:r>
      <w:r>
        <w:rPr>
          <w:b/>
          <w:sz w:val="22"/>
          <w:szCs w:val="22"/>
        </w:rPr>
        <w:t xml:space="preserve">.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679858C7" w14:textId="77777777" w:rsidR="00FD486B" w:rsidRDefault="00FD486B">
      <w:pPr>
        <w:tabs>
          <w:tab w:val="left" w:pos="360"/>
        </w:tabs>
        <w:ind w:left="1080" w:right="720"/>
        <w:jc w:val="both"/>
        <w:rPr>
          <w:b/>
          <w:sz w:val="22"/>
          <w:szCs w:val="22"/>
        </w:rPr>
      </w:pPr>
    </w:p>
    <w:p w14:paraId="5A92B404" w14:textId="77777777" w:rsidR="00FD486B" w:rsidRDefault="00FD486B">
      <w:pPr>
        <w:tabs>
          <w:tab w:val="left" w:pos="360"/>
        </w:tabs>
        <w:ind w:left="1080" w:right="720"/>
        <w:jc w:val="both"/>
        <w:rPr>
          <w:b/>
          <w:sz w:val="22"/>
          <w:szCs w:val="22"/>
        </w:rPr>
      </w:pPr>
      <w:r>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14:paraId="4910E29B" w14:textId="77777777" w:rsidR="00FD486B" w:rsidRDefault="00FD486B">
      <w:pPr>
        <w:rPr>
          <w:b/>
          <w:sz w:val="22"/>
          <w:szCs w:val="22"/>
        </w:rPr>
      </w:pPr>
    </w:p>
    <w:p w14:paraId="27D23664" w14:textId="77777777" w:rsidR="00FD486B" w:rsidRDefault="00FD486B">
      <w:pPr>
        <w:jc w:val="center"/>
        <w:rPr>
          <w:b/>
          <w:color w:val="000000"/>
          <w:sz w:val="22"/>
          <w:szCs w:val="22"/>
        </w:rPr>
      </w:pPr>
      <w:r>
        <w:rPr>
          <w:b/>
          <w:color w:val="000000"/>
          <w:sz w:val="22"/>
          <w:szCs w:val="22"/>
        </w:rPr>
        <w:t>1-888-CALL-</w:t>
      </w:r>
      <w:r w:rsidR="00372B41">
        <w:rPr>
          <w:b/>
          <w:color w:val="000000"/>
          <w:sz w:val="22"/>
          <w:szCs w:val="22"/>
        </w:rPr>
        <w:t>FCC (</w:t>
      </w:r>
      <w:r>
        <w:rPr>
          <w:b/>
          <w:color w:val="000000"/>
          <w:sz w:val="22"/>
          <w:szCs w:val="22"/>
        </w:rPr>
        <w:t>1-888-225-5322)  </w:t>
      </w:r>
    </w:p>
    <w:p w14:paraId="467D6B40" w14:textId="77777777" w:rsidR="00FD486B" w:rsidRDefault="00FD486B">
      <w:pPr>
        <w:jc w:val="center"/>
        <w:rPr>
          <w:b/>
          <w:color w:val="000000"/>
          <w:sz w:val="22"/>
          <w:szCs w:val="22"/>
        </w:rPr>
      </w:pPr>
      <w:r>
        <w:rPr>
          <w:b/>
          <w:color w:val="000000"/>
          <w:sz w:val="22"/>
          <w:szCs w:val="22"/>
        </w:rPr>
        <w:br/>
        <w:t>TTY: 1-888-TELL-FCC</w:t>
      </w:r>
      <w:r w:rsidR="00372B41">
        <w:rPr>
          <w:b/>
          <w:color w:val="000000"/>
          <w:sz w:val="22"/>
          <w:szCs w:val="22"/>
        </w:rPr>
        <w:t> (</w:t>
      </w:r>
      <w:r>
        <w:rPr>
          <w:b/>
          <w:color w:val="000000"/>
          <w:sz w:val="22"/>
          <w:szCs w:val="22"/>
        </w:rPr>
        <w:t>1-888-835-5322) </w:t>
      </w:r>
    </w:p>
    <w:p w14:paraId="548856AF" w14:textId="77777777" w:rsidR="00FD486B" w:rsidRDefault="00FD486B">
      <w:pPr>
        <w:jc w:val="center"/>
        <w:rPr>
          <w:b/>
          <w:color w:val="000000"/>
          <w:sz w:val="22"/>
          <w:szCs w:val="22"/>
        </w:rPr>
      </w:pPr>
      <w:r>
        <w:rPr>
          <w:b/>
          <w:color w:val="000000"/>
          <w:sz w:val="22"/>
          <w:szCs w:val="22"/>
        </w:rPr>
        <w:t> </w:t>
      </w:r>
      <w:r>
        <w:rPr>
          <w:b/>
          <w:color w:val="000000"/>
          <w:sz w:val="22"/>
          <w:szCs w:val="22"/>
        </w:rPr>
        <w:br/>
        <w:t>Fax: 1-866-418-0232</w:t>
      </w:r>
    </w:p>
    <w:p w14:paraId="0D7248A6" w14:textId="77777777" w:rsidR="00FD486B" w:rsidRDefault="00FD486B">
      <w:pPr>
        <w:jc w:val="center"/>
        <w:rPr>
          <w:b/>
          <w:color w:val="000000"/>
          <w:sz w:val="22"/>
          <w:szCs w:val="22"/>
        </w:rPr>
      </w:pPr>
    </w:p>
    <w:p w14:paraId="7459D04F" w14:textId="77777777" w:rsidR="00F30F07" w:rsidRPr="00F30F07" w:rsidRDefault="00FD486B" w:rsidP="00133B47">
      <w:pPr>
        <w:numPr>
          <w:ilvl w:val="0"/>
          <w:numId w:val="5"/>
        </w:numPr>
        <w:jc w:val="center"/>
        <w:rPr>
          <w:b/>
          <w:color w:val="000000"/>
          <w:sz w:val="22"/>
          <w:szCs w:val="22"/>
        </w:rPr>
      </w:pPr>
      <w:r>
        <w:rPr>
          <w:b/>
          <w:color w:val="000000"/>
          <w:sz w:val="22"/>
          <w:szCs w:val="22"/>
        </w:rPr>
        <w:br w:type="page"/>
      </w:r>
      <w:r w:rsidR="00F30F07" w:rsidRPr="00F30F07">
        <w:rPr>
          <w:b/>
          <w:color w:val="000000"/>
          <w:sz w:val="22"/>
          <w:szCs w:val="22"/>
          <w:u w:val="single"/>
        </w:rPr>
        <w:lastRenderedPageBreak/>
        <w:t>OBJECTIVES OF THE PROCEEDING</w:t>
      </w:r>
    </w:p>
    <w:p w14:paraId="349955E5" w14:textId="77777777" w:rsidR="00F30F07" w:rsidRDefault="00F30F07">
      <w:pPr>
        <w:jc w:val="center"/>
        <w:rPr>
          <w:color w:val="000000"/>
          <w:sz w:val="22"/>
          <w:szCs w:val="22"/>
        </w:rPr>
      </w:pPr>
    </w:p>
    <w:p w14:paraId="6D4A983B" w14:textId="2801FEAD" w:rsidR="00F30F07" w:rsidRPr="00F30F07" w:rsidRDefault="00E37256" w:rsidP="008B447B">
      <w:pPr>
        <w:jc w:val="both"/>
        <w:rPr>
          <w:color w:val="000000"/>
          <w:sz w:val="22"/>
          <w:szCs w:val="22"/>
        </w:rPr>
      </w:pPr>
      <w:r w:rsidRPr="000C6780">
        <w:rPr>
          <w:color w:val="000000"/>
          <w:sz w:val="22"/>
          <w:szCs w:val="22"/>
        </w:rPr>
        <w:t xml:space="preserve">In the </w:t>
      </w:r>
      <w:r w:rsidRPr="000C6780">
        <w:rPr>
          <w:i/>
          <w:color w:val="000000"/>
          <w:sz w:val="22"/>
          <w:szCs w:val="22"/>
        </w:rPr>
        <w:t>Order on Reconsideration</w:t>
      </w:r>
      <w:r w:rsidRPr="000C6780">
        <w:rPr>
          <w:color w:val="000000"/>
          <w:sz w:val="22"/>
          <w:szCs w:val="22"/>
        </w:rPr>
        <w:t xml:space="preserve"> in MB Docket No. 07-294 and MD Docket No. 10-234, released April 21, 2017,</w:t>
      </w:r>
      <w:r w:rsidRPr="000C6780">
        <w:rPr>
          <w:rStyle w:val="FootnoteReference"/>
          <w:color w:val="000000"/>
          <w:sz w:val="22"/>
          <w:szCs w:val="22"/>
        </w:rPr>
        <w:footnoteReference w:id="2"/>
      </w:r>
      <w:r w:rsidRPr="000C6780">
        <w:rPr>
          <w:color w:val="000000"/>
          <w:sz w:val="22"/>
          <w:szCs w:val="22"/>
        </w:rPr>
        <w:t xml:space="preserve"> the Commission </w:t>
      </w:r>
      <w:r w:rsidR="00777B92">
        <w:rPr>
          <w:color w:val="000000"/>
          <w:sz w:val="22"/>
          <w:szCs w:val="22"/>
        </w:rPr>
        <w:t xml:space="preserve">relieved </w:t>
      </w:r>
      <w:r w:rsidR="00233AE2">
        <w:rPr>
          <w:color w:val="000000"/>
          <w:sz w:val="22"/>
          <w:szCs w:val="22"/>
        </w:rPr>
        <w:t xml:space="preserve">noncommercial </w:t>
      </w:r>
      <w:r w:rsidR="00777B92">
        <w:rPr>
          <w:color w:val="000000"/>
          <w:sz w:val="22"/>
          <w:szCs w:val="22"/>
        </w:rPr>
        <w:t xml:space="preserve">(NCE) </w:t>
      </w:r>
      <w:r w:rsidR="00233AE2">
        <w:rPr>
          <w:color w:val="000000"/>
          <w:sz w:val="22"/>
          <w:szCs w:val="22"/>
        </w:rPr>
        <w:t>broadcasters</w:t>
      </w:r>
      <w:r w:rsidR="00777B92">
        <w:rPr>
          <w:color w:val="000000"/>
          <w:sz w:val="22"/>
          <w:szCs w:val="22"/>
        </w:rPr>
        <w:t xml:space="preserve"> </w:t>
      </w:r>
      <w:r w:rsidR="00DD3227">
        <w:rPr>
          <w:color w:val="000000"/>
          <w:sz w:val="22"/>
          <w:szCs w:val="22"/>
        </w:rPr>
        <w:t>of</w:t>
      </w:r>
      <w:r w:rsidR="00233AE2">
        <w:rPr>
          <w:color w:val="000000"/>
          <w:sz w:val="22"/>
          <w:szCs w:val="22"/>
        </w:rPr>
        <w:t xml:space="preserve"> the requirement that they must report a unique FCC Registration Number (FRN) for each attributable interest holder on ownership reports filed with the Commission</w:t>
      </w:r>
      <w:r w:rsidR="00EA52E2">
        <w:rPr>
          <w:color w:val="000000"/>
          <w:sz w:val="22"/>
          <w:szCs w:val="22"/>
        </w:rPr>
        <w:t>, or risk being subject to enforcement action</w:t>
      </w:r>
      <w:r w:rsidR="00233AE2">
        <w:rPr>
          <w:color w:val="000000"/>
          <w:sz w:val="22"/>
          <w:szCs w:val="22"/>
        </w:rPr>
        <w:t xml:space="preserve">. The FCC had previously </w:t>
      </w:r>
      <w:r w:rsidR="00297B3B" w:rsidRPr="000C6780">
        <w:rPr>
          <w:color w:val="000000"/>
          <w:sz w:val="22"/>
          <w:szCs w:val="22"/>
        </w:rPr>
        <w:t xml:space="preserve">adopted </w:t>
      </w:r>
      <w:r w:rsidR="00233AE2">
        <w:rPr>
          <w:color w:val="000000"/>
          <w:sz w:val="22"/>
          <w:szCs w:val="22"/>
        </w:rPr>
        <w:t xml:space="preserve">this requirement </w:t>
      </w:r>
      <w:r w:rsidR="000C6780">
        <w:rPr>
          <w:color w:val="000000"/>
          <w:sz w:val="22"/>
          <w:szCs w:val="22"/>
        </w:rPr>
        <w:t xml:space="preserve">when it revised FCC Form 2100, Schedule 323-E, Ownership Report for Noncommercial Broadcast Stations (formerly, FCC Form 323-E) </w:t>
      </w:r>
      <w:r w:rsidR="001D3193" w:rsidRPr="000C6780">
        <w:rPr>
          <w:color w:val="000000"/>
          <w:sz w:val="22"/>
          <w:szCs w:val="22"/>
        </w:rPr>
        <w:t xml:space="preserve">in the </w:t>
      </w:r>
      <w:r w:rsidR="001D3193" w:rsidRPr="000C6780">
        <w:rPr>
          <w:i/>
          <w:color w:val="000000"/>
          <w:sz w:val="22"/>
          <w:szCs w:val="22"/>
        </w:rPr>
        <w:t>Report and Order</w:t>
      </w:r>
      <w:r w:rsidR="000C6780">
        <w:rPr>
          <w:i/>
          <w:color w:val="000000"/>
          <w:sz w:val="22"/>
          <w:szCs w:val="22"/>
        </w:rPr>
        <w:t>, Second Report and Order, and Order on Reconsideration</w:t>
      </w:r>
      <w:r w:rsidR="000C6780">
        <w:rPr>
          <w:color w:val="000000"/>
          <w:sz w:val="22"/>
          <w:szCs w:val="22"/>
        </w:rPr>
        <w:t xml:space="preserve"> (</w:t>
      </w:r>
      <w:r w:rsidR="000C6780">
        <w:rPr>
          <w:i/>
          <w:color w:val="000000"/>
          <w:sz w:val="22"/>
          <w:szCs w:val="22"/>
        </w:rPr>
        <w:t>Report and Order</w:t>
      </w:r>
      <w:r w:rsidR="000C6780">
        <w:rPr>
          <w:color w:val="000000"/>
          <w:sz w:val="22"/>
          <w:szCs w:val="22"/>
        </w:rPr>
        <w:t xml:space="preserve">) in MB Docket Nos. 07-294, 10-103, and MD Docket No. 10-234 </w:t>
      </w:r>
      <w:r w:rsidR="00233AE2">
        <w:rPr>
          <w:color w:val="000000"/>
          <w:sz w:val="22"/>
          <w:szCs w:val="22"/>
        </w:rPr>
        <w:t xml:space="preserve">on </w:t>
      </w:r>
      <w:r w:rsidR="000C6780">
        <w:rPr>
          <w:color w:val="000000"/>
          <w:sz w:val="22"/>
          <w:szCs w:val="22"/>
        </w:rPr>
        <w:t>January 20, 2016.</w:t>
      </w:r>
      <w:r w:rsidR="000C6780">
        <w:rPr>
          <w:rStyle w:val="FootnoteReference"/>
          <w:color w:val="000000"/>
          <w:sz w:val="22"/>
          <w:szCs w:val="22"/>
        </w:rPr>
        <w:footnoteReference w:id="3"/>
      </w:r>
      <w:r w:rsidR="00A339F3">
        <w:rPr>
          <w:color w:val="000000"/>
          <w:sz w:val="22"/>
          <w:szCs w:val="22"/>
        </w:rPr>
        <w:t xml:space="preserve"> </w:t>
      </w:r>
      <w:r w:rsidR="00DB1C90">
        <w:rPr>
          <w:color w:val="000000"/>
          <w:sz w:val="22"/>
          <w:szCs w:val="22"/>
        </w:rPr>
        <w:t xml:space="preserve"> </w:t>
      </w:r>
      <w:r w:rsidR="00A339F3">
        <w:rPr>
          <w:color w:val="000000"/>
          <w:sz w:val="22"/>
          <w:szCs w:val="22"/>
        </w:rPr>
        <w:t xml:space="preserve">In the </w:t>
      </w:r>
      <w:r w:rsidR="00A339F3">
        <w:rPr>
          <w:i/>
          <w:color w:val="000000"/>
          <w:sz w:val="22"/>
          <w:szCs w:val="22"/>
        </w:rPr>
        <w:t xml:space="preserve">Report and Order, </w:t>
      </w:r>
      <w:r w:rsidR="00A339F3">
        <w:rPr>
          <w:color w:val="000000"/>
          <w:sz w:val="22"/>
          <w:szCs w:val="22"/>
        </w:rPr>
        <w:t xml:space="preserve">the Commission adopted a number of revisions to FCC Form 2100, Schedule 323 (formerly FCC Form 323) and Schedule 323-E </w:t>
      </w:r>
      <w:r w:rsidR="00233AE2">
        <w:rPr>
          <w:color w:val="000000"/>
          <w:sz w:val="22"/>
          <w:szCs w:val="22"/>
        </w:rPr>
        <w:t xml:space="preserve">in </w:t>
      </w:r>
      <w:r w:rsidR="00BD6705">
        <w:rPr>
          <w:color w:val="000000"/>
          <w:sz w:val="22"/>
          <w:szCs w:val="22"/>
        </w:rPr>
        <w:t xml:space="preserve">an </w:t>
      </w:r>
      <w:r w:rsidR="00233AE2">
        <w:rPr>
          <w:color w:val="000000"/>
          <w:sz w:val="22"/>
          <w:szCs w:val="22"/>
        </w:rPr>
        <w:t xml:space="preserve">attempt </w:t>
      </w:r>
      <w:r w:rsidR="00A339F3">
        <w:rPr>
          <w:color w:val="000000"/>
          <w:sz w:val="22"/>
          <w:szCs w:val="22"/>
        </w:rPr>
        <w:t xml:space="preserve">to </w:t>
      </w:r>
      <w:r w:rsidR="00233AE2">
        <w:rPr>
          <w:color w:val="000000"/>
          <w:sz w:val="22"/>
          <w:szCs w:val="22"/>
        </w:rPr>
        <w:t xml:space="preserve">increase </w:t>
      </w:r>
      <w:r w:rsidR="00A339F3">
        <w:rPr>
          <w:color w:val="000000"/>
          <w:sz w:val="22"/>
          <w:szCs w:val="22"/>
        </w:rPr>
        <w:t>the comprehensiveness and reliability of the ownership data collected on the forms, while reducing certain filing burdens on broadcasters.</w:t>
      </w:r>
      <w:r w:rsidR="00465E1C">
        <w:rPr>
          <w:color w:val="000000"/>
          <w:sz w:val="22"/>
          <w:szCs w:val="22"/>
        </w:rPr>
        <w:t xml:space="preserve">  </w:t>
      </w:r>
      <w:r w:rsidR="00233AE2">
        <w:rPr>
          <w:color w:val="000000"/>
          <w:sz w:val="22"/>
          <w:szCs w:val="22"/>
        </w:rPr>
        <w:t xml:space="preserve">However, one of these revisions </w:t>
      </w:r>
      <w:r w:rsidR="00233AE2" w:rsidRPr="000C6780">
        <w:rPr>
          <w:color w:val="000000"/>
          <w:sz w:val="22"/>
          <w:szCs w:val="22"/>
        </w:rPr>
        <w:t>require</w:t>
      </w:r>
      <w:r w:rsidR="00233AE2">
        <w:rPr>
          <w:color w:val="000000"/>
          <w:sz w:val="22"/>
          <w:szCs w:val="22"/>
        </w:rPr>
        <w:t>d</w:t>
      </w:r>
      <w:r w:rsidR="00233AE2" w:rsidRPr="000C6780">
        <w:rPr>
          <w:color w:val="000000"/>
          <w:sz w:val="22"/>
          <w:szCs w:val="22"/>
        </w:rPr>
        <w:t xml:space="preserve"> </w:t>
      </w:r>
      <w:r w:rsidR="00A339F3">
        <w:rPr>
          <w:color w:val="000000"/>
          <w:sz w:val="22"/>
          <w:szCs w:val="22"/>
        </w:rPr>
        <w:t>individuals holding attributable interests in NCE broadcast licensees</w:t>
      </w:r>
      <w:r w:rsidR="00DB1C90">
        <w:rPr>
          <w:color w:val="000000"/>
          <w:sz w:val="22"/>
          <w:szCs w:val="22"/>
        </w:rPr>
        <w:t>—</w:t>
      </w:r>
      <w:r w:rsidR="00A339F3">
        <w:rPr>
          <w:color w:val="000000"/>
          <w:sz w:val="22"/>
          <w:szCs w:val="22"/>
        </w:rPr>
        <w:t xml:space="preserve">primarily </w:t>
      </w:r>
      <w:r w:rsidR="000C6780" w:rsidRPr="000C6780">
        <w:rPr>
          <w:color w:val="000000"/>
          <w:sz w:val="22"/>
          <w:szCs w:val="22"/>
        </w:rPr>
        <w:t>officers and governing board members</w:t>
      </w:r>
      <w:r w:rsidR="00DB1C90">
        <w:rPr>
          <w:color w:val="000000"/>
          <w:sz w:val="22"/>
          <w:szCs w:val="22"/>
        </w:rPr>
        <w:t>—</w:t>
      </w:r>
      <w:r w:rsidR="009046C4">
        <w:rPr>
          <w:color w:val="000000"/>
          <w:sz w:val="22"/>
          <w:szCs w:val="22"/>
        </w:rPr>
        <w:t xml:space="preserve">to </w:t>
      </w:r>
      <w:r w:rsidR="00241D93">
        <w:rPr>
          <w:color w:val="000000"/>
          <w:sz w:val="22"/>
          <w:szCs w:val="22"/>
        </w:rPr>
        <w:t>obtain a unique identifier</w:t>
      </w:r>
      <w:r w:rsidR="000C6780" w:rsidRPr="000C6780">
        <w:rPr>
          <w:color w:val="000000"/>
          <w:sz w:val="22"/>
          <w:szCs w:val="22"/>
        </w:rPr>
        <w:t xml:space="preserve">, which </w:t>
      </w:r>
      <w:r w:rsidR="00EA52E2" w:rsidRPr="000C6780">
        <w:rPr>
          <w:color w:val="000000"/>
          <w:sz w:val="22"/>
          <w:szCs w:val="22"/>
        </w:rPr>
        <w:t>require</w:t>
      </w:r>
      <w:r w:rsidR="00EA52E2">
        <w:rPr>
          <w:color w:val="000000"/>
          <w:sz w:val="22"/>
          <w:szCs w:val="22"/>
        </w:rPr>
        <w:t>d</w:t>
      </w:r>
      <w:r w:rsidR="00EA52E2" w:rsidRPr="000C6780">
        <w:rPr>
          <w:color w:val="000000"/>
          <w:sz w:val="22"/>
          <w:szCs w:val="22"/>
        </w:rPr>
        <w:t xml:space="preserve"> </w:t>
      </w:r>
      <w:r w:rsidR="000C6780" w:rsidRPr="000C6780">
        <w:rPr>
          <w:color w:val="000000"/>
          <w:sz w:val="22"/>
          <w:szCs w:val="22"/>
        </w:rPr>
        <w:t>submission of personal information</w:t>
      </w:r>
      <w:r w:rsidR="00233AE2">
        <w:rPr>
          <w:color w:val="000000"/>
          <w:sz w:val="22"/>
          <w:szCs w:val="22"/>
        </w:rPr>
        <w:t>, such as a social security number or date of birth,</w:t>
      </w:r>
      <w:r w:rsidR="000C6780" w:rsidRPr="000C6780">
        <w:rPr>
          <w:color w:val="000000"/>
          <w:sz w:val="22"/>
          <w:szCs w:val="22"/>
        </w:rPr>
        <w:t xml:space="preserve"> to the Commission.  </w:t>
      </w:r>
      <w:r w:rsidR="00A339F3">
        <w:rPr>
          <w:color w:val="000000"/>
          <w:sz w:val="22"/>
          <w:szCs w:val="22"/>
        </w:rPr>
        <w:t>NCE</w:t>
      </w:r>
      <w:r w:rsidR="00777B92">
        <w:rPr>
          <w:color w:val="000000"/>
          <w:sz w:val="22"/>
          <w:szCs w:val="22"/>
        </w:rPr>
        <w:t>s</w:t>
      </w:r>
      <w:r w:rsidR="000C6780" w:rsidRPr="000C6780">
        <w:rPr>
          <w:color w:val="000000"/>
          <w:sz w:val="22"/>
          <w:szCs w:val="22"/>
        </w:rPr>
        <w:t xml:space="preserve"> claimed </w:t>
      </w:r>
      <w:r w:rsidR="00D647B5" w:rsidRPr="000C6780">
        <w:rPr>
          <w:color w:val="000000"/>
          <w:sz w:val="22"/>
          <w:szCs w:val="22"/>
        </w:rPr>
        <w:t xml:space="preserve">that </w:t>
      </w:r>
      <w:r w:rsidR="00F94D70">
        <w:rPr>
          <w:color w:val="000000"/>
          <w:sz w:val="22"/>
          <w:szCs w:val="22"/>
        </w:rPr>
        <w:t>this</w:t>
      </w:r>
      <w:r w:rsidR="00D647B5" w:rsidRPr="000C6780">
        <w:rPr>
          <w:color w:val="000000"/>
          <w:sz w:val="22"/>
          <w:szCs w:val="22"/>
        </w:rPr>
        <w:t xml:space="preserve"> requirement would deter volunteers from serving as board members</w:t>
      </w:r>
      <w:r w:rsidR="000C6780" w:rsidRPr="000C6780">
        <w:rPr>
          <w:color w:val="000000"/>
          <w:sz w:val="22"/>
          <w:szCs w:val="22"/>
        </w:rPr>
        <w:t>.</w:t>
      </w:r>
      <w:r w:rsidR="00F94D70">
        <w:rPr>
          <w:color w:val="000000"/>
          <w:sz w:val="22"/>
          <w:szCs w:val="22"/>
        </w:rPr>
        <w:t xml:space="preserve">  On reconsideration, t</w:t>
      </w:r>
      <w:r w:rsidR="00D647B5" w:rsidRPr="000C6780">
        <w:rPr>
          <w:color w:val="000000"/>
          <w:sz w:val="22"/>
          <w:szCs w:val="22"/>
        </w:rPr>
        <w:t xml:space="preserve">he Commission </w:t>
      </w:r>
      <w:r w:rsidR="000C6780" w:rsidRPr="000C6780">
        <w:rPr>
          <w:color w:val="000000"/>
          <w:sz w:val="22"/>
          <w:szCs w:val="22"/>
        </w:rPr>
        <w:t>found that elimination of this requirement</w:t>
      </w:r>
      <w:r w:rsidR="001D3193" w:rsidRPr="000C6780">
        <w:rPr>
          <w:color w:val="000000"/>
          <w:sz w:val="22"/>
          <w:szCs w:val="22"/>
        </w:rPr>
        <w:t xml:space="preserve"> properly balances the need to improve the integrity and usability of the Commission’s broadcast ownership data with the public interest in avoiding the potential chilling effects </w:t>
      </w:r>
      <w:r w:rsidR="00A339F3">
        <w:rPr>
          <w:color w:val="000000"/>
          <w:sz w:val="22"/>
          <w:szCs w:val="22"/>
        </w:rPr>
        <w:t>this</w:t>
      </w:r>
      <w:r w:rsidR="00A06AF9" w:rsidRPr="000C6780">
        <w:rPr>
          <w:color w:val="000000"/>
          <w:sz w:val="22"/>
          <w:szCs w:val="22"/>
        </w:rPr>
        <w:t xml:space="preserve"> requirement could have on participation in noncommercial station governance.</w:t>
      </w:r>
      <w:r w:rsidR="00777B92">
        <w:rPr>
          <w:color w:val="000000"/>
          <w:sz w:val="22"/>
          <w:szCs w:val="22"/>
        </w:rPr>
        <w:t xml:space="preserve">  </w:t>
      </w:r>
    </w:p>
    <w:p w14:paraId="61BF0944" w14:textId="77777777" w:rsidR="00F30F07" w:rsidRDefault="00F30F07">
      <w:pPr>
        <w:jc w:val="center"/>
        <w:rPr>
          <w:b/>
          <w:color w:val="000000"/>
          <w:sz w:val="22"/>
          <w:szCs w:val="22"/>
        </w:rPr>
      </w:pPr>
    </w:p>
    <w:p w14:paraId="78D35D07" w14:textId="77777777" w:rsidR="00FD486B" w:rsidRPr="00B511AF" w:rsidRDefault="00F30F07" w:rsidP="00133B47">
      <w:pPr>
        <w:numPr>
          <w:ilvl w:val="0"/>
          <w:numId w:val="5"/>
        </w:numPr>
        <w:jc w:val="center"/>
        <w:rPr>
          <w:b/>
          <w:color w:val="000000"/>
          <w:sz w:val="22"/>
          <w:szCs w:val="22"/>
          <w:u w:val="single"/>
        </w:rPr>
      </w:pPr>
      <w:r w:rsidRPr="00B511AF">
        <w:rPr>
          <w:b/>
          <w:color w:val="000000"/>
          <w:sz w:val="22"/>
          <w:szCs w:val="22"/>
          <w:u w:val="single"/>
        </w:rPr>
        <w:t>COMPLIANCE REQUIREMENTS</w:t>
      </w:r>
    </w:p>
    <w:p w14:paraId="4EAF147B" w14:textId="77777777" w:rsidR="000C01CF" w:rsidRPr="008D3C8E" w:rsidRDefault="000C01CF">
      <w:pPr>
        <w:rPr>
          <w:color w:val="000000"/>
          <w:sz w:val="22"/>
        </w:rPr>
      </w:pPr>
    </w:p>
    <w:p w14:paraId="5826875C" w14:textId="6ADCD690" w:rsidR="004819F4" w:rsidRPr="008D3C8E" w:rsidRDefault="00241D93" w:rsidP="008D3C8E">
      <w:pPr>
        <w:jc w:val="both"/>
        <w:rPr>
          <w:color w:val="000000"/>
          <w:sz w:val="22"/>
        </w:rPr>
      </w:pPr>
      <w:r w:rsidRPr="006B1A14">
        <w:rPr>
          <w:color w:val="000000"/>
          <w:sz w:val="22"/>
        </w:rPr>
        <w:t>This Compliance Guide supplements</w:t>
      </w:r>
      <w:r w:rsidR="004819F4" w:rsidRPr="006B1A14">
        <w:rPr>
          <w:color w:val="000000"/>
          <w:sz w:val="22"/>
        </w:rPr>
        <w:t xml:space="preserve"> </w:t>
      </w:r>
      <w:r w:rsidR="000C01CF" w:rsidRPr="006B1A14">
        <w:rPr>
          <w:color w:val="000000"/>
          <w:sz w:val="22"/>
        </w:rPr>
        <w:t>the prior</w:t>
      </w:r>
      <w:r w:rsidR="000C01CF" w:rsidRPr="006B1A14">
        <w:rPr>
          <w:i/>
          <w:color w:val="000000"/>
          <w:sz w:val="22"/>
        </w:rPr>
        <w:t xml:space="preserve"> </w:t>
      </w:r>
      <w:r w:rsidR="000C01CF" w:rsidRPr="0095016C">
        <w:rPr>
          <w:i/>
          <w:color w:val="000000"/>
          <w:sz w:val="22"/>
          <w:szCs w:val="22"/>
        </w:rPr>
        <w:t>Compliance Guide</w:t>
      </w:r>
      <w:r w:rsidR="000C01CF" w:rsidRPr="0095016C">
        <w:rPr>
          <w:color w:val="000000"/>
          <w:sz w:val="22"/>
          <w:szCs w:val="22"/>
        </w:rPr>
        <w:t>, DA 16-1372, released on January 9, 2017,</w:t>
      </w:r>
      <w:r w:rsidR="004819F4" w:rsidRPr="006B1A14">
        <w:rPr>
          <w:color w:val="000000"/>
          <w:sz w:val="22"/>
        </w:rPr>
        <w:t xml:space="preserve"> </w:t>
      </w:r>
      <w:r w:rsidR="000A4BDA">
        <w:rPr>
          <w:color w:val="000000"/>
          <w:sz w:val="22"/>
        </w:rPr>
        <w:t xml:space="preserve">and partially supersedes the prior </w:t>
      </w:r>
      <w:r w:rsidR="000A4BDA">
        <w:rPr>
          <w:i/>
          <w:color w:val="000000"/>
          <w:sz w:val="22"/>
        </w:rPr>
        <w:t xml:space="preserve">Compliance </w:t>
      </w:r>
      <w:r w:rsidR="000A4BDA" w:rsidRPr="000A4BDA">
        <w:rPr>
          <w:i/>
          <w:color w:val="000000"/>
          <w:sz w:val="22"/>
        </w:rPr>
        <w:t>Guide</w:t>
      </w:r>
      <w:r w:rsidR="000A4BDA">
        <w:rPr>
          <w:color w:val="000000"/>
          <w:sz w:val="22"/>
        </w:rPr>
        <w:t xml:space="preserve">, specifically </w:t>
      </w:r>
      <w:r w:rsidRPr="000A4BDA">
        <w:rPr>
          <w:color w:val="000000"/>
          <w:sz w:val="22"/>
        </w:rPr>
        <w:t>as</w:t>
      </w:r>
      <w:r w:rsidRPr="006B1A14">
        <w:rPr>
          <w:color w:val="000000"/>
          <w:sz w:val="22"/>
        </w:rPr>
        <w:t xml:space="preserve"> it pertains to the requirement that the licensees of noncommercial educational broadcast stations report a unique identifier for all individuals holding attributable interests in the licensee, such as officers and governing board members.</w:t>
      </w:r>
      <w:r w:rsidR="008D3B3A" w:rsidRPr="006B1A14">
        <w:rPr>
          <w:color w:val="000000"/>
          <w:sz w:val="22"/>
        </w:rPr>
        <w:t xml:space="preserve"> </w:t>
      </w:r>
      <w:r w:rsidR="000C01CF" w:rsidRPr="0095016C">
        <w:rPr>
          <w:color w:val="000000"/>
          <w:sz w:val="22"/>
          <w:szCs w:val="22"/>
        </w:rPr>
        <w:t xml:space="preserve"> </w:t>
      </w:r>
      <w:r w:rsidR="008D3B3A" w:rsidRPr="006B1A14">
        <w:rPr>
          <w:color w:val="000000"/>
          <w:sz w:val="22"/>
        </w:rPr>
        <w:t>T</w:t>
      </w:r>
      <w:r w:rsidR="008D3B3A" w:rsidRPr="006B1A14">
        <w:rPr>
          <w:sz w:val="22"/>
        </w:rPr>
        <w:t xml:space="preserve">he draft of FCC Form 2100, Schedule 323-E in Appendix E of the </w:t>
      </w:r>
      <w:r w:rsidR="008D3B3A" w:rsidRPr="006B1A14">
        <w:rPr>
          <w:i/>
          <w:sz w:val="22"/>
        </w:rPr>
        <w:t xml:space="preserve">Report and Order </w:t>
      </w:r>
      <w:r w:rsidR="008D3B3A" w:rsidRPr="006B1A14">
        <w:rPr>
          <w:sz w:val="22"/>
        </w:rPr>
        <w:t xml:space="preserve">does not reflect the change subsequently adopted in the </w:t>
      </w:r>
      <w:r w:rsidR="008D3B3A" w:rsidRPr="006B1A14">
        <w:rPr>
          <w:i/>
          <w:sz w:val="22"/>
        </w:rPr>
        <w:t>Order on Reconsiderati</w:t>
      </w:r>
      <w:r w:rsidR="008D3B3A" w:rsidRPr="000C01CF">
        <w:rPr>
          <w:i/>
          <w:sz w:val="22"/>
          <w:szCs w:val="22"/>
        </w:rPr>
        <w:t>on</w:t>
      </w:r>
      <w:r w:rsidR="008D3B3A" w:rsidRPr="000C01CF">
        <w:rPr>
          <w:sz w:val="22"/>
          <w:szCs w:val="22"/>
        </w:rPr>
        <w:t xml:space="preserve">.  </w:t>
      </w:r>
      <w:r w:rsidR="008D3B3A" w:rsidRPr="006B1A14">
        <w:rPr>
          <w:sz w:val="22"/>
        </w:rPr>
        <w:t>The Commission</w:t>
      </w:r>
      <w:r w:rsidR="008D3B3A" w:rsidRPr="006B1A14">
        <w:rPr>
          <w:i/>
          <w:sz w:val="22"/>
        </w:rPr>
        <w:t xml:space="preserve"> </w:t>
      </w:r>
      <w:r w:rsidR="008D3B3A" w:rsidRPr="006B1A14">
        <w:rPr>
          <w:sz w:val="22"/>
        </w:rPr>
        <w:t xml:space="preserve">will announce when final versions of this form and FCC Form 2100, Schedule 323 are available online and when filers should begin using the revised forms.  </w:t>
      </w:r>
    </w:p>
    <w:p w14:paraId="7F47A5E8" w14:textId="77777777" w:rsidR="002023CA" w:rsidRPr="006B1A14" w:rsidRDefault="002023CA" w:rsidP="006B1A14">
      <w:pPr>
        <w:autoSpaceDE w:val="0"/>
        <w:autoSpaceDN w:val="0"/>
        <w:adjustRightInd w:val="0"/>
        <w:jc w:val="both"/>
        <w:rPr>
          <w:sz w:val="22"/>
        </w:rPr>
      </w:pPr>
    </w:p>
    <w:p w14:paraId="7AB4AD50" w14:textId="14D77A23" w:rsidR="002023CA" w:rsidRPr="00A87F31" w:rsidRDefault="002023CA" w:rsidP="00146979">
      <w:pPr>
        <w:numPr>
          <w:ilvl w:val="0"/>
          <w:numId w:val="6"/>
        </w:numPr>
        <w:spacing w:after="120"/>
        <w:ind w:left="360"/>
        <w:rPr>
          <w:sz w:val="22"/>
          <w:szCs w:val="22"/>
        </w:rPr>
      </w:pPr>
      <w:r>
        <w:rPr>
          <w:b/>
          <w:sz w:val="22"/>
          <w:szCs w:val="22"/>
        </w:rPr>
        <w:t xml:space="preserve">What new reporting requirements did the Commission adopt in the </w:t>
      </w:r>
      <w:r>
        <w:rPr>
          <w:b/>
          <w:i/>
          <w:sz w:val="22"/>
          <w:szCs w:val="22"/>
        </w:rPr>
        <w:t>Order</w:t>
      </w:r>
      <w:r w:rsidR="00E050AB">
        <w:rPr>
          <w:b/>
          <w:i/>
          <w:sz w:val="22"/>
          <w:szCs w:val="22"/>
        </w:rPr>
        <w:t xml:space="preserve"> on Reconsideration</w:t>
      </w:r>
      <w:r>
        <w:rPr>
          <w:b/>
          <w:sz w:val="22"/>
          <w:szCs w:val="22"/>
        </w:rPr>
        <w:t>?</w:t>
      </w:r>
    </w:p>
    <w:p w14:paraId="0069D5F8" w14:textId="77777777" w:rsidR="00A0014E" w:rsidRDefault="007F7D55" w:rsidP="00FD04EA">
      <w:pPr>
        <w:spacing w:after="240"/>
        <w:jc w:val="both"/>
        <w:rPr>
          <w:sz w:val="22"/>
          <w:szCs w:val="22"/>
        </w:rPr>
      </w:pPr>
      <w:r>
        <w:rPr>
          <w:sz w:val="22"/>
          <w:szCs w:val="22"/>
        </w:rPr>
        <w:t xml:space="preserve">Before </w:t>
      </w:r>
      <w:r w:rsidR="009C3261">
        <w:rPr>
          <w:sz w:val="22"/>
          <w:szCs w:val="22"/>
        </w:rPr>
        <w:t>reviewing</w:t>
      </w:r>
      <w:r w:rsidR="00192C1B">
        <w:rPr>
          <w:sz w:val="22"/>
          <w:szCs w:val="22"/>
        </w:rPr>
        <w:t xml:space="preserve"> the new reporting requirements, i</w:t>
      </w:r>
      <w:r w:rsidR="00A0014E">
        <w:rPr>
          <w:sz w:val="22"/>
          <w:szCs w:val="22"/>
        </w:rPr>
        <w:t xml:space="preserve">t is important </w:t>
      </w:r>
      <w:r>
        <w:rPr>
          <w:sz w:val="22"/>
          <w:szCs w:val="22"/>
        </w:rPr>
        <w:t xml:space="preserve">to </w:t>
      </w:r>
      <w:r w:rsidR="009C3261">
        <w:rPr>
          <w:sz w:val="22"/>
          <w:szCs w:val="22"/>
        </w:rPr>
        <w:t>understand</w:t>
      </w:r>
      <w:r w:rsidR="00A0014E">
        <w:rPr>
          <w:sz w:val="22"/>
          <w:szCs w:val="22"/>
        </w:rPr>
        <w:t xml:space="preserve"> the following </w:t>
      </w:r>
      <w:r w:rsidR="00A0014E" w:rsidRPr="009C3261">
        <w:rPr>
          <w:sz w:val="22"/>
          <w:szCs w:val="22"/>
          <w:u w:val="single"/>
        </w:rPr>
        <w:t>terms and definitions</w:t>
      </w:r>
      <w:r w:rsidR="00A0014E">
        <w:rPr>
          <w:sz w:val="22"/>
          <w:szCs w:val="22"/>
        </w:rPr>
        <w:t>:</w:t>
      </w:r>
    </w:p>
    <w:p w14:paraId="774240F7" w14:textId="77777777" w:rsidR="00A0014E" w:rsidRDefault="000B5AA0" w:rsidP="009C3261">
      <w:pPr>
        <w:spacing w:after="120"/>
        <w:ind w:left="720"/>
        <w:jc w:val="both"/>
        <w:rPr>
          <w:sz w:val="22"/>
          <w:szCs w:val="22"/>
        </w:rPr>
      </w:pPr>
      <w:r>
        <w:rPr>
          <w:sz w:val="22"/>
          <w:szCs w:val="22"/>
        </w:rPr>
        <w:t xml:space="preserve">The </w:t>
      </w:r>
      <w:r w:rsidR="002B3620" w:rsidRPr="002C47E2">
        <w:rPr>
          <w:i/>
          <w:sz w:val="22"/>
          <w:szCs w:val="22"/>
        </w:rPr>
        <w:t>Commission Registration System (</w:t>
      </w:r>
      <w:r w:rsidR="00A0014E" w:rsidRPr="002C47E2">
        <w:rPr>
          <w:i/>
          <w:sz w:val="22"/>
          <w:szCs w:val="22"/>
        </w:rPr>
        <w:t>CORES</w:t>
      </w:r>
      <w:r w:rsidR="002B3620" w:rsidRPr="002C47E2">
        <w:rPr>
          <w:i/>
          <w:sz w:val="22"/>
          <w:szCs w:val="22"/>
        </w:rPr>
        <w:t>)</w:t>
      </w:r>
      <w:r>
        <w:rPr>
          <w:i/>
          <w:sz w:val="22"/>
          <w:szCs w:val="22"/>
        </w:rPr>
        <w:t xml:space="preserve"> </w:t>
      </w:r>
      <w:r w:rsidR="002B3620">
        <w:rPr>
          <w:sz w:val="22"/>
          <w:szCs w:val="22"/>
        </w:rPr>
        <w:t>is a web-based, password-protected, reg</w:t>
      </w:r>
      <w:r>
        <w:rPr>
          <w:sz w:val="22"/>
          <w:szCs w:val="22"/>
        </w:rPr>
        <w:t xml:space="preserve">istration system that assigns </w:t>
      </w:r>
      <w:r w:rsidR="000C067E">
        <w:rPr>
          <w:sz w:val="22"/>
          <w:szCs w:val="22"/>
        </w:rPr>
        <w:t>FCC Registration Number</w:t>
      </w:r>
      <w:r w:rsidR="00833757">
        <w:rPr>
          <w:sz w:val="22"/>
          <w:szCs w:val="22"/>
        </w:rPr>
        <w:t>s</w:t>
      </w:r>
      <w:r w:rsidR="000C067E">
        <w:rPr>
          <w:sz w:val="22"/>
          <w:szCs w:val="22"/>
        </w:rPr>
        <w:t xml:space="preserve"> (</w:t>
      </w:r>
      <w:r w:rsidR="00FA5E0D">
        <w:rPr>
          <w:sz w:val="22"/>
          <w:szCs w:val="22"/>
        </w:rPr>
        <w:t>FRN</w:t>
      </w:r>
      <w:r w:rsidR="00833757">
        <w:rPr>
          <w:sz w:val="22"/>
          <w:szCs w:val="22"/>
        </w:rPr>
        <w:t>s</w:t>
      </w:r>
      <w:r w:rsidR="000C067E">
        <w:rPr>
          <w:sz w:val="22"/>
          <w:szCs w:val="22"/>
        </w:rPr>
        <w:t>)</w:t>
      </w:r>
      <w:r w:rsidR="000D6246">
        <w:rPr>
          <w:sz w:val="22"/>
          <w:szCs w:val="22"/>
        </w:rPr>
        <w:t xml:space="preserve"> </w:t>
      </w:r>
      <w:r>
        <w:rPr>
          <w:sz w:val="22"/>
          <w:szCs w:val="22"/>
        </w:rPr>
        <w:t xml:space="preserve">to </w:t>
      </w:r>
      <w:r w:rsidR="00BE6D66">
        <w:rPr>
          <w:sz w:val="22"/>
          <w:szCs w:val="22"/>
        </w:rPr>
        <w:t>entities and individuals</w:t>
      </w:r>
      <w:r w:rsidR="0045763E">
        <w:rPr>
          <w:sz w:val="22"/>
          <w:szCs w:val="22"/>
        </w:rPr>
        <w:t>.</w:t>
      </w:r>
      <w:r w:rsidR="00A0014E">
        <w:rPr>
          <w:sz w:val="22"/>
          <w:szCs w:val="22"/>
        </w:rPr>
        <w:t xml:space="preserve"> </w:t>
      </w:r>
    </w:p>
    <w:p w14:paraId="43C33493" w14:textId="77777777" w:rsidR="00D87E35" w:rsidRDefault="00D87E35" w:rsidP="009C3261">
      <w:pPr>
        <w:spacing w:after="120"/>
        <w:ind w:left="720"/>
        <w:jc w:val="both"/>
        <w:rPr>
          <w:sz w:val="22"/>
          <w:szCs w:val="22"/>
        </w:rPr>
      </w:pPr>
      <w:r>
        <w:rPr>
          <w:sz w:val="22"/>
          <w:szCs w:val="22"/>
        </w:rPr>
        <w:t xml:space="preserve">A </w:t>
      </w:r>
      <w:r w:rsidRPr="002C47E2">
        <w:rPr>
          <w:i/>
          <w:sz w:val="22"/>
          <w:szCs w:val="22"/>
        </w:rPr>
        <w:t>CORES FRN</w:t>
      </w:r>
      <w:r>
        <w:rPr>
          <w:sz w:val="22"/>
          <w:szCs w:val="22"/>
        </w:rPr>
        <w:t xml:space="preserve"> is a unique 10-digit FRN that is assigned by CORES to an entity or individual and that requires submission of the Taxpayer Identification Number or Social Security Number of the entity or individual during the CORES registration process.</w:t>
      </w:r>
    </w:p>
    <w:p w14:paraId="32C4C265" w14:textId="77777777" w:rsidR="00D87E35" w:rsidRDefault="000005B9" w:rsidP="009C3261">
      <w:pPr>
        <w:spacing w:after="120"/>
        <w:ind w:left="720"/>
        <w:jc w:val="both"/>
        <w:rPr>
          <w:sz w:val="22"/>
          <w:szCs w:val="22"/>
        </w:rPr>
      </w:pPr>
      <w:r>
        <w:rPr>
          <w:sz w:val="22"/>
          <w:szCs w:val="22"/>
        </w:rPr>
        <w:t xml:space="preserve">An </w:t>
      </w:r>
      <w:r w:rsidRPr="002C47E2">
        <w:rPr>
          <w:i/>
          <w:sz w:val="22"/>
          <w:szCs w:val="22"/>
        </w:rPr>
        <w:t>FCC Registration Number (FRN)</w:t>
      </w:r>
      <w:r>
        <w:rPr>
          <w:b/>
          <w:sz w:val="22"/>
          <w:szCs w:val="22"/>
        </w:rPr>
        <w:t xml:space="preserve"> </w:t>
      </w:r>
      <w:r>
        <w:rPr>
          <w:sz w:val="22"/>
          <w:szCs w:val="22"/>
        </w:rPr>
        <w:t>is an identifying number that is assigned to those doing business with the FCC.</w:t>
      </w:r>
    </w:p>
    <w:p w14:paraId="4162721C" w14:textId="6F940903" w:rsidR="00D87E35" w:rsidRDefault="00364EF0" w:rsidP="009C3261">
      <w:pPr>
        <w:spacing w:after="120"/>
        <w:ind w:left="720"/>
        <w:jc w:val="both"/>
        <w:rPr>
          <w:sz w:val="22"/>
          <w:szCs w:val="22"/>
        </w:rPr>
      </w:pPr>
      <w:r>
        <w:rPr>
          <w:sz w:val="22"/>
          <w:szCs w:val="22"/>
        </w:rPr>
        <w:t xml:space="preserve">A </w:t>
      </w:r>
      <w:r w:rsidRPr="002C47E2">
        <w:rPr>
          <w:i/>
          <w:sz w:val="22"/>
          <w:szCs w:val="22"/>
        </w:rPr>
        <w:t>Restricted Use FRN</w:t>
      </w:r>
      <w:r w:rsidR="00742E0E">
        <w:rPr>
          <w:sz w:val="22"/>
          <w:szCs w:val="22"/>
        </w:rPr>
        <w:t xml:space="preserve"> is an FRN that</w:t>
      </w:r>
      <w:r w:rsidR="00D87E35">
        <w:rPr>
          <w:sz w:val="22"/>
          <w:szCs w:val="22"/>
        </w:rPr>
        <w:t xml:space="preserve"> is assigned by CORES to an individual and that </w:t>
      </w:r>
      <w:r w:rsidR="00742E0E">
        <w:rPr>
          <w:sz w:val="22"/>
          <w:szCs w:val="22"/>
        </w:rPr>
        <w:t xml:space="preserve">requires submission of the </w:t>
      </w:r>
      <w:r w:rsidR="00D87E35">
        <w:rPr>
          <w:sz w:val="22"/>
          <w:szCs w:val="22"/>
        </w:rPr>
        <w:t>individual’s</w:t>
      </w:r>
      <w:r w:rsidR="00742E0E">
        <w:rPr>
          <w:sz w:val="22"/>
          <w:szCs w:val="22"/>
        </w:rPr>
        <w:t xml:space="preserve"> full name, residential address, date of birth, and only the last four </w:t>
      </w:r>
      <w:r w:rsidR="00742E0E">
        <w:rPr>
          <w:sz w:val="22"/>
          <w:szCs w:val="22"/>
        </w:rPr>
        <w:lastRenderedPageBreak/>
        <w:t xml:space="preserve">digits of his or her Social Security Number during the CORES registration process.  </w:t>
      </w:r>
      <w:r w:rsidR="003F65DD">
        <w:rPr>
          <w:sz w:val="22"/>
          <w:szCs w:val="22"/>
        </w:rPr>
        <w:t xml:space="preserve">The FCC adopted the Restricted Use FRN in the </w:t>
      </w:r>
      <w:r w:rsidR="003F65DD">
        <w:rPr>
          <w:i/>
          <w:sz w:val="22"/>
          <w:szCs w:val="22"/>
        </w:rPr>
        <w:t xml:space="preserve">Report and Order </w:t>
      </w:r>
      <w:r w:rsidR="003F65DD">
        <w:rPr>
          <w:sz w:val="22"/>
          <w:szCs w:val="22"/>
        </w:rPr>
        <w:t xml:space="preserve">in order to provide an alternative mechanism within the CORES that will allow an individual to obtain a unique FRN without having to submit his or her full Social Security Number to the Commission.  </w:t>
      </w:r>
      <w:r w:rsidR="00742E0E">
        <w:rPr>
          <w:sz w:val="22"/>
          <w:szCs w:val="22"/>
        </w:rPr>
        <w:t>Restricted Use FRNs may be used only to identify individuals (not entities) reported as attributable interest holders on Broadcast Ownership Reports</w:t>
      </w:r>
      <w:r w:rsidR="000D6246">
        <w:rPr>
          <w:sz w:val="22"/>
          <w:szCs w:val="22"/>
        </w:rPr>
        <w:t>.</w:t>
      </w:r>
      <w:r w:rsidR="00D26863">
        <w:rPr>
          <w:sz w:val="22"/>
          <w:szCs w:val="22"/>
        </w:rPr>
        <w:t xml:space="preserve">  </w:t>
      </w:r>
    </w:p>
    <w:p w14:paraId="78C078B5" w14:textId="77777777" w:rsidR="00D87E35" w:rsidRDefault="000005B9" w:rsidP="008D3C8E">
      <w:pPr>
        <w:spacing w:after="240"/>
        <w:ind w:left="720"/>
        <w:jc w:val="both"/>
        <w:rPr>
          <w:sz w:val="22"/>
          <w:szCs w:val="22"/>
        </w:rPr>
      </w:pPr>
      <w:r>
        <w:rPr>
          <w:sz w:val="22"/>
          <w:szCs w:val="22"/>
        </w:rPr>
        <w:t xml:space="preserve">A </w:t>
      </w:r>
      <w:r w:rsidRPr="002C47E2">
        <w:rPr>
          <w:i/>
          <w:sz w:val="22"/>
          <w:szCs w:val="22"/>
        </w:rPr>
        <w:t>Special Use FRN</w:t>
      </w:r>
      <w:r>
        <w:rPr>
          <w:b/>
          <w:i/>
          <w:sz w:val="22"/>
          <w:szCs w:val="22"/>
        </w:rPr>
        <w:t xml:space="preserve"> </w:t>
      </w:r>
      <w:r w:rsidR="006C3642">
        <w:rPr>
          <w:sz w:val="22"/>
          <w:szCs w:val="22"/>
        </w:rPr>
        <w:t xml:space="preserve">is a number that is generated automatically </w:t>
      </w:r>
      <w:r w:rsidR="006E4A85">
        <w:rPr>
          <w:sz w:val="22"/>
          <w:szCs w:val="22"/>
        </w:rPr>
        <w:t>by clicking a button</w:t>
      </w:r>
      <w:r w:rsidR="00D26863">
        <w:rPr>
          <w:sz w:val="22"/>
          <w:szCs w:val="22"/>
        </w:rPr>
        <w:t xml:space="preserve"> and without registration in CORES.  U</w:t>
      </w:r>
      <w:r w:rsidR="00455B86">
        <w:rPr>
          <w:sz w:val="22"/>
          <w:szCs w:val="22"/>
        </w:rPr>
        <w:t xml:space="preserve">nlike the CORES FRN and the Restricted Use FRN, </w:t>
      </w:r>
      <w:r w:rsidR="00391A32">
        <w:rPr>
          <w:sz w:val="22"/>
          <w:szCs w:val="22"/>
        </w:rPr>
        <w:t>the Special Use FRN</w:t>
      </w:r>
      <w:r>
        <w:rPr>
          <w:sz w:val="22"/>
          <w:szCs w:val="22"/>
        </w:rPr>
        <w:t xml:space="preserve"> </w:t>
      </w:r>
      <w:r w:rsidR="00865C84">
        <w:rPr>
          <w:sz w:val="22"/>
          <w:szCs w:val="22"/>
        </w:rPr>
        <w:t>is</w:t>
      </w:r>
      <w:r>
        <w:rPr>
          <w:sz w:val="22"/>
          <w:szCs w:val="22"/>
        </w:rPr>
        <w:t xml:space="preserve"> not associated with any information that allows the </w:t>
      </w:r>
      <w:r w:rsidR="00391A32">
        <w:rPr>
          <w:sz w:val="22"/>
          <w:szCs w:val="22"/>
        </w:rPr>
        <w:t>FCC</w:t>
      </w:r>
      <w:r>
        <w:rPr>
          <w:sz w:val="22"/>
          <w:szCs w:val="22"/>
        </w:rPr>
        <w:t xml:space="preserve"> to uniquely identify the person for whom the number was created.</w:t>
      </w:r>
      <w:r w:rsidR="00AC70E1">
        <w:rPr>
          <w:sz w:val="22"/>
          <w:szCs w:val="22"/>
        </w:rPr>
        <w:t xml:space="preserve"> </w:t>
      </w:r>
    </w:p>
    <w:p w14:paraId="0900FAA7" w14:textId="2B757EC5" w:rsidR="00EB2BBD" w:rsidRDefault="002023CA" w:rsidP="008D3C8E">
      <w:pPr>
        <w:keepNext/>
        <w:rPr>
          <w:sz w:val="22"/>
          <w:szCs w:val="22"/>
        </w:rPr>
      </w:pPr>
      <w:r>
        <w:rPr>
          <w:sz w:val="22"/>
          <w:szCs w:val="22"/>
          <w:u w:val="single"/>
        </w:rPr>
        <w:t>Use of FRNs</w:t>
      </w:r>
      <w:r w:rsidR="00232627">
        <w:rPr>
          <w:sz w:val="22"/>
          <w:szCs w:val="22"/>
          <w:u w:val="single"/>
        </w:rPr>
        <w:t xml:space="preserve"> on Ownership Reports for </w:t>
      </w:r>
      <w:r w:rsidR="00734F6A">
        <w:rPr>
          <w:sz w:val="22"/>
          <w:szCs w:val="22"/>
          <w:u w:val="single"/>
        </w:rPr>
        <w:t>Noncommercial Educational (NCE) Stations</w:t>
      </w:r>
      <w:r w:rsidR="00986F94">
        <w:rPr>
          <w:sz w:val="22"/>
          <w:szCs w:val="22"/>
        </w:rPr>
        <w:t xml:space="preserve">:  </w:t>
      </w:r>
      <w:r w:rsidR="00E050AB">
        <w:rPr>
          <w:sz w:val="22"/>
          <w:szCs w:val="22"/>
        </w:rPr>
        <w:t xml:space="preserve">In the </w:t>
      </w:r>
      <w:r w:rsidR="00E050AB">
        <w:rPr>
          <w:i/>
          <w:sz w:val="22"/>
          <w:szCs w:val="22"/>
        </w:rPr>
        <w:t xml:space="preserve">Report and Order </w:t>
      </w:r>
      <w:r w:rsidR="00E050AB">
        <w:rPr>
          <w:sz w:val="22"/>
          <w:szCs w:val="22"/>
        </w:rPr>
        <w:t>adopted in 2016, t</w:t>
      </w:r>
      <w:r w:rsidR="003F65DD">
        <w:rPr>
          <w:sz w:val="22"/>
          <w:szCs w:val="22"/>
        </w:rPr>
        <w:t>he FCC revis</w:t>
      </w:r>
      <w:r w:rsidR="00EB2BBD">
        <w:rPr>
          <w:sz w:val="22"/>
          <w:szCs w:val="22"/>
        </w:rPr>
        <w:t>ed</w:t>
      </w:r>
      <w:r w:rsidR="003F65DD">
        <w:rPr>
          <w:sz w:val="22"/>
          <w:szCs w:val="22"/>
        </w:rPr>
        <w:t xml:space="preserve"> FCC Form 2100, Schedule 323-E </w:t>
      </w:r>
      <w:r w:rsidR="00EB2BBD">
        <w:rPr>
          <w:sz w:val="22"/>
          <w:szCs w:val="22"/>
        </w:rPr>
        <w:t xml:space="preserve">to </w:t>
      </w:r>
      <w:r w:rsidR="001C5F0B">
        <w:rPr>
          <w:sz w:val="22"/>
          <w:szCs w:val="22"/>
        </w:rPr>
        <w:t>confo</w:t>
      </w:r>
      <w:r w:rsidR="003F65DD">
        <w:rPr>
          <w:sz w:val="22"/>
          <w:szCs w:val="22"/>
        </w:rPr>
        <w:t>rm the reporting requirements for NCE stations more closely to those</w:t>
      </w:r>
      <w:r w:rsidR="003F65DD" w:rsidRPr="008D3C8E">
        <w:rPr>
          <w:sz w:val="22"/>
        </w:rPr>
        <w:t xml:space="preserve"> for commercial stations</w:t>
      </w:r>
      <w:r w:rsidR="001C06B9">
        <w:rPr>
          <w:sz w:val="22"/>
          <w:szCs w:val="22"/>
        </w:rPr>
        <w:t xml:space="preserve">.  </w:t>
      </w:r>
      <w:r w:rsidR="00E050AB">
        <w:rPr>
          <w:sz w:val="22"/>
          <w:szCs w:val="22"/>
        </w:rPr>
        <w:t>Among other things, the FCC required NCE</w:t>
      </w:r>
      <w:r w:rsidR="00E050AB" w:rsidRPr="008D3C8E">
        <w:rPr>
          <w:sz w:val="22"/>
        </w:rPr>
        <w:t xml:space="preserve"> filers to </w:t>
      </w:r>
      <w:r w:rsidR="00E050AB">
        <w:rPr>
          <w:sz w:val="22"/>
          <w:szCs w:val="22"/>
        </w:rPr>
        <w:t>submit a</w:t>
      </w:r>
      <w:r w:rsidR="00E050AB" w:rsidRPr="008D3C8E">
        <w:rPr>
          <w:sz w:val="22"/>
        </w:rPr>
        <w:t xml:space="preserve"> CORES FRN or Restricted Use FRN</w:t>
      </w:r>
      <w:r w:rsidR="00E050AB">
        <w:rPr>
          <w:sz w:val="22"/>
          <w:szCs w:val="22"/>
        </w:rPr>
        <w:t xml:space="preserve"> </w:t>
      </w:r>
      <w:r w:rsidR="00E050AB" w:rsidRPr="008D3C8E">
        <w:rPr>
          <w:sz w:val="22"/>
        </w:rPr>
        <w:t>for each attributable interest holder reported on FCC Form 2100, Schedule</w:t>
      </w:r>
      <w:r w:rsidR="00A339F3" w:rsidRPr="008D3C8E">
        <w:rPr>
          <w:sz w:val="22"/>
        </w:rPr>
        <w:t xml:space="preserve"> 323</w:t>
      </w:r>
      <w:r w:rsidR="00A339F3">
        <w:rPr>
          <w:sz w:val="22"/>
          <w:szCs w:val="22"/>
        </w:rPr>
        <w:t xml:space="preserve">-E </w:t>
      </w:r>
      <w:r w:rsidR="00E050AB">
        <w:rPr>
          <w:sz w:val="22"/>
          <w:szCs w:val="22"/>
        </w:rPr>
        <w:t xml:space="preserve"> (typically officers and governing board members)</w:t>
      </w:r>
      <w:r w:rsidR="00B07B8D">
        <w:rPr>
          <w:sz w:val="22"/>
          <w:szCs w:val="22"/>
        </w:rPr>
        <w:t>.</w:t>
      </w:r>
      <w:r w:rsidR="008D3B3A">
        <w:rPr>
          <w:sz w:val="22"/>
          <w:szCs w:val="22"/>
        </w:rPr>
        <w:t xml:space="preserve"> </w:t>
      </w:r>
      <w:r w:rsidR="00B07B8D">
        <w:rPr>
          <w:sz w:val="22"/>
          <w:szCs w:val="22"/>
        </w:rPr>
        <w:t xml:space="preserve"> F</w:t>
      </w:r>
      <w:r w:rsidR="008D3B3A">
        <w:rPr>
          <w:sz w:val="22"/>
          <w:szCs w:val="22"/>
        </w:rPr>
        <w:t>ilers were permitted to report</w:t>
      </w:r>
      <w:r w:rsidR="00E050AB" w:rsidRPr="00E955C8">
        <w:rPr>
          <w:sz w:val="22"/>
          <w:szCs w:val="22"/>
        </w:rPr>
        <w:t xml:space="preserve"> Special Use FRNs </w:t>
      </w:r>
      <w:r w:rsidR="008D3B3A">
        <w:rPr>
          <w:sz w:val="22"/>
          <w:szCs w:val="22"/>
        </w:rPr>
        <w:t xml:space="preserve">for </w:t>
      </w:r>
      <w:r w:rsidR="00E050AB" w:rsidRPr="00E955C8">
        <w:rPr>
          <w:sz w:val="22"/>
          <w:szCs w:val="22"/>
        </w:rPr>
        <w:t>individual</w:t>
      </w:r>
      <w:r w:rsidR="008D3B3A">
        <w:rPr>
          <w:sz w:val="22"/>
          <w:szCs w:val="22"/>
        </w:rPr>
        <w:t>s that did not</w:t>
      </w:r>
      <w:r w:rsidR="00E050AB" w:rsidRPr="00E955C8">
        <w:rPr>
          <w:sz w:val="22"/>
          <w:szCs w:val="22"/>
        </w:rPr>
        <w:t xml:space="preserve"> provide a means of reporting a valid CORES FRN or Restricted Use FRN</w:t>
      </w:r>
      <w:r w:rsidR="00EB2BBD">
        <w:rPr>
          <w:sz w:val="22"/>
          <w:szCs w:val="22"/>
        </w:rPr>
        <w:t>, but only</w:t>
      </w:r>
      <w:r w:rsidR="00E050AB" w:rsidRPr="00E955C8">
        <w:rPr>
          <w:sz w:val="22"/>
          <w:szCs w:val="22"/>
        </w:rPr>
        <w:t xml:space="preserve"> after the filer used reasonable and good-faith efforts to obtain a CORES FRN</w:t>
      </w:r>
      <w:r w:rsidR="00E050AB">
        <w:rPr>
          <w:sz w:val="22"/>
          <w:szCs w:val="22"/>
        </w:rPr>
        <w:t xml:space="preserve"> or Restricted Use FRN from or on behalf of the individual</w:t>
      </w:r>
      <w:r w:rsidR="00EB2BBD">
        <w:rPr>
          <w:sz w:val="22"/>
          <w:szCs w:val="22"/>
        </w:rPr>
        <w:t xml:space="preserve"> and only after they</w:t>
      </w:r>
      <w:r w:rsidR="00E050AB">
        <w:rPr>
          <w:sz w:val="22"/>
          <w:szCs w:val="22"/>
        </w:rPr>
        <w:t xml:space="preserve"> informed the individual of his or her obligation to obtain </w:t>
      </w:r>
      <w:r w:rsidR="009046C4">
        <w:rPr>
          <w:sz w:val="22"/>
          <w:szCs w:val="22"/>
        </w:rPr>
        <w:t>such an</w:t>
      </w:r>
      <w:r w:rsidR="00E050AB">
        <w:rPr>
          <w:sz w:val="22"/>
          <w:szCs w:val="22"/>
        </w:rPr>
        <w:t xml:space="preserve"> FRN and the risk of FCC enforcement action against the individual for failing to do so. </w:t>
      </w:r>
      <w:r w:rsidR="001C06B9">
        <w:rPr>
          <w:sz w:val="22"/>
          <w:szCs w:val="22"/>
        </w:rPr>
        <w:t>Under the revised reporting requirements</w:t>
      </w:r>
      <w:r w:rsidR="008D3B3A">
        <w:rPr>
          <w:sz w:val="22"/>
          <w:szCs w:val="22"/>
        </w:rPr>
        <w:t xml:space="preserve"> adopted in the </w:t>
      </w:r>
      <w:r w:rsidR="008D3B3A">
        <w:rPr>
          <w:i/>
          <w:sz w:val="22"/>
          <w:szCs w:val="22"/>
        </w:rPr>
        <w:t>Order on Reconsideration</w:t>
      </w:r>
      <w:r w:rsidR="001C06B9">
        <w:rPr>
          <w:sz w:val="22"/>
          <w:szCs w:val="22"/>
        </w:rPr>
        <w:t xml:space="preserve">, </w:t>
      </w:r>
      <w:r w:rsidR="00C235E1">
        <w:rPr>
          <w:sz w:val="22"/>
          <w:szCs w:val="22"/>
        </w:rPr>
        <w:t>however,</w:t>
      </w:r>
      <w:r w:rsidR="00232627">
        <w:rPr>
          <w:sz w:val="22"/>
          <w:szCs w:val="22"/>
        </w:rPr>
        <w:t xml:space="preserve"> </w:t>
      </w:r>
      <w:r w:rsidR="00EB2BBD">
        <w:rPr>
          <w:sz w:val="22"/>
          <w:szCs w:val="22"/>
        </w:rPr>
        <w:t xml:space="preserve">the Commission </w:t>
      </w:r>
      <w:r w:rsidR="009046C4">
        <w:rPr>
          <w:sz w:val="22"/>
          <w:szCs w:val="22"/>
        </w:rPr>
        <w:t xml:space="preserve">suspended this requirement and </w:t>
      </w:r>
      <w:r w:rsidR="00EB2BBD">
        <w:rPr>
          <w:sz w:val="22"/>
          <w:szCs w:val="22"/>
        </w:rPr>
        <w:t xml:space="preserve">granted </w:t>
      </w:r>
      <w:r w:rsidR="00232627">
        <w:rPr>
          <w:sz w:val="22"/>
          <w:szCs w:val="22"/>
        </w:rPr>
        <w:t xml:space="preserve">NCE filers </w:t>
      </w:r>
      <w:r w:rsidR="00EB2BBD">
        <w:rPr>
          <w:sz w:val="22"/>
          <w:szCs w:val="22"/>
        </w:rPr>
        <w:t xml:space="preserve">the </w:t>
      </w:r>
      <w:r w:rsidR="00C235E1">
        <w:rPr>
          <w:sz w:val="22"/>
          <w:szCs w:val="22"/>
        </w:rPr>
        <w:t>discretion to use</w:t>
      </w:r>
      <w:r w:rsidR="00232627">
        <w:rPr>
          <w:sz w:val="22"/>
          <w:szCs w:val="22"/>
        </w:rPr>
        <w:t xml:space="preserve"> Special Use FRN</w:t>
      </w:r>
      <w:r w:rsidR="00C235E1">
        <w:rPr>
          <w:sz w:val="22"/>
          <w:szCs w:val="22"/>
        </w:rPr>
        <w:t>s</w:t>
      </w:r>
      <w:r w:rsidR="00232627">
        <w:rPr>
          <w:sz w:val="22"/>
          <w:szCs w:val="22"/>
        </w:rPr>
        <w:t xml:space="preserve"> </w:t>
      </w:r>
      <w:r w:rsidR="009046C4">
        <w:rPr>
          <w:sz w:val="22"/>
          <w:szCs w:val="22"/>
        </w:rPr>
        <w:t xml:space="preserve">(which do not require disclosure of personal information) </w:t>
      </w:r>
      <w:r w:rsidR="00C235E1">
        <w:rPr>
          <w:sz w:val="22"/>
          <w:szCs w:val="22"/>
        </w:rPr>
        <w:t>in lieu of CORES FRNs and Restricted Use FRNs on Form 2100, Schedule 323-E</w:t>
      </w:r>
      <w:r w:rsidR="00CE3C40">
        <w:rPr>
          <w:sz w:val="22"/>
          <w:szCs w:val="22"/>
        </w:rPr>
        <w:t xml:space="preserve"> </w:t>
      </w:r>
      <w:r w:rsidR="008D3B3A">
        <w:rPr>
          <w:sz w:val="22"/>
          <w:szCs w:val="22"/>
        </w:rPr>
        <w:t>without having</w:t>
      </w:r>
      <w:r w:rsidR="00CB16DA">
        <w:rPr>
          <w:sz w:val="22"/>
          <w:szCs w:val="22"/>
        </w:rPr>
        <w:t xml:space="preserve"> </w:t>
      </w:r>
      <w:r w:rsidR="007804A4">
        <w:rPr>
          <w:sz w:val="22"/>
          <w:szCs w:val="22"/>
        </w:rPr>
        <w:t xml:space="preserve">to </w:t>
      </w:r>
      <w:r w:rsidR="009939FB">
        <w:rPr>
          <w:sz w:val="22"/>
          <w:szCs w:val="22"/>
        </w:rPr>
        <w:t xml:space="preserve">first </w:t>
      </w:r>
      <w:r w:rsidR="00CB16DA">
        <w:rPr>
          <w:sz w:val="22"/>
          <w:szCs w:val="22"/>
        </w:rPr>
        <w:t xml:space="preserve">use reasonable and good-faith efforts to obtain a CORES FRN or Restricted Use FRN from </w:t>
      </w:r>
      <w:r w:rsidR="00BD6733">
        <w:rPr>
          <w:sz w:val="22"/>
          <w:szCs w:val="22"/>
        </w:rPr>
        <w:t>an</w:t>
      </w:r>
      <w:r w:rsidR="00CB16DA">
        <w:rPr>
          <w:sz w:val="22"/>
          <w:szCs w:val="22"/>
        </w:rPr>
        <w:t xml:space="preserve"> individual</w:t>
      </w:r>
      <w:r w:rsidR="009046C4">
        <w:rPr>
          <w:sz w:val="22"/>
          <w:szCs w:val="22"/>
        </w:rPr>
        <w:t>.</w:t>
      </w:r>
      <w:r w:rsidR="00BD6733">
        <w:rPr>
          <w:sz w:val="22"/>
          <w:szCs w:val="22"/>
        </w:rPr>
        <w:t xml:space="preserve"> </w:t>
      </w:r>
      <w:r w:rsidR="009046C4">
        <w:rPr>
          <w:sz w:val="22"/>
          <w:szCs w:val="22"/>
        </w:rPr>
        <w:t xml:space="preserve"> </w:t>
      </w:r>
      <w:r w:rsidR="006F6A7F">
        <w:rPr>
          <w:sz w:val="22"/>
          <w:szCs w:val="22"/>
        </w:rPr>
        <w:t xml:space="preserve">As a result, </w:t>
      </w:r>
      <w:r w:rsidR="00192992">
        <w:rPr>
          <w:sz w:val="22"/>
          <w:szCs w:val="22"/>
        </w:rPr>
        <w:t xml:space="preserve">an </w:t>
      </w:r>
      <w:r w:rsidR="006F6A7F">
        <w:rPr>
          <w:sz w:val="22"/>
          <w:szCs w:val="22"/>
        </w:rPr>
        <w:t xml:space="preserve">NCE </w:t>
      </w:r>
      <w:r w:rsidR="00192992">
        <w:rPr>
          <w:sz w:val="22"/>
          <w:szCs w:val="22"/>
        </w:rPr>
        <w:t>filer</w:t>
      </w:r>
      <w:r w:rsidR="006F6A7F">
        <w:rPr>
          <w:sz w:val="22"/>
          <w:szCs w:val="22"/>
        </w:rPr>
        <w:t xml:space="preserve"> </w:t>
      </w:r>
      <w:r w:rsidR="009939FB">
        <w:rPr>
          <w:sz w:val="22"/>
          <w:szCs w:val="22"/>
        </w:rPr>
        <w:t xml:space="preserve">is </w:t>
      </w:r>
      <w:r w:rsidR="009046C4">
        <w:rPr>
          <w:sz w:val="22"/>
          <w:szCs w:val="22"/>
        </w:rPr>
        <w:t xml:space="preserve">now </w:t>
      </w:r>
      <w:r w:rsidR="009939FB">
        <w:rPr>
          <w:sz w:val="22"/>
          <w:szCs w:val="22"/>
        </w:rPr>
        <w:t xml:space="preserve">not required </w:t>
      </w:r>
      <w:r w:rsidR="006F6A7F">
        <w:rPr>
          <w:sz w:val="22"/>
          <w:szCs w:val="22"/>
        </w:rPr>
        <w:t xml:space="preserve">to warn </w:t>
      </w:r>
      <w:r w:rsidR="00192992">
        <w:rPr>
          <w:sz w:val="22"/>
          <w:szCs w:val="22"/>
        </w:rPr>
        <w:t>an individual</w:t>
      </w:r>
      <w:r w:rsidR="006F6A7F">
        <w:rPr>
          <w:sz w:val="22"/>
          <w:szCs w:val="22"/>
        </w:rPr>
        <w:t xml:space="preserve"> about potential FCC enforcement action </w:t>
      </w:r>
      <w:r w:rsidR="00192992">
        <w:rPr>
          <w:sz w:val="22"/>
          <w:szCs w:val="22"/>
        </w:rPr>
        <w:t>if the</w:t>
      </w:r>
      <w:r w:rsidR="006F6A7F">
        <w:rPr>
          <w:sz w:val="22"/>
          <w:szCs w:val="22"/>
        </w:rPr>
        <w:t xml:space="preserve"> individual chooses not to provide </w:t>
      </w:r>
      <w:r w:rsidR="00192992">
        <w:rPr>
          <w:sz w:val="22"/>
          <w:szCs w:val="22"/>
        </w:rPr>
        <w:t>the Commission with the personal information needed to obtain a CORES FRN or Restricted Use FRN.</w:t>
      </w:r>
      <w:r w:rsidR="006F6A7F">
        <w:rPr>
          <w:sz w:val="22"/>
          <w:szCs w:val="22"/>
        </w:rPr>
        <w:t xml:space="preserve"> </w:t>
      </w:r>
      <w:r w:rsidR="00EB2BBD">
        <w:rPr>
          <w:sz w:val="22"/>
          <w:szCs w:val="22"/>
        </w:rPr>
        <w:t xml:space="preserve"> </w:t>
      </w:r>
    </w:p>
    <w:p w14:paraId="663F92C8" w14:textId="77777777" w:rsidR="00CE3C40" w:rsidRDefault="00CE3C40" w:rsidP="008D3C8E">
      <w:pPr>
        <w:keepNext/>
        <w:rPr>
          <w:sz w:val="22"/>
          <w:szCs w:val="22"/>
        </w:rPr>
      </w:pPr>
    </w:p>
    <w:p w14:paraId="0922C7D7" w14:textId="77777777" w:rsidR="003358AC" w:rsidRPr="003358AC" w:rsidRDefault="003358AC" w:rsidP="008D3C8E">
      <w:pPr>
        <w:numPr>
          <w:ilvl w:val="0"/>
          <w:numId w:val="5"/>
        </w:numPr>
        <w:jc w:val="center"/>
        <w:rPr>
          <w:sz w:val="22"/>
          <w:szCs w:val="22"/>
          <w:u w:val="single"/>
        </w:rPr>
      </w:pPr>
      <w:r w:rsidRPr="008D3C8E">
        <w:rPr>
          <w:b/>
          <w:color w:val="000000"/>
          <w:sz w:val="22"/>
          <w:u w:val="single"/>
        </w:rPr>
        <w:t>RECORDKEEPING</w:t>
      </w:r>
    </w:p>
    <w:p w14:paraId="16592E31" w14:textId="77777777" w:rsidR="0016251E" w:rsidRPr="0016251E" w:rsidRDefault="0016251E" w:rsidP="00370D2E">
      <w:pPr>
        <w:keepNext/>
        <w:autoSpaceDE w:val="0"/>
        <w:autoSpaceDN w:val="0"/>
        <w:adjustRightInd w:val="0"/>
        <w:jc w:val="both"/>
        <w:rPr>
          <w:sz w:val="22"/>
          <w:szCs w:val="22"/>
        </w:rPr>
      </w:pPr>
    </w:p>
    <w:p w14:paraId="764DD248" w14:textId="77777777" w:rsidR="007B67F3" w:rsidRPr="008D3C8E" w:rsidRDefault="003358AC" w:rsidP="00370D2E">
      <w:pPr>
        <w:autoSpaceDE w:val="0"/>
        <w:autoSpaceDN w:val="0"/>
        <w:adjustRightInd w:val="0"/>
        <w:jc w:val="both"/>
        <w:rPr>
          <w:i/>
          <w:sz w:val="22"/>
        </w:rPr>
      </w:pPr>
      <w:r>
        <w:rPr>
          <w:sz w:val="22"/>
          <w:szCs w:val="22"/>
        </w:rPr>
        <w:t xml:space="preserve">A copy of all ownership and supplemental ownership reports and related material </w:t>
      </w:r>
      <w:r w:rsidR="007B67F3">
        <w:rPr>
          <w:sz w:val="22"/>
          <w:szCs w:val="22"/>
        </w:rPr>
        <w:t>must be maintained and made available for public inspection as required by the Commission’s local public inspection file rules for broadcast stations</w:t>
      </w:r>
      <w:r w:rsidR="00DD73D0">
        <w:rPr>
          <w:sz w:val="22"/>
          <w:szCs w:val="22"/>
        </w:rPr>
        <w:t xml:space="preserve"> (47 CFR §</w:t>
      </w:r>
      <w:r w:rsidR="00A87F31">
        <w:rPr>
          <w:sz w:val="22"/>
          <w:szCs w:val="22"/>
        </w:rPr>
        <w:t>§</w:t>
      </w:r>
      <w:r w:rsidR="00DD73D0">
        <w:rPr>
          <w:sz w:val="22"/>
          <w:szCs w:val="22"/>
        </w:rPr>
        <w:t xml:space="preserve"> 73.3615(</w:t>
      </w:r>
      <w:r w:rsidR="00A10976">
        <w:rPr>
          <w:sz w:val="22"/>
          <w:szCs w:val="22"/>
        </w:rPr>
        <w:t>g</w:t>
      </w:r>
      <w:r w:rsidR="00DD73D0">
        <w:rPr>
          <w:sz w:val="22"/>
          <w:szCs w:val="22"/>
        </w:rPr>
        <w:t>)</w:t>
      </w:r>
      <w:r w:rsidR="00A87F31">
        <w:rPr>
          <w:sz w:val="22"/>
          <w:szCs w:val="22"/>
        </w:rPr>
        <w:t>, 73.3526, 73.3527</w:t>
      </w:r>
      <w:r w:rsidR="00DD73D0">
        <w:rPr>
          <w:sz w:val="22"/>
          <w:szCs w:val="22"/>
        </w:rPr>
        <w:t>)</w:t>
      </w:r>
      <w:r w:rsidR="007B67F3">
        <w:rPr>
          <w:sz w:val="22"/>
          <w:szCs w:val="22"/>
        </w:rPr>
        <w:t>.</w:t>
      </w:r>
      <w:r w:rsidR="00370D2E">
        <w:rPr>
          <w:sz w:val="22"/>
          <w:szCs w:val="22"/>
        </w:rPr>
        <w:t xml:space="preserve">  These requirements were not affected by the </w:t>
      </w:r>
      <w:r w:rsidR="00370D2E">
        <w:rPr>
          <w:i/>
          <w:sz w:val="22"/>
          <w:szCs w:val="22"/>
        </w:rPr>
        <w:t>Order on Reconsideration.</w:t>
      </w:r>
    </w:p>
    <w:p w14:paraId="2289151C" w14:textId="77777777" w:rsidR="007B67F3" w:rsidRDefault="007B67F3">
      <w:pPr>
        <w:autoSpaceDE w:val="0"/>
        <w:autoSpaceDN w:val="0"/>
        <w:adjustRightInd w:val="0"/>
        <w:jc w:val="both"/>
        <w:rPr>
          <w:sz w:val="22"/>
          <w:szCs w:val="22"/>
        </w:rPr>
      </w:pPr>
    </w:p>
    <w:p w14:paraId="7FFB9DDF" w14:textId="77777777" w:rsidR="003358AC" w:rsidRDefault="007B67F3" w:rsidP="007B67F3">
      <w:pPr>
        <w:numPr>
          <w:ilvl w:val="0"/>
          <w:numId w:val="5"/>
        </w:numPr>
        <w:jc w:val="center"/>
        <w:rPr>
          <w:sz w:val="22"/>
          <w:szCs w:val="22"/>
        </w:rPr>
      </w:pPr>
      <w:r>
        <w:rPr>
          <w:sz w:val="22"/>
          <w:szCs w:val="22"/>
        </w:rPr>
        <w:t xml:space="preserve"> </w:t>
      </w:r>
      <w:r>
        <w:rPr>
          <w:b/>
          <w:sz w:val="22"/>
          <w:szCs w:val="22"/>
          <w:u w:val="single"/>
        </w:rPr>
        <w:t>INTERNET LINKS</w:t>
      </w:r>
    </w:p>
    <w:p w14:paraId="72E477E2" w14:textId="77777777" w:rsidR="003358AC" w:rsidRDefault="003358AC">
      <w:pPr>
        <w:autoSpaceDE w:val="0"/>
        <w:autoSpaceDN w:val="0"/>
        <w:adjustRightInd w:val="0"/>
        <w:jc w:val="both"/>
        <w:rPr>
          <w:sz w:val="22"/>
          <w:szCs w:val="22"/>
        </w:rPr>
      </w:pPr>
    </w:p>
    <w:p w14:paraId="41D80D51" w14:textId="77777777" w:rsidR="00EE7219" w:rsidRDefault="00EE7219" w:rsidP="00EE7219">
      <w:pPr>
        <w:autoSpaceDE w:val="0"/>
        <w:autoSpaceDN w:val="0"/>
        <w:adjustRightInd w:val="0"/>
        <w:jc w:val="both"/>
        <w:rPr>
          <w:sz w:val="22"/>
          <w:szCs w:val="22"/>
        </w:rPr>
      </w:pPr>
      <w:r>
        <w:rPr>
          <w:sz w:val="22"/>
          <w:szCs w:val="22"/>
          <w:u w:val="single"/>
        </w:rPr>
        <w:t>Order on Reconsideration</w:t>
      </w:r>
    </w:p>
    <w:p w14:paraId="1883ABC7" w14:textId="77777777" w:rsidR="00EE7219" w:rsidRDefault="00EE7219" w:rsidP="00EE7219">
      <w:pPr>
        <w:autoSpaceDE w:val="0"/>
        <w:autoSpaceDN w:val="0"/>
        <w:adjustRightInd w:val="0"/>
        <w:jc w:val="both"/>
        <w:rPr>
          <w:sz w:val="22"/>
          <w:szCs w:val="22"/>
        </w:rPr>
      </w:pPr>
    </w:p>
    <w:p w14:paraId="0E61B27C" w14:textId="0E98CA2C" w:rsidR="00EE7219" w:rsidRPr="00E85FE4" w:rsidRDefault="00A14CCD" w:rsidP="00EE7219">
      <w:pPr>
        <w:numPr>
          <w:ilvl w:val="0"/>
          <w:numId w:val="8"/>
        </w:numPr>
        <w:autoSpaceDE w:val="0"/>
        <w:autoSpaceDN w:val="0"/>
        <w:adjustRightInd w:val="0"/>
        <w:jc w:val="both"/>
        <w:rPr>
          <w:sz w:val="22"/>
          <w:szCs w:val="22"/>
        </w:rPr>
      </w:pPr>
      <w:hyperlink r:id="rId8" w:history="1">
        <w:r w:rsidR="00EE7219" w:rsidRPr="00E76932">
          <w:rPr>
            <w:rStyle w:val="Hyperlink"/>
            <w:sz w:val="22"/>
            <w:szCs w:val="22"/>
          </w:rPr>
          <w:t>https://www.fcc.gov/document/fcc-eases-reporting-burden-noncommercial-broadcaster-volunteers</w:t>
        </w:r>
      </w:hyperlink>
      <w:r w:rsidR="00EE7219">
        <w:rPr>
          <w:sz w:val="22"/>
          <w:szCs w:val="22"/>
        </w:rPr>
        <w:t xml:space="preserve"> </w:t>
      </w:r>
    </w:p>
    <w:p w14:paraId="5508F392" w14:textId="77777777" w:rsidR="00EE7219" w:rsidRDefault="00EE7219" w:rsidP="00EE7219">
      <w:pPr>
        <w:autoSpaceDE w:val="0"/>
        <w:autoSpaceDN w:val="0"/>
        <w:adjustRightInd w:val="0"/>
        <w:jc w:val="both"/>
        <w:rPr>
          <w:sz w:val="22"/>
          <w:szCs w:val="22"/>
          <w:u w:val="single"/>
        </w:rPr>
      </w:pPr>
    </w:p>
    <w:p w14:paraId="53750E8A" w14:textId="77777777" w:rsidR="007B67F3" w:rsidRDefault="007B67F3">
      <w:pPr>
        <w:autoSpaceDE w:val="0"/>
        <w:autoSpaceDN w:val="0"/>
        <w:adjustRightInd w:val="0"/>
        <w:jc w:val="both"/>
        <w:rPr>
          <w:sz w:val="22"/>
          <w:szCs w:val="22"/>
        </w:rPr>
      </w:pPr>
      <w:r>
        <w:rPr>
          <w:sz w:val="22"/>
          <w:szCs w:val="22"/>
          <w:u w:val="single"/>
        </w:rPr>
        <w:t>Report and Order</w:t>
      </w:r>
    </w:p>
    <w:p w14:paraId="4CBBB08E" w14:textId="77777777" w:rsidR="007B67F3" w:rsidRDefault="007B67F3">
      <w:pPr>
        <w:autoSpaceDE w:val="0"/>
        <w:autoSpaceDN w:val="0"/>
        <w:adjustRightInd w:val="0"/>
        <w:jc w:val="both"/>
        <w:rPr>
          <w:sz w:val="22"/>
          <w:szCs w:val="22"/>
        </w:rPr>
      </w:pPr>
    </w:p>
    <w:p w14:paraId="57710B0E" w14:textId="2EDF4705" w:rsidR="00D52E97" w:rsidRDefault="00A14CCD" w:rsidP="00D52E97">
      <w:pPr>
        <w:numPr>
          <w:ilvl w:val="0"/>
          <w:numId w:val="8"/>
        </w:numPr>
        <w:autoSpaceDE w:val="0"/>
        <w:autoSpaceDN w:val="0"/>
        <w:adjustRightInd w:val="0"/>
        <w:jc w:val="both"/>
        <w:rPr>
          <w:sz w:val="22"/>
          <w:szCs w:val="22"/>
        </w:rPr>
      </w:pPr>
      <w:hyperlink r:id="rId9" w:history="1">
        <w:r w:rsidR="00D52E97" w:rsidRPr="00A212B1">
          <w:rPr>
            <w:rStyle w:val="Hyperlink"/>
            <w:sz w:val="22"/>
            <w:szCs w:val="22"/>
          </w:rPr>
          <w:t>https://www.fcc.gov/document/fcc-adopts-order-improve-collection-broadcast-ownership-data</w:t>
        </w:r>
      </w:hyperlink>
      <w:r w:rsidR="00D52E97">
        <w:rPr>
          <w:sz w:val="22"/>
          <w:szCs w:val="22"/>
        </w:rPr>
        <w:t xml:space="preserve"> </w:t>
      </w:r>
    </w:p>
    <w:p w14:paraId="26C1FF44" w14:textId="77777777" w:rsidR="007B67F3" w:rsidRDefault="007B67F3">
      <w:pPr>
        <w:autoSpaceDE w:val="0"/>
        <w:autoSpaceDN w:val="0"/>
        <w:adjustRightInd w:val="0"/>
        <w:jc w:val="both"/>
        <w:rPr>
          <w:sz w:val="22"/>
          <w:szCs w:val="22"/>
        </w:rPr>
      </w:pPr>
    </w:p>
    <w:p w14:paraId="7B6A8BBF" w14:textId="77777777" w:rsidR="00EE7219" w:rsidRDefault="00EE7219">
      <w:pPr>
        <w:autoSpaceDE w:val="0"/>
        <w:autoSpaceDN w:val="0"/>
        <w:adjustRightInd w:val="0"/>
        <w:jc w:val="both"/>
        <w:rPr>
          <w:sz w:val="22"/>
          <w:szCs w:val="22"/>
          <w:u w:val="single"/>
        </w:rPr>
      </w:pPr>
      <w:r>
        <w:rPr>
          <w:sz w:val="22"/>
          <w:szCs w:val="22"/>
          <w:u w:val="single"/>
        </w:rPr>
        <w:t>Jan. 9, 2017 Compliance Guide</w:t>
      </w:r>
    </w:p>
    <w:p w14:paraId="4180197E" w14:textId="77777777" w:rsidR="00EE7219" w:rsidRDefault="00EE7219">
      <w:pPr>
        <w:autoSpaceDE w:val="0"/>
        <w:autoSpaceDN w:val="0"/>
        <w:adjustRightInd w:val="0"/>
        <w:jc w:val="both"/>
        <w:rPr>
          <w:sz w:val="22"/>
          <w:szCs w:val="22"/>
          <w:u w:val="single"/>
        </w:rPr>
      </w:pPr>
    </w:p>
    <w:p w14:paraId="6A5EE165" w14:textId="413A4CF1" w:rsidR="00EE7219" w:rsidRPr="0095016C" w:rsidRDefault="00A14CCD" w:rsidP="0095016C">
      <w:pPr>
        <w:numPr>
          <w:ilvl w:val="0"/>
          <w:numId w:val="8"/>
        </w:numPr>
        <w:autoSpaceDE w:val="0"/>
        <w:autoSpaceDN w:val="0"/>
        <w:adjustRightInd w:val="0"/>
        <w:jc w:val="both"/>
        <w:rPr>
          <w:sz w:val="22"/>
          <w:szCs w:val="22"/>
        </w:rPr>
      </w:pPr>
      <w:hyperlink r:id="rId10" w:history="1">
        <w:r w:rsidR="00F47A73" w:rsidRPr="0076036F">
          <w:rPr>
            <w:rStyle w:val="Hyperlink"/>
            <w:sz w:val="22"/>
            <w:szCs w:val="22"/>
          </w:rPr>
          <w:t>https://www.fcc.gov/document/323-and-323-e-order</w:t>
        </w:r>
      </w:hyperlink>
      <w:r w:rsidR="00F47A73">
        <w:rPr>
          <w:sz w:val="22"/>
          <w:szCs w:val="22"/>
        </w:rPr>
        <w:t xml:space="preserve"> </w:t>
      </w:r>
    </w:p>
    <w:p w14:paraId="54F9CBBD" w14:textId="77777777" w:rsidR="00EE7219" w:rsidRDefault="00EE7219">
      <w:pPr>
        <w:autoSpaceDE w:val="0"/>
        <w:autoSpaceDN w:val="0"/>
        <w:adjustRightInd w:val="0"/>
        <w:jc w:val="both"/>
        <w:rPr>
          <w:sz w:val="22"/>
          <w:szCs w:val="22"/>
          <w:u w:val="single"/>
        </w:rPr>
      </w:pPr>
    </w:p>
    <w:p w14:paraId="484E1A2D" w14:textId="77777777" w:rsidR="007B67F3" w:rsidRDefault="007B67F3" w:rsidP="008D3C8E">
      <w:pPr>
        <w:keepNext/>
        <w:autoSpaceDE w:val="0"/>
        <w:autoSpaceDN w:val="0"/>
        <w:adjustRightInd w:val="0"/>
        <w:jc w:val="both"/>
        <w:rPr>
          <w:sz w:val="22"/>
          <w:szCs w:val="22"/>
        </w:rPr>
      </w:pPr>
      <w:r>
        <w:rPr>
          <w:sz w:val="22"/>
          <w:szCs w:val="22"/>
          <w:u w:val="single"/>
        </w:rPr>
        <w:t>FCC Forms</w:t>
      </w:r>
    </w:p>
    <w:p w14:paraId="774F0C22" w14:textId="77777777" w:rsidR="007B67F3" w:rsidRDefault="007B67F3">
      <w:pPr>
        <w:autoSpaceDE w:val="0"/>
        <w:autoSpaceDN w:val="0"/>
        <w:adjustRightInd w:val="0"/>
        <w:jc w:val="both"/>
        <w:rPr>
          <w:sz w:val="22"/>
          <w:szCs w:val="22"/>
        </w:rPr>
      </w:pPr>
    </w:p>
    <w:p w14:paraId="2E9161C0" w14:textId="0D0B50CF" w:rsidR="00D52E97" w:rsidRDefault="00A14CCD" w:rsidP="00D52E97">
      <w:pPr>
        <w:numPr>
          <w:ilvl w:val="0"/>
          <w:numId w:val="8"/>
        </w:numPr>
        <w:autoSpaceDE w:val="0"/>
        <w:autoSpaceDN w:val="0"/>
        <w:adjustRightInd w:val="0"/>
        <w:jc w:val="both"/>
        <w:rPr>
          <w:sz w:val="22"/>
          <w:szCs w:val="22"/>
        </w:rPr>
      </w:pPr>
      <w:hyperlink r:id="rId11" w:history="1">
        <w:r w:rsidR="00D52E97" w:rsidRPr="00A212B1">
          <w:rPr>
            <w:rStyle w:val="Hyperlink"/>
            <w:sz w:val="22"/>
            <w:szCs w:val="22"/>
          </w:rPr>
          <w:t>https://www.fcc.gov/licensing-databases/forms</w:t>
        </w:r>
      </w:hyperlink>
      <w:r w:rsidR="00D52E97">
        <w:rPr>
          <w:sz w:val="22"/>
          <w:szCs w:val="22"/>
        </w:rPr>
        <w:t xml:space="preserve"> </w:t>
      </w:r>
    </w:p>
    <w:p w14:paraId="1A5FBDB9" w14:textId="77777777" w:rsidR="008B447B" w:rsidRDefault="008B447B" w:rsidP="00731169">
      <w:pPr>
        <w:autoSpaceDE w:val="0"/>
        <w:autoSpaceDN w:val="0"/>
        <w:adjustRightInd w:val="0"/>
        <w:jc w:val="both"/>
        <w:rPr>
          <w:sz w:val="22"/>
          <w:szCs w:val="22"/>
        </w:rPr>
      </w:pPr>
    </w:p>
    <w:sectPr w:rsidR="008B447B">
      <w:headerReference w:type="even" r:id="rId12"/>
      <w:headerReference w:type="default" r:id="rId13"/>
      <w:footerReference w:type="even" r:id="rId14"/>
      <w:footerReference w:type="default" r:id="rId15"/>
      <w:headerReference w:type="first" r:id="rId16"/>
      <w:footerReference w:type="first" r:id="rId17"/>
      <w:pgSz w:w="12240" w:h="15840" w:code="1"/>
      <w:pgMar w:top="1152"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1B526" w14:textId="77777777" w:rsidR="006B1A14" w:rsidRDefault="006B1A14">
      <w:r>
        <w:separator/>
      </w:r>
    </w:p>
  </w:endnote>
  <w:endnote w:type="continuationSeparator" w:id="0">
    <w:p w14:paraId="2A5CB48C" w14:textId="77777777" w:rsidR="006B1A14" w:rsidRDefault="006B1A14">
      <w:r>
        <w:continuationSeparator/>
      </w:r>
    </w:p>
  </w:endnote>
  <w:endnote w:type="continuationNotice" w:id="1">
    <w:p w14:paraId="7A0A4E8B" w14:textId="77777777" w:rsidR="006B1A14" w:rsidRDefault="006B1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D8AF4" w14:textId="77777777" w:rsidR="00FD486B" w:rsidRDefault="00FD4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286357" w14:textId="77777777" w:rsidR="00FD486B" w:rsidRDefault="00FD48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5928D" w14:textId="6BA13D8E" w:rsidR="00FD486B" w:rsidRDefault="00FD4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CCD">
      <w:rPr>
        <w:rStyle w:val="PageNumber"/>
        <w:noProof/>
      </w:rPr>
      <w:t>2</w:t>
    </w:r>
    <w:r>
      <w:rPr>
        <w:rStyle w:val="PageNumber"/>
      </w:rPr>
      <w:fldChar w:fldCharType="end"/>
    </w:r>
  </w:p>
  <w:p w14:paraId="2A73F2A2" w14:textId="77777777" w:rsidR="00FD486B" w:rsidRDefault="00FD486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3EA27" w14:textId="77777777" w:rsidR="00CA6333" w:rsidRDefault="00CA6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C5167" w14:textId="77777777" w:rsidR="006B1A14" w:rsidRDefault="006B1A14">
      <w:r>
        <w:separator/>
      </w:r>
    </w:p>
  </w:footnote>
  <w:footnote w:type="continuationSeparator" w:id="0">
    <w:p w14:paraId="253B7E88" w14:textId="77777777" w:rsidR="006B1A14" w:rsidRDefault="006B1A14">
      <w:r>
        <w:continuationSeparator/>
      </w:r>
    </w:p>
  </w:footnote>
  <w:footnote w:type="continuationNotice" w:id="1">
    <w:p w14:paraId="09F7F57E" w14:textId="77777777" w:rsidR="006B1A14" w:rsidRDefault="006B1A14"/>
  </w:footnote>
  <w:footnote w:id="2">
    <w:p w14:paraId="5F4ACF7A" w14:textId="77777777" w:rsidR="00E37256" w:rsidRPr="00E37256" w:rsidRDefault="00E37256">
      <w:pPr>
        <w:pStyle w:val="FootnoteText"/>
      </w:pPr>
      <w:r>
        <w:rPr>
          <w:rStyle w:val="FootnoteReference"/>
        </w:rPr>
        <w:footnoteRef/>
      </w:r>
      <w:r>
        <w:t xml:space="preserve"> </w:t>
      </w:r>
      <w:r>
        <w:rPr>
          <w:i/>
        </w:rPr>
        <w:t>Promoting Diversification of Ownership in the Broadcasting Services et al.</w:t>
      </w:r>
      <w:r>
        <w:t>, Order on Reconsideration, FCC 17-42 (Apr. 21, 2017).</w:t>
      </w:r>
    </w:p>
  </w:footnote>
  <w:footnote w:id="3">
    <w:p w14:paraId="54066F02" w14:textId="77777777" w:rsidR="000C6780" w:rsidRPr="00E57E8F" w:rsidRDefault="000C6780" w:rsidP="000C6780">
      <w:pPr>
        <w:pStyle w:val="FootnoteText"/>
      </w:pPr>
      <w:r>
        <w:rPr>
          <w:rStyle w:val="FootnoteReference"/>
        </w:rPr>
        <w:footnoteRef/>
      </w:r>
      <w:r>
        <w:t xml:space="preserve"> </w:t>
      </w:r>
      <w:r>
        <w:rPr>
          <w:i/>
        </w:rPr>
        <w:t>Promoting Diversification of Ownership in the Broadcasting Services et al.</w:t>
      </w:r>
      <w:r>
        <w:t>, Report and Order, Second Report and Order, and Order on Reconsideration, 31 FCC Rcd 398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05664" w14:textId="77777777" w:rsidR="00CA6333" w:rsidRDefault="00CA6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A1E85" w14:textId="77777777" w:rsidR="00CA6333" w:rsidRDefault="00CA6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9555" w14:textId="446BA4A3" w:rsidR="00FD486B" w:rsidRDefault="00C977AE">
    <w:pPr>
      <w:pStyle w:val="Header"/>
      <w:tabs>
        <w:tab w:val="clear" w:pos="4320"/>
        <w:tab w:val="clear" w:pos="8640"/>
      </w:tabs>
      <w:spacing w:before="360" w:line="228" w:lineRule="auto"/>
      <w:jc w:val="center"/>
    </w:pPr>
    <w:r>
      <w:rPr>
        <w:noProof/>
      </w:rPr>
      <w:drawing>
        <wp:anchor distT="0" distB="0" distL="114300" distR="114300" simplePos="0" relativeHeight="251657728" behindDoc="1" locked="0" layoutInCell="0" allowOverlap="1" wp14:anchorId="46A30C4D" wp14:editId="7C193F05">
          <wp:simplePos x="0" y="0"/>
          <wp:positionH relativeFrom="column">
            <wp:posOffset>-400050</wp:posOffset>
          </wp:positionH>
          <wp:positionV relativeFrom="paragraph">
            <wp:posOffset>0</wp:posOffset>
          </wp:positionV>
          <wp:extent cx="863600"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FD486B">
      <w:rPr>
        <w:rFonts w:ascii="CG Times (W1)" w:hAnsi="CG Times (W1)"/>
        <w:sz w:val="28"/>
      </w:rPr>
      <w:t>Federal Communications Commission</w:t>
    </w:r>
  </w:p>
  <w:p w14:paraId="0F40C309" w14:textId="77777777" w:rsidR="00FD486B" w:rsidRDefault="00FD486B">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14:paraId="4286EC23" w14:textId="77777777" w:rsidR="00FD486B" w:rsidRDefault="00FD486B">
    <w:pPr>
      <w:pStyle w:val="Header"/>
      <w:tabs>
        <w:tab w:val="clear" w:pos="4320"/>
      </w:tabs>
      <w:jc w:val="center"/>
      <w:rPr>
        <w:sz w:val="22"/>
      </w:rPr>
    </w:pPr>
  </w:p>
  <w:p w14:paraId="4D1DD993" w14:textId="2A7C1318" w:rsidR="00FD486B" w:rsidRDefault="00D724A9">
    <w:pPr>
      <w:pStyle w:val="Header"/>
      <w:tabs>
        <w:tab w:val="clear" w:pos="4320"/>
      </w:tabs>
      <w:jc w:val="center"/>
      <w:rPr>
        <w:sz w:val="24"/>
        <w:szCs w:val="24"/>
      </w:rPr>
    </w:pPr>
    <w:r>
      <w:rPr>
        <w:sz w:val="24"/>
        <w:szCs w:val="24"/>
      </w:rPr>
      <w:t>August 23,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229"/>
    <w:multiLevelType w:val="hybridMultilevel"/>
    <w:tmpl w:val="DF6E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001DB"/>
    <w:multiLevelType w:val="hybridMultilevel"/>
    <w:tmpl w:val="D7D6CCBC"/>
    <w:lvl w:ilvl="0" w:tplc="B75CB3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0407"/>
    <w:multiLevelType w:val="hybridMultilevel"/>
    <w:tmpl w:val="61D81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F4640"/>
    <w:multiLevelType w:val="hybridMultilevel"/>
    <w:tmpl w:val="6D443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B77B37"/>
    <w:multiLevelType w:val="hybridMultilevel"/>
    <w:tmpl w:val="9088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27924"/>
    <w:multiLevelType w:val="hybridMultilevel"/>
    <w:tmpl w:val="3D2E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B7549"/>
    <w:multiLevelType w:val="hybridMultilevel"/>
    <w:tmpl w:val="A06C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A7E9C"/>
    <w:multiLevelType w:val="hybridMultilevel"/>
    <w:tmpl w:val="D1CA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D355B"/>
    <w:multiLevelType w:val="hybridMultilevel"/>
    <w:tmpl w:val="298E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4323E"/>
    <w:multiLevelType w:val="hybridMultilevel"/>
    <w:tmpl w:val="09A8EC12"/>
    <w:lvl w:ilvl="0" w:tplc="317603A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9"/>
  </w:num>
  <w:num w:numId="6">
    <w:abstractNumId w:val="1"/>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8C"/>
    <w:rsid w:val="000005B9"/>
    <w:rsid w:val="00013A70"/>
    <w:rsid w:val="00041BF2"/>
    <w:rsid w:val="000656EA"/>
    <w:rsid w:val="00070F57"/>
    <w:rsid w:val="00075B12"/>
    <w:rsid w:val="00076744"/>
    <w:rsid w:val="00087460"/>
    <w:rsid w:val="0008758B"/>
    <w:rsid w:val="00093AA2"/>
    <w:rsid w:val="0009538F"/>
    <w:rsid w:val="000A4BDA"/>
    <w:rsid w:val="000B1C62"/>
    <w:rsid w:val="000B5AA0"/>
    <w:rsid w:val="000B6F51"/>
    <w:rsid w:val="000C01CF"/>
    <w:rsid w:val="000C067E"/>
    <w:rsid w:val="000C17F3"/>
    <w:rsid w:val="000C6780"/>
    <w:rsid w:val="000D0623"/>
    <w:rsid w:val="000D6246"/>
    <w:rsid w:val="000D66BA"/>
    <w:rsid w:val="00113327"/>
    <w:rsid w:val="00133B47"/>
    <w:rsid w:val="001347E8"/>
    <w:rsid w:val="001365AA"/>
    <w:rsid w:val="00141BB4"/>
    <w:rsid w:val="00143E4C"/>
    <w:rsid w:val="00146979"/>
    <w:rsid w:val="00147A25"/>
    <w:rsid w:val="00155BF9"/>
    <w:rsid w:val="0016251E"/>
    <w:rsid w:val="00166759"/>
    <w:rsid w:val="00176B08"/>
    <w:rsid w:val="001855A7"/>
    <w:rsid w:val="00192992"/>
    <w:rsid w:val="00192C1B"/>
    <w:rsid w:val="001A53BF"/>
    <w:rsid w:val="001B7AFE"/>
    <w:rsid w:val="001C06B9"/>
    <w:rsid w:val="001C0DEC"/>
    <w:rsid w:val="001C5D2C"/>
    <w:rsid w:val="001C5F0B"/>
    <w:rsid w:val="001D3193"/>
    <w:rsid w:val="001D5593"/>
    <w:rsid w:val="001E44AC"/>
    <w:rsid w:val="001E52D7"/>
    <w:rsid w:val="001F2053"/>
    <w:rsid w:val="002023CA"/>
    <w:rsid w:val="00207DB4"/>
    <w:rsid w:val="00210D02"/>
    <w:rsid w:val="00216398"/>
    <w:rsid w:val="002234E9"/>
    <w:rsid w:val="00232627"/>
    <w:rsid w:val="00233AE2"/>
    <w:rsid w:val="00235ED4"/>
    <w:rsid w:val="00240681"/>
    <w:rsid w:val="00241D93"/>
    <w:rsid w:val="00246462"/>
    <w:rsid w:val="00253EDC"/>
    <w:rsid w:val="0028681B"/>
    <w:rsid w:val="002945A1"/>
    <w:rsid w:val="00297B3B"/>
    <w:rsid w:val="002A7DFA"/>
    <w:rsid w:val="002B3620"/>
    <w:rsid w:val="002C3FBD"/>
    <w:rsid w:val="002C47E2"/>
    <w:rsid w:val="002D5AF0"/>
    <w:rsid w:val="002E0D1C"/>
    <w:rsid w:val="002E2ED6"/>
    <w:rsid w:val="00300067"/>
    <w:rsid w:val="00304113"/>
    <w:rsid w:val="003125C9"/>
    <w:rsid w:val="003209FB"/>
    <w:rsid w:val="00322AC2"/>
    <w:rsid w:val="00325E0F"/>
    <w:rsid w:val="00326D29"/>
    <w:rsid w:val="00335220"/>
    <w:rsid w:val="003358AC"/>
    <w:rsid w:val="00342366"/>
    <w:rsid w:val="00343BD0"/>
    <w:rsid w:val="0034741A"/>
    <w:rsid w:val="00361341"/>
    <w:rsid w:val="00362A8D"/>
    <w:rsid w:val="00364EF0"/>
    <w:rsid w:val="00370D2E"/>
    <w:rsid w:val="00372B41"/>
    <w:rsid w:val="00373C2F"/>
    <w:rsid w:val="00377E27"/>
    <w:rsid w:val="00377F93"/>
    <w:rsid w:val="0038269C"/>
    <w:rsid w:val="00391A32"/>
    <w:rsid w:val="003A33D7"/>
    <w:rsid w:val="003B29F6"/>
    <w:rsid w:val="003C2B20"/>
    <w:rsid w:val="003E508C"/>
    <w:rsid w:val="003F65DD"/>
    <w:rsid w:val="003F7703"/>
    <w:rsid w:val="00412B7A"/>
    <w:rsid w:val="00414E45"/>
    <w:rsid w:val="00424B20"/>
    <w:rsid w:val="00425CEE"/>
    <w:rsid w:val="00433C6D"/>
    <w:rsid w:val="004355D3"/>
    <w:rsid w:val="00437A5D"/>
    <w:rsid w:val="004413CE"/>
    <w:rsid w:val="0044286D"/>
    <w:rsid w:val="00442B41"/>
    <w:rsid w:val="004431FF"/>
    <w:rsid w:val="00451CD9"/>
    <w:rsid w:val="00455082"/>
    <w:rsid w:val="00455B86"/>
    <w:rsid w:val="0045763E"/>
    <w:rsid w:val="00464A6E"/>
    <w:rsid w:val="00465E1C"/>
    <w:rsid w:val="004753D8"/>
    <w:rsid w:val="004808A3"/>
    <w:rsid w:val="004819F4"/>
    <w:rsid w:val="00495DAB"/>
    <w:rsid w:val="004A1675"/>
    <w:rsid w:val="004A280E"/>
    <w:rsid w:val="004A3EE3"/>
    <w:rsid w:val="004B1F4A"/>
    <w:rsid w:val="004B5F1C"/>
    <w:rsid w:val="004D0F30"/>
    <w:rsid w:val="004D7C11"/>
    <w:rsid w:val="004E1D35"/>
    <w:rsid w:val="004F1ADE"/>
    <w:rsid w:val="004F6A4E"/>
    <w:rsid w:val="00504653"/>
    <w:rsid w:val="005144F7"/>
    <w:rsid w:val="00522FC1"/>
    <w:rsid w:val="00525F39"/>
    <w:rsid w:val="00531AC5"/>
    <w:rsid w:val="00547D9E"/>
    <w:rsid w:val="0055211B"/>
    <w:rsid w:val="00556387"/>
    <w:rsid w:val="005624BC"/>
    <w:rsid w:val="00567777"/>
    <w:rsid w:val="00576E34"/>
    <w:rsid w:val="00582158"/>
    <w:rsid w:val="005865FB"/>
    <w:rsid w:val="00587742"/>
    <w:rsid w:val="00590FAA"/>
    <w:rsid w:val="005A006F"/>
    <w:rsid w:val="005A1537"/>
    <w:rsid w:val="005A1E85"/>
    <w:rsid w:val="005C2927"/>
    <w:rsid w:val="005D6023"/>
    <w:rsid w:val="005F6E9E"/>
    <w:rsid w:val="00605EE4"/>
    <w:rsid w:val="006257D8"/>
    <w:rsid w:val="00627D65"/>
    <w:rsid w:val="00631085"/>
    <w:rsid w:val="00633585"/>
    <w:rsid w:val="00646FBD"/>
    <w:rsid w:val="0065551F"/>
    <w:rsid w:val="00681261"/>
    <w:rsid w:val="00683216"/>
    <w:rsid w:val="006A46BE"/>
    <w:rsid w:val="006A4F83"/>
    <w:rsid w:val="006B1A14"/>
    <w:rsid w:val="006B5B77"/>
    <w:rsid w:val="006C3642"/>
    <w:rsid w:val="006D0167"/>
    <w:rsid w:val="006D666E"/>
    <w:rsid w:val="006E1666"/>
    <w:rsid w:val="006E4A85"/>
    <w:rsid w:val="006F6A7F"/>
    <w:rsid w:val="00702311"/>
    <w:rsid w:val="00705580"/>
    <w:rsid w:val="0070568C"/>
    <w:rsid w:val="00710EAF"/>
    <w:rsid w:val="00721AAF"/>
    <w:rsid w:val="00721E73"/>
    <w:rsid w:val="00730BC3"/>
    <w:rsid w:val="00731169"/>
    <w:rsid w:val="00734F6A"/>
    <w:rsid w:val="0074249E"/>
    <w:rsid w:val="00742E0E"/>
    <w:rsid w:val="00746F32"/>
    <w:rsid w:val="00750822"/>
    <w:rsid w:val="007577B7"/>
    <w:rsid w:val="00771017"/>
    <w:rsid w:val="00777B92"/>
    <w:rsid w:val="007804A4"/>
    <w:rsid w:val="00791999"/>
    <w:rsid w:val="0079201E"/>
    <w:rsid w:val="007B67F3"/>
    <w:rsid w:val="007C2D0B"/>
    <w:rsid w:val="007C2FE9"/>
    <w:rsid w:val="007D1D86"/>
    <w:rsid w:val="007D6D07"/>
    <w:rsid w:val="007F7D55"/>
    <w:rsid w:val="008028BD"/>
    <w:rsid w:val="00803749"/>
    <w:rsid w:val="00804C1A"/>
    <w:rsid w:val="00817D75"/>
    <w:rsid w:val="00827103"/>
    <w:rsid w:val="00833757"/>
    <w:rsid w:val="00837331"/>
    <w:rsid w:val="00855B49"/>
    <w:rsid w:val="00865C84"/>
    <w:rsid w:val="008704FD"/>
    <w:rsid w:val="0087299C"/>
    <w:rsid w:val="00882C1A"/>
    <w:rsid w:val="008A134E"/>
    <w:rsid w:val="008B447B"/>
    <w:rsid w:val="008D3B3A"/>
    <w:rsid w:val="008D3C8E"/>
    <w:rsid w:val="008D7EB2"/>
    <w:rsid w:val="008E6772"/>
    <w:rsid w:val="0090295C"/>
    <w:rsid w:val="00902C10"/>
    <w:rsid w:val="009046C4"/>
    <w:rsid w:val="00910B4D"/>
    <w:rsid w:val="00913A95"/>
    <w:rsid w:val="0095016C"/>
    <w:rsid w:val="0095348F"/>
    <w:rsid w:val="00966235"/>
    <w:rsid w:val="00975CC3"/>
    <w:rsid w:val="00986F94"/>
    <w:rsid w:val="009939FB"/>
    <w:rsid w:val="00996845"/>
    <w:rsid w:val="009A100F"/>
    <w:rsid w:val="009A39A5"/>
    <w:rsid w:val="009A772D"/>
    <w:rsid w:val="009B7DBC"/>
    <w:rsid w:val="009C3261"/>
    <w:rsid w:val="009E70F2"/>
    <w:rsid w:val="009F2DA9"/>
    <w:rsid w:val="009F31B9"/>
    <w:rsid w:val="00A0014E"/>
    <w:rsid w:val="00A00606"/>
    <w:rsid w:val="00A02DF0"/>
    <w:rsid w:val="00A06AF9"/>
    <w:rsid w:val="00A10976"/>
    <w:rsid w:val="00A14CCD"/>
    <w:rsid w:val="00A22E2C"/>
    <w:rsid w:val="00A27C1B"/>
    <w:rsid w:val="00A30C17"/>
    <w:rsid w:val="00A32CD3"/>
    <w:rsid w:val="00A339F3"/>
    <w:rsid w:val="00A44643"/>
    <w:rsid w:val="00A45521"/>
    <w:rsid w:val="00A6479F"/>
    <w:rsid w:val="00A73B8D"/>
    <w:rsid w:val="00A76513"/>
    <w:rsid w:val="00A83F30"/>
    <w:rsid w:val="00A87F31"/>
    <w:rsid w:val="00A91086"/>
    <w:rsid w:val="00AA15B4"/>
    <w:rsid w:val="00AA5930"/>
    <w:rsid w:val="00AB525F"/>
    <w:rsid w:val="00AC70E1"/>
    <w:rsid w:val="00AF5D65"/>
    <w:rsid w:val="00AF7783"/>
    <w:rsid w:val="00AF7E6A"/>
    <w:rsid w:val="00B04ED4"/>
    <w:rsid w:val="00B07B8D"/>
    <w:rsid w:val="00B10EDA"/>
    <w:rsid w:val="00B31155"/>
    <w:rsid w:val="00B511AF"/>
    <w:rsid w:val="00B85B6C"/>
    <w:rsid w:val="00BA2B64"/>
    <w:rsid w:val="00BA5595"/>
    <w:rsid w:val="00BB6477"/>
    <w:rsid w:val="00BC004F"/>
    <w:rsid w:val="00BC3696"/>
    <w:rsid w:val="00BC5E7D"/>
    <w:rsid w:val="00BC74AF"/>
    <w:rsid w:val="00BD6705"/>
    <w:rsid w:val="00BD6733"/>
    <w:rsid w:val="00BE0C9D"/>
    <w:rsid w:val="00BE5828"/>
    <w:rsid w:val="00BE6B1E"/>
    <w:rsid w:val="00BE6D66"/>
    <w:rsid w:val="00BF50C0"/>
    <w:rsid w:val="00C07B54"/>
    <w:rsid w:val="00C15912"/>
    <w:rsid w:val="00C178E5"/>
    <w:rsid w:val="00C235E1"/>
    <w:rsid w:val="00C23E77"/>
    <w:rsid w:val="00C262B1"/>
    <w:rsid w:val="00C35EAD"/>
    <w:rsid w:val="00C40E07"/>
    <w:rsid w:val="00C6794B"/>
    <w:rsid w:val="00C70C12"/>
    <w:rsid w:val="00C72B17"/>
    <w:rsid w:val="00C746B5"/>
    <w:rsid w:val="00C81BC5"/>
    <w:rsid w:val="00C977AE"/>
    <w:rsid w:val="00CA2B63"/>
    <w:rsid w:val="00CA6333"/>
    <w:rsid w:val="00CA71EF"/>
    <w:rsid w:val="00CA7FE5"/>
    <w:rsid w:val="00CB16DA"/>
    <w:rsid w:val="00CC37B6"/>
    <w:rsid w:val="00CC3F32"/>
    <w:rsid w:val="00CD4E00"/>
    <w:rsid w:val="00CD7661"/>
    <w:rsid w:val="00CE3C40"/>
    <w:rsid w:val="00D0319F"/>
    <w:rsid w:val="00D03951"/>
    <w:rsid w:val="00D07FCB"/>
    <w:rsid w:val="00D26863"/>
    <w:rsid w:val="00D32C1A"/>
    <w:rsid w:val="00D36FDB"/>
    <w:rsid w:val="00D43A3B"/>
    <w:rsid w:val="00D442BF"/>
    <w:rsid w:val="00D46FD8"/>
    <w:rsid w:val="00D52CFE"/>
    <w:rsid w:val="00D52E97"/>
    <w:rsid w:val="00D625CC"/>
    <w:rsid w:val="00D647B5"/>
    <w:rsid w:val="00D661CB"/>
    <w:rsid w:val="00D724A9"/>
    <w:rsid w:val="00D726B8"/>
    <w:rsid w:val="00D77885"/>
    <w:rsid w:val="00D87A85"/>
    <w:rsid w:val="00D87E35"/>
    <w:rsid w:val="00D910B0"/>
    <w:rsid w:val="00D91973"/>
    <w:rsid w:val="00D963C6"/>
    <w:rsid w:val="00D96D1F"/>
    <w:rsid w:val="00DA1C70"/>
    <w:rsid w:val="00DA753F"/>
    <w:rsid w:val="00DB103B"/>
    <w:rsid w:val="00DB1C90"/>
    <w:rsid w:val="00DB28F4"/>
    <w:rsid w:val="00DB3CBF"/>
    <w:rsid w:val="00DC16B5"/>
    <w:rsid w:val="00DD3227"/>
    <w:rsid w:val="00DD6666"/>
    <w:rsid w:val="00DD73D0"/>
    <w:rsid w:val="00DE2398"/>
    <w:rsid w:val="00DE43AF"/>
    <w:rsid w:val="00DF5358"/>
    <w:rsid w:val="00E050AB"/>
    <w:rsid w:val="00E06462"/>
    <w:rsid w:val="00E10B89"/>
    <w:rsid w:val="00E147D0"/>
    <w:rsid w:val="00E15F2E"/>
    <w:rsid w:val="00E20DED"/>
    <w:rsid w:val="00E24910"/>
    <w:rsid w:val="00E26E76"/>
    <w:rsid w:val="00E274DF"/>
    <w:rsid w:val="00E3679F"/>
    <w:rsid w:val="00E37256"/>
    <w:rsid w:val="00E45228"/>
    <w:rsid w:val="00E57E8F"/>
    <w:rsid w:val="00E73A6F"/>
    <w:rsid w:val="00E8156D"/>
    <w:rsid w:val="00E85FE4"/>
    <w:rsid w:val="00E955C8"/>
    <w:rsid w:val="00EA16AB"/>
    <w:rsid w:val="00EA3094"/>
    <w:rsid w:val="00EA52E2"/>
    <w:rsid w:val="00EA7EFA"/>
    <w:rsid w:val="00EB10B9"/>
    <w:rsid w:val="00EB2BBD"/>
    <w:rsid w:val="00EC5701"/>
    <w:rsid w:val="00ED1A0A"/>
    <w:rsid w:val="00ED3428"/>
    <w:rsid w:val="00EE2AC8"/>
    <w:rsid w:val="00EE7219"/>
    <w:rsid w:val="00F119AA"/>
    <w:rsid w:val="00F16516"/>
    <w:rsid w:val="00F30F07"/>
    <w:rsid w:val="00F40E18"/>
    <w:rsid w:val="00F47A73"/>
    <w:rsid w:val="00F757D4"/>
    <w:rsid w:val="00F831E4"/>
    <w:rsid w:val="00F84539"/>
    <w:rsid w:val="00F94D70"/>
    <w:rsid w:val="00F95C70"/>
    <w:rsid w:val="00FA55EE"/>
    <w:rsid w:val="00FA5E0D"/>
    <w:rsid w:val="00FB024D"/>
    <w:rsid w:val="00FC2B92"/>
    <w:rsid w:val="00FC38E6"/>
    <w:rsid w:val="00FD04EA"/>
    <w:rsid w:val="00FD486B"/>
    <w:rsid w:val="00FD7D4C"/>
    <w:rsid w:val="00FE5359"/>
    <w:rsid w:val="00FF17FA"/>
    <w:rsid w:val="00F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6912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rsid w:val="00F30F07"/>
  </w:style>
  <w:style w:type="character" w:customStyle="1" w:styleId="FootnoteTextChar">
    <w:name w:val="Footnote Text Char"/>
    <w:basedOn w:val="DefaultParagraphFont"/>
    <w:link w:val="FootnoteText"/>
    <w:rsid w:val="00F30F07"/>
  </w:style>
  <w:style w:type="character" w:styleId="FootnoteReference">
    <w:name w:val="footnote reference"/>
    <w:rsid w:val="00F30F07"/>
    <w:rPr>
      <w:vertAlign w:val="superscript"/>
    </w:rPr>
  </w:style>
  <w:style w:type="paragraph" w:styleId="ListParagraph">
    <w:name w:val="List Paragraph"/>
    <w:basedOn w:val="Normal"/>
    <w:uiPriority w:val="34"/>
    <w:qFormat/>
    <w:rsid w:val="002A7DFA"/>
    <w:pPr>
      <w:ind w:left="720"/>
    </w:pPr>
  </w:style>
  <w:style w:type="character" w:styleId="FollowedHyperlink">
    <w:name w:val="FollowedHyperlink"/>
    <w:rsid w:val="004431F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rsid w:val="00F30F07"/>
  </w:style>
  <w:style w:type="character" w:customStyle="1" w:styleId="FootnoteTextChar">
    <w:name w:val="Footnote Text Char"/>
    <w:basedOn w:val="DefaultParagraphFont"/>
    <w:link w:val="FootnoteText"/>
    <w:rsid w:val="00F30F07"/>
  </w:style>
  <w:style w:type="character" w:styleId="FootnoteReference">
    <w:name w:val="footnote reference"/>
    <w:rsid w:val="00F30F07"/>
    <w:rPr>
      <w:vertAlign w:val="superscript"/>
    </w:rPr>
  </w:style>
  <w:style w:type="paragraph" w:styleId="ListParagraph">
    <w:name w:val="List Paragraph"/>
    <w:basedOn w:val="Normal"/>
    <w:uiPriority w:val="34"/>
    <w:qFormat/>
    <w:rsid w:val="002A7DFA"/>
    <w:pPr>
      <w:ind w:left="720"/>
    </w:pPr>
  </w:style>
  <w:style w:type="character" w:styleId="FollowedHyperlink">
    <w:name w:val="FollowedHyperlink"/>
    <w:rsid w:val="004431F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179">
      <w:bodyDiv w:val="1"/>
      <w:marLeft w:val="0"/>
      <w:marRight w:val="0"/>
      <w:marTop w:val="0"/>
      <w:marBottom w:val="0"/>
      <w:divBdr>
        <w:top w:val="none" w:sz="0" w:space="0" w:color="auto"/>
        <w:left w:val="none" w:sz="0" w:space="0" w:color="auto"/>
        <w:bottom w:val="none" w:sz="0" w:space="0" w:color="auto"/>
        <w:right w:val="none" w:sz="0" w:space="0" w:color="auto"/>
      </w:divBdr>
    </w:div>
    <w:div w:id="1011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document/fcc-eases-reporting-burden-noncommercial-broadcaster-volunteer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licensing-databases/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document/323-and-323-e-or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c.gov/document/fcc-adopts-order-improve-collection-broadcast-ownership-dat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7376</Characters>
  <Application>Microsoft Office Word</Application>
  <DocSecurity>0</DocSecurity>
  <Lines>142</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8705</CharactersWithSpaces>
  <SharedDoc>false</SharedDoc>
  <HyperlinkBase> </HyperlinkBase>
  <HLinks>
    <vt:vector size="30" baseType="variant">
      <vt:variant>
        <vt:i4>5242973</vt:i4>
      </vt:variant>
      <vt:variant>
        <vt:i4>12</vt:i4>
      </vt:variant>
      <vt:variant>
        <vt:i4>0</vt:i4>
      </vt:variant>
      <vt:variant>
        <vt:i4>5</vt:i4>
      </vt:variant>
      <vt:variant>
        <vt:lpwstr>https://www.fcc.gov/licensing-databases/forms</vt:lpwstr>
      </vt:variant>
      <vt:variant>
        <vt:lpwstr/>
      </vt:variant>
      <vt:variant>
        <vt:i4>1048642</vt:i4>
      </vt:variant>
      <vt:variant>
        <vt:i4>9</vt:i4>
      </vt:variant>
      <vt:variant>
        <vt:i4>0</vt:i4>
      </vt:variant>
      <vt:variant>
        <vt:i4>5</vt:i4>
      </vt:variant>
      <vt:variant>
        <vt:lpwstr>https://www.fcc.gov/document/fcc-eases-reporting-burden-noncommercial-broadcaster-volunteers</vt:lpwstr>
      </vt:variant>
      <vt:variant>
        <vt:lpwstr/>
      </vt:variant>
      <vt:variant>
        <vt:i4>131082</vt:i4>
      </vt:variant>
      <vt:variant>
        <vt:i4>6</vt:i4>
      </vt:variant>
      <vt:variant>
        <vt:i4>0</vt:i4>
      </vt:variant>
      <vt:variant>
        <vt:i4>5</vt:i4>
      </vt:variant>
      <vt:variant>
        <vt:lpwstr>https://www.fcc.gov/document/fcc-adopts-order-improve-collection-broadcast-ownership-data</vt:lpwstr>
      </vt:variant>
      <vt:variant>
        <vt:lpwstr/>
      </vt:variant>
      <vt:variant>
        <vt:i4>5242973</vt:i4>
      </vt:variant>
      <vt:variant>
        <vt:i4>3</vt:i4>
      </vt:variant>
      <vt:variant>
        <vt:i4>0</vt:i4>
      </vt:variant>
      <vt:variant>
        <vt:i4>5</vt:i4>
      </vt:variant>
      <vt:variant>
        <vt:lpwstr>https://www.fcc.gov/licensing-databases/forms</vt:lpwstr>
      </vt:variant>
      <vt:variant>
        <vt:lpwstr/>
      </vt:variant>
      <vt:variant>
        <vt:i4>5242973</vt:i4>
      </vt:variant>
      <vt:variant>
        <vt:i4>0</vt:i4>
      </vt:variant>
      <vt:variant>
        <vt:i4>0</vt:i4>
      </vt:variant>
      <vt:variant>
        <vt:i4>5</vt:i4>
      </vt:variant>
      <vt:variant>
        <vt:lpwstr>https://www.fcc.gov/licensing-databases/forms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2010-05-12T20:37:00Z</cp:lastPrinted>
  <dcterms:created xsi:type="dcterms:W3CDTF">2017-08-23T16:29:00Z</dcterms:created>
  <dcterms:modified xsi:type="dcterms:W3CDTF">2017-08-23T16:29:00Z</dcterms:modified>
  <cp:category> </cp:category>
  <cp:contentStatus> </cp:contentStatus>
</cp:coreProperties>
</file>