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2DC8" w14:textId="7EA6BE1A" w:rsidR="003112AD" w:rsidRPr="00EF0AC2" w:rsidRDefault="003112AD" w:rsidP="003112AD">
      <w:pPr>
        <w:pStyle w:val="StyleBoldCentered"/>
        <w:tabs>
          <w:tab w:val="left" w:pos="720"/>
          <w:tab w:val="left" w:pos="1440"/>
          <w:tab w:val="left" w:pos="2160"/>
          <w:tab w:val="left" w:pos="2880"/>
          <w:tab w:val="left" w:pos="3600"/>
          <w:tab w:val="left" w:pos="4320"/>
          <w:tab w:val="center" w:pos="4680"/>
          <w:tab w:val="left" w:pos="5040"/>
          <w:tab w:val="left" w:pos="7500"/>
        </w:tabs>
        <w:jc w:val="left"/>
        <w:rPr>
          <w:b w:val="0"/>
          <w:caps w:val="0"/>
        </w:rPr>
      </w:pPr>
      <w:bookmarkStart w:id="0" w:name="_GoBack"/>
      <w:bookmarkEnd w:id="0"/>
      <w:r w:rsidRPr="00EF0AC2">
        <w:rPr>
          <w:b w:val="0"/>
          <w:caps w:val="0"/>
          <w:kern w:val="0"/>
        </w:rPr>
        <w:tab/>
      </w:r>
      <w:r w:rsidRPr="00EF0AC2">
        <w:rPr>
          <w:b w:val="0"/>
          <w:caps w:val="0"/>
          <w:kern w:val="0"/>
        </w:rPr>
        <w:tab/>
      </w:r>
      <w:r w:rsidRPr="00EF0AC2">
        <w:rPr>
          <w:b w:val="0"/>
          <w:caps w:val="0"/>
          <w:kern w:val="0"/>
        </w:rPr>
        <w:tab/>
      </w:r>
      <w:r w:rsidRPr="00EF0AC2">
        <w:rPr>
          <w:b w:val="0"/>
          <w:caps w:val="0"/>
          <w:kern w:val="0"/>
        </w:rPr>
        <w:tab/>
      </w:r>
      <w:r w:rsidRPr="00EF0AC2">
        <w:rPr>
          <w:b w:val="0"/>
          <w:caps w:val="0"/>
          <w:kern w:val="0"/>
        </w:rPr>
        <w:tab/>
      </w:r>
      <w:r w:rsidRPr="00EF0AC2">
        <w:rPr>
          <w:b w:val="0"/>
          <w:caps w:val="0"/>
          <w:kern w:val="0"/>
        </w:rPr>
        <w:tab/>
        <w:t>Before</w:t>
      </w:r>
      <w:r w:rsidRPr="00EF0AC2">
        <w:rPr>
          <w:b w:val="0"/>
          <w:caps w:val="0"/>
        </w:rPr>
        <w:t xml:space="preserve"> the</w:t>
      </w:r>
      <w:r w:rsidRPr="00EF0AC2">
        <w:rPr>
          <w:b w:val="0"/>
          <w:caps w:val="0"/>
        </w:rPr>
        <w:tab/>
      </w:r>
      <w:r w:rsidRPr="00EF0AC2">
        <w:rPr>
          <w:b w:val="0"/>
          <w:caps w:val="0"/>
        </w:rPr>
        <w:tab/>
      </w:r>
    </w:p>
    <w:p w14:paraId="05C7346A" w14:textId="77777777" w:rsidR="003112AD" w:rsidRPr="00EF0AC2" w:rsidRDefault="003112AD" w:rsidP="003112AD">
      <w:pPr>
        <w:pStyle w:val="StyleBoldCentered"/>
        <w:rPr>
          <w:caps w:val="0"/>
        </w:rPr>
      </w:pPr>
      <w:r w:rsidRPr="00EF0AC2">
        <w:rPr>
          <w:caps w:val="0"/>
        </w:rPr>
        <w:t>Federal Communications Commission</w:t>
      </w:r>
    </w:p>
    <w:p w14:paraId="4632896B" w14:textId="77777777" w:rsidR="003112AD" w:rsidRPr="00EF0AC2" w:rsidRDefault="003112AD" w:rsidP="003112AD">
      <w:pPr>
        <w:pStyle w:val="StyleBoldCentered"/>
      </w:pPr>
      <w:r w:rsidRPr="00EF0AC2">
        <w:rPr>
          <w:caps w:val="0"/>
        </w:rPr>
        <w:t>Washington, D.C. 20554</w:t>
      </w:r>
    </w:p>
    <w:p w14:paraId="1BCEAF95" w14:textId="77777777" w:rsidR="003112AD" w:rsidRPr="00EF0AC2" w:rsidRDefault="003112AD" w:rsidP="003112AD"/>
    <w:p w14:paraId="63329535" w14:textId="77777777" w:rsidR="003112AD" w:rsidRPr="00EF0AC2" w:rsidRDefault="003112AD" w:rsidP="003112AD"/>
    <w:tbl>
      <w:tblPr>
        <w:tblW w:w="0" w:type="auto"/>
        <w:tblLayout w:type="fixed"/>
        <w:tblLook w:val="0000" w:firstRow="0" w:lastRow="0" w:firstColumn="0" w:lastColumn="0" w:noHBand="0" w:noVBand="0"/>
      </w:tblPr>
      <w:tblGrid>
        <w:gridCol w:w="4698"/>
        <w:gridCol w:w="630"/>
        <w:gridCol w:w="4248"/>
      </w:tblGrid>
      <w:tr w:rsidR="00EF0AC2" w:rsidRPr="00793F64" w14:paraId="3C70CACB" w14:textId="77777777" w:rsidTr="00452EE7">
        <w:tc>
          <w:tcPr>
            <w:tcW w:w="4698" w:type="dxa"/>
          </w:tcPr>
          <w:p w14:paraId="2693074B" w14:textId="77777777" w:rsidR="003112AD" w:rsidRPr="00793F64" w:rsidRDefault="003112AD" w:rsidP="003A36A3">
            <w:pPr>
              <w:tabs>
                <w:tab w:val="center" w:pos="4680"/>
              </w:tabs>
              <w:suppressAutoHyphens/>
              <w:rPr>
                <w:rFonts w:ascii="Times New Roman" w:hAnsi="Times New Roman"/>
                <w:spacing w:val="-2"/>
              </w:rPr>
            </w:pPr>
            <w:r w:rsidRPr="00793F64">
              <w:rPr>
                <w:rFonts w:ascii="Times New Roman" w:hAnsi="Times New Roman"/>
                <w:spacing w:val="-2"/>
              </w:rPr>
              <w:t>In the Matter of</w:t>
            </w:r>
          </w:p>
          <w:p w14:paraId="718B9771" w14:textId="77777777" w:rsidR="003112AD" w:rsidRPr="00793F64" w:rsidRDefault="003112AD" w:rsidP="003A36A3">
            <w:pPr>
              <w:tabs>
                <w:tab w:val="center" w:pos="4680"/>
              </w:tabs>
              <w:suppressAutoHyphens/>
              <w:rPr>
                <w:rFonts w:ascii="Times New Roman" w:hAnsi="Times New Roman"/>
                <w:spacing w:val="-2"/>
              </w:rPr>
            </w:pPr>
          </w:p>
          <w:p w14:paraId="356A929B" w14:textId="77777777" w:rsidR="003112AD" w:rsidRPr="00793F64" w:rsidRDefault="002479EE" w:rsidP="003A36A3">
            <w:pPr>
              <w:tabs>
                <w:tab w:val="center" w:pos="4680"/>
              </w:tabs>
              <w:suppressAutoHyphens/>
              <w:rPr>
                <w:rFonts w:ascii="Times New Roman" w:hAnsi="Times New Roman"/>
                <w:szCs w:val="18"/>
              </w:rPr>
            </w:pPr>
            <w:r w:rsidRPr="00793F64">
              <w:rPr>
                <w:rFonts w:ascii="Times New Roman" w:hAnsi="Times New Roman"/>
                <w:szCs w:val="18"/>
              </w:rPr>
              <w:t>Hemisphere Media Group, Inc.</w:t>
            </w:r>
          </w:p>
          <w:p w14:paraId="548701D3" w14:textId="77777777" w:rsidR="002479EE" w:rsidRPr="00793F64" w:rsidRDefault="002479EE" w:rsidP="003A36A3">
            <w:pPr>
              <w:tabs>
                <w:tab w:val="center" w:pos="4680"/>
              </w:tabs>
              <w:suppressAutoHyphens/>
              <w:rPr>
                <w:rFonts w:ascii="Times New Roman" w:hAnsi="Times New Roman"/>
                <w:szCs w:val="18"/>
              </w:rPr>
            </w:pPr>
          </w:p>
          <w:p w14:paraId="133DCA08" w14:textId="4F0215B2" w:rsidR="002479EE" w:rsidRPr="00793F64" w:rsidRDefault="002479EE" w:rsidP="003A36A3">
            <w:pPr>
              <w:tabs>
                <w:tab w:val="center" w:pos="4680"/>
              </w:tabs>
              <w:suppressAutoHyphens/>
              <w:rPr>
                <w:rFonts w:ascii="Times New Roman" w:hAnsi="Times New Roman"/>
                <w:spacing w:val="-2"/>
              </w:rPr>
            </w:pPr>
            <w:r w:rsidRPr="00793F64">
              <w:rPr>
                <w:rFonts w:ascii="Times New Roman" w:hAnsi="Times New Roman"/>
                <w:szCs w:val="18"/>
              </w:rPr>
              <w:t>Petition for Declaratory Ruling</w:t>
            </w:r>
          </w:p>
        </w:tc>
        <w:tc>
          <w:tcPr>
            <w:tcW w:w="630" w:type="dxa"/>
          </w:tcPr>
          <w:p w14:paraId="447C51AC" w14:textId="77777777" w:rsidR="003112AD" w:rsidRPr="00793F64" w:rsidRDefault="003112AD" w:rsidP="003A36A3">
            <w:pPr>
              <w:tabs>
                <w:tab w:val="center" w:pos="4680"/>
              </w:tabs>
              <w:suppressAutoHyphens/>
              <w:rPr>
                <w:rFonts w:ascii="Times New Roman" w:hAnsi="Times New Roman"/>
                <w:b/>
                <w:spacing w:val="-2"/>
              </w:rPr>
            </w:pPr>
            <w:r w:rsidRPr="00793F64">
              <w:rPr>
                <w:rFonts w:ascii="Times New Roman" w:hAnsi="Times New Roman"/>
                <w:b/>
                <w:spacing w:val="-2"/>
              </w:rPr>
              <w:t>)</w:t>
            </w:r>
          </w:p>
          <w:p w14:paraId="7056193C" w14:textId="77777777" w:rsidR="003112AD" w:rsidRPr="00793F64" w:rsidRDefault="003112AD" w:rsidP="003A36A3">
            <w:pPr>
              <w:tabs>
                <w:tab w:val="center" w:pos="4680"/>
              </w:tabs>
              <w:suppressAutoHyphens/>
              <w:rPr>
                <w:rFonts w:ascii="Times New Roman" w:hAnsi="Times New Roman"/>
                <w:b/>
                <w:spacing w:val="-2"/>
              </w:rPr>
            </w:pPr>
            <w:r w:rsidRPr="00793F64">
              <w:rPr>
                <w:rFonts w:ascii="Times New Roman" w:hAnsi="Times New Roman"/>
                <w:b/>
                <w:spacing w:val="-2"/>
              </w:rPr>
              <w:t>)</w:t>
            </w:r>
          </w:p>
          <w:p w14:paraId="32130643" w14:textId="77777777" w:rsidR="003112AD" w:rsidRPr="00793F64" w:rsidRDefault="003112AD" w:rsidP="003A36A3">
            <w:pPr>
              <w:tabs>
                <w:tab w:val="center" w:pos="4680"/>
              </w:tabs>
              <w:suppressAutoHyphens/>
              <w:rPr>
                <w:rFonts w:ascii="Times New Roman" w:hAnsi="Times New Roman"/>
                <w:b/>
                <w:spacing w:val="-2"/>
              </w:rPr>
            </w:pPr>
            <w:r w:rsidRPr="00793F64">
              <w:rPr>
                <w:rFonts w:ascii="Times New Roman" w:hAnsi="Times New Roman"/>
                <w:b/>
                <w:spacing w:val="-2"/>
              </w:rPr>
              <w:t>)</w:t>
            </w:r>
          </w:p>
          <w:p w14:paraId="1EE40EBC" w14:textId="77777777" w:rsidR="003112AD" w:rsidRPr="00793F64" w:rsidRDefault="003112AD" w:rsidP="003A36A3">
            <w:pPr>
              <w:tabs>
                <w:tab w:val="center" w:pos="4680"/>
              </w:tabs>
              <w:suppressAutoHyphens/>
              <w:rPr>
                <w:rFonts w:ascii="Times New Roman" w:hAnsi="Times New Roman"/>
                <w:b/>
                <w:spacing w:val="-2"/>
              </w:rPr>
            </w:pPr>
            <w:r w:rsidRPr="00793F64">
              <w:rPr>
                <w:rFonts w:ascii="Times New Roman" w:hAnsi="Times New Roman"/>
                <w:b/>
                <w:spacing w:val="-2"/>
              </w:rPr>
              <w:t>)</w:t>
            </w:r>
          </w:p>
          <w:p w14:paraId="1DFDC206" w14:textId="1994B187" w:rsidR="003112AD" w:rsidRPr="00793F64" w:rsidRDefault="003112AD" w:rsidP="003A36A3">
            <w:pPr>
              <w:tabs>
                <w:tab w:val="center" w:pos="4680"/>
              </w:tabs>
              <w:suppressAutoHyphens/>
              <w:rPr>
                <w:rFonts w:ascii="Times New Roman" w:hAnsi="Times New Roman"/>
                <w:b/>
                <w:spacing w:val="-2"/>
              </w:rPr>
            </w:pPr>
            <w:r w:rsidRPr="00793F64">
              <w:rPr>
                <w:rFonts w:ascii="Times New Roman" w:hAnsi="Times New Roman"/>
                <w:b/>
                <w:spacing w:val="-2"/>
              </w:rPr>
              <w:t>)</w:t>
            </w:r>
          </w:p>
          <w:p w14:paraId="2B091D2C" w14:textId="77777777" w:rsidR="003112AD" w:rsidRPr="00793F64" w:rsidRDefault="003112AD" w:rsidP="003A36A3">
            <w:pPr>
              <w:tabs>
                <w:tab w:val="center" w:pos="4680"/>
              </w:tabs>
              <w:suppressAutoHyphens/>
              <w:rPr>
                <w:rFonts w:ascii="Times New Roman" w:hAnsi="Times New Roman"/>
                <w:spacing w:val="-2"/>
              </w:rPr>
            </w:pPr>
          </w:p>
        </w:tc>
        <w:tc>
          <w:tcPr>
            <w:tcW w:w="4248" w:type="dxa"/>
          </w:tcPr>
          <w:p w14:paraId="17B0F548" w14:textId="77777777" w:rsidR="003112AD" w:rsidRPr="00793F64" w:rsidRDefault="003112AD" w:rsidP="003A36A3">
            <w:pPr>
              <w:tabs>
                <w:tab w:val="center" w:pos="4680"/>
              </w:tabs>
              <w:suppressAutoHyphens/>
              <w:rPr>
                <w:rFonts w:ascii="Times New Roman" w:hAnsi="Times New Roman"/>
                <w:spacing w:val="-2"/>
              </w:rPr>
            </w:pPr>
          </w:p>
          <w:p w14:paraId="7ABE8BE4" w14:textId="77777777" w:rsidR="003112AD" w:rsidRPr="00793F64" w:rsidRDefault="003112AD" w:rsidP="003A36A3">
            <w:pPr>
              <w:pStyle w:val="TOAHeading"/>
              <w:tabs>
                <w:tab w:val="clear" w:pos="9360"/>
                <w:tab w:val="center" w:pos="4680"/>
              </w:tabs>
              <w:rPr>
                <w:spacing w:val="-2"/>
              </w:rPr>
            </w:pPr>
          </w:p>
          <w:p w14:paraId="7B09A7A1" w14:textId="1E07343E" w:rsidR="003112AD" w:rsidRPr="00793F64" w:rsidRDefault="00D85475" w:rsidP="003A36A3">
            <w:pPr>
              <w:tabs>
                <w:tab w:val="left" w:pos="2820"/>
              </w:tabs>
              <w:suppressAutoHyphens/>
              <w:rPr>
                <w:rFonts w:ascii="Times New Roman" w:hAnsi="Times New Roman"/>
                <w:spacing w:val="-2"/>
              </w:rPr>
            </w:pPr>
            <w:r w:rsidRPr="00793F64">
              <w:rPr>
                <w:rFonts w:ascii="Times New Roman" w:hAnsi="Times New Roman"/>
                <w:spacing w:val="-2"/>
              </w:rPr>
              <w:t>MB Docket No.</w:t>
            </w:r>
            <w:r w:rsidR="002479EE" w:rsidRPr="00793F64">
              <w:rPr>
                <w:rFonts w:ascii="Times New Roman" w:hAnsi="Times New Roman"/>
                <w:spacing w:val="-2"/>
              </w:rPr>
              <w:t xml:space="preserve"> 16-238</w:t>
            </w:r>
          </w:p>
        </w:tc>
      </w:tr>
    </w:tbl>
    <w:p w14:paraId="4E209899" w14:textId="77777777" w:rsidR="003112AD" w:rsidRPr="00793F64" w:rsidRDefault="003112AD" w:rsidP="001E4AF4">
      <w:pPr>
        <w:rPr>
          <w:rFonts w:ascii="Times New Roman" w:hAnsi="Times New Roman"/>
        </w:rPr>
      </w:pPr>
      <w:r w:rsidRPr="00793F64">
        <w:rPr>
          <w:rFonts w:ascii="Times New Roman" w:hAnsi="Times New Roman"/>
        </w:rPr>
        <w:t xml:space="preserve"> </w:t>
      </w:r>
    </w:p>
    <w:p w14:paraId="538B1107" w14:textId="635C3484" w:rsidR="003112AD" w:rsidRPr="00793F64" w:rsidRDefault="00D85475" w:rsidP="005B5F6C">
      <w:pPr>
        <w:pStyle w:val="StyleBoldCentered"/>
        <w:rPr>
          <w:rFonts w:ascii="Times New Roman" w:hAnsi="Times New Roman"/>
        </w:rPr>
      </w:pPr>
      <w:r w:rsidRPr="00793F64">
        <w:rPr>
          <w:rFonts w:ascii="Times New Roman" w:hAnsi="Times New Roman"/>
        </w:rPr>
        <w:t>DECLARATORY RULING</w:t>
      </w:r>
    </w:p>
    <w:p w14:paraId="19192584" w14:textId="4575C974" w:rsidR="003112AD" w:rsidRPr="00793F64" w:rsidRDefault="00A54F11" w:rsidP="00A54F11">
      <w:pPr>
        <w:tabs>
          <w:tab w:val="left" w:pos="-720"/>
          <w:tab w:val="left" w:pos="1573"/>
        </w:tabs>
        <w:suppressAutoHyphens/>
        <w:spacing w:line="227" w:lineRule="auto"/>
        <w:rPr>
          <w:rFonts w:ascii="Times New Roman" w:hAnsi="Times New Roman"/>
          <w:spacing w:val="-2"/>
        </w:rPr>
      </w:pPr>
      <w:r>
        <w:rPr>
          <w:rFonts w:ascii="Times New Roman" w:hAnsi="Times New Roman"/>
          <w:spacing w:val="-2"/>
        </w:rPr>
        <w:tab/>
      </w:r>
    </w:p>
    <w:p w14:paraId="74C108F9" w14:textId="0763A2FF" w:rsidR="003112AD" w:rsidRPr="00793F64" w:rsidRDefault="003112AD" w:rsidP="0024688F">
      <w:pPr>
        <w:tabs>
          <w:tab w:val="left" w:pos="720"/>
          <w:tab w:val="right" w:pos="9360"/>
        </w:tabs>
        <w:suppressAutoHyphens/>
        <w:spacing w:line="227" w:lineRule="auto"/>
        <w:rPr>
          <w:rFonts w:ascii="Times New Roman" w:hAnsi="Times New Roman"/>
          <w:b/>
          <w:spacing w:val="-2"/>
        </w:rPr>
      </w:pPr>
      <w:r w:rsidRPr="00793F64">
        <w:rPr>
          <w:rFonts w:ascii="Times New Roman" w:hAnsi="Times New Roman"/>
          <w:b/>
          <w:spacing w:val="-2"/>
        </w:rPr>
        <w:t xml:space="preserve">Adopted:  </w:t>
      </w:r>
      <w:r w:rsidR="00A54F11">
        <w:rPr>
          <w:rFonts w:ascii="Times New Roman" w:hAnsi="Times New Roman"/>
          <w:b/>
          <w:spacing w:val="-2"/>
        </w:rPr>
        <w:t>January 18, 2017</w:t>
      </w:r>
      <w:r w:rsidRPr="00793F64">
        <w:rPr>
          <w:rFonts w:ascii="Times New Roman" w:hAnsi="Times New Roman"/>
          <w:b/>
          <w:spacing w:val="-2"/>
        </w:rPr>
        <w:tab/>
        <w:t xml:space="preserve">Released:  </w:t>
      </w:r>
      <w:r w:rsidR="00A54F11">
        <w:rPr>
          <w:rFonts w:ascii="Times New Roman" w:hAnsi="Times New Roman"/>
          <w:b/>
          <w:spacing w:val="-2"/>
        </w:rPr>
        <w:t>January 18, 2017</w:t>
      </w:r>
    </w:p>
    <w:p w14:paraId="2C82385C" w14:textId="77777777" w:rsidR="00F8071B" w:rsidRPr="00793F64" w:rsidRDefault="00F8071B" w:rsidP="0024688F">
      <w:pPr>
        <w:tabs>
          <w:tab w:val="left" w:pos="720"/>
          <w:tab w:val="right" w:pos="9360"/>
        </w:tabs>
        <w:suppressAutoHyphens/>
        <w:spacing w:line="227" w:lineRule="auto"/>
        <w:rPr>
          <w:rFonts w:ascii="Times New Roman" w:hAnsi="Times New Roman"/>
          <w:b/>
          <w:spacing w:val="-2"/>
        </w:rPr>
      </w:pPr>
    </w:p>
    <w:p w14:paraId="1AB8FDA9" w14:textId="2FD70CDE" w:rsidR="00F8071B" w:rsidRDefault="00F8071B" w:rsidP="0024688F">
      <w:pPr>
        <w:tabs>
          <w:tab w:val="left" w:pos="720"/>
          <w:tab w:val="right" w:pos="9360"/>
        </w:tabs>
        <w:suppressAutoHyphens/>
        <w:spacing w:line="227" w:lineRule="auto"/>
        <w:rPr>
          <w:spacing w:val="-2"/>
        </w:rPr>
      </w:pPr>
      <w:r w:rsidRPr="00793F64">
        <w:rPr>
          <w:rFonts w:ascii="Times New Roman" w:hAnsi="Times New Roman"/>
          <w:spacing w:val="-2"/>
        </w:rPr>
        <w:t xml:space="preserve">By the </w:t>
      </w:r>
      <w:r w:rsidR="00D85475" w:rsidRPr="00793F64">
        <w:rPr>
          <w:rFonts w:ascii="Times New Roman" w:hAnsi="Times New Roman"/>
          <w:spacing w:val="-2"/>
        </w:rPr>
        <w:t>Chief, Media Bureau</w:t>
      </w:r>
      <w:r w:rsidRPr="00EF0AC2">
        <w:rPr>
          <w:spacing w:val="-2"/>
        </w:rPr>
        <w:t>:</w:t>
      </w:r>
    </w:p>
    <w:p w14:paraId="68156EF2" w14:textId="77777777" w:rsidR="00D85475" w:rsidRPr="00EF0AC2" w:rsidRDefault="00D85475" w:rsidP="0024688F">
      <w:pPr>
        <w:tabs>
          <w:tab w:val="left" w:pos="720"/>
          <w:tab w:val="right" w:pos="9360"/>
        </w:tabs>
        <w:suppressAutoHyphens/>
        <w:spacing w:line="227" w:lineRule="auto"/>
        <w:rPr>
          <w:spacing w:val="-2"/>
        </w:rPr>
      </w:pPr>
    </w:p>
    <w:p w14:paraId="7AFF63FB" w14:textId="77777777" w:rsidR="003112AD" w:rsidRPr="00EF0AC2" w:rsidRDefault="003112AD" w:rsidP="00266BDA">
      <w:pPr>
        <w:pStyle w:val="Heading1"/>
      </w:pPr>
      <w:bookmarkStart w:id="1" w:name="_Toc455148825"/>
      <w:bookmarkStart w:id="2" w:name="_Toc455689538"/>
      <w:bookmarkStart w:id="3" w:name="_Toc456272959"/>
      <w:bookmarkStart w:id="4" w:name="_Toc456277631"/>
      <w:bookmarkStart w:id="5" w:name="_Toc456613899"/>
      <w:bookmarkStart w:id="6" w:name="_Toc456882455"/>
      <w:bookmarkStart w:id="7" w:name="_Toc457234269"/>
      <w:bookmarkStart w:id="8" w:name="_Toc457234419"/>
      <w:bookmarkStart w:id="9" w:name="_Toc457847344"/>
      <w:bookmarkStart w:id="10" w:name="_Toc459310008"/>
      <w:bookmarkStart w:id="11" w:name="_Toc459313462"/>
      <w:bookmarkStart w:id="12" w:name="_Toc459314305"/>
      <w:bookmarkStart w:id="13" w:name="_Toc459364617"/>
      <w:bookmarkStart w:id="14" w:name="_Toc459367093"/>
      <w:bookmarkStart w:id="15" w:name="_Toc459381478"/>
      <w:bookmarkStart w:id="16" w:name="_Toc459388163"/>
      <w:bookmarkStart w:id="17" w:name="_Toc460251582"/>
      <w:bookmarkStart w:id="18" w:name="_Toc460255311"/>
      <w:r w:rsidRPr="00EF0AC2">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4B3909E" w14:textId="1F7A43CA" w:rsidR="00976084" w:rsidRDefault="00976084" w:rsidP="00E722A4">
      <w:pPr>
        <w:pStyle w:val="ParaNum"/>
        <w:tabs>
          <w:tab w:val="clear" w:pos="1080"/>
          <w:tab w:val="num" w:pos="1440"/>
        </w:tabs>
      </w:pPr>
      <w:r>
        <w:t>Hemisphere Media Group, Inc. (HMTV) filed a Petition for Declaratory Ruling</w:t>
      </w:r>
      <w:r w:rsidR="0038230D">
        <w:t xml:space="preserve"> (Initial Petition)</w:t>
      </w:r>
      <w:r w:rsidR="00A35245">
        <w:rPr>
          <w:rStyle w:val="FootnoteReference"/>
        </w:rPr>
        <w:footnoteReference w:id="2"/>
      </w:r>
      <w:r w:rsidR="00877B0F">
        <w:t xml:space="preserve"> </w:t>
      </w:r>
      <w:r>
        <w:t>requesting that the Commission find, pursuant to section 310(b)(4) of the Communications Act of 1934, as amended (the Act),</w:t>
      </w:r>
      <w:r>
        <w:rPr>
          <w:rStyle w:val="FootnoteReference"/>
        </w:rPr>
        <w:footnoteReference w:id="3"/>
      </w:r>
      <w:r>
        <w:t xml:space="preserve"> that the public interest would be served by permitting foreign ownership</w:t>
      </w:r>
      <w:r w:rsidR="001758B3">
        <w:t xml:space="preserve"> </w:t>
      </w:r>
      <w:r w:rsidR="000579AE">
        <w:t xml:space="preserve">in excess of </w:t>
      </w:r>
      <w:r w:rsidR="0015105C">
        <w:t>the</w:t>
      </w:r>
      <w:r w:rsidR="000579AE">
        <w:t xml:space="preserve"> 25</w:t>
      </w:r>
      <w:r w:rsidR="00FC42F1">
        <w:t xml:space="preserve"> percent</w:t>
      </w:r>
      <w:r w:rsidR="000579AE">
        <w:t xml:space="preserve"> benchmark</w:t>
      </w:r>
      <w:r w:rsidR="0015105C">
        <w:t xml:space="preserve"> contained in that subsection</w:t>
      </w:r>
      <w:r w:rsidR="000579AE">
        <w:t>.</w:t>
      </w:r>
      <w:r w:rsidR="000579AE">
        <w:rPr>
          <w:rStyle w:val="FootnoteReference"/>
        </w:rPr>
        <w:footnoteReference w:id="4"/>
      </w:r>
      <w:r w:rsidR="000579AE">
        <w:t xml:space="preserve">  HMTV requests that the Commission permit foreign investors to own up to 49.99</w:t>
      </w:r>
      <w:r w:rsidR="00FC42F1">
        <w:t xml:space="preserve"> percent</w:t>
      </w:r>
      <w:r w:rsidR="000579AE">
        <w:t xml:space="preserve"> of </w:t>
      </w:r>
      <w:r w:rsidR="004A378C">
        <w:t xml:space="preserve">both </w:t>
      </w:r>
      <w:r w:rsidR="000579AE">
        <w:t>its equity and vot</w:t>
      </w:r>
      <w:r w:rsidR="002729F6">
        <w:t>ing interests</w:t>
      </w:r>
      <w:r w:rsidR="000579AE">
        <w:t>.</w:t>
      </w:r>
      <w:r w:rsidR="000579AE">
        <w:rPr>
          <w:rStyle w:val="FootnoteReference"/>
        </w:rPr>
        <w:footnoteReference w:id="5"/>
      </w:r>
      <w:r w:rsidR="000579AE">
        <w:t xml:space="preserve">  </w:t>
      </w:r>
      <w:r w:rsidR="00D4016D">
        <w:t xml:space="preserve">The petition is unopposed.  </w:t>
      </w:r>
      <w:r w:rsidR="000579AE">
        <w:t>Upon consideration of the record, we grant the Petition as set forth below.</w:t>
      </w:r>
    </w:p>
    <w:p w14:paraId="58C0B258" w14:textId="1724F503" w:rsidR="00E632FD" w:rsidRDefault="00065F77" w:rsidP="00E632FD">
      <w:pPr>
        <w:pStyle w:val="Heading1"/>
      </w:pPr>
      <w:r>
        <w:t>background</w:t>
      </w:r>
    </w:p>
    <w:p w14:paraId="062A874B" w14:textId="693AF5A5" w:rsidR="009A6AC1" w:rsidRDefault="00065F77" w:rsidP="00E722A4">
      <w:pPr>
        <w:pStyle w:val="ParaNum"/>
        <w:tabs>
          <w:tab w:val="clear" w:pos="1080"/>
          <w:tab w:val="num" w:pos="1440"/>
        </w:tabs>
      </w:pPr>
      <w:r>
        <w:rPr>
          <w:i/>
        </w:rPr>
        <w:t xml:space="preserve">Existing Corporate Structure.  </w:t>
      </w:r>
      <w:r w:rsidR="009A6AC1">
        <w:t>HMTV, a</w:t>
      </w:r>
      <w:r w:rsidR="00150090">
        <w:t xml:space="preserve"> publicly held </w:t>
      </w:r>
      <w:r w:rsidR="009A6AC1">
        <w:t>Del</w:t>
      </w:r>
      <w:r w:rsidR="005D5D97">
        <w:t xml:space="preserve">aware corporation </w:t>
      </w:r>
      <w:r w:rsidR="006C08B3">
        <w:t xml:space="preserve">whose shares are traded </w:t>
      </w:r>
      <w:r w:rsidR="00150090">
        <w:t xml:space="preserve">on </w:t>
      </w:r>
      <w:r w:rsidR="006C08B3">
        <w:t>NASDAQ</w:t>
      </w:r>
      <w:r w:rsidR="00150090">
        <w:t xml:space="preserve">, </w:t>
      </w:r>
      <w:r w:rsidR="006C08B3">
        <w:t xml:space="preserve">provides Spanish-language programming to audiences in the </w:t>
      </w:r>
      <w:r w:rsidR="008F7C15">
        <w:t>U.S.</w:t>
      </w:r>
      <w:r w:rsidR="006C08B3">
        <w:t xml:space="preserve"> and Latin America.</w:t>
      </w:r>
      <w:r w:rsidR="005D5D97">
        <w:rPr>
          <w:rStyle w:val="FootnoteReference"/>
        </w:rPr>
        <w:footnoteReference w:id="6"/>
      </w:r>
      <w:r w:rsidR="006C08B3">
        <w:t xml:space="preserve">  An indirect wholly-owned subsidiary of HMTV, Televicen</w:t>
      </w:r>
      <w:r w:rsidR="008F7C15">
        <w:t>tro of Puerto Rico, LLC, is the licensee of three television broadcast stations in Puerto Rico.</w:t>
      </w:r>
      <w:r w:rsidR="008F7C15">
        <w:rPr>
          <w:rStyle w:val="FootnoteReference"/>
        </w:rPr>
        <w:footnoteReference w:id="7"/>
      </w:r>
      <w:r w:rsidR="008F7C15">
        <w:t xml:space="preserve">  Through </w:t>
      </w:r>
      <w:r w:rsidR="005D5D97">
        <w:t>subsidiaries, HMTV operates seven</w:t>
      </w:r>
      <w:r w:rsidR="008F7C15">
        <w:t xml:space="preserve"> cable and satellite program</w:t>
      </w:r>
      <w:r w:rsidR="002A39D7">
        <w:t>ming</w:t>
      </w:r>
      <w:r w:rsidR="008F7C15">
        <w:t xml:space="preserve"> networks providing Spanish-language programming to millions of subscribers in the U.S., Latin America, and Canada.</w:t>
      </w:r>
      <w:r w:rsidR="005D5D97">
        <w:rPr>
          <w:rStyle w:val="FootnoteReference"/>
        </w:rPr>
        <w:footnoteReference w:id="8"/>
      </w:r>
    </w:p>
    <w:p w14:paraId="20D50BD3" w14:textId="6B04CD1D" w:rsidR="008F7C15" w:rsidRDefault="008F7C15" w:rsidP="00E722A4">
      <w:pPr>
        <w:pStyle w:val="ParaNum"/>
        <w:tabs>
          <w:tab w:val="clear" w:pos="1080"/>
          <w:tab w:val="num" w:pos="1440"/>
        </w:tabs>
      </w:pPr>
      <w:r>
        <w:t xml:space="preserve">In its Petition, HMTV states that it currently has </w:t>
      </w:r>
      <w:r w:rsidR="00877B0F">
        <w:t>42,408,228</w:t>
      </w:r>
      <w:r>
        <w:t xml:space="preserve"> shares </w:t>
      </w:r>
      <w:r w:rsidR="00FC42F1">
        <w:t xml:space="preserve">of stock </w:t>
      </w:r>
      <w:r>
        <w:t xml:space="preserve">outstanding </w:t>
      </w:r>
      <w:r>
        <w:lastRenderedPageBreak/>
        <w:t>that are divided into two classes.</w:t>
      </w:r>
      <w:r w:rsidR="005D5D97">
        <w:rPr>
          <w:rStyle w:val="FootnoteReference"/>
        </w:rPr>
        <w:footnoteReference w:id="9"/>
      </w:r>
      <w:r>
        <w:t xml:space="preserve">  </w:t>
      </w:r>
      <w:r w:rsidR="00030556">
        <w:t xml:space="preserve">There are </w:t>
      </w:r>
      <w:r w:rsidR="00877B0F">
        <w:t>21,607,230</w:t>
      </w:r>
      <w:r w:rsidR="00030556">
        <w:t xml:space="preserve"> shares of Class A common stock with one vote per share and </w:t>
      </w:r>
      <w:r w:rsidR="00877B0F">
        <w:t>20,800,998</w:t>
      </w:r>
      <w:r w:rsidR="00030556">
        <w:t xml:space="preserve"> shares of Class B common stock with 10 votes per share.</w:t>
      </w:r>
      <w:r w:rsidR="00A73758">
        <w:rPr>
          <w:rStyle w:val="FootnoteReference"/>
        </w:rPr>
        <w:footnoteReference w:id="10"/>
      </w:r>
      <w:r w:rsidR="00030556">
        <w:t xml:space="preserve">  The Class A stock constitutes </w:t>
      </w:r>
      <w:r w:rsidR="00043CBE">
        <w:t>the class</w:t>
      </w:r>
      <w:r w:rsidR="00030556">
        <w:t xml:space="preserve"> of publicly traded stock.</w:t>
      </w:r>
      <w:r w:rsidR="005D5D97">
        <w:rPr>
          <w:rStyle w:val="FootnoteReference"/>
        </w:rPr>
        <w:footnoteReference w:id="11"/>
      </w:r>
    </w:p>
    <w:p w14:paraId="48AF5484" w14:textId="765F41B1" w:rsidR="000C5301" w:rsidRDefault="00877B0F" w:rsidP="000C5301">
      <w:pPr>
        <w:pStyle w:val="ParaNum"/>
        <w:tabs>
          <w:tab w:val="clear" w:pos="1080"/>
          <w:tab w:val="num" w:pos="1440"/>
        </w:tabs>
      </w:pPr>
      <w:r>
        <w:t>Gato Investments, L.P</w:t>
      </w:r>
      <w:r w:rsidR="00043CBE">
        <w:t xml:space="preserve">., a Delaware limited partnership </w:t>
      </w:r>
      <w:r>
        <w:t>(Gato</w:t>
      </w:r>
      <w:r w:rsidR="00043CBE">
        <w:t>)</w:t>
      </w:r>
      <w:r w:rsidR="00FC42F1">
        <w:t>, controls HMTV</w:t>
      </w:r>
      <w:r w:rsidR="00043CBE">
        <w:t>.</w:t>
      </w:r>
      <w:r w:rsidR="005D5D97">
        <w:rPr>
          <w:rStyle w:val="FootnoteReference"/>
        </w:rPr>
        <w:footnoteReference w:id="12"/>
      </w:r>
      <w:r w:rsidR="00043CBE">
        <w:t xml:space="preserve">  </w:t>
      </w:r>
      <w:r>
        <w:t>Gato</w:t>
      </w:r>
      <w:r w:rsidR="00043CBE">
        <w:t xml:space="preserve"> owns </w:t>
      </w:r>
      <w:r>
        <w:t>16,494,671</w:t>
      </w:r>
      <w:r w:rsidR="00043CBE">
        <w:t xml:space="preserve"> Class B shares of HMTV </w:t>
      </w:r>
      <w:r>
        <w:t>represe</w:t>
      </w:r>
      <w:r w:rsidR="002133F5">
        <w:t>nting 71.84</w:t>
      </w:r>
      <w:r w:rsidR="00FC42F1">
        <w:t xml:space="preserve"> percent</w:t>
      </w:r>
      <w:r w:rsidR="002133F5">
        <w:t xml:space="preserve"> of the votes</w:t>
      </w:r>
      <w:r>
        <w:t xml:space="preserve"> and 38.89</w:t>
      </w:r>
      <w:r w:rsidR="00FC42F1">
        <w:t xml:space="preserve"> percent</w:t>
      </w:r>
      <w:r>
        <w:t xml:space="preserve"> of </w:t>
      </w:r>
      <w:r w:rsidR="00043CBE">
        <w:t>all outstanding stock.</w:t>
      </w:r>
      <w:r w:rsidR="005D5D97">
        <w:rPr>
          <w:rStyle w:val="FootnoteReference"/>
        </w:rPr>
        <w:footnoteReference w:id="13"/>
      </w:r>
      <w:r w:rsidR="00043CBE">
        <w:t xml:space="preserve">  </w:t>
      </w:r>
      <w:r>
        <w:t>Gato’s general partner, Gemini Latin Holdings, LLC</w:t>
      </w:r>
      <w:r w:rsidR="002A39D7">
        <w:t>,</w:t>
      </w:r>
      <w:r>
        <w:t xml:space="preserve"> a Delaware limited liability company</w:t>
      </w:r>
      <w:r w:rsidR="00055EB4">
        <w:t xml:space="preserve"> (Gemini)</w:t>
      </w:r>
      <w:r>
        <w:t>, hol</w:t>
      </w:r>
      <w:r w:rsidR="002133F5">
        <w:t>ds 100</w:t>
      </w:r>
      <w:r w:rsidR="00FC42F1">
        <w:t xml:space="preserve"> percent</w:t>
      </w:r>
      <w:r w:rsidR="002133F5">
        <w:t xml:space="preserve"> of the votes in</w:t>
      </w:r>
      <w:r>
        <w:t xml:space="preserve"> Gato.</w:t>
      </w:r>
      <w:r>
        <w:rPr>
          <w:rStyle w:val="FootnoteReference"/>
        </w:rPr>
        <w:footnoteReference w:id="14"/>
      </w:r>
      <w:r>
        <w:t xml:space="preserve">  </w:t>
      </w:r>
      <w:r w:rsidR="002133F5">
        <w:t>Gemini’s sole member, Peter M. Kern, a U.S. citizen, holds 100</w:t>
      </w:r>
      <w:r w:rsidR="00FC42F1">
        <w:t xml:space="preserve"> perce</w:t>
      </w:r>
      <w:r w:rsidR="005B61EE">
        <w:t>n</w:t>
      </w:r>
      <w:r w:rsidR="00FC42F1">
        <w:t>t</w:t>
      </w:r>
      <w:r w:rsidR="002133F5">
        <w:t xml:space="preserve"> of the votes in Gemini, and thereby in Gato, which gives him 71.84</w:t>
      </w:r>
      <w:r w:rsidR="00FC42F1">
        <w:t xml:space="preserve"> percent</w:t>
      </w:r>
      <w:r w:rsidR="002133F5">
        <w:t xml:space="preserve"> of the votes in HMTV.</w:t>
      </w:r>
      <w:r w:rsidR="000A4AD7">
        <w:rPr>
          <w:rStyle w:val="FootnoteReference"/>
        </w:rPr>
        <w:footnoteReference w:id="15"/>
      </w:r>
      <w:r w:rsidR="002133F5">
        <w:t xml:space="preserve">  Mr. Kern also holds 2.98</w:t>
      </w:r>
      <w:r w:rsidR="00FC42F1">
        <w:t xml:space="preserve"> percent</w:t>
      </w:r>
      <w:r w:rsidR="002133F5">
        <w:t xml:space="preserve"> of the votes and 1.67</w:t>
      </w:r>
      <w:r w:rsidR="00FC42F1">
        <w:t xml:space="preserve"> percent</w:t>
      </w:r>
      <w:r w:rsidR="002133F5">
        <w:t xml:space="preserve"> of the equity in HMTV directly, giving him</w:t>
      </w:r>
      <w:r w:rsidR="00CD5733">
        <w:t xml:space="preserve"> aggregate</w:t>
      </w:r>
      <w:r w:rsidR="002133F5">
        <w:t xml:space="preserve"> control of 74.81</w:t>
      </w:r>
      <w:r w:rsidR="00FC42F1">
        <w:t xml:space="preserve"> percent</w:t>
      </w:r>
      <w:r w:rsidR="002133F5">
        <w:t xml:space="preserve"> of the votes in HMTV.</w:t>
      </w:r>
      <w:r w:rsidR="000A4AD7">
        <w:rPr>
          <w:rStyle w:val="FootnoteReference"/>
        </w:rPr>
        <w:footnoteReference w:id="16"/>
      </w:r>
      <w:r w:rsidR="002133F5">
        <w:t xml:space="preserve">  </w:t>
      </w:r>
      <w:r w:rsidR="00043CBE">
        <w:t xml:space="preserve">HMTV </w:t>
      </w:r>
      <w:r w:rsidR="000A4AD7">
        <w:t>does not list any</w:t>
      </w:r>
      <w:r w:rsidR="00043CBE">
        <w:t xml:space="preserve"> other person or entity </w:t>
      </w:r>
      <w:r w:rsidR="000A4AD7">
        <w:t xml:space="preserve">that </w:t>
      </w:r>
      <w:r w:rsidR="00FC42F1">
        <w:t xml:space="preserve">either </w:t>
      </w:r>
      <w:r w:rsidR="00043CBE">
        <w:t xml:space="preserve">holds an attributable interest in the company </w:t>
      </w:r>
      <w:r w:rsidR="000C5301">
        <w:t xml:space="preserve">under the Commission’s multiple ownership rules </w:t>
      </w:r>
      <w:r w:rsidR="00043CBE">
        <w:t xml:space="preserve">or </w:t>
      </w:r>
      <w:r w:rsidR="000A4AD7">
        <w:t xml:space="preserve">that owns </w:t>
      </w:r>
      <w:r w:rsidR="00043CBE">
        <w:t>more than 10</w:t>
      </w:r>
      <w:r w:rsidR="00FC42F1">
        <w:t xml:space="preserve"> percent</w:t>
      </w:r>
      <w:r w:rsidR="00043CBE">
        <w:t xml:space="preserve"> of its stock.</w:t>
      </w:r>
      <w:r w:rsidR="00C03B6C">
        <w:rPr>
          <w:rStyle w:val="FootnoteReference"/>
        </w:rPr>
        <w:footnoteReference w:id="17"/>
      </w:r>
      <w:r w:rsidR="00E2501C">
        <w:t xml:space="preserve">  HMTV states that foreign investors directly or indirectly hold insulated limited partnership interests in Gato.</w:t>
      </w:r>
      <w:r w:rsidR="00E2501C">
        <w:rPr>
          <w:rStyle w:val="FootnoteReference"/>
        </w:rPr>
        <w:footnoteReference w:id="18"/>
      </w:r>
      <w:r w:rsidR="00E2501C">
        <w:t xml:space="preserve">  HMTV also states that foreign ownership of Gato does not exceed 3</w:t>
      </w:r>
      <w:r w:rsidR="0074012A">
        <w:t xml:space="preserve"> percent</w:t>
      </w:r>
      <w:r w:rsidR="00E2501C">
        <w:t xml:space="preserve"> and, therefore, does not represent more than 3</w:t>
      </w:r>
      <w:r w:rsidR="0074012A">
        <w:t xml:space="preserve"> percent</w:t>
      </w:r>
      <w:r w:rsidR="00E2501C">
        <w:t xml:space="preserve"> of the votes or equity of HMTV.</w:t>
      </w:r>
      <w:r w:rsidR="00E2501C">
        <w:rPr>
          <w:rStyle w:val="FootnoteReference"/>
        </w:rPr>
        <w:footnoteReference w:id="19"/>
      </w:r>
    </w:p>
    <w:p w14:paraId="4E6832F4" w14:textId="4182331E" w:rsidR="00030556" w:rsidRDefault="00043CBE" w:rsidP="000C5301">
      <w:pPr>
        <w:pStyle w:val="ParaNum"/>
        <w:tabs>
          <w:tab w:val="clear" w:pos="1080"/>
          <w:tab w:val="num" w:pos="1440"/>
        </w:tabs>
        <w:rPr>
          <w:szCs w:val="22"/>
        </w:rPr>
      </w:pPr>
      <w:r w:rsidRPr="000C5301">
        <w:rPr>
          <w:szCs w:val="22"/>
        </w:rPr>
        <w:t>One company, Cinéma Aeropuerto</w:t>
      </w:r>
      <w:r w:rsidR="000C5301" w:rsidRPr="000C5301">
        <w:rPr>
          <w:szCs w:val="22"/>
        </w:rPr>
        <w:t>, S.A. de C.V., a Mexican corporation (Cinéma Aeropuerto) owns 2,996,999 shares of HMTV’s Class B stock, representing 7.07</w:t>
      </w:r>
      <w:r w:rsidR="0074012A">
        <w:rPr>
          <w:szCs w:val="22"/>
        </w:rPr>
        <w:t xml:space="preserve"> percent</w:t>
      </w:r>
      <w:r w:rsidR="000C5301" w:rsidRPr="000C5301">
        <w:rPr>
          <w:szCs w:val="22"/>
        </w:rPr>
        <w:t xml:space="preserve"> of its equity and </w:t>
      </w:r>
      <w:r w:rsidR="00A35245">
        <w:rPr>
          <w:szCs w:val="22"/>
        </w:rPr>
        <w:t>13.05</w:t>
      </w:r>
      <w:r w:rsidR="0074012A">
        <w:rPr>
          <w:szCs w:val="22"/>
        </w:rPr>
        <w:t xml:space="preserve"> percent</w:t>
      </w:r>
      <w:r w:rsidR="000C5301" w:rsidRPr="000C5301">
        <w:rPr>
          <w:szCs w:val="22"/>
        </w:rPr>
        <w:t xml:space="preserve"> of its votes.</w:t>
      </w:r>
      <w:r w:rsidR="00C03B6C">
        <w:rPr>
          <w:rStyle w:val="FootnoteReference"/>
          <w:szCs w:val="22"/>
        </w:rPr>
        <w:footnoteReference w:id="20"/>
      </w:r>
      <w:r w:rsidR="000C5301" w:rsidRPr="000C5301">
        <w:rPr>
          <w:szCs w:val="22"/>
        </w:rPr>
        <w:t xml:space="preserve"> </w:t>
      </w:r>
      <w:r w:rsidR="00C03B6C">
        <w:rPr>
          <w:szCs w:val="22"/>
        </w:rPr>
        <w:t xml:space="preserve"> </w:t>
      </w:r>
      <w:r w:rsidR="000C5301" w:rsidRPr="000C5301">
        <w:rPr>
          <w:snapToGrid/>
          <w:kern w:val="0"/>
          <w:szCs w:val="22"/>
        </w:rPr>
        <w:t>Cinéma Aeropuerto is 99.99</w:t>
      </w:r>
      <w:r w:rsidR="0074012A">
        <w:rPr>
          <w:snapToGrid/>
          <w:kern w:val="0"/>
          <w:szCs w:val="22"/>
        </w:rPr>
        <w:t xml:space="preserve"> percent</w:t>
      </w:r>
      <w:r w:rsidR="000C5301" w:rsidRPr="000C5301">
        <w:rPr>
          <w:snapToGrid/>
          <w:kern w:val="0"/>
          <w:szCs w:val="22"/>
        </w:rPr>
        <w:t xml:space="preserve"> owned by Grupo Frecuencia Modulada Televisión, S.A. de C.V., a Mexican corporation, which is in turn 97.32</w:t>
      </w:r>
      <w:r w:rsidR="0074012A">
        <w:rPr>
          <w:snapToGrid/>
          <w:kern w:val="0"/>
          <w:szCs w:val="22"/>
        </w:rPr>
        <w:t xml:space="preserve"> percent</w:t>
      </w:r>
      <w:r w:rsidR="000C5301" w:rsidRPr="000C5301">
        <w:rPr>
          <w:snapToGrid/>
          <w:kern w:val="0"/>
          <w:szCs w:val="22"/>
        </w:rPr>
        <w:t xml:space="preserve"> owned by Grupo MVS, S.A. de C.V., a Mexican corporation (MVS).</w:t>
      </w:r>
      <w:r w:rsidR="00C03B6C">
        <w:rPr>
          <w:rStyle w:val="FootnoteReference"/>
          <w:snapToGrid/>
          <w:kern w:val="0"/>
          <w:szCs w:val="22"/>
        </w:rPr>
        <w:footnoteReference w:id="21"/>
      </w:r>
      <w:r w:rsidR="000C5301" w:rsidRPr="000C5301">
        <w:rPr>
          <w:snapToGrid/>
          <w:kern w:val="0"/>
          <w:szCs w:val="22"/>
        </w:rPr>
        <w:t xml:space="preserve"> </w:t>
      </w:r>
      <w:r w:rsidR="00C03B6C">
        <w:rPr>
          <w:snapToGrid/>
          <w:kern w:val="0"/>
          <w:szCs w:val="22"/>
        </w:rPr>
        <w:t xml:space="preserve"> </w:t>
      </w:r>
      <w:r w:rsidR="000C5301" w:rsidRPr="000C5301">
        <w:rPr>
          <w:snapToGrid/>
          <w:kern w:val="0"/>
          <w:szCs w:val="22"/>
        </w:rPr>
        <w:t>MVS is owned 99.56</w:t>
      </w:r>
      <w:r w:rsidR="0074012A">
        <w:rPr>
          <w:snapToGrid/>
          <w:kern w:val="0"/>
          <w:szCs w:val="22"/>
        </w:rPr>
        <w:t xml:space="preserve"> percent</w:t>
      </w:r>
      <w:r w:rsidR="000C5301" w:rsidRPr="000C5301">
        <w:rPr>
          <w:snapToGrid/>
          <w:kern w:val="0"/>
          <w:szCs w:val="22"/>
        </w:rPr>
        <w:t xml:space="preserve"> (votes and equity) by HSBC 61549, a trust organized under the laws of Mexico for the benefit of descendants of Mr. José Joaquín Vargas Gómez.</w:t>
      </w:r>
      <w:r w:rsidR="00054896">
        <w:rPr>
          <w:rStyle w:val="FootnoteReference"/>
          <w:snapToGrid/>
          <w:kern w:val="0"/>
          <w:szCs w:val="22"/>
        </w:rPr>
        <w:footnoteReference w:id="22"/>
      </w:r>
      <w:r w:rsidR="000C5301" w:rsidRPr="000C5301">
        <w:rPr>
          <w:snapToGrid/>
          <w:kern w:val="0"/>
          <w:szCs w:val="22"/>
        </w:rPr>
        <w:t xml:space="preserve"> </w:t>
      </w:r>
      <w:r w:rsidR="0074012A">
        <w:rPr>
          <w:snapToGrid/>
          <w:kern w:val="0"/>
          <w:szCs w:val="22"/>
        </w:rPr>
        <w:t xml:space="preserve"> </w:t>
      </w:r>
      <w:r w:rsidR="000C5301" w:rsidRPr="000C5301">
        <w:rPr>
          <w:snapToGrid/>
          <w:kern w:val="0"/>
          <w:szCs w:val="22"/>
        </w:rPr>
        <w:t>The sole trustee of HSBC 61549 is HSBC México S.A., a Mexican corporation (HSBC Mexico), which is an indirect wholly owned subsidiary of HSBC Holdings plc, which is organized under the laws of the United Kingdom.</w:t>
      </w:r>
      <w:r w:rsidR="00C03B6C">
        <w:rPr>
          <w:rStyle w:val="FootnoteReference"/>
          <w:snapToGrid/>
          <w:kern w:val="0"/>
          <w:szCs w:val="22"/>
        </w:rPr>
        <w:footnoteReference w:id="23"/>
      </w:r>
      <w:r w:rsidR="000C5301" w:rsidRPr="000C5301">
        <w:rPr>
          <w:snapToGrid/>
          <w:kern w:val="0"/>
          <w:szCs w:val="22"/>
        </w:rPr>
        <w:t xml:space="preserve"> </w:t>
      </w:r>
      <w:r w:rsidR="0074012A">
        <w:rPr>
          <w:snapToGrid/>
          <w:kern w:val="0"/>
          <w:szCs w:val="22"/>
        </w:rPr>
        <w:t xml:space="preserve"> </w:t>
      </w:r>
      <w:r w:rsidR="000C5301" w:rsidRPr="000C5301">
        <w:rPr>
          <w:snapToGrid/>
          <w:kern w:val="0"/>
          <w:szCs w:val="22"/>
        </w:rPr>
        <w:t>HSBC Mexico votes the shares of MVS at the direction of a trust committee, which consists of the following members, all of whom are children of José Joaquín Vargas Gómez: Joaquín Vargas Guajardo, Elsa Gabriela Vargas Guajardo, Ernesto Vargas Guajardo, Andrea Matilde Vargas Guajardo, Francisco Vargas Guajardo and Alejandro Vargas Guajardo. Mr. Ernesto Vargas Guajardo is also a member of the board of directors of HMTV.</w:t>
      </w:r>
      <w:r w:rsidR="00054896">
        <w:rPr>
          <w:rStyle w:val="FootnoteReference"/>
          <w:snapToGrid/>
          <w:kern w:val="0"/>
          <w:szCs w:val="22"/>
        </w:rPr>
        <w:footnoteReference w:id="24"/>
      </w:r>
      <w:r w:rsidR="000C5301" w:rsidRPr="000C5301">
        <w:rPr>
          <w:szCs w:val="22"/>
        </w:rPr>
        <w:t xml:space="preserve"> </w:t>
      </w:r>
      <w:r w:rsidR="002A39D7">
        <w:t xml:space="preserve">HMTV seeks approval for </w:t>
      </w:r>
      <w:r w:rsidR="002A39D7">
        <w:lastRenderedPageBreak/>
        <w:t xml:space="preserve">foreign investors, in the aggregate, to own up to 49.99 percent of both its equity and voting interests.  In addition, </w:t>
      </w:r>
      <w:r w:rsidR="002A39D7">
        <w:rPr>
          <w:szCs w:val="22"/>
        </w:rPr>
        <w:t>HMTV</w:t>
      </w:r>
      <w:r w:rsidR="00054896">
        <w:rPr>
          <w:szCs w:val="22"/>
        </w:rPr>
        <w:t xml:space="preserve"> </w:t>
      </w:r>
      <w:r w:rsidR="002A39D7">
        <w:rPr>
          <w:szCs w:val="22"/>
        </w:rPr>
        <w:t xml:space="preserve">seeks </w:t>
      </w:r>
      <w:r w:rsidR="00054896">
        <w:rPr>
          <w:szCs w:val="22"/>
        </w:rPr>
        <w:t xml:space="preserve">specific approval for </w:t>
      </w:r>
      <w:r w:rsidR="002A39D7">
        <w:rPr>
          <w:szCs w:val="22"/>
        </w:rPr>
        <w:t xml:space="preserve">each </w:t>
      </w:r>
      <w:r w:rsidR="00054896">
        <w:rPr>
          <w:szCs w:val="22"/>
        </w:rPr>
        <w:t xml:space="preserve">of the listed entities and individuals of the </w:t>
      </w:r>
      <w:r w:rsidR="00054896" w:rsidRPr="000C5301">
        <w:rPr>
          <w:szCs w:val="22"/>
        </w:rPr>
        <w:t>Cinéma Aeropuerto</w:t>
      </w:r>
      <w:r w:rsidR="00054896">
        <w:rPr>
          <w:szCs w:val="22"/>
        </w:rPr>
        <w:t xml:space="preserve"> chain up through</w:t>
      </w:r>
      <w:r w:rsidR="00150090">
        <w:rPr>
          <w:szCs w:val="22"/>
        </w:rPr>
        <w:t xml:space="preserve"> HSBC Holdings plc</w:t>
      </w:r>
      <w:r w:rsidR="004E5005">
        <w:rPr>
          <w:szCs w:val="22"/>
        </w:rPr>
        <w:t xml:space="preserve"> as described above</w:t>
      </w:r>
      <w:r w:rsidR="00150090">
        <w:rPr>
          <w:szCs w:val="22"/>
        </w:rPr>
        <w:t>, including</w:t>
      </w:r>
      <w:r w:rsidR="00054896">
        <w:rPr>
          <w:szCs w:val="22"/>
        </w:rPr>
        <w:t xml:space="preserve"> the members of the trust committee</w:t>
      </w:r>
      <w:r w:rsidR="005248E5">
        <w:rPr>
          <w:szCs w:val="22"/>
        </w:rPr>
        <w:t>,</w:t>
      </w:r>
      <w:r w:rsidR="008F4B47">
        <w:rPr>
          <w:szCs w:val="22"/>
        </w:rPr>
        <w:t xml:space="preserve"> </w:t>
      </w:r>
      <w:r w:rsidR="002A39D7">
        <w:rPr>
          <w:szCs w:val="22"/>
        </w:rPr>
        <w:t>to own</w:t>
      </w:r>
      <w:r w:rsidR="008F4B47">
        <w:rPr>
          <w:szCs w:val="22"/>
        </w:rPr>
        <w:t xml:space="preserve"> </w:t>
      </w:r>
      <w:r w:rsidR="005248E5">
        <w:rPr>
          <w:szCs w:val="22"/>
        </w:rPr>
        <w:t xml:space="preserve">up </w:t>
      </w:r>
      <w:r w:rsidR="008F4B47">
        <w:rPr>
          <w:szCs w:val="22"/>
        </w:rPr>
        <w:t>to 49.99</w:t>
      </w:r>
      <w:r w:rsidR="002A39D7">
        <w:rPr>
          <w:szCs w:val="22"/>
        </w:rPr>
        <w:t xml:space="preserve"> percent of both its equity and voting interests</w:t>
      </w:r>
      <w:r w:rsidR="00054896">
        <w:rPr>
          <w:szCs w:val="22"/>
        </w:rPr>
        <w:t>.</w:t>
      </w:r>
      <w:r w:rsidR="00C03B6C">
        <w:rPr>
          <w:rStyle w:val="FootnoteReference"/>
          <w:szCs w:val="22"/>
        </w:rPr>
        <w:footnoteReference w:id="25"/>
      </w:r>
    </w:p>
    <w:p w14:paraId="7B950042" w14:textId="63E92B8F" w:rsidR="00054896" w:rsidRDefault="00054896" w:rsidP="000C5301">
      <w:pPr>
        <w:pStyle w:val="ParaNum"/>
        <w:tabs>
          <w:tab w:val="clear" w:pos="1080"/>
          <w:tab w:val="num" w:pos="1440"/>
        </w:tabs>
        <w:rPr>
          <w:szCs w:val="22"/>
        </w:rPr>
      </w:pPr>
      <w:r>
        <w:rPr>
          <w:szCs w:val="22"/>
        </w:rPr>
        <w:t xml:space="preserve">In addition to the investment by </w:t>
      </w:r>
      <w:r w:rsidRPr="000C5301">
        <w:rPr>
          <w:szCs w:val="22"/>
        </w:rPr>
        <w:t>Cinéma Aeropuerto</w:t>
      </w:r>
      <w:r w:rsidR="00E2501C">
        <w:rPr>
          <w:szCs w:val="22"/>
        </w:rPr>
        <w:t xml:space="preserve"> and Gato</w:t>
      </w:r>
      <w:r>
        <w:rPr>
          <w:szCs w:val="22"/>
        </w:rPr>
        <w:t xml:space="preserve">, </w:t>
      </w:r>
      <w:r w:rsidR="00E2501C">
        <w:rPr>
          <w:szCs w:val="22"/>
        </w:rPr>
        <w:t xml:space="preserve">there </w:t>
      </w:r>
      <w:r>
        <w:rPr>
          <w:szCs w:val="22"/>
        </w:rPr>
        <w:t xml:space="preserve">are currently </w:t>
      </w:r>
      <w:r w:rsidR="00525E8A">
        <w:rPr>
          <w:szCs w:val="22"/>
        </w:rPr>
        <w:t>3,</w:t>
      </w:r>
      <w:r w:rsidR="00E2501C">
        <w:rPr>
          <w:szCs w:val="22"/>
        </w:rPr>
        <w:t>112,566</w:t>
      </w:r>
      <w:r>
        <w:rPr>
          <w:szCs w:val="22"/>
        </w:rPr>
        <w:t xml:space="preserve"> shares of HMTV stock in </w:t>
      </w:r>
      <w:r w:rsidR="005A2AF2">
        <w:rPr>
          <w:szCs w:val="22"/>
        </w:rPr>
        <w:t>HMTV’s</w:t>
      </w:r>
      <w:r>
        <w:rPr>
          <w:szCs w:val="22"/>
        </w:rPr>
        <w:t xml:space="preserve"> SEG-100 account, which </w:t>
      </w:r>
      <w:r w:rsidR="00150090">
        <w:rPr>
          <w:szCs w:val="22"/>
        </w:rPr>
        <w:t xml:space="preserve">represents </w:t>
      </w:r>
      <w:r w:rsidR="00E2501C">
        <w:rPr>
          <w:szCs w:val="22"/>
        </w:rPr>
        <w:t>1.36</w:t>
      </w:r>
      <w:r w:rsidR="005A2AF2">
        <w:rPr>
          <w:szCs w:val="22"/>
        </w:rPr>
        <w:t xml:space="preserve"> percent</w:t>
      </w:r>
      <w:r w:rsidR="00150090">
        <w:rPr>
          <w:szCs w:val="22"/>
        </w:rPr>
        <w:t xml:space="preserve"> of its votes and</w:t>
      </w:r>
      <w:r>
        <w:rPr>
          <w:szCs w:val="22"/>
        </w:rPr>
        <w:t xml:space="preserve"> </w:t>
      </w:r>
      <w:r w:rsidR="00E2501C">
        <w:rPr>
          <w:szCs w:val="22"/>
        </w:rPr>
        <w:t>7.34</w:t>
      </w:r>
      <w:r w:rsidR="005A2AF2">
        <w:rPr>
          <w:szCs w:val="22"/>
        </w:rPr>
        <w:t xml:space="preserve"> percent</w:t>
      </w:r>
      <w:r>
        <w:rPr>
          <w:szCs w:val="22"/>
        </w:rPr>
        <w:t xml:space="preserve"> of its equity</w:t>
      </w:r>
      <w:r w:rsidR="00E2501C">
        <w:rPr>
          <w:szCs w:val="22"/>
        </w:rPr>
        <w:t>.</w:t>
      </w:r>
      <w:r w:rsidR="00E2501C">
        <w:rPr>
          <w:rStyle w:val="FootnoteReference"/>
          <w:szCs w:val="22"/>
        </w:rPr>
        <w:footnoteReference w:id="26"/>
      </w:r>
      <w:r>
        <w:rPr>
          <w:szCs w:val="22"/>
        </w:rPr>
        <w:t xml:space="preserve"> </w:t>
      </w:r>
      <w:r w:rsidR="005A2AF2">
        <w:rPr>
          <w:szCs w:val="22"/>
        </w:rPr>
        <w:t xml:space="preserve"> </w:t>
      </w:r>
      <w:r w:rsidR="00E2501C">
        <w:rPr>
          <w:szCs w:val="22"/>
        </w:rPr>
        <w:t>HMTV states that these shares are widely held</w:t>
      </w:r>
      <w:r w:rsidR="00C266DF">
        <w:rPr>
          <w:szCs w:val="22"/>
        </w:rPr>
        <w:t>.  B</w:t>
      </w:r>
      <w:r w:rsidR="00E2501C">
        <w:rPr>
          <w:szCs w:val="22"/>
        </w:rPr>
        <w:t xml:space="preserve">ased on </w:t>
      </w:r>
      <w:r w:rsidR="005A2AF2">
        <w:rPr>
          <w:szCs w:val="22"/>
        </w:rPr>
        <w:t>a</w:t>
      </w:r>
      <w:r w:rsidR="00E2501C">
        <w:rPr>
          <w:szCs w:val="22"/>
        </w:rPr>
        <w:t xml:space="preserve"> review of SEC filings, </w:t>
      </w:r>
      <w:r w:rsidR="005A2AF2">
        <w:rPr>
          <w:szCs w:val="22"/>
        </w:rPr>
        <w:t xml:space="preserve">HMTV </w:t>
      </w:r>
      <w:r w:rsidR="00C266DF">
        <w:rPr>
          <w:szCs w:val="22"/>
        </w:rPr>
        <w:t xml:space="preserve">states that it </w:t>
      </w:r>
      <w:r>
        <w:rPr>
          <w:szCs w:val="22"/>
        </w:rPr>
        <w:t>has no reason to believe that any foreign investor with stock in the SEG-100 account holds 5</w:t>
      </w:r>
      <w:r w:rsidR="005A2AF2">
        <w:rPr>
          <w:szCs w:val="22"/>
        </w:rPr>
        <w:t xml:space="preserve"> percent</w:t>
      </w:r>
      <w:r>
        <w:rPr>
          <w:szCs w:val="22"/>
        </w:rPr>
        <w:t xml:space="preserve"> or more of HMTV’s stock.</w:t>
      </w:r>
      <w:r w:rsidR="00B2440C">
        <w:rPr>
          <w:rStyle w:val="FootnoteReference"/>
          <w:szCs w:val="22"/>
        </w:rPr>
        <w:footnoteReference w:id="27"/>
      </w:r>
      <w:r>
        <w:rPr>
          <w:szCs w:val="22"/>
        </w:rPr>
        <w:t xml:space="preserve">  </w:t>
      </w:r>
      <w:r w:rsidR="00E2501C">
        <w:rPr>
          <w:szCs w:val="22"/>
        </w:rPr>
        <w:t xml:space="preserve">HMTV </w:t>
      </w:r>
      <w:r w:rsidR="005A2AF2">
        <w:rPr>
          <w:szCs w:val="22"/>
        </w:rPr>
        <w:t xml:space="preserve">states that it </w:t>
      </w:r>
      <w:r w:rsidR="00E2501C">
        <w:rPr>
          <w:szCs w:val="22"/>
        </w:rPr>
        <w:t xml:space="preserve">has reviewed its list of registered </w:t>
      </w:r>
      <w:r w:rsidR="000C317C">
        <w:rPr>
          <w:szCs w:val="22"/>
        </w:rPr>
        <w:t>shareholders</w:t>
      </w:r>
      <w:r w:rsidR="00745CA0">
        <w:rPr>
          <w:rStyle w:val="FootnoteReference"/>
          <w:szCs w:val="22"/>
        </w:rPr>
        <w:footnoteReference w:id="28"/>
      </w:r>
      <w:r w:rsidR="00E2501C">
        <w:rPr>
          <w:szCs w:val="22"/>
        </w:rPr>
        <w:t xml:space="preserve"> and identified those who are foreign</w:t>
      </w:r>
      <w:r w:rsidR="00FE2065" w:rsidRPr="00FE2065">
        <w:rPr>
          <w:szCs w:val="22"/>
        </w:rPr>
        <w:t xml:space="preserve"> </w:t>
      </w:r>
      <w:r w:rsidR="00FE2065">
        <w:rPr>
          <w:szCs w:val="22"/>
        </w:rPr>
        <w:t>other than</w:t>
      </w:r>
      <w:r w:rsidR="00FE2065" w:rsidRPr="00FE2065">
        <w:rPr>
          <w:szCs w:val="22"/>
        </w:rPr>
        <w:t xml:space="preserve"> </w:t>
      </w:r>
      <w:r w:rsidR="00FE2065" w:rsidRPr="000C5301">
        <w:rPr>
          <w:szCs w:val="22"/>
        </w:rPr>
        <w:t>Cinéma Aeropuerto</w:t>
      </w:r>
      <w:r w:rsidR="00FE2065">
        <w:rPr>
          <w:szCs w:val="22"/>
        </w:rPr>
        <w:t xml:space="preserve"> and the foreign interests held through Gato</w:t>
      </w:r>
      <w:r w:rsidR="00E2501C">
        <w:rPr>
          <w:szCs w:val="22"/>
        </w:rPr>
        <w:t>.</w:t>
      </w:r>
      <w:r w:rsidR="00E2501C">
        <w:rPr>
          <w:rStyle w:val="FootnoteReference"/>
          <w:szCs w:val="22"/>
        </w:rPr>
        <w:footnoteReference w:id="29"/>
      </w:r>
      <w:r w:rsidR="00E2501C">
        <w:rPr>
          <w:szCs w:val="22"/>
        </w:rPr>
        <w:t xml:space="preserve">  </w:t>
      </w:r>
      <w:r w:rsidR="00B635CE">
        <w:rPr>
          <w:szCs w:val="22"/>
        </w:rPr>
        <w:t xml:space="preserve">It states that these foreign </w:t>
      </w:r>
      <w:r w:rsidR="002A39D7">
        <w:rPr>
          <w:szCs w:val="22"/>
        </w:rPr>
        <w:t xml:space="preserve">registered </w:t>
      </w:r>
      <w:r w:rsidR="000C317C">
        <w:rPr>
          <w:szCs w:val="22"/>
        </w:rPr>
        <w:t>shareholders</w:t>
      </w:r>
      <w:r w:rsidR="00FE2065">
        <w:rPr>
          <w:szCs w:val="22"/>
        </w:rPr>
        <w:t xml:space="preserve"> </w:t>
      </w:r>
      <w:r w:rsidR="00B635CE">
        <w:rPr>
          <w:szCs w:val="22"/>
        </w:rPr>
        <w:t>hold 0.93</w:t>
      </w:r>
      <w:r w:rsidR="00C266DF">
        <w:rPr>
          <w:szCs w:val="22"/>
        </w:rPr>
        <w:t xml:space="preserve"> percent</w:t>
      </w:r>
      <w:r w:rsidR="00B635CE">
        <w:rPr>
          <w:szCs w:val="22"/>
        </w:rPr>
        <w:t xml:space="preserve"> of the votes and 5.06</w:t>
      </w:r>
      <w:r w:rsidR="00C266DF">
        <w:rPr>
          <w:szCs w:val="22"/>
        </w:rPr>
        <w:t xml:space="preserve"> percent</w:t>
      </w:r>
      <w:r w:rsidR="00B635CE">
        <w:rPr>
          <w:szCs w:val="22"/>
        </w:rPr>
        <w:t xml:space="preserve"> of the equity of HMTV and that none holds 5</w:t>
      </w:r>
      <w:r w:rsidR="00C266DF">
        <w:rPr>
          <w:szCs w:val="22"/>
        </w:rPr>
        <w:t xml:space="preserve"> percent</w:t>
      </w:r>
      <w:r w:rsidR="00B635CE">
        <w:rPr>
          <w:szCs w:val="22"/>
        </w:rPr>
        <w:t xml:space="preserve"> of the votes or equity of the company.</w:t>
      </w:r>
      <w:r w:rsidR="00B635CE">
        <w:rPr>
          <w:rStyle w:val="FootnoteReference"/>
          <w:szCs w:val="22"/>
        </w:rPr>
        <w:footnoteReference w:id="30"/>
      </w:r>
      <w:r w:rsidR="00B635CE">
        <w:rPr>
          <w:szCs w:val="22"/>
        </w:rPr>
        <w:t xml:space="preserve">  </w:t>
      </w:r>
      <w:r>
        <w:rPr>
          <w:szCs w:val="22"/>
        </w:rPr>
        <w:t>HMTV estimates that</w:t>
      </w:r>
      <w:r w:rsidR="00B70BC1">
        <w:rPr>
          <w:szCs w:val="22"/>
        </w:rPr>
        <w:t xml:space="preserve"> its</w:t>
      </w:r>
      <w:r>
        <w:rPr>
          <w:szCs w:val="22"/>
        </w:rPr>
        <w:t xml:space="preserve"> total foreign ownership may be as high as </w:t>
      </w:r>
      <w:r w:rsidR="00FD6AD6">
        <w:rPr>
          <w:szCs w:val="22"/>
        </w:rPr>
        <w:t>18.34</w:t>
      </w:r>
      <w:r w:rsidR="00C266DF">
        <w:rPr>
          <w:szCs w:val="22"/>
        </w:rPr>
        <w:t xml:space="preserve"> percent</w:t>
      </w:r>
      <w:r>
        <w:rPr>
          <w:szCs w:val="22"/>
        </w:rPr>
        <w:t xml:space="preserve"> of the votes and </w:t>
      </w:r>
      <w:r w:rsidR="00FD6AD6">
        <w:rPr>
          <w:szCs w:val="22"/>
        </w:rPr>
        <w:t>22.47</w:t>
      </w:r>
      <w:r w:rsidR="00C266DF">
        <w:rPr>
          <w:szCs w:val="22"/>
        </w:rPr>
        <w:t xml:space="preserve"> percent</w:t>
      </w:r>
      <w:r>
        <w:rPr>
          <w:szCs w:val="22"/>
        </w:rPr>
        <w:t xml:space="preserve"> of the equity of the company.</w:t>
      </w:r>
      <w:r w:rsidR="00B2440C">
        <w:rPr>
          <w:rStyle w:val="FootnoteReference"/>
          <w:szCs w:val="22"/>
        </w:rPr>
        <w:footnoteReference w:id="31"/>
      </w:r>
    </w:p>
    <w:p w14:paraId="798300EA" w14:textId="075DE479" w:rsidR="009B5B69" w:rsidRPr="009B5B69" w:rsidRDefault="00065F77" w:rsidP="000C5301">
      <w:pPr>
        <w:pStyle w:val="ParaNum"/>
        <w:tabs>
          <w:tab w:val="clear" w:pos="1080"/>
          <w:tab w:val="num" w:pos="1440"/>
        </w:tabs>
        <w:rPr>
          <w:szCs w:val="22"/>
        </w:rPr>
      </w:pPr>
      <w:r>
        <w:rPr>
          <w:i/>
        </w:rPr>
        <w:t xml:space="preserve">HMTV’s Monitoring Procedures.  </w:t>
      </w:r>
      <w:r w:rsidR="000E2881">
        <w:t>To track its level of foreign ownership, HMTV states that, in</w:t>
      </w:r>
      <w:r w:rsidR="009B5B69">
        <w:t xml:space="preserve"> addition to participation in SEG-100, </w:t>
      </w:r>
      <w:r w:rsidR="000E2881">
        <w:t>it monitors</w:t>
      </w:r>
      <w:r w:rsidR="009B5B69">
        <w:t xml:space="preserve"> reports filed with the SEC, including Schedules 13G and 13D</w:t>
      </w:r>
      <w:r w:rsidR="00745CA0">
        <w:t>,</w:t>
      </w:r>
      <w:r w:rsidR="009B5B69">
        <w:t xml:space="preserve"> and that its articles of incorporation contain multiple provisions to monitor foreign ownership and maintain compliance with 310(b)(4)</w:t>
      </w:r>
      <w:r w:rsidR="00745CA0">
        <w:t>,</w:t>
      </w:r>
      <w:r w:rsidR="009B5B69">
        <w:t xml:space="preserve"> including the ability to:</w:t>
      </w:r>
    </w:p>
    <w:p w14:paraId="3E43A979" w14:textId="0A1A8634" w:rsidR="009B5B69" w:rsidRPr="001B23C3" w:rsidRDefault="009B5B69" w:rsidP="001B23C3">
      <w:pPr>
        <w:pStyle w:val="ListParagraph"/>
        <w:widowControl/>
        <w:numPr>
          <w:ilvl w:val="0"/>
          <w:numId w:val="32"/>
        </w:numPr>
        <w:autoSpaceDE w:val="0"/>
        <w:autoSpaceDN w:val="0"/>
        <w:adjustRightInd w:val="0"/>
        <w:spacing w:after="120"/>
        <w:rPr>
          <w:rFonts w:eastAsia="SymbolMT"/>
          <w:snapToGrid/>
          <w:kern w:val="0"/>
          <w:szCs w:val="22"/>
        </w:rPr>
      </w:pPr>
      <w:r w:rsidRPr="001B23C3">
        <w:rPr>
          <w:rFonts w:eastAsia="SymbolMT"/>
          <w:snapToGrid/>
          <w:kern w:val="0"/>
          <w:szCs w:val="22"/>
        </w:rPr>
        <w:t>restrict the ownership, or proposed ownership, of shares of its capital stock</w:t>
      </w:r>
      <w:r w:rsidR="001B23C3" w:rsidRPr="001B23C3">
        <w:rPr>
          <w:rFonts w:eastAsia="SymbolMT"/>
          <w:snapToGrid/>
          <w:kern w:val="0"/>
          <w:szCs w:val="22"/>
        </w:rPr>
        <w:t xml:space="preserve"> </w:t>
      </w:r>
      <w:r w:rsidRPr="001B23C3">
        <w:rPr>
          <w:rFonts w:eastAsia="SymbolMT"/>
          <w:snapToGrid/>
          <w:kern w:val="0"/>
          <w:szCs w:val="22"/>
        </w:rPr>
        <w:t>by any person if such ownership or proposed ownership is or could be in</w:t>
      </w:r>
      <w:r w:rsidR="001B23C3" w:rsidRPr="001B23C3">
        <w:rPr>
          <w:rFonts w:eastAsia="SymbolMT"/>
          <w:snapToGrid/>
          <w:kern w:val="0"/>
          <w:szCs w:val="22"/>
        </w:rPr>
        <w:t xml:space="preserve"> </w:t>
      </w:r>
      <w:r w:rsidRPr="001B23C3">
        <w:rPr>
          <w:rFonts w:eastAsia="SymbolMT"/>
          <w:snapToGrid/>
          <w:kern w:val="0"/>
          <w:szCs w:val="22"/>
        </w:rPr>
        <w:t>violation of the Communications Act;</w:t>
      </w:r>
    </w:p>
    <w:p w14:paraId="7E3E64BD" w14:textId="369B422C" w:rsidR="009B5B69" w:rsidRPr="001B23C3" w:rsidRDefault="009B5B69" w:rsidP="001B23C3">
      <w:pPr>
        <w:pStyle w:val="ListParagraph"/>
        <w:widowControl/>
        <w:numPr>
          <w:ilvl w:val="0"/>
          <w:numId w:val="32"/>
        </w:numPr>
        <w:autoSpaceDE w:val="0"/>
        <w:autoSpaceDN w:val="0"/>
        <w:adjustRightInd w:val="0"/>
        <w:spacing w:after="120"/>
        <w:rPr>
          <w:rFonts w:eastAsia="SymbolMT"/>
          <w:snapToGrid/>
          <w:kern w:val="0"/>
          <w:szCs w:val="22"/>
        </w:rPr>
      </w:pPr>
      <w:r w:rsidRPr="001B23C3">
        <w:rPr>
          <w:rFonts w:eastAsia="SymbolMT"/>
          <w:snapToGrid/>
          <w:kern w:val="0"/>
          <w:szCs w:val="22"/>
        </w:rPr>
        <w:t>require a person owning or proposing to own stock to furnish such</w:t>
      </w:r>
      <w:r w:rsidR="001B23C3" w:rsidRPr="001B23C3">
        <w:rPr>
          <w:rFonts w:eastAsia="SymbolMT"/>
          <w:snapToGrid/>
          <w:kern w:val="0"/>
          <w:szCs w:val="22"/>
        </w:rPr>
        <w:t xml:space="preserve"> </w:t>
      </w:r>
      <w:r w:rsidRPr="001B23C3">
        <w:rPr>
          <w:rFonts w:eastAsia="SymbolMT"/>
          <w:snapToGrid/>
          <w:kern w:val="0"/>
          <w:szCs w:val="22"/>
        </w:rPr>
        <w:t>information as HMTV requests;</w:t>
      </w:r>
    </w:p>
    <w:p w14:paraId="22049654" w14:textId="7C973F34" w:rsidR="009B5B69" w:rsidRPr="009B5B69" w:rsidRDefault="009B5B69" w:rsidP="001B23C3">
      <w:pPr>
        <w:pStyle w:val="ListParagraph"/>
        <w:widowControl/>
        <w:numPr>
          <w:ilvl w:val="0"/>
          <w:numId w:val="31"/>
        </w:numPr>
        <w:autoSpaceDE w:val="0"/>
        <w:autoSpaceDN w:val="0"/>
        <w:adjustRightInd w:val="0"/>
        <w:spacing w:after="120"/>
        <w:rPr>
          <w:rFonts w:eastAsia="SymbolMT"/>
          <w:snapToGrid/>
          <w:kern w:val="0"/>
          <w:szCs w:val="22"/>
        </w:rPr>
      </w:pPr>
      <w:r w:rsidRPr="009B5B69">
        <w:rPr>
          <w:rFonts w:eastAsia="SymbolMT"/>
          <w:snapToGrid/>
          <w:kern w:val="0"/>
          <w:szCs w:val="22"/>
        </w:rPr>
        <w:t>refuse to permit the transfer of shares;</w:t>
      </w:r>
    </w:p>
    <w:p w14:paraId="2507E6CA" w14:textId="059930AC" w:rsidR="009B5B69" w:rsidRPr="001B23C3" w:rsidRDefault="009B5B69" w:rsidP="001B23C3">
      <w:pPr>
        <w:pStyle w:val="ListParagraph"/>
        <w:widowControl/>
        <w:numPr>
          <w:ilvl w:val="0"/>
          <w:numId w:val="31"/>
        </w:numPr>
        <w:autoSpaceDE w:val="0"/>
        <w:autoSpaceDN w:val="0"/>
        <w:adjustRightInd w:val="0"/>
        <w:spacing w:after="120"/>
        <w:rPr>
          <w:rFonts w:eastAsia="SymbolMT"/>
          <w:snapToGrid/>
          <w:kern w:val="0"/>
          <w:szCs w:val="22"/>
        </w:rPr>
      </w:pPr>
      <w:r w:rsidRPr="001B23C3">
        <w:rPr>
          <w:rFonts w:eastAsia="SymbolMT"/>
          <w:snapToGrid/>
          <w:kern w:val="0"/>
          <w:szCs w:val="22"/>
        </w:rPr>
        <w:t>suspend rights of stock ownership;</w:t>
      </w:r>
    </w:p>
    <w:p w14:paraId="3B2D97CB" w14:textId="7CCCA90B" w:rsidR="009B5B69" w:rsidRPr="001B23C3" w:rsidRDefault="009B5B69" w:rsidP="001B23C3">
      <w:pPr>
        <w:pStyle w:val="ListParagraph"/>
        <w:widowControl/>
        <w:numPr>
          <w:ilvl w:val="0"/>
          <w:numId w:val="31"/>
        </w:numPr>
        <w:autoSpaceDE w:val="0"/>
        <w:autoSpaceDN w:val="0"/>
        <w:adjustRightInd w:val="0"/>
        <w:spacing w:after="120"/>
        <w:rPr>
          <w:rFonts w:eastAsia="SymbolMT"/>
          <w:snapToGrid/>
          <w:kern w:val="0"/>
          <w:szCs w:val="22"/>
        </w:rPr>
      </w:pPr>
      <w:r w:rsidRPr="001B23C3">
        <w:rPr>
          <w:rFonts w:eastAsia="SymbolMT"/>
          <w:snapToGrid/>
          <w:kern w:val="0"/>
          <w:szCs w:val="22"/>
        </w:rPr>
        <w:t>redeem shares;</w:t>
      </w:r>
    </w:p>
    <w:p w14:paraId="27FC5693" w14:textId="77777777" w:rsidR="001B23C3" w:rsidRPr="001B23C3" w:rsidRDefault="009B5B69" w:rsidP="009F189A">
      <w:pPr>
        <w:pStyle w:val="ListParagraph"/>
        <w:widowControl/>
        <w:numPr>
          <w:ilvl w:val="0"/>
          <w:numId w:val="31"/>
        </w:numPr>
        <w:autoSpaceDE w:val="0"/>
        <w:autoSpaceDN w:val="0"/>
        <w:adjustRightInd w:val="0"/>
        <w:spacing w:after="120"/>
        <w:rPr>
          <w:szCs w:val="22"/>
        </w:rPr>
      </w:pPr>
      <w:r w:rsidRPr="001B23C3">
        <w:rPr>
          <w:rFonts w:eastAsia="SymbolMT"/>
          <w:snapToGrid/>
          <w:kern w:val="0"/>
          <w:szCs w:val="22"/>
        </w:rPr>
        <w:t>require conversion of Class B shares to Class A; or</w:t>
      </w:r>
    </w:p>
    <w:p w14:paraId="253751DD" w14:textId="4B5A93FA" w:rsidR="009B5B69" w:rsidRPr="001B23C3" w:rsidRDefault="009B5B69" w:rsidP="009F189A">
      <w:pPr>
        <w:pStyle w:val="ListParagraph"/>
        <w:widowControl/>
        <w:numPr>
          <w:ilvl w:val="0"/>
          <w:numId w:val="31"/>
        </w:numPr>
        <w:autoSpaceDE w:val="0"/>
        <w:autoSpaceDN w:val="0"/>
        <w:adjustRightInd w:val="0"/>
        <w:spacing w:after="120"/>
        <w:rPr>
          <w:szCs w:val="22"/>
        </w:rPr>
      </w:pPr>
      <w:r w:rsidRPr="001B23C3">
        <w:rPr>
          <w:rFonts w:eastAsia="SymbolMT"/>
          <w:snapToGrid/>
          <w:kern w:val="0"/>
          <w:szCs w:val="22"/>
        </w:rPr>
        <w:t>exercise any and all appropriate remedies, at law or in equity, in any court</w:t>
      </w:r>
      <w:r w:rsidR="001B23C3" w:rsidRPr="001B23C3">
        <w:rPr>
          <w:rFonts w:eastAsia="SymbolMT"/>
          <w:snapToGrid/>
          <w:kern w:val="0"/>
          <w:szCs w:val="22"/>
        </w:rPr>
        <w:t xml:space="preserve"> </w:t>
      </w:r>
      <w:r w:rsidRPr="001B23C3">
        <w:rPr>
          <w:rFonts w:eastAsia="SymbolMT"/>
          <w:snapToGrid/>
          <w:kern w:val="0"/>
          <w:szCs w:val="22"/>
        </w:rPr>
        <w:t>of competent jurisdiction, with a view toward obtaining requested</w:t>
      </w:r>
      <w:r w:rsidR="001B23C3" w:rsidRPr="001B23C3">
        <w:rPr>
          <w:rFonts w:eastAsia="SymbolMT"/>
          <w:snapToGrid/>
          <w:kern w:val="0"/>
          <w:szCs w:val="22"/>
        </w:rPr>
        <w:t xml:space="preserve"> </w:t>
      </w:r>
      <w:r w:rsidRPr="001B23C3">
        <w:rPr>
          <w:rFonts w:eastAsia="SymbolMT"/>
          <w:snapToGrid/>
          <w:kern w:val="0"/>
          <w:szCs w:val="22"/>
        </w:rPr>
        <w:t xml:space="preserve">information or curing </w:t>
      </w:r>
      <w:r w:rsidR="005B61EE">
        <w:rPr>
          <w:rFonts w:eastAsia="SymbolMT"/>
          <w:snapToGrid/>
          <w:kern w:val="0"/>
          <w:szCs w:val="22"/>
        </w:rPr>
        <w:t>a</w:t>
      </w:r>
      <w:r w:rsidR="005B61EE" w:rsidRPr="001B23C3">
        <w:rPr>
          <w:rFonts w:eastAsia="SymbolMT"/>
          <w:snapToGrid/>
          <w:kern w:val="0"/>
          <w:szCs w:val="22"/>
        </w:rPr>
        <w:t xml:space="preserve"> </w:t>
      </w:r>
      <w:r w:rsidRPr="001B23C3">
        <w:rPr>
          <w:rFonts w:eastAsia="SymbolMT"/>
          <w:snapToGrid/>
          <w:kern w:val="0"/>
          <w:szCs w:val="22"/>
        </w:rPr>
        <w:t>violation.</w:t>
      </w:r>
      <w:r w:rsidR="001B23C3">
        <w:rPr>
          <w:rStyle w:val="FootnoteReference"/>
          <w:rFonts w:eastAsia="SymbolMT"/>
          <w:snapToGrid/>
          <w:kern w:val="0"/>
          <w:szCs w:val="22"/>
        </w:rPr>
        <w:footnoteReference w:id="32"/>
      </w:r>
    </w:p>
    <w:p w14:paraId="31E334BD" w14:textId="6CEBACDE" w:rsidR="000272E9" w:rsidRDefault="00065F77" w:rsidP="000C5301">
      <w:pPr>
        <w:pStyle w:val="ParaNum"/>
        <w:tabs>
          <w:tab w:val="clear" w:pos="1080"/>
          <w:tab w:val="num" w:pos="1440"/>
        </w:tabs>
        <w:rPr>
          <w:szCs w:val="22"/>
        </w:rPr>
      </w:pPr>
      <w:r>
        <w:rPr>
          <w:i/>
          <w:szCs w:val="22"/>
        </w:rPr>
        <w:t>HMTV’s Request</w:t>
      </w:r>
      <w:r w:rsidR="0015105C">
        <w:rPr>
          <w:i/>
          <w:szCs w:val="22"/>
        </w:rPr>
        <w:t xml:space="preserve"> for Declaratory</w:t>
      </w:r>
      <w:r>
        <w:rPr>
          <w:i/>
          <w:szCs w:val="22"/>
        </w:rPr>
        <w:t xml:space="preserve"> Ruling.  </w:t>
      </w:r>
      <w:r w:rsidR="000272E9">
        <w:rPr>
          <w:szCs w:val="22"/>
        </w:rPr>
        <w:t>HMTV request</w:t>
      </w:r>
      <w:r w:rsidR="00C266DF">
        <w:rPr>
          <w:szCs w:val="22"/>
        </w:rPr>
        <w:t>s</w:t>
      </w:r>
      <w:r w:rsidR="000272E9">
        <w:rPr>
          <w:szCs w:val="22"/>
        </w:rPr>
        <w:t xml:space="preserve"> a</w:t>
      </w:r>
      <w:r w:rsidR="005D5D97">
        <w:rPr>
          <w:szCs w:val="22"/>
        </w:rPr>
        <w:t xml:space="preserve"> declaratory ruling </w:t>
      </w:r>
      <w:r w:rsidR="00C266DF">
        <w:rPr>
          <w:szCs w:val="22"/>
        </w:rPr>
        <w:t xml:space="preserve">to permit foreign ownership </w:t>
      </w:r>
      <w:r w:rsidR="005D5D97">
        <w:rPr>
          <w:szCs w:val="22"/>
        </w:rPr>
        <w:t>because its estimated current foreign ownership is near the 25</w:t>
      </w:r>
      <w:r w:rsidR="00C266DF">
        <w:rPr>
          <w:szCs w:val="22"/>
        </w:rPr>
        <w:t xml:space="preserve"> percent</w:t>
      </w:r>
      <w:r w:rsidR="005D5D97">
        <w:rPr>
          <w:szCs w:val="22"/>
        </w:rPr>
        <w:t xml:space="preserve"> </w:t>
      </w:r>
      <w:r w:rsidR="00C266DF">
        <w:rPr>
          <w:szCs w:val="22"/>
        </w:rPr>
        <w:t xml:space="preserve">statutory </w:t>
      </w:r>
      <w:r w:rsidR="005D5D97">
        <w:rPr>
          <w:szCs w:val="22"/>
        </w:rPr>
        <w:t>benchmark and it is a publicly traded company, which does business</w:t>
      </w:r>
      <w:r w:rsidR="00AF5714">
        <w:rPr>
          <w:szCs w:val="22"/>
        </w:rPr>
        <w:t xml:space="preserve"> internationally</w:t>
      </w:r>
      <w:r w:rsidR="00826C3A">
        <w:rPr>
          <w:szCs w:val="22"/>
        </w:rPr>
        <w:t xml:space="preserve"> and attracts foreign investment</w:t>
      </w:r>
      <w:r w:rsidR="005D5D97">
        <w:rPr>
          <w:szCs w:val="22"/>
        </w:rPr>
        <w:t>.</w:t>
      </w:r>
      <w:r w:rsidR="00B2440C">
        <w:rPr>
          <w:rStyle w:val="FootnoteReference"/>
          <w:szCs w:val="22"/>
        </w:rPr>
        <w:footnoteReference w:id="33"/>
      </w:r>
      <w:r w:rsidR="005D5D97">
        <w:rPr>
          <w:szCs w:val="22"/>
        </w:rPr>
        <w:t xml:space="preserve">  </w:t>
      </w:r>
      <w:r w:rsidR="00826C3A">
        <w:rPr>
          <w:szCs w:val="22"/>
        </w:rPr>
        <w:t>HMTV claims that it needs additional foreign capital to compete against larger, better funded rival foreign language programmers, such as Telemundo.</w:t>
      </w:r>
      <w:r w:rsidR="00826C3A">
        <w:rPr>
          <w:rStyle w:val="FootnoteReference"/>
          <w:szCs w:val="22"/>
        </w:rPr>
        <w:footnoteReference w:id="34"/>
      </w:r>
      <w:r w:rsidR="00826C3A">
        <w:rPr>
          <w:szCs w:val="22"/>
        </w:rPr>
        <w:t xml:space="preserve">  </w:t>
      </w:r>
      <w:r w:rsidR="00737538">
        <w:rPr>
          <w:szCs w:val="22"/>
        </w:rPr>
        <w:t xml:space="preserve">HMTV also indicates that its future growth strategy includes potential further expansion into Latin </w:t>
      </w:r>
      <w:r w:rsidR="004E5005">
        <w:rPr>
          <w:szCs w:val="22"/>
        </w:rPr>
        <w:t xml:space="preserve">America </w:t>
      </w:r>
      <w:r w:rsidR="00F9238C">
        <w:rPr>
          <w:szCs w:val="22"/>
        </w:rPr>
        <w:t>and that</w:t>
      </w:r>
      <w:r w:rsidR="007C76FB">
        <w:rPr>
          <w:szCs w:val="22"/>
        </w:rPr>
        <w:t xml:space="preserve"> consideration for acquisition of Latin American assets may include cash and/or </w:t>
      </w:r>
      <w:r w:rsidR="00C266DF">
        <w:rPr>
          <w:szCs w:val="22"/>
        </w:rPr>
        <w:t xml:space="preserve">HMTV </w:t>
      </w:r>
      <w:r w:rsidR="007C76FB">
        <w:rPr>
          <w:szCs w:val="22"/>
        </w:rPr>
        <w:t>common stock</w:t>
      </w:r>
      <w:r w:rsidR="00C266DF">
        <w:rPr>
          <w:szCs w:val="22"/>
        </w:rPr>
        <w:t xml:space="preserve"> such</w:t>
      </w:r>
      <w:r w:rsidR="007C76FB">
        <w:rPr>
          <w:szCs w:val="22"/>
        </w:rPr>
        <w:t xml:space="preserve"> that, without an increase in the amount of allowable foreign ownership, HMTV will be limited in its ability to acquire assets owned by foreign partners.</w:t>
      </w:r>
      <w:r w:rsidR="007C76FB">
        <w:rPr>
          <w:rStyle w:val="FootnoteReference"/>
          <w:szCs w:val="22"/>
        </w:rPr>
        <w:footnoteReference w:id="35"/>
      </w:r>
      <w:r w:rsidR="007C76FB">
        <w:rPr>
          <w:szCs w:val="22"/>
        </w:rPr>
        <w:t xml:space="preserve">  Finally, HMTV argues that permitting more foreign investment in broadcast companies will encourage reciprocity by other </w:t>
      </w:r>
      <w:r w:rsidR="00745CA0">
        <w:rPr>
          <w:szCs w:val="22"/>
        </w:rPr>
        <w:t xml:space="preserve">countries </w:t>
      </w:r>
      <w:r w:rsidR="007C76FB">
        <w:rPr>
          <w:szCs w:val="22"/>
        </w:rPr>
        <w:t>and lower barriers to U.S. investment abroad.</w:t>
      </w:r>
      <w:r w:rsidR="007C76FB">
        <w:rPr>
          <w:rStyle w:val="FootnoteReference"/>
          <w:szCs w:val="22"/>
        </w:rPr>
        <w:footnoteReference w:id="36"/>
      </w:r>
    </w:p>
    <w:p w14:paraId="494EA733" w14:textId="45B0F8C9" w:rsidR="00B75C21" w:rsidRDefault="00B75C21" w:rsidP="000C5301">
      <w:pPr>
        <w:pStyle w:val="ParaNum"/>
        <w:tabs>
          <w:tab w:val="clear" w:pos="1080"/>
          <w:tab w:val="num" w:pos="1440"/>
        </w:tabs>
        <w:rPr>
          <w:szCs w:val="22"/>
        </w:rPr>
      </w:pPr>
      <w:r>
        <w:rPr>
          <w:szCs w:val="22"/>
        </w:rPr>
        <w:t xml:space="preserve">The Petition was put out for public comment on </w:t>
      </w:r>
      <w:r w:rsidR="00F101CB">
        <w:rPr>
          <w:szCs w:val="22"/>
        </w:rPr>
        <w:t>July 27, 2016</w:t>
      </w:r>
      <w:r>
        <w:rPr>
          <w:szCs w:val="22"/>
        </w:rPr>
        <w:t xml:space="preserve"> with comments due </w:t>
      </w:r>
      <w:r w:rsidR="008D34F7">
        <w:rPr>
          <w:szCs w:val="22"/>
        </w:rPr>
        <w:t>August 29, 2016</w:t>
      </w:r>
      <w:r>
        <w:rPr>
          <w:szCs w:val="22"/>
        </w:rPr>
        <w:t>.  N</w:t>
      </w:r>
      <w:r>
        <w:t>o parties have opposed the Petition or asked for conditions to be placed on it.</w:t>
      </w:r>
      <w:r w:rsidR="00F73E18">
        <w:rPr>
          <w:rStyle w:val="FootnoteReference"/>
        </w:rPr>
        <w:footnoteReference w:id="37"/>
      </w:r>
    </w:p>
    <w:p w14:paraId="22C3BF38" w14:textId="726C9251" w:rsidR="00E632FD" w:rsidRPr="000C5301" w:rsidRDefault="00065F77" w:rsidP="00E632FD">
      <w:pPr>
        <w:pStyle w:val="Heading1"/>
      </w:pPr>
      <w:r>
        <w:t>discussion</w:t>
      </w:r>
    </w:p>
    <w:p w14:paraId="0630FC28" w14:textId="2853B2B1" w:rsidR="00264425" w:rsidRDefault="00264425" w:rsidP="00E722A4">
      <w:pPr>
        <w:pStyle w:val="ParaNum"/>
        <w:tabs>
          <w:tab w:val="clear" w:pos="1080"/>
          <w:tab w:val="num" w:pos="1440"/>
        </w:tabs>
      </w:pPr>
      <w:r>
        <w:rPr>
          <w:szCs w:val="22"/>
        </w:rPr>
        <w:t xml:space="preserve">As described below, we </w:t>
      </w:r>
      <w:r w:rsidR="002C71B7">
        <w:rPr>
          <w:szCs w:val="22"/>
        </w:rPr>
        <w:t xml:space="preserve">find that the public interest would not be served by </w:t>
      </w:r>
      <w:r w:rsidR="00244C05">
        <w:rPr>
          <w:szCs w:val="22"/>
        </w:rPr>
        <w:t>refusing</w:t>
      </w:r>
      <w:r w:rsidR="002C71B7">
        <w:rPr>
          <w:szCs w:val="22"/>
        </w:rPr>
        <w:t xml:space="preserve"> to </w:t>
      </w:r>
      <w:r>
        <w:rPr>
          <w:szCs w:val="22"/>
        </w:rPr>
        <w:t xml:space="preserve">grant HMTV’s petition for a declaratory ruling </w:t>
      </w:r>
      <w:r w:rsidR="00745CA0">
        <w:rPr>
          <w:szCs w:val="22"/>
        </w:rPr>
        <w:t xml:space="preserve">to </w:t>
      </w:r>
      <w:r w:rsidR="002C71B7">
        <w:rPr>
          <w:szCs w:val="22"/>
        </w:rPr>
        <w:t>permit</w:t>
      </w:r>
      <w:r>
        <w:rPr>
          <w:szCs w:val="22"/>
        </w:rPr>
        <w:t xml:space="preserve"> foreign ownership </w:t>
      </w:r>
      <w:r w:rsidR="002C71B7">
        <w:rPr>
          <w:szCs w:val="22"/>
        </w:rPr>
        <w:t xml:space="preserve">of </w:t>
      </w:r>
      <w:r w:rsidR="002C71B7">
        <w:t>Hemisphere Media Group, Inc., as</w:t>
      </w:r>
      <w:r>
        <w:rPr>
          <w:szCs w:val="22"/>
        </w:rPr>
        <w:t xml:space="preserve"> described herein</w:t>
      </w:r>
      <w:r w:rsidR="002C71B7">
        <w:rPr>
          <w:szCs w:val="22"/>
        </w:rPr>
        <w:t>,</w:t>
      </w:r>
      <w:r>
        <w:rPr>
          <w:szCs w:val="22"/>
        </w:rPr>
        <w:t xml:space="preserve"> above the statutory cap of 25 percent in Section 310(b) and up to 49.99 percent.  </w:t>
      </w:r>
      <w:r w:rsidR="00217F32">
        <w:rPr>
          <w:szCs w:val="22"/>
        </w:rPr>
        <w:t xml:space="preserve">In this section, first we </w:t>
      </w:r>
      <w:r>
        <w:rPr>
          <w:szCs w:val="22"/>
        </w:rPr>
        <w:t xml:space="preserve">summarize the relevant law and Commission precedent related to foreign ownership of broadcast licensees.  </w:t>
      </w:r>
      <w:r w:rsidR="00217F32">
        <w:rPr>
          <w:szCs w:val="22"/>
        </w:rPr>
        <w:t>Then we consider facts presented by HMTV regarding its foreign ownership status and its public interest arguments.</w:t>
      </w:r>
    </w:p>
    <w:p w14:paraId="59D21C4F" w14:textId="0EDBBBA8" w:rsidR="000B63E1" w:rsidRPr="000B63E1" w:rsidRDefault="00217F32" w:rsidP="00E722A4">
      <w:pPr>
        <w:pStyle w:val="ParaNum"/>
        <w:tabs>
          <w:tab w:val="clear" w:pos="1080"/>
          <w:tab w:val="num" w:pos="1440"/>
        </w:tabs>
      </w:pPr>
      <w:r>
        <w:rPr>
          <w:i/>
        </w:rPr>
        <w:t xml:space="preserve">Relevant Law and Commission Precedent:  </w:t>
      </w:r>
      <w:r w:rsidR="000B63E1">
        <w:t xml:space="preserve">Section 310(b) of the Act </w:t>
      </w:r>
      <w:r w:rsidR="000B63E1">
        <w:rPr>
          <w:szCs w:val="22"/>
        </w:rPr>
        <w:t>restricts investment by non-U.S. citizens in broadcast, common carrier, aeronautical en route</w:t>
      </w:r>
      <w:r w:rsidR="00745CA0">
        <w:rPr>
          <w:szCs w:val="22"/>
        </w:rPr>
        <w:t>,</w:t>
      </w:r>
      <w:r w:rsidR="000B63E1">
        <w:rPr>
          <w:szCs w:val="22"/>
        </w:rPr>
        <w:t xml:space="preserve"> and aeronautical fixed radio licensees.</w:t>
      </w:r>
      <w:r w:rsidR="000B63E1">
        <w:rPr>
          <w:rStyle w:val="FootnoteReference"/>
          <w:szCs w:val="22"/>
        </w:rPr>
        <w:footnoteReference w:id="38"/>
      </w:r>
      <w:r w:rsidR="000B63E1">
        <w:rPr>
          <w:szCs w:val="22"/>
        </w:rPr>
        <w:t xml:space="preserve">  </w:t>
      </w:r>
      <w:r w:rsidR="000B63E1" w:rsidRPr="00F46E66">
        <w:rPr>
          <w:szCs w:val="22"/>
        </w:rPr>
        <w:t xml:space="preserve">Section 310(b)(4) </w:t>
      </w:r>
      <w:r w:rsidR="000B63E1">
        <w:rPr>
          <w:szCs w:val="22"/>
        </w:rPr>
        <w:t xml:space="preserve">of the Act </w:t>
      </w:r>
      <w:r w:rsidR="006E1C27">
        <w:rPr>
          <w:szCs w:val="22"/>
        </w:rPr>
        <w:t>states</w:t>
      </w:r>
      <w:r w:rsidR="000B63E1">
        <w:rPr>
          <w:szCs w:val="22"/>
        </w:rPr>
        <w:t>:</w:t>
      </w:r>
    </w:p>
    <w:p w14:paraId="3AB1F398" w14:textId="5773629B" w:rsidR="00E632FD" w:rsidRDefault="006E1C27" w:rsidP="000B63E1">
      <w:pPr>
        <w:pStyle w:val="ParaNum"/>
        <w:numPr>
          <w:ilvl w:val="0"/>
          <w:numId w:val="0"/>
        </w:numPr>
        <w:ind w:left="720"/>
      </w:pPr>
      <w:r w:rsidRPr="00EF0AC2">
        <w:t>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sidR="000B63E1">
        <w:rPr>
          <w:rStyle w:val="FootnoteReference"/>
          <w:szCs w:val="22"/>
        </w:rPr>
        <w:footnoteReference w:id="39"/>
      </w:r>
      <w:r w:rsidR="000B63E1">
        <w:t xml:space="preserve"> </w:t>
      </w:r>
    </w:p>
    <w:p w14:paraId="59EE6A3E" w14:textId="5357040C" w:rsidR="00E632FD" w:rsidRPr="00EF0AC2" w:rsidRDefault="00E632FD" w:rsidP="00C13D5E">
      <w:pPr>
        <w:pStyle w:val="ParaNum"/>
        <w:tabs>
          <w:tab w:val="clear" w:pos="1080"/>
          <w:tab w:val="num" w:pos="1440"/>
        </w:tabs>
      </w:pPr>
      <w:r w:rsidRPr="00EF0AC2">
        <w:t xml:space="preserve">In the </w:t>
      </w:r>
      <w:r w:rsidRPr="00EF0AC2">
        <w:rPr>
          <w:i/>
        </w:rPr>
        <w:t>2013 Broadcast Clarification Order</w:t>
      </w:r>
      <w:r w:rsidRPr="00EF0AC2">
        <w:t>,</w:t>
      </w:r>
      <w:r w:rsidR="00084CD3">
        <w:rPr>
          <w:rStyle w:val="FootnoteReference"/>
        </w:rPr>
        <w:footnoteReference w:id="40"/>
      </w:r>
      <w:r w:rsidRPr="00EF0AC2">
        <w:t xml:space="preserve"> </w:t>
      </w:r>
      <w:r>
        <w:t>the Commission</w:t>
      </w:r>
      <w:r w:rsidRPr="00EF0AC2">
        <w:t xml:space="preserve"> clarified the policies and procedures for evaluating potential foreign investment in broadcast licensees under Section 310(b)(4) of the Act to remove apparent uncertainty.</w:t>
      </w:r>
      <w:r w:rsidRPr="00EF0AC2">
        <w:rPr>
          <w:vertAlign w:val="superscript"/>
        </w:rPr>
        <w:footnoteReference w:id="41"/>
      </w:r>
      <w:r w:rsidRPr="00EF0AC2">
        <w:t xml:space="preserve">  </w:t>
      </w:r>
      <w:r>
        <w:t>The Commission</w:t>
      </w:r>
      <w:r w:rsidRPr="00EF0AC2">
        <w:t xml:space="preserve"> declined to adopt a standardized review </w:t>
      </w:r>
      <w:r>
        <w:t>process in that proceeding, and instead clarified that it would</w:t>
      </w:r>
      <w:r w:rsidR="00826C3A">
        <w:t xml:space="preserve"> continue to conduct a</w:t>
      </w:r>
      <w:r w:rsidRPr="00EF0AC2">
        <w:t xml:space="preserve"> fact-specific, individualized case-by-case review of each application or petition for declaratory ruling involving broadcast stations.</w:t>
      </w:r>
      <w:r w:rsidRPr="00EF0AC2">
        <w:rPr>
          <w:rStyle w:val="FootnoteReference"/>
        </w:rPr>
        <w:footnoteReference w:id="42"/>
      </w:r>
      <w:r w:rsidRPr="00EF0AC2">
        <w:t xml:space="preserve">  </w:t>
      </w:r>
      <w:r>
        <w:t>The Commission reiterated</w:t>
      </w:r>
      <w:r w:rsidR="00826C3A">
        <w:t xml:space="preserve"> </w:t>
      </w:r>
      <w:r>
        <w:t>its position</w:t>
      </w:r>
      <w:r w:rsidR="00826C3A">
        <w:t xml:space="preserve"> </w:t>
      </w:r>
      <w:r>
        <w:t>that</w:t>
      </w:r>
      <w:r w:rsidR="00745CA0">
        <w:t>,</w:t>
      </w:r>
      <w:r>
        <w:t xml:space="preserve"> in the context of Section 310(b)(4) review for broadcast licensees, </w:t>
      </w:r>
      <w:r w:rsidRPr="00EF0AC2">
        <w:t>the 25 percent benchmark “is only a trigger for the exercise of our discretion, which we then exercise based upon a more searching analysis of the circumstances of each case.”</w:t>
      </w:r>
      <w:r w:rsidRPr="00EF0AC2">
        <w:rPr>
          <w:rStyle w:val="FootnoteReference"/>
        </w:rPr>
        <w:footnoteReference w:id="43"/>
      </w:r>
      <w:r w:rsidRPr="00EF0AC2">
        <w:t xml:space="preserve">  </w:t>
      </w:r>
      <w:r>
        <w:t>The Commission also recognize</w:t>
      </w:r>
      <w:r w:rsidR="00826C3A">
        <w:t>d</w:t>
      </w:r>
      <w:r w:rsidRPr="00EF0AC2">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sidRPr="00EF0AC2">
        <w:rPr>
          <w:rStyle w:val="FootnoteReference"/>
        </w:rPr>
        <w:footnoteReference w:id="44"/>
      </w:r>
    </w:p>
    <w:p w14:paraId="7662CE9C" w14:textId="67CB0AF0" w:rsidR="00826C3A" w:rsidRPr="00EF0AC2" w:rsidRDefault="003112AD" w:rsidP="001F1813">
      <w:pPr>
        <w:pStyle w:val="ParaNum"/>
        <w:tabs>
          <w:tab w:val="clear" w:pos="1080"/>
          <w:tab w:val="num" w:pos="1440"/>
        </w:tabs>
      </w:pPr>
      <w:r w:rsidRPr="00EF0AC2">
        <w:t xml:space="preserve">In </w:t>
      </w:r>
      <w:r w:rsidR="00F73E18">
        <w:t>its</w:t>
      </w:r>
      <w:r w:rsidR="00F73E18" w:rsidRPr="00EF0AC2">
        <w:t xml:space="preserve"> </w:t>
      </w:r>
      <w:r w:rsidRPr="00EF0AC2">
        <w:rPr>
          <w:i/>
        </w:rPr>
        <w:t>2015 Pandora Declaratory Ruling</w:t>
      </w:r>
      <w:r w:rsidRPr="00EF0AC2">
        <w:t xml:space="preserve">, </w:t>
      </w:r>
      <w:r w:rsidR="00D806CF">
        <w:t xml:space="preserve">the Commission </w:t>
      </w:r>
      <w:r w:rsidRPr="00EF0AC2">
        <w:t>granted a petition for declaratory ruling filed by Pandora Radio LLC (Pandora) to exceed the 25 percent foreign ownership benchmark set out in Section 310(b)(4)</w:t>
      </w:r>
      <w:r w:rsidR="00D34AA8" w:rsidRPr="00EF0AC2">
        <w:t xml:space="preserve">, in connection with an application </w:t>
      </w:r>
      <w:r w:rsidR="00D806CF">
        <w:t>for consent to assignment of license of KXMZ(FM) Box Elder, South Dakota</w:t>
      </w:r>
      <w:r w:rsidRPr="00EF0AC2">
        <w:t>.</w:t>
      </w:r>
      <w:r w:rsidRPr="00EF0AC2">
        <w:rPr>
          <w:rStyle w:val="FootnoteReference"/>
        </w:rPr>
        <w:footnoteReference w:id="45"/>
      </w:r>
      <w:r w:rsidRPr="00EF0AC2">
        <w:t xml:space="preserve">  </w:t>
      </w:r>
      <w:r w:rsidR="00826C3A">
        <w:t>In its petition, Pandora sought permission for its</w:t>
      </w:r>
      <w:r w:rsidRPr="00EF0AC2">
        <w:t xml:space="preserve"> parent company, Pandora Media, a publicly traded company organized and headquartered in the </w:t>
      </w:r>
      <w:r w:rsidR="00745CA0">
        <w:t>United States</w:t>
      </w:r>
      <w:r w:rsidRPr="00EF0AC2">
        <w:t>, to have varying levels of foreign ownership (voting and equity) because it could no</w:t>
      </w:r>
      <w:r w:rsidR="00826C3A">
        <w:t>t prove that foreign entities did</w:t>
      </w:r>
      <w:r w:rsidRPr="00EF0AC2">
        <w:t xml:space="preserve"> not own or vote more than 25 percent of its shares.</w:t>
      </w:r>
      <w:r w:rsidRPr="00EF0AC2">
        <w:rPr>
          <w:rStyle w:val="FootnoteReference"/>
        </w:rPr>
        <w:footnoteReference w:id="46"/>
      </w:r>
      <w:r w:rsidRPr="00EF0AC2">
        <w:t xml:space="preserve">  Based on the facts specific to that case and in view of existing broadcast foreign ow</w:t>
      </w:r>
      <w:r w:rsidR="00D806CF">
        <w:t>nership policies, the Commission</w:t>
      </w:r>
      <w:r w:rsidRPr="00EF0AC2">
        <w:t xml:space="preserve"> approved the request to exceed the 25 percent benchmark under Section 310(b)(4) provided that Pandora obtain prior Commission approval for (1) aggregate foreign equity and/or foreign voting interests in Pandora Media exceeding 49.99 percent; (2) any change in the Pandora Media Board of Directors that would result in a majority of foreign members; or (3) any individual foreign investor or “group” acquiring a greater than 5 percent voting or equity interest (or </w:t>
      </w:r>
      <w:r w:rsidR="00F5438D">
        <w:t xml:space="preserve">greater than </w:t>
      </w:r>
      <w:r w:rsidRPr="00EF0AC2">
        <w:t>10 percent for certain institutional investors) in Pandora Media.</w:t>
      </w:r>
      <w:r w:rsidRPr="00EF0AC2">
        <w:rPr>
          <w:rStyle w:val="FootnoteReference"/>
        </w:rPr>
        <w:footnoteReference w:id="47"/>
      </w:r>
      <w:r w:rsidR="007E559E" w:rsidRPr="00EF0AC2">
        <w:t xml:space="preserve">  </w:t>
      </w:r>
      <w:r w:rsidR="00D806CF">
        <w:t>The Commission</w:t>
      </w:r>
      <w:r w:rsidR="00804852" w:rsidRPr="00EF0AC2">
        <w:t xml:space="preserve"> required Pandora </w:t>
      </w:r>
      <w:r w:rsidR="009B18AD" w:rsidRPr="00EF0AC2">
        <w:t xml:space="preserve">Media </w:t>
      </w:r>
      <w:r w:rsidR="00804852" w:rsidRPr="00EF0AC2">
        <w:t>to modify its organizational documents to ensure that its Board of Directors has all necessary powers to maintain compliance with Section 310(b)(4), including the right to request and obtain information regarding citizenship of Pandora</w:t>
      </w:r>
      <w:r w:rsidR="00904A0D" w:rsidRPr="00EF0AC2">
        <w:t xml:space="preserve"> Media</w:t>
      </w:r>
      <w:r w:rsidR="00804852" w:rsidRPr="00EF0AC2">
        <w:t xml:space="preserve">’s interest holders, and the necessary powers to cure noncompliance, specifically: </w:t>
      </w:r>
      <w:r w:rsidR="001E021E" w:rsidRPr="00EF0AC2">
        <w:t xml:space="preserve"> </w:t>
      </w:r>
      <w:r w:rsidR="00804852" w:rsidRPr="00EF0AC2">
        <w:t>(1) the right to restrict the transfer of shares to aliens; (2) the right to require disclosure when an alien acquires an equity and/or voting interest; and (3) the right to compel the redemption of shares held by aliens.</w:t>
      </w:r>
      <w:r w:rsidR="00A95777" w:rsidRPr="00EF0AC2">
        <w:rPr>
          <w:rStyle w:val="FootnoteReference"/>
        </w:rPr>
        <w:footnoteReference w:id="48"/>
      </w:r>
      <w:r w:rsidR="00826C3A" w:rsidRPr="00826C3A">
        <w:t xml:space="preserve"> </w:t>
      </w:r>
    </w:p>
    <w:p w14:paraId="0CF26822" w14:textId="446EA628" w:rsidR="0069330D" w:rsidRDefault="00EA7DB8" w:rsidP="001F1813">
      <w:pPr>
        <w:pStyle w:val="ParaNum"/>
        <w:tabs>
          <w:tab w:val="clear" w:pos="1080"/>
          <w:tab w:val="num" w:pos="1440"/>
        </w:tabs>
      </w:pPr>
      <w:r>
        <w:t xml:space="preserve">The Commission recently adopted its </w:t>
      </w:r>
      <w:r>
        <w:rPr>
          <w:i/>
        </w:rPr>
        <w:t>2016 Foreign Ownership Order</w:t>
      </w:r>
      <w:r>
        <w:t>,</w:t>
      </w:r>
      <w:r>
        <w:rPr>
          <w:rStyle w:val="FootnoteReference"/>
        </w:rPr>
        <w:footnoteReference w:id="49"/>
      </w:r>
      <w:r w:rsidRPr="00EF0AC2">
        <w:t xml:space="preserve"> </w:t>
      </w:r>
      <w:r>
        <w:t>which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 xml:space="preserve">or </w:t>
      </w:r>
      <w:r w:rsidR="00264425">
        <w:t xml:space="preserve">review of </w:t>
      </w:r>
      <w:r>
        <w:t>foreign ownership of</w:t>
      </w:r>
      <w:r w:rsidRPr="00EF0AC2">
        <w:t xml:space="preserve"> common carrier and certain aeronautical licensees under Section 310(b)(4) to the broadcast context</w:t>
      </w:r>
      <w:r w:rsidR="00264425">
        <w:t>,</w:t>
      </w:r>
      <w:r>
        <w:t xml:space="preserve"> with certain limited exceptions.</w:t>
      </w:r>
      <w:r>
        <w:rPr>
          <w:rStyle w:val="FootnoteReference"/>
        </w:rPr>
        <w:footnoteReference w:id="50"/>
      </w:r>
      <w:r w:rsidRPr="00EF0AC2">
        <w:t xml:space="preserve">  </w:t>
      </w:r>
      <w:r>
        <w:t xml:space="preserve">In the </w:t>
      </w:r>
      <w:r>
        <w:rPr>
          <w:i/>
        </w:rPr>
        <w:t xml:space="preserve">2016 Foreign Ownership Order, </w:t>
      </w:r>
      <w:r>
        <w:t xml:space="preserve">the Commission </w:t>
      </w:r>
      <w:r w:rsidRPr="00EF0AC2">
        <w:t>also reform</w:t>
      </w:r>
      <w:r>
        <w:t>ed</w:t>
      </w:r>
      <w:r w:rsidRPr="00EF0AC2">
        <w:t xml:space="preserve"> </w:t>
      </w:r>
      <w:r w:rsidRPr="00EF0AC2">
        <w:rPr>
          <w:szCs w:val="22"/>
        </w:rPr>
        <w:t>the methodology used by both common carrier and broadcast licensees to assess compliance with the foreign ownership limits in Sections 310(b)(3)</w:t>
      </w:r>
      <w:r>
        <w:rPr>
          <w:rStyle w:val="FootnoteReference"/>
          <w:szCs w:val="22"/>
        </w:rPr>
        <w:footnoteReference w:id="51"/>
      </w:r>
      <w:r w:rsidRPr="00EF0AC2">
        <w:rPr>
          <w:szCs w:val="22"/>
        </w:rPr>
        <w:t xml:space="preserve"> and 310(b)(4) of the Act, </w:t>
      </w:r>
      <w:r>
        <w:rPr>
          <w:szCs w:val="22"/>
        </w:rPr>
        <w:t>as appropriate, in recognition of the difficulty that U.S. publicly traded companies face in attempting to ascertain their level of foreign ownership</w:t>
      </w:r>
      <w:r w:rsidRPr="00EF0AC2">
        <w:rPr>
          <w:szCs w:val="22"/>
        </w:rPr>
        <w:t>.</w:t>
      </w:r>
      <w:r>
        <w:rPr>
          <w:rStyle w:val="FootnoteReference"/>
          <w:szCs w:val="22"/>
        </w:rPr>
        <w:footnoteReference w:id="52"/>
      </w:r>
      <w:r>
        <w:t xml:space="preserve">  This</w:t>
      </w:r>
      <w:r w:rsidRPr="00EF0AC2">
        <w:rPr>
          <w:szCs w:val="22"/>
        </w:rPr>
        <w:t xml:space="preserve"> reformed methodology provides a framework for a publicly traded licensee or </w:t>
      </w:r>
      <w:r>
        <w:rPr>
          <w:szCs w:val="22"/>
        </w:rPr>
        <w:t xml:space="preserve">its </w:t>
      </w:r>
      <w:r w:rsidRPr="00EF0AC2">
        <w:rPr>
          <w:szCs w:val="22"/>
        </w:rPr>
        <w:t xml:space="preserve">controlling U.S. parent to ascertain its foreign ownership using information that </w:t>
      </w:r>
      <w:r w:rsidR="00745CA0">
        <w:rPr>
          <w:szCs w:val="22"/>
        </w:rPr>
        <w:t>“</w:t>
      </w:r>
      <w:r w:rsidRPr="00EF0AC2">
        <w:rPr>
          <w:szCs w:val="22"/>
        </w:rPr>
        <w:t>is known or reasonably should be known” to the company in the ordinary course</w:t>
      </w:r>
      <w:r w:rsidR="00AE3294">
        <w:rPr>
          <w:szCs w:val="22"/>
        </w:rPr>
        <w:t xml:space="preserve"> </w:t>
      </w:r>
      <w:r w:rsidRPr="00EF0AC2">
        <w:rPr>
          <w:szCs w:val="22"/>
        </w:rPr>
        <w:t>of business</w:t>
      </w:r>
      <w:r>
        <w:rPr>
          <w:szCs w:val="22"/>
        </w:rPr>
        <w:t xml:space="preserve"> and eliminates</w:t>
      </w:r>
      <w:r w:rsidRPr="00EF0AC2">
        <w:rPr>
          <w:szCs w:val="22"/>
        </w:rPr>
        <w:t xml:space="preserve"> the need for shareholder surveys.</w:t>
      </w:r>
      <w:r>
        <w:rPr>
          <w:rStyle w:val="FootnoteReference"/>
          <w:szCs w:val="22"/>
        </w:rPr>
        <w:footnoteReference w:id="53"/>
      </w:r>
      <w:r w:rsidRPr="00EF0AC2">
        <w:rPr>
          <w:szCs w:val="22"/>
        </w:rPr>
        <w:t xml:space="preserve">  </w:t>
      </w:r>
    </w:p>
    <w:p w14:paraId="174A2CA1" w14:textId="3D6EE5DC" w:rsidR="00D249DB" w:rsidRDefault="00264425" w:rsidP="005D1881">
      <w:pPr>
        <w:pStyle w:val="ParaNum"/>
        <w:tabs>
          <w:tab w:val="clear" w:pos="1080"/>
          <w:tab w:val="num" w:pos="1440"/>
        </w:tabs>
      </w:pPr>
      <w:r>
        <w:t>T</w:t>
      </w:r>
      <w:r w:rsidR="00D806CF">
        <w:t xml:space="preserve">he rules </w:t>
      </w:r>
      <w:r w:rsidR="00F5438D">
        <w:t xml:space="preserve">adopted in </w:t>
      </w:r>
      <w:r w:rsidR="00D806CF">
        <w:t xml:space="preserve">the </w:t>
      </w:r>
      <w:r w:rsidR="00D806CF" w:rsidRPr="0069330D">
        <w:rPr>
          <w:i/>
        </w:rPr>
        <w:t xml:space="preserve">2016 Foreign Ownership Order </w:t>
      </w:r>
      <w:r w:rsidR="00217F32">
        <w:t>have</w:t>
      </w:r>
      <w:r w:rsidR="00D806CF">
        <w:t xml:space="preserve"> not yet </w:t>
      </w:r>
      <w:r w:rsidR="00217F32">
        <w:t>take</w:t>
      </w:r>
      <w:r w:rsidR="00D806CF">
        <w:t>n effect</w:t>
      </w:r>
      <w:r w:rsidR="00414D07">
        <w:t>,</w:t>
      </w:r>
      <w:r w:rsidR="00D806CF">
        <w:t xml:space="preserve"> and </w:t>
      </w:r>
      <w:r w:rsidR="00217F32">
        <w:t xml:space="preserve">thus </w:t>
      </w:r>
      <w:r w:rsidR="00D806CF">
        <w:t>our foreign ownership review process is still governed</w:t>
      </w:r>
      <w:r w:rsidR="00414D07">
        <w:t xml:space="preserve"> </w:t>
      </w:r>
      <w:r w:rsidR="00D806CF">
        <w:t xml:space="preserve">by the </w:t>
      </w:r>
      <w:r w:rsidR="00D806CF" w:rsidRPr="0069330D">
        <w:rPr>
          <w:i/>
        </w:rPr>
        <w:t>2013 Broadcast Clarification Order</w:t>
      </w:r>
      <w:r w:rsidR="00DA404F" w:rsidRPr="0069330D">
        <w:rPr>
          <w:i/>
        </w:rPr>
        <w:t>.</w:t>
      </w:r>
      <w:r w:rsidR="001331EA" w:rsidRPr="00B40141">
        <w:rPr>
          <w:rStyle w:val="FootnoteReference"/>
        </w:rPr>
        <w:footnoteReference w:id="54"/>
      </w:r>
      <w:r w:rsidR="00DA404F" w:rsidRPr="0069330D">
        <w:rPr>
          <w:i/>
        </w:rPr>
        <w:t xml:space="preserve"> </w:t>
      </w:r>
      <w:r w:rsidR="00217F32" w:rsidRPr="0069330D">
        <w:rPr>
          <w:i/>
        </w:rPr>
        <w:t xml:space="preserve"> </w:t>
      </w:r>
      <w:r w:rsidR="00414D07">
        <w:t xml:space="preserve">As noted, in </w:t>
      </w:r>
      <w:r w:rsidR="00C17B4D">
        <w:t xml:space="preserve">the </w:t>
      </w:r>
      <w:r w:rsidR="00C17B4D" w:rsidRPr="0069330D">
        <w:rPr>
          <w:i/>
        </w:rPr>
        <w:t>201</w:t>
      </w:r>
      <w:r w:rsidR="00EC180F" w:rsidRPr="0069330D">
        <w:rPr>
          <w:i/>
        </w:rPr>
        <w:t>3</w:t>
      </w:r>
      <w:r w:rsidR="00C17B4D" w:rsidRPr="0069330D">
        <w:rPr>
          <w:i/>
        </w:rPr>
        <w:t xml:space="preserve"> Broadcast Clarification Order </w:t>
      </w:r>
      <w:r w:rsidR="00C17B4D">
        <w:t>the Commission adopt</w:t>
      </w:r>
      <w:r w:rsidR="00EC180F">
        <w:t>ed</w:t>
      </w:r>
      <w:r w:rsidR="00C17B4D">
        <w:t xml:space="preserve"> a case-by-case approach to reviewing petitions for </w:t>
      </w:r>
      <w:r w:rsidR="007959BD">
        <w:t xml:space="preserve">declaratory ruling to exceed </w:t>
      </w:r>
      <w:r w:rsidR="00C17B4D">
        <w:t>310(b)</w:t>
      </w:r>
      <w:r w:rsidR="00414D07">
        <w:t>(4)</w:t>
      </w:r>
      <w:r w:rsidR="00C17B4D">
        <w:t xml:space="preserve"> benchmark.</w:t>
      </w:r>
      <w:r w:rsidR="00C17B4D">
        <w:rPr>
          <w:rStyle w:val="FootnoteReference"/>
        </w:rPr>
        <w:footnoteReference w:id="55"/>
      </w:r>
      <w:r w:rsidR="00C17B4D">
        <w:t xml:space="preserve">  </w:t>
      </w:r>
      <w:r w:rsidR="008A4966">
        <w:t xml:space="preserve">In that order, the Commission stated that </w:t>
      </w:r>
      <w:r w:rsidR="00113FAF">
        <w:t>“</w:t>
      </w:r>
      <w:r w:rsidR="0069330D">
        <w:t>[b]</w:t>
      </w:r>
      <w:r w:rsidR="00990397">
        <w:t xml:space="preserve">y their nature, </w:t>
      </w:r>
      <w:r w:rsidR="00113FAF">
        <w:t>these case-by-case reviews will lead to distinct, factually driven results.”</w:t>
      </w:r>
      <w:r w:rsidR="00113FAF">
        <w:rPr>
          <w:rStyle w:val="FootnoteReference"/>
        </w:rPr>
        <w:footnoteReference w:id="56"/>
      </w:r>
      <w:r w:rsidR="00113FAF">
        <w:t xml:space="preserve">  </w:t>
      </w:r>
      <w:r w:rsidR="00EC180F">
        <w:t>Thereafter, i</w:t>
      </w:r>
      <w:r w:rsidR="00113FAF">
        <w:t xml:space="preserve">n the </w:t>
      </w:r>
      <w:r w:rsidR="00113FAF" w:rsidRPr="0069330D">
        <w:rPr>
          <w:i/>
        </w:rPr>
        <w:t xml:space="preserve">Pandora </w:t>
      </w:r>
      <w:r w:rsidR="00C17B4D" w:rsidRPr="0069330D">
        <w:rPr>
          <w:i/>
        </w:rPr>
        <w:t>Declaratory Ruling</w:t>
      </w:r>
      <w:r w:rsidR="00113FAF">
        <w:t xml:space="preserve">, the Commission </w:t>
      </w:r>
      <w:r w:rsidR="00990397">
        <w:t>granted</w:t>
      </w:r>
      <w:r w:rsidR="00113FAF">
        <w:t xml:space="preserve"> </w:t>
      </w:r>
      <w:r w:rsidR="005173B2">
        <w:t xml:space="preserve">such a </w:t>
      </w:r>
      <w:r w:rsidR="00113FAF">
        <w:t>petition based on the facts and circumstances of that case</w:t>
      </w:r>
      <w:r w:rsidR="00EC180F">
        <w:t xml:space="preserve"> and</w:t>
      </w:r>
      <w:r w:rsidR="00113FAF">
        <w:t xml:space="preserve">, </w:t>
      </w:r>
      <w:r w:rsidR="00990397">
        <w:t>imposed</w:t>
      </w:r>
      <w:r w:rsidR="00113FAF">
        <w:t xml:space="preserve"> a series of conditions </w:t>
      </w:r>
      <w:r w:rsidR="00414D07">
        <w:t>appropriate to those circumstances</w:t>
      </w:r>
      <w:r w:rsidR="00113FAF">
        <w:t>.</w:t>
      </w:r>
      <w:r w:rsidR="00113FAF">
        <w:rPr>
          <w:rStyle w:val="FootnoteReference"/>
        </w:rPr>
        <w:footnoteReference w:id="57"/>
      </w:r>
      <w:r w:rsidR="00113FAF">
        <w:t xml:space="preserve">  </w:t>
      </w:r>
      <w:r w:rsidR="00322ADB">
        <w:t>T</w:t>
      </w:r>
      <w:r w:rsidR="00C17B4D">
        <w:t xml:space="preserve">he </w:t>
      </w:r>
      <w:r w:rsidR="00C17B4D" w:rsidRPr="0069330D">
        <w:rPr>
          <w:i/>
        </w:rPr>
        <w:t xml:space="preserve">2013 Broadcast Clarification Order </w:t>
      </w:r>
      <w:r w:rsidR="00322ADB">
        <w:t xml:space="preserve">allows </w:t>
      </w:r>
      <w:r w:rsidR="00C17B4D">
        <w:t xml:space="preserve">us discretion </w:t>
      </w:r>
      <w:r w:rsidR="00414D07">
        <w:t xml:space="preserve">in </w:t>
      </w:r>
      <w:r w:rsidR="00322ADB">
        <w:t xml:space="preserve">considering petitions </w:t>
      </w:r>
      <w:r w:rsidR="00414D07">
        <w:t xml:space="preserve">such as </w:t>
      </w:r>
      <w:r w:rsidR="00322ADB">
        <w:t xml:space="preserve">the instant one </w:t>
      </w:r>
      <w:r w:rsidR="00C17B4D">
        <w:t xml:space="preserve">to impose terms and conditions on a licensee </w:t>
      </w:r>
      <w:r w:rsidR="00322ADB">
        <w:t xml:space="preserve">if warranted based on </w:t>
      </w:r>
      <w:r w:rsidR="00C17B4D">
        <w:t>the facts and circumstances of each particular case.</w:t>
      </w:r>
      <w:r w:rsidR="00C17B4D">
        <w:rPr>
          <w:rStyle w:val="FootnoteReference"/>
        </w:rPr>
        <w:footnoteReference w:id="58"/>
      </w:r>
      <w:r w:rsidR="00C17B4D">
        <w:t xml:space="preserve">  </w:t>
      </w:r>
      <w:r w:rsidR="00C33432">
        <w:t xml:space="preserve">Because the Commission clearly </w:t>
      </w:r>
      <w:r w:rsidR="00322ADB">
        <w:t xml:space="preserve">acknowledged </w:t>
      </w:r>
      <w:r w:rsidR="00414D07">
        <w:t xml:space="preserve">that </w:t>
      </w:r>
      <w:r w:rsidR="00322ADB">
        <w:t>fact</w:t>
      </w:r>
      <w:r w:rsidR="00414D07">
        <w:t>-</w:t>
      </w:r>
      <w:r w:rsidR="00322ADB">
        <w:t>specific inquiries</w:t>
      </w:r>
      <w:r w:rsidR="00C33432">
        <w:t xml:space="preserve"> will lead to different results in different cases, </w:t>
      </w:r>
      <w:r w:rsidR="00322ADB">
        <w:t xml:space="preserve">we need not conclude that the conditions imposed in </w:t>
      </w:r>
      <w:r w:rsidR="00C33432">
        <w:t xml:space="preserve">the </w:t>
      </w:r>
      <w:r w:rsidR="00C33432" w:rsidRPr="0069330D">
        <w:rPr>
          <w:i/>
        </w:rPr>
        <w:t>Pandora</w:t>
      </w:r>
      <w:r w:rsidR="00B95B98" w:rsidRPr="0069330D">
        <w:rPr>
          <w:i/>
        </w:rPr>
        <w:t xml:space="preserve"> Declaratory Ruling</w:t>
      </w:r>
      <w:r w:rsidR="00C33432" w:rsidRPr="0069330D">
        <w:rPr>
          <w:i/>
        </w:rPr>
        <w:t xml:space="preserve"> </w:t>
      </w:r>
      <w:r w:rsidR="00C33432">
        <w:t xml:space="preserve">are </w:t>
      </w:r>
      <w:r w:rsidR="00EF3A59">
        <w:t xml:space="preserve">necessarily </w:t>
      </w:r>
      <w:r w:rsidR="00C33432">
        <w:t>appropriate under the facts and circumstances of this case</w:t>
      </w:r>
      <w:r w:rsidR="009F54B3">
        <w:rPr>
          <w:rStyle w:val="FootnoteReference"/>
        </w:rPr>
        <w:footnoteReference w:id="59"/>
      </w:r>
      <w:r w:rsidR="00C33432">
        <w:t xml:space="preserve"> </w:t>
      </w:r>
      <w:r w:rsidR="00322ADB">
        <w:t>or that we are limited to those conditions here if we conclude new or different conditions would be more appropriate to the present case</w:t>
      </w:r>
      <w:r w:rsidR="00990397">
        <w:t xml:space="preserve">. </w:t>
      </w:r>
      <w:r w:rsidR="00C33432">
        <w:t xml:space="preserve"> </w:t>
      </w:r>
      <w:r w:rsidR="00D806CF" w:rsidRPr="0069330D">
        <w:rPr>
          <w:i/>
        </w:rPr>
        <w:t xml:space="preserve">  </w:t>
      </w:r>
      <w:r w:rsidR="00D249DB">
        <w:t xml:space="preserve"> </w:t>
      </w:r>
      <w:r w:rsidR="007B6DB0">
        <w:t xml:space="preserve"> </w:t>
      </w:r>
    </w:p>
    <w:p w14:paraId="0F8B35A8" w14:textId="7E8C00ED" w:rsidR="00103369" w:rsidRDefault="00103369" w:rsidP="00595FB3">
      <w:pPr>
        <w:pStyle w:val="ParaNum"/>
        <w:tabs>
          <w:tab w:val="clear" w:pos="1080"/>
          <w:tab w:val="num" w:pos="1440"/>
        </w:tabs>
      </w:pPr>
      <w:r>
        <w:t xml:space="preserve">In the context of considering whether to grant this petition, and, if so, whether conditions are necessary and what conditions should apply, we are cognizant of the Commission’s recent decision in the </w:t>
      </w:r>
      <w:r w:rsidRPr="00EC180F">
        <w:rPr>
          <w:i/>
        </w:rPr>
        <w:t xml:space="preserve">2016 Foreign Ownership Order, </w:t>
      </w:r>
      <w:r>
        <w:t xml:space="preserve">which is scheduled to become effective soon after the adoption of this declaratory ruling.  </w:t>
      </w:r>
      <w:r w:rsidR="00C16D2D">
        <w:t xml:space="preserve">Although the rules adopted in that order are not yet in effect, </w:t>
      </w:r>
      <w:r w:rsidR="003F75A1">
        <w:t>we note that our action here is not inconsistent with the policies or rules the Commission adopted</w:t>
      </w:r>
      <w:r>
        <w:t>.</w:t>
      </w:r>
      <w:r w:rsidRPr="002A1E3F">
        <w:rPr>
          <w:rStyle w:val="FootnoteReference"/>
        </w:rPr>
        <w:footnoteReference w:id="60"/>
      </w:r>
      <w:r>
        <w:rPr>
          <w:i/>
        </w:rPr>
        <w:t xml:space="preserve"> </w:t>
      </w:r>
    </w:p>
    <w:p w14:paraId="113AD63F" w14:textId="2CE47153" w:rsidR="008D27D3" w:rsidRDefault="00217F32" w:rsidP="00595FB3">
      <w:pPr>
        <w:pStyle w:val="ParaNum"/>
        <w:tabs>
          <w:tab w:val="clear" w:pos="1080"/>
          <w:tab w:val="num" w:pos="1440"/>
        </w:tabs>
      </w:pPr>
      <w:r>
        <w:rPr>
          <w:i/>
        </w:rPr>
        <w:t>Facts</w:t>
      </w:r>
      <w:r w:rsidR="008D27D3">
        <w:rPr>
          <w:i/>
        </w:rPr>
        <w:t xml:space="preserve"> Regarding </w:t>
      </w:r>
      <w:r w:rsidR="00414D07">
        <w:rPr>
          <w:i/>
        </w:rPr>
        <w:t xml:space="preserve">HMTV’s </w:t>
      </w:r>
      <w:r w:rsidR="008D27D3">
        <w:rPr>
          <w:i/>
        </w:rPr>
        <w:t>Foreign Ownership Status</w:t>
      </w:r>
      <w:r>
        <w:rPr>
          <w:i/>
        </w:rPr>
        <w:t>:</w:t>
      </w:r>
      <w:r w:rsidR="00EA7DB8">
        <w:t xml:space="preserve">  </w:t>
      </w:r>
      <w:r w:rsidR="00A1657D">
        <w:t>HMTV has identified each U.S. broadcast station license that it currently holds.</w:t>
      </w:r>
      <w:r w:rsidR="00A1657D">
        <w:rPr>
          <w:rStyle w:val="FootnoteReference"/>
        </w:rPr>
        <w:footnoteReference w:id="61"/>
      </w:r>
      <w:r w:rsidR="00A1657D">
        <w:t xml:space="preserve">  </w:t>
      </w:r>
      <w:r w:rsidR="00D249DB">
        <w:t xml:space="preserve">HMTV </w:t>
      </w:r>
      <w:r w:rsidR="00A1657D">
        <w:t>has described how it conducted its foreign ownership review and the methodology it employed</w:t>
      </w:r>
      <w:r w:rsidR="00EA7DB8">
        <w:t xml:space="preserve">, using information that it knew or reasonably should have known at the time the </w:t>
      </w:r>
      <w:r w:rsidR="00B5096D">
        <w:t>Petition</w:t>
      </w:r>
      <w:r w:rsidR="00EA7DB8">
        <w:t xml:space="preserve"> was filed</w:t>
      </w:r>
      <w:r w:rsidR="00A1657D">
        <w:t>.</w:t>
      </w:r>
      <w:r w:rsidR="00EA7DB8">
        <w:t xml:space="preserve"> </w:t>
      </w:r>
      <w:r w:rsidR="00A1657D">
        <w:t xml:space="preserve"> It has demonstrated that it </w:t>
      </w:r>
      <w:r w:rsidR="00D249DB">
        <w:t xml:space="preserve">has </w:t>
      </w:r>
      <w:r w:rsidR="00567F6E">
        <w:t>used due diligence to conduct</w:t>
      </w:r>
      <w:r w:rsidR="00D249DB">
        <w:t xml:space="preserve"> a thorough review of its existing</w:t>
      </w:r>
      <w:r w:rsidR="00567F6E">
        <w:t xml:space="preserve"> shareholders</w:t>
      </w:r>
      <w:r w:rsidR="00A1657D">
        <w:t xml:space="preserve">.  </w:t>
      </w:r>
      <w:r w:rsidR="00EA7DB8">
        <w:t xml:space="preserve">Based on its review, </w:t>
      </w:r>
      <w:r w:rsidR="00A1657D">
        <w:t>HMTV has</w:t>
      </w:r>
      <w:r w:rsidR="00595FB3">
        <w:t xml:space="preserve"> shown</w:t>
      </w:r>
      <w:r w:rsidR="00D249DB">
        <w:t xml:space="preserve"> that there are no unaccounted for attributable shareholders with a greater than 5</w:t>
      </w:r>
      <w:r w:rsidR="008D27D3">
        <w:t xml:space="preserve"> percent</w:t>
      </w:r>
      <w:r w:rsidR="00D249DB">
        <w:t xml:space="preserve"> interest, equity or voting in the company,</w:t>
      </w:r>
      <w:r w:rsidR="00D249DB">
        <w:rPr>
          <w:i/>
        </w:rPr>
        <w:t xml:space="preserve"> </w:t>
      </w:r>
      <w:r w:rsidR="00D249DB">
        <w:t>and no alien shareholders with a greater than 5</w:t>
      </w:r>
      <w:r w:rsidR="008D27D3">
        <w:t xml:space="preserve"> percent</w:t>
      </w:r>
      <w:r w:rsidR="00D249DB">
        <w:t xml:space="preserve"> interest, equity or voting in the company.</w:t>
      </w:r>
      <w:r w:rsidR="00D249DB">
        <w:rPr>
          <w:i/>
        </w:rPr>
        <w:t xml:space="preserve"> </w:t>
      </w:r>
      <w:r w:rsidR="00D249DB">
        <w:t xml:space="preserve"> HMTV has</w:t>
      </w:r>
      <w:r w:rsidR="00595FB3">
        <w:t xml:space="preserve"> submitted the </w:t>
      </w:r>
      <w:r w:rsidR="00F5438D">
        <w:t xml:space="preserve">necessary </w:t>
      </w:r>
      <w:r w:rsidR="00595FB3">
        <w:t>ownership diagrams and</w:t>
      </w:r>
      <w:r w:rsidR="00D249DB">
        <w:t xml:space="preserve"> demonstrated that </w:t>
      </w:r>
      <w:r w:rsidR="00595FB3">
        <w:t xml:space="preserve">it </w:t>
      </w:r>
      <w:r w:rsidR="00D249DB">
        <w:t>is currently in compliance with the 25</w:t>
      </w:r>
      <w:r w:rsidR="008D27D3">
        <w:t xml:space="preserve"> percent</w:t>
      </w:r>
      <w:r w:rsidR="00D249DB">
        <w:t xml:space="preserve"> </w:t>
      </w:r>
      <w:r w:rsidR="00F5438D">
        <w:t xml:space="preserve">benchmark </w:t>
      </w:r>
      <w:r w:rsidR="00D249DB">
        <w:t xml:space="preserve">under Section 310(b)(4).  </w:t>
      </w:r>
      <w:r w:rsidR="008D27D3">
        <w:t xml:space="preserve">We find that HMTV has provided sufficient information regarding its current foreign ownership status and </w:t>
      </w:r>
      <w:r w:rsidR="008D27D3" w:rsidRPr="002F42EE">
        <w:t>its proposed future foreign ownership status</w:t>
      </w:r>
      <w:r w:rsidR="008D27D3">
        <w:t xml:space="preserve"> to inform </w:t>
      </w:r>
      <w:r w:rsidR="001331EA">
        <w:t xml:space="preserve">our </w:t>
      </w:r>
      <w:r w:rsidR="008D27D3">
        <w:t>decision on the pending petition.</w:t>
      </w:r>
    </w:p>
    <w:p w14:paraId="3B4BB7EE" w14:textId="53C7D00D" w:rsidR="00AF5714" w:rsidRDefault="008D27D3" w:rsidP="00595FB3">
      <w:pPr>
        <w:pStyle w:val="ParaNum"/>
        <w:tabs>
          <w:tab w:val="clear" w:pos="1080"/>
          <w:tab w:val="num" w:pos="1440"/>
        </w:tabs>
      </w:pPr>
      <w:r>
        <w:rPr>
          <w:i/>
        </w:rPr>
        <w:t xml:space="preserve">Public Interest Analysis: </w:t>
      </w:r>
      <w:r w:rsidR="00592A4C">
        <w:t xml:space="preserve">In both the </w:t>
      </w:r>
      <w:r w:rsidR="00592A4C">
        <w:rPr>
          <w:i/>
        </w:rPr>
        <w:t>2013</w:t>
      </w:r>
      <w:r w:rsidR="00B20D7F">
        <w:rPr>
          <w:i/>
        </w:rPr>
        <w:t xml:space="preserve"> Broadcast</w:t>
      </w:r>
      <w:r w:rsidR="00592A4C">
        <w:rPr>
          <w:i/>
        </w:rPr>
        <w:t xml:space="preserve"> </w:t>
      </w:r>
      <w:r w:rsidR="000621FD">
        <w:rPr>
          <w:i/>
        </w:rPr>
        <w:t>Clarification Order</w:t>
      </w:r>
      <w:r w:rsidR="00592A4C">
        <w:t xml:space="preserve"> and the </w:t>
      </w:r>
      <w:r w:rsidR="00592A4C">
        <w:rPr>
          <w:i/>
        </w:rPr>
        <w:t xml:space="preserve">2016 Foreign Ownership Order, </w:t>
      </w:r>
      <w:r w:rsidR="00592A4C">
        <w:t>the Commission emphasized the need to encourage new sources of investment in the broadcast industry, including foreign investment</w:t>
      </w:r>
      <w:r w:rsidR="002C71B7">
        <w:t>.</w:t>
      </w:r>
      <w:r w:rsidR="00592A4C">
        <w:rPr>
          <w:rStyle w:val="FootnoteReference"/>
        </w:rPr>
        <w:footnoteReference w:id="62"/>
      </w:r>
      <w:r w:rsidR="00592A4C">
        <w:t xml:space="preserve">  </w:t>
      </w:r>
      <w:r w:rsidR="00F81D74">
        <w:t xml:space="preserve">The Commission has also emphasized the need to protect important issues related to national security, law enforcement, </w:t>
      </w:r>
      <w:r w:rsidR="00594BE9">
        <w:t xml:space="preserve">foreign policy, </w:t>
      </w:r>
      <w:r w:rsidR="00F81D74">
        <w:t>trade policy, and other public policy goals while maintaining compliance with Section 310(b).</w:t>
      </w:r>
      <w:r w:rsidR="00F81D74">
        <w:rPr>
          <w:rStyle w:val="FootnoteReference"/>
        </w:rPr>
        <w:footnoteReference w:id="63"/>
      </w:r>
      <w:r w:rsidR="00F81D74">
        <w:t xml:space="preserve">  The relevant Executive Branch agencies with expertise on issues related to national security, law enforcement,</w:t>
      </w:r>
      <w:r w:rsidR="00594BE9">
        <w:t xml:space="preserve"> foreign policy,</w:t>
      </w:r>
      <w:r w:rsidR="00F81D74">
        <w:t xml:space="preserve"> and trade policy have not filed any objection to issuance of the declaratory ruling or requested that we impose conditions on the grant.  </w:t>
      </w:r>
      <w:r w:rsidR="00595FB3">
        <w:t>HMTV has s</w:t>
      </w:r>
      <w:r w:rsidR="00592A4C">
        <w:t>ubmitted information</w:t>
      </w:r>
      <w:r w:rsidR="00D249DB">
        <w:t xml:space="preserve"> that it is approaching the 25</w:t>
      </w:r>
      <w:r w:rsidR="00592A4C">
        <w:t xml:space="preserve"> percent</w:t>
      </w:r>
      <w:r w:rsidR="00D249DB">
        <w:t xml:space="preserve"> cap</w:t>
      </w:r>
      <w:r w:rsidR="00592A4C">
        <w:t xml:space="preserve"> and that</w:t>
      </w:r>
      <w:r w:rsidR="00481947">
        <w:t>,</w:t>
      </w:r>
      <w:r w:rsidR="00D249DB">
        <w:t xml:space="preserve"> because it is a publicly traded company</w:t>
      </w:r>
      <w:r w:rsidR="00592A4C">
        <w:t xml:space="preserve"> that</w:t>
      </w:r>
      <w:r w:rsidR="00D249DB">
        <w:t xml:space="preserve"> does business internationally</w:t>
      </w:r>
      <w:r w:rsidR="00AF5714">
        <w:t xml:space="preserve"> and attracts foreign investors, permitting it to increase its foreign investment up to 49.99</w:t>
      </w:r>
      <w:r w:rsidR="00592A4C">
        <w:t xml:space="preserve"> percent</w:t>
      </w:r>
      <w:r w:rsidR="00AF5714">
        <w:t xml:space="preserve"> would facilitate its ability to do business and to attract additional capital. </w:t>
      </w:r>
      <w:r w:rsidR="00A32781">
        <w:t xml:space="preserve"> </w:t>
      </w:r>
      <w:r w:rsidR="00414D07">
        <w:t xml:space="preserve">We find persuasive </w:t>
      </w:r>
      <w:r w:rsidR="00592A4C">
        <w:t>HMTV</w:t>
      </w:r>
      <w:r w:rsidR="00414D07">
        <w:t>’s contention</w:t>
      </w:r>
      <w:r w:rsidR="00592A4C">
        <w:t xml:space="preserve"> that granting its petition would serve the public inter</w:t>
      </w:r>
      <w:r w:rsidR="002C71B7">
        <w:t>e</w:t>
      </w:r>
      <w:r w:rsidR="00592A4C">
        <w:t>st in encouraging new foreign investment.</w:t>
      </w:r>
      <w:r w:rsidR="001F1813">
        <w:t xml:space="preserve">  </w:t>
      </w:r>
      <w:r w:rsidR="009D7871">
        <w:t>HMTV</w:t>
      </w:r>
      <w:r w:rsidR="001B23C3">
        <w:t xml:space="preserve"> has also demonstrated that grant of its </w:t>
      </w:r>
      <w:r w:rsidR="00B5096D">
        <w:t>Petition</w:t>
      </w:r>
      <w:r w:rsidR="001B23C3">
        <w:t xml:space="preserve"> has the potential to encourage reciprocity</w:t>
      </w:r>
      <w:r w:rsidR="00595FB3">
        <w:t xml:space="preserve"> in parts of</w:t>
      </w:r>
      <w:r w:rsidR="001B23C3">
        <w:t xml:space="preserve"> </w:t>
      </w:r>
      <w:r w:rsidR="001F1813">
        <w:t xml:space="preserve">Latin America, </w:t>
      </w:r>
      <w:r w:rsidR="001B23C3">
        <w:t>the region</w:t>
      </w:r>
      <w:r w:rsidR="002C71B7">
        <w:t xml:space="preserve"> </w:t>
      </w:r>
      <w:r w:rsidR="001B23C3">
        <w:t>in which it does</w:t>
      </w:r>
      <w:r w:rsidR="00EA7DB8">
        <w:t xml:space="preserve"> international</w:t>
      </w:r>
      <w:r w:rsidR="001B23C3">
        <w:t xml:space="preserve"> business</w:t>
      </w:r>
      <w:r w:rsidR="00AF5714">
        <w:t>.</w:t>
      </w:r>
      <w:r w:rsidR="000621FD">
        <w:rPr>
          <w:rStyle w:val="FootnoteReference"/>
        </w:rPr>
        <w:footnoteReference w:id="64"/>
      </w:r>
      <w:r w:rsidR="00AF5714">
        <w:t xml:space="preserve">  </w:t>
      </w:r>
      <w:r w:rsidR="00B75C21">
        <w:t>As noted above, n</w:t>
      </w:r>
      <w:r w:rsidR="00AF5714">
        <w:t xml:space="preserve">o parties have opposed the </w:t>
      </w:r>
      <w:r w:rsidR="00B5096D">
        <w:t>Petition</w:t>
      </w:r>
      <w:r w:rsidR="00AF5714">
        <w:t xml:space="preserve"> for declaratory ruling</w:t>
      </w:r>
      <w:r w:rsidR="00595FB3">
        <w:t xml:space="preserve"> or asked for conditions to be placed on it</w:t>
      </w:r>
      <w:r w:rsidR="00AF5714">
        <w:t xml:space="preserve">. </w:t>
      </w:r>
      <w:r w:rsidR="00A22A1B">
        <w:t xml:space="preserve"> </w:t>
      </w:r>
    </w:p>
    <w:p w14:paraId="174F7590" w14:textId="7840EA2C" w:rsidR="009F71DB" w:rsidRPr="009F71DB" w:rsidRDefault="009F71DB" w:rsidP="009F71DB">
      <w:pPr>
        <w:pStyle w:val="Heading1"/>
      </w:pPr>
      <w:r>
        <w:t>declaratory ruling</w:t>
      </w:r>
    </w:p>
    <w:p w14:paraId="4A415C71" w14:textId="26AA5C66" w:rsidR="00CB60CB" w:rsidRDefault="00481947" w:rsidP="00DF54F2">
      <w:pPr>
        <w:pStyle w:val="ParaNum"/>
        <w:tabs>
          <w:tab w:val="clear" w:pos="1080"/>
          <w:tab w:val="num" w:pos="1440"/>
        </w:tabs>
      </w:pPr>
      <w:r>
        <w:t>Under these circumstances, p</w:t>
      </w:r>
      <w:r w:rsidR="009F71DB">
        <w:t xml:space="preserve">ursuant to </w:t>
      </w:r>
      <w:r w:rsidR="00244C05">
        <w:t xml:space="preserve">Section 310(b) of the Act, </w:t>
      </w:r>
      <w:r w:rsidR="009F71DB">
        <w:t>we find that the public interest would not be served by prohibiting foreign ownership of Hemisphere Media Group, Inc. in excess of the 25</w:t>
      </w:r>
      <w:r w:rsidR="002C71B7">
        <w:t xml:space="preserve"> percent</w:t>
      </w:r>
      <w:r w:rsidR="009F71DB">
        <w:t xml:space="preserve"> benchmark in </w:t>
      </w:r>
      <w:r w:rsidR="00A26638">
        <w:t>S</w:t>
      </w:r>
      <w:r w:rsidR="009F71DB">
        <w:t>ection 310(b) of the Act</w:t>
      </w:r>
      <w:r w:rsidR="006D7270">
        <w:t xml:space="preserve"> because</w:t>
      </w:r>
      <w:r w:rsidR="006D7270" w:rsidRPr="006D7270">
        <w:t xml:space="preserve"> </w:t>
      </w:r>
      <w:r w:rsidR="006D7270">
        <w:t>this increased level of foreign investment in HMTV will facilitate investment from new sources of capital in HMTV that would not otherwise be available and encourage reciprocity by foreign governments</w:t>
      </w:r>
      <w:r w:rsidR="009F71DB">
        <w:t>.  Specifically, this ruling permits aggregate foreign equity and voting interest in Hemisphere Media Group, Inc. to exceed 25</w:t>
      </w:r>
      <w:r w:rsidR="00244C05">
        <w:t xml:space="preserve"> percent</w:t>
      </w:r>
      <w:r w:rsidR="009F71DB">
        <w:t xml:space="preserve"> and to increase up to and including 49.99</w:t>
      </w:r>
      <w:r w:rsidR="00244C05">
        <w:t xml:space="preserve"> percent</w:t>
      </w:r>
      <w:r w:rsidR="009F71DB">
        <w:t>.</w:t>
      </w:r>
      <w:r w:rsidR="008F4B47">
        <w:t xml:space="preserve">  </w:t>
      </w:r>
    </w:p>
    <w:p w14:paraId="199EE4B4" w14:textId="5ADDD334" w:rsidR="006A0454" w:rsidRDefault="00CB60CB" w:rsidP="00DF54F2">
      <w:pPr>
        <w:pStyle w:val="ParaNum"/>
        <w:tabs>
          <w:tab w:val="clear" w:pos="1080"/>
          <w:tab w:val="num" w:pos="1440"/>
        </w:tabs>
      </w:pPr>
      <w:r>
        <w:rPr>
          <w:i/>
        </w:rPr>
        <w:t xml:space="preserve">Specific Approval.  </w:t>
      </w:r>
      <w:r w:rsidR="008F4B47">
        <w:t xml:space="preserve">Furthermore, this declaratory ruling grants specific approval </w:t>
      </w:r>
      <w:r w:rsidR="001A4805">
        <w:t>for</w:t>
      </w:r>
      <w:r w:rsidR="00481947">
        <w:t xml:space="preserve"> </w:t>
      </w:r>
      <w:r w:rsidR="006A0454">
        <w:t xml:space="preserve">the following individuals and entities to hold up to 49.99 percent of the voting interests and 49.99 percent of the equity of Hemisphere Media Group, Inc:  </w:t>
      </w:r>
      <w:r w:rsidR="008F4B47">
        <w:t xml:space="preserve"> </w:t>
      </w:r>
    </w:p>
    <w:p w14:paraId="52A0445D" w14:textId="77777777" w:rsidR="006A0454" w:rsidRPr="006A0454" w:rsidRDefault="006A0454" w:rsidP="006A0454">
      <w:pPr>
        <w:pStyle w:val="ParaNum"/>
        <w:numPr>
          <w:ilvl w:val="0"/>
          <w:numId w:val="33"/>
        </w:numPr>
      </w:pPr>
      <w:r w:rsidRPr="000C5301">
        <w:rPr>
          <w:snapToGrid/>
          <w:kern w:val="0"/>
          <w:szCs w:val="22"/>
        </w:rPr>
        <w:t>Cinéma Aeropuerto</w:t>
      </w:r>
      <w:r>
        <w:rPr>
          <w:snapToGrid/>
          <w:kern w:val="0"/>
          <w:szCs w:val="22"/>
        </w:rPr>
        <w:t>,</w:t>
      </w:r>
      <w:r w:rsidRPr="000C5301">
        <w:rPr>
          <w:snapToGrid/>
          <w:kern w:val="0"/>
          <w:szCs w:val="22"/>
        </w:rPr>
        <w:t xml:space="preserve"> </w:t>
      </w:r>
    </w:p>
    <w:p w14:paraId="6B60E6E0" w14:textId="77777777" w:rsidR="006A0454" w:rsidRPr="006A0454" w:rsidRDefault="006A0454" w:rsidP="006A0454">
      <w:pPr>
        <w:pStyle w:val="ParaNum"/>
        <w:numPr>
          <w:ilvl w:val="0"/>
          <w:numId w:val="33"/>
        </w:numPr>
      </w:pPr>
      <w:r w:rsidRPr="000C5301">
        <w:rPr>
          <w:snapToGrid/>
          <w:kern w:val="0"/>
          <w:szCs w:val="22"/>
        </w:rPr>
        <w:t xml:space="preserve">Grupo Frecuencia Modulada Televisión, S.A. de C.V., </w:t>
      </w:r>
    </w:p>
    <w:p w14:paraId="4A76E060" w14:textId="77777777" w:rsidR="006A0454" w:rsidRPr="006A0454" w:rsidRDefault="006A0454" w:rsidP="006A0454">
      <w:pPr>
        <w:pStyle w:val="ParaNum"/>
        <w:numPr>
          <w:ilvl w:val="0"/>
          <w:numId w:val="33"/>
        </w:numPr>
      </w:pPr>
      <w:r w:rsidRPr="000C5301">
        <w:rPr>
          <w:snapToGrid/>
          <w:kern w:val="0"/>
          <w:szCs w:val="22"/>
        </w:rPr>
        <w:t xml:space="preserve">Grupo MVS, S.A. de C.V., </w:t>
      </w:r>
    </w:p>
    <w:p w14:paraId="5B8814AF" w14:textId="77777777" w:rsidR="006A0454" w:rsidRPr="006A0454" w:rsidRDefault="006A0454" w:rsidP="006A0454">
      <w:pPr>
        <w:pStyle w:val="ParaNum"/>
        <w:numPr>
          <w:ilvl w:val="0"/>
          <w:numId w:val="33"/>
        </w:numPr>
      </w:pPr>
      <w:r w:rsidRPr="000C5301">
        <w:rPr>
          <w:snapToGrid/>
          <w:kern w:val="0"/>
          <w:szCs w:val="22"/>
        </w:rPr>
        <w:t xml:space="preserve">HSBC 61549, </w:t>
      </w:r>
    </w:p>
    <w:p w14:paraId="5587D8C1" w14:textId="0E8E5D69" w:rsidR="006A0454" w:rsidRPr="006A0454" w:rsidRDefault="006A0454" w:rsidP="006A0454">
      <w:pPr>
        <w:pStyle w:val="ParaNum"/>
        <w:numPr>
          <w:ilvl w:val="0"/>
          <w:numId w:val="33"/>
        </w:numPr>
      </w:pPr>
      <w:r w:rsidRPr="000C5301">
        <w:rPr>
          <w:snapToGrid/>
          <w:kern w:val="0"/>
          <w:szCs w:val="22"/>
        </w:rPr>
        <w:t xml:space="preserve">HSBC México S.A., </w:t>
      </w:r>
    </w:p>
    <w:p w14:paraId="06A244D6" w14:textId="77777777" w:rsidR="006A0454" w:rsidRPr="006A0454" w:rsidRDefault="006A0454" w:rsidP="006A0454">
      <w:pPr>
        <w:pStyle w:val="ParaNum"/>
        <w:numPr>
          <w:ilvl w:val="0"/>
          <w:numId w:val="33"/>
        </w:numPr>
      </w:pPr>
      <w:r w:rsidRPr="000C5301">
        <w:rPr>
          <w:snapToGrid/>
          <w:kern w:val="0"/>
          <w:szCs w:val="22"/>
        </w:rPr>
        <w:t xml:space="preserve">HSBC Holdings plc, </w:t>
      </w:r>
    </w:p>
    <w:p w14:paraId="5F76D0E4" w14:textId="77777777" w:rsidR="006A0454" w:rsidRPr="006A0454" w:rsidRDefault="006A0454" w:rsidP="006A0454">
      <w:pPr>
        <w:pStyle w:val="ParaNum"/>
        <w:numPr>
          <w:ilvl w:val="0"/>
          <w:numId w:val="33"/>
        </w:numPr>
      </w:pPr>
      <w:r w:rsidRPr="000C5301">
        <w:rPr>
          <w:snapToGrid/>
          <w:kern w:val="0"/>
          <w:szCs w:val="22"/>
        </w:rPr>
        <w:t xml:space="preserve">Joaquín Vargas Guajardo, </w:t>
      </w:r>
    </w:p>
    <w:p w14:paraId="5355A2A7" w14:textId="77777777" w:rsidR="006A0454" w:rsidRPr="006A0454" w:rsidRDefault="006A0454" w:rsidP="006A0454">
      <w:pPr>
        <w:pStyle w:val="ParaNum"/>
        <w:numPr>
          <w:ilvl w:val="0"/>
          <w:numId w:val="33"/>
        </w:numPr>
      </w:pPr>
      <w:r w:rsidRPr="000C5301">
        <w:rPr>
          <w:snapToGrid/>
          <w:kern w:val="0"/>
          <w:szCs w:val="22"/>
        </w:rPr>
        <w:t xml:space="preserve">Elsa Gabriela Vargas Guajardo, </w:t>
      </w:r>
    </w:p>
    <w:p w14:paraId="1C82D8B1" w14:textId="77777777" w:rsidR="006A0454" w:rsidRPr="006A0454" w:rsidRDefault="006A0454" w:rsidP="006A0454">
      <w:pPr>
        <w:pStyle w:val="ParaNum"/>
        <w:numPr>
          <w:ilvl w:val="0"/>
          <w:numId w:val="33"/>
        </w:numPr>
      </w:pPr>
      <w:r w:rsidRPr="000C5301">
        <w:rPr>
          <w:snapToGrid/>
          <w:kern w:val="0"/>
          <w:szCs w:val="22"/>
        </w:rPr>
        <w:t xml:space="preserve">Ernesto Vargas Guajardo, </w:t>
      </w:r>
    </w:p>
    <w:p w14:paraId="73DC79DF" w14:textId="77777777" w:rsidR="006A0454" w:rsidRPr="006A0454" w:rsidRDefault="006A0454" w:rsidP="006A0454">
      <w:pPr>
        <w:pStyle w:val="ParaNum"/>
        <w:numPr>
          <w:ilvl w:val="0"/>
          <w:numId w:val="33"/>
        </w:numPr>
      </w:pPr>
      <w:r w:rsidRPr="000C5301">
        <w:rPr>
          <w:snapToGrid/>
          <w:kern w:val="0"/>
          <w:szCs w:val="22"/>
        </w:rPr>
        <w:t xml:space="preserve">Andrea Matilde Vargas Guajardo, </w:t>
      </w:r>
    </w:p>
    <w:p w14:paraId="5ED1A2F0" w14:textId="77777777" w:rsidR="006A0454" w:rsidRPr="006A0454" w:rsidRDefault="006A0454" w:rsidP="006A0454">
      <w:pPr>
        <w:pStyle w:val="ParaNum"/>
        <w:numPr>
          <w:ilvl w:val="0"/>
          <w:numId w:val="33"/>
        </w:numPr>
      </w:pPr>
      <w:r w:rsidRPr="000C5301">
        <w:rPr>
          <w:snapToGrid/>
          <w:kern w:val="0"/>
          <w:szCs w:val="22"/>
        </w:rPr>
        <w:t xml:space="preserve">Francisco Vargas Guajardo and </w:t>
      </w:r>
    </w:p>
    <w:p w14:paraId="3AABD6B7" w14:textId="733A3897" w:rsidR="009B0213" w:rsidRPr="005D1881" w:rsidRDefault="006A0454" w:rsidP="009B0213">
      <w:pPr>
        <w:pStyle w:val="ParaNum"/>
        <w:numPr>
          <w:ilvl w:val="0"/>
          <w:numId w:val="33"/>
        </w:numPr>
      </w:pPr>
      <w:r w:rsidRPr="000C5301">
        <w:rPr>
          <w:snapToGrid/>
          <w:kern w:val="0"/>
          <w:szCs w:val="22"/>
        </w:rPr>
        <w:t xml:space="preserve">Alejandro Vargas Guajardo. </w:t>
      </w:r>
    </w:p>
    <w:p w14:paraId="0A223354" w14:textId="03FD9DF1" w:rsidR="00B66970" w:rsidRDefault="00CB390E" w:rsidP="005D1881">
      <w:pPr>
        <w:pStyle w:val="ParaNum"/>
        <w:numPr>
          <w:ilvl w:val="0"/>
          <w:numId w:val="0"/>
        </w:numPr>
      </w:pPr>
      <w:r>
        <w:rPr>
          <w:snapToGrid/>
          <w:kern w:val="0"/>
          <w:szCs w:val="22"/>
        </w:rPr>
        <w:t>In granting these specific approvals, we have coordinated wit</w:t>
      </w:r>
      <w:r w:rsidR="00FA0BA8">
        <w:rPr>
          <w:snapToGrid/>
          <w:kern w:val="0"/>
          <w:szCs w:val="22"/>
        </w:rPr>
        <w:t xml:space="preserve">h the relevant Executive </w:t>
      </w:r>
      <w:r>
        <w:rPr>
          <w:snapToGrid/>
          <w:kern w:val="0"/>
          <w:szCs w:val="22"/>
        </w:rPr>
        <w:t xml:space="preserve">Branch agencies and given them the opportunity to </w:t>
      </w:r>
      <w:r w:rsidR="00B66970">
        <w:rPr>
          <w:snapToGrid/>
          <w:kern w:val="0"/>
          <w:szCs w:val="22"/>
        </w:rPr>
        <w:t xml:space="preserve">review the petitioner’s filings and the requests for specific approval in light of interests related to </w:t>
      </w:r>
      <w:r w:rsidR="00B66970">
        <w:t>national security, law enforcement, foreign policy, trade policy, and other public policy goals.  The Executive Branch agencies have filed a letter with the Commission stating</w:t>
      </w:r>
      <w:r w:rsidR="00FA0BA8">
        <w:t xml:space="preserve"> that they have no objections</w:t>
      </w:r>
      <w:r w:rsidR="00B66970">
        <w:t xml:space="preserve">.  </w:t>
      </w:r>
      <w:r w:rsidR="00FA0BA8">
        <w:t xml:space="preserve">We also find no grounds to object to the specific approvals and </w:t>
      </w:r>
      <w:r w:rsidR="006546D9">
        <w:t xml:space="preserve">we conclude that </w:t>
      </w:r>
      <w:r w:rsidR="00FA0BA8">
        <w:t>grant of them will facilitate the foreign investment sought by the petitioner.</w:t>
      </w:r>
    </w:p>
    <w:p w14:paraId="762C20A7" w14:textId="66399B5B" w:rsidR="00F2688F" w:rsidRDefault="00CB60CB" w:rsidP="00DF54F2">
      <w:pPr>
        <w:pStyle w:val="ParaNum"/>
        <w:tabs>
          <w:tab w:val="clear" w:pos="1080"/>
          <w:tab w:val="num" w:pos="1440"/>
        </w:tabs>
      </w:pPr>
      <w:r>
        <w:rPr>
          <w:i/>
        </w:rPr>
        <w:t xml:space="preserve">Aggregate and Individual Ownership Limits.  </w:t>
      </w:r>
      <w:r>
        <w:t xml:space="preserve">HMTV must </w:t>
      </w:r>
      <w:r w:rsidR="00481947">
        <w:t xml:space="preserve">obtain </w:t>
      </w:r>
      <w:r w:rsidR="00F2688F">
        <w:t xml:space="preserve">(1) </w:t>
      </w:r>
      <w:r>
        <w:t>prior Commission ap</w:t>
      </w:r>
      <w:r w:rsidR="00481947">
        <w:t xml:space="preserve">proval for </w:t>
      </w:r>
      <w:r>
        <w:t>foreign equity and/or foreign voting interests exceeding 49.99 percent</w:t>
      </w:r>
      <w:r w:rsidR="00481947" w:rsidRPr="00481947">
        <w:t xml:space="preserve"> </w:t>
      </w:r>
      <w:r w:rsidR="00481947">
        <w:t xml:space="preserve">in the aggregate or </w:t>
      </w:r>
      <w:r w:rsidR="006546D9">
        <w:t xml:space="preserve">for any such interest held by any individual or entity listed above that </w:t>
      </w:r>
      <w:r w:rsidR="00481947">
        <w:t>exceed</w:t>
      </w:r>
      <w:r w:rsidR="006546D9">
        <w:t>s</w:t>
      </w:r>
      <w:r w:rsidR="00481947">
        <w:t xml:space="preserve"> 49.99 percent, </w:t>
      </w:r>
      <w:r w:rsidR="006546D9">
        <w:t xml:space="preserve">which are </w:t>
      </w:r>
      <w:r w:rsidR="00481947">
        <w:t>the limits requested in the Petition</w:t>
      </w:r>
      <w:r w:rsidR="00ED4C6E">
        <w:t>; and</w:t>
      </w:r>
      <w:r w:rsidR="00481947">
        <w:t xml:space="preserve"> </w:t>
      </w:r>
      <w:r w:rsidR="00F2688F">
        <w:t>(2</w:t>
      </w:r>
      <w:r>
        <w:t xml:space="preserve">) </w:t>
      </w:r>
      <w:r w:rsidR="00ED4C6E">
        <w:t xml:space="preserve">prior </w:t>
      </w:r>
      <w:r w:rsidR="00F2688F">
        <w:t xml:space="preserve">specific </w:t>
      </w:r>
      <w:r w:rsidR="00ED4C6E">
        <w:t xml:space="preserve">Commission </w:t>
      </w:r>
      <w:r w:rsidR="00F2688F">
        <w:t xml:space="preserve">approval for </w:t>
      </w:r>
      <w:r>
        <w:t xml:space="preserve">any individual foreign investor or “group” </w:t>
      </w:r>
      <w:r w:rsidR="00481947">
        <w:t xml:space="preserve">other than those listed above </w:t>
      </w:r>
      <w:r>
        <w:t>acquiring a greater than five percent voting or equity interest (or ten percent for certain institutional investors) in HMTV</w:t>
      </w:r>
      <w:r w:rsidR="000B6118">
        <w:t>.</w:t>
      </w:r>
      <w:r w:rsidR="000B6118">
        <w:rPr>
          <w:rStyle w:val="FootnoteReference"/>
        </w:rPr>
        <w:footnoteReference w:id="65"/>
      </w:r>
      <w:r w:rsidR="00A073A4">
        <w:t xml:space="preserve">  </w:t>
      </w:r>
      <w:r w:rsidR="00B66970">
        <w:t xml:space="preserve">While these conditions do not bar HMTV from seeking additional future foreign investment opportunities, they </w:t>
      </w:r>
      <w:r w:rsidR="00ED4C6E">
        <w:t xml:space="preserve">accommodate the relief requested in the Petition while </w:t>
      </w:r>
      <w:r w:rsidR="00B66970">
        <w:t>provid</w:t>
      </w:r>
      <w:r w:rsidR="00ED4C6E">
        <w:t>ing</w:t>
      </w:r>
      <w:r w:rsidR="00B66970">
        <w:t xml:space="preserve"> continued protection to important interests related to national security, law enforcement, foreign policy, trade policy, and other public policy goals.</w:t>
      </w:r>
    </w:p>
    <w:p w14:paraId="236B2950" w14:textId="4B279E52" w:rsidR="009F71DB" w:rsidRDefault="00F2688F" w:rsidP="00DF54F2">
      <w:pPr>
        <w:pStyle w:val="ParaNum"/>
        <w:tabs>
          <w:tab w:val="clear" w:pos="1080"/>
          <w:tab w:val="num" w:pos="1440"/>
        </w:tabs>
      </w:pPr>
      <w:r>
        <w:rPr>
          <w:i/>
        </w:rPr>
        <w:t>Compliance Monitoring.</w:t>
      </w:r>
      <w:r>
        <w:t xml:space="preserve">  HMTV shall monitor its compliance on an ongoing basis.</w:t>
      </w:r>
      <w:r>
        <w:rPr>
          <w:rStyle w:val="FootnoteReference"/>
        </w:rPr>
        <w:footnoteReference w:id="66"/>
      </w:r>
      <w:r>
        <w:t xml:space="preserve">   If, at any time, HMTV </w:t>
      </w:r>
      <w:r w:rsidR="002228AE">
        <w:t>knows, or has reason to know</w:t>
      </w:r>
      <w:r>
        <w:t xml:space="preserve">, that it is no longer in compliance </w:t>
      </w:r>
      <w:r w:rsidR="00083ECB">
        <w:t>with this declaratory ruling</w:t>
      </w:r>
      <w:r w:rsidR="008E7D7B">
        <w:t>, Section 310(b)(4) of the Act, or the Commission’s rules and policies</w:t>
      </w:r>
      <w:r w:rsidR="00083ECB">
        <w:t xml:space="preserve"> on foreign ownership</w:t>
      </w:r>
      <w:r w:rsidR="008E7D7B">
        <w:t>, it shall file</w:t>
      </w:r>
      <w:r w:rsidR="002228AE">
        <w:t xml:space="preserve"> a statement with the Commission explaining the circumstances within 30 days of the date that it knew or had reason to know that it was no longer in compliance</w:t>
      </w:r>
      <w:r w:rsidR="00FA0BA8">
        <w:t xml:space="preserve"> and how it intends to correct the overage, either by filing a new petition for declaratory ruling or by reducing the foreign interest</w:t>
      </w:r>
      <w:r w:rsidR="002228AE">
        <w:t>.</w:t>
      </w:r>
      <w:r w:rsidR="002228AE">
        <w:rPr>
          <w:rStyle w:val="FootnoteReference"/>
        </w:rPr>
        <w:footnoteReference w:id="67"/>
      </w:r>
      <w:r w:rsidR="00FA0BA8">
        <w:t xml:space="preserve">   Ongoing monitoring will allow the licensee to stay ahead of changes in its foreign ownership levels to ensure that it obtains Commission approval before it goes out of compliance with this declaratory ruling.  </w:t>
      </w:r>
      <w:r w:rsidR="00083ECB">
        <w:t>The required remedial action will provide the licensee with the opportunity and the incentive to correct an inadvertent error prior to enforcement action by the Commission.</w:t>
      </w:r>
    </w:p>
    <w:p w14:paraId="12D50222" w14:textId="686D3406" w:rsidR="002228AE" w:rsidRDefault="002228AE" w:rsidP="00DF54F2">
      <w:pPr>
        <w:pStyle w:val="ParaNum"/>
        <w:tabs>
          <w:tab w:val="clear" w:pos="1080"/>
          <w:tab w:val="num" w:pos="1440"/>
        </w:tabs>
      </w:pPr>
      <w:r>
        <w:rPr>
          <w:i/>
        </w:rPr>
        <w:t>Organizational Changes.</w:t>
      </w:r>
      <w:r>
        <w:t xml:space="preserve">  This ruling shall apply to all of HMTV’s subsidiaries and affiliates, whether existing or formed or acquired subsequently, tha</w:t>
      </w:r>
      <w:r w:rsidR="006D3F86">
        <w:t>t</w:t>
      </w:r>
      <w:r>
        <w:t xml:space="preserve"> are wholly owned and controlled by, or under 100 percent common ownership and control with HMTV</w:t>
      </w:r>
      <w:r w:rsidR="006D3F86">
        <w:t xml:space="preserve">.  </w:t>
      </w:r>
      <w:r w:rsidR="00991245">
        <w:t xml:space="preserve">In addition, any foreign owned entity that has received specific approval may insert a new, foreign-organized company </w:t>
      </w:r>
      <w:r w:rsidR="00583599">
        <w:t xml:space="preserve">that is under 100 percent common ownership and control </w:t>
      </w:r>
      <w:r w:rsidR="00991245">
        <w:t xml:space="preserve">in </w:t>
      </w:r>
      <w:r w:rsidR="00E367C7">
        <w:t xml:space="preserve">its </w:t>
      </w:r>
      <w:r w:rsidR="00991245">
        <w:t>vertical ownership chain above the controlling U.S. parent.</w:t>
      </w:r>
      <w:r w:rsidR="00991245">
        <w:rPr>
          <w:rStyle w:val="FootnoteReference"/>
        </w:rPr>
        <w:footnoteReference w:id="68"/>
      </w:r>
      <w:r w:rsidR="00991245">
        <w:t xml:space="preserve">  </w:t>
      </w:r>
      <w:r w:rsidR="00083ECB">
        <w:t>The flexibility granted here reflects the reality that it is not uncommon for publicly traded companies to make changes within their corporate structure that in no way affect the operation, management</w:t>
      </w:r>
      <w:r w:rsidR="0067095F">
        <w:t>,</w:t>
      </w:r>
      <w:r w:rsidR="00083ECB">
        <w:t xml:space="preserve"> or control of those companies.  This flexibility</w:t>
      </w:r>
      <w:r w:rsidR="006D3F86">
        <w:t xml:space="preserve"> does not detract in any way </w:t>
      </w:r>
      <w:r w:rsidR="00405B84">
        <w:t>from the requirement under the Act and our Rules to apply for and receive prior Commission consent to a voluntary assignment of license or transfer of control before such a transaction may be consummated</w:t>
      </w:r>
      <w:r w:rsidR="00405B84">
        <w:rPr>
          <w:rStyle w:val="FootnoteReference"/>
        </w:rPr>
        <w:footnoteReference w:id="69"/>
      </w:r>
      <w:r w:rsidR="00A83B22">
        <w:t xml:space="preserve"> or to seek a new declaratory ruling before its foreign ownership ex</w:t>
      </w:r>
      <w:r w:rsidR="00481947">
        <w:t>ceeds the terms or conditions of</w:t>
      </w:r>
      <w:r w:rsidR="00A83B22">
        <w:t xml:space="preserve"> this declaratory ruling</w:t>
      </w:r>
      <w:r w:rsidR="00481947">
        <w:t>.</w:t>
      </w:r>
      <w:r w:rsidR="00481947">
        <w:rPr>
          <w:rStyle w:val="FootnoteReference"/>
        </w:rPr>
        <w:footnoteReference w:id="70"/>
      </w:r>
      <w:r w:rsidR="00083ECB">
        <w:t xml:space="preserve">  </w:t>
      </w:r>
    </w:p>
    <w:p w14:paraId="481FCDBD" w14:textId="2F95DDCF" w:rsidR="009F71DB" w:rsidRDefault="009F71DB" w:rsidP="009F71DB">
      <w:pPr>
        <w:pStyle w:val="Heading1"/>
      </w:pPr>
      <w:r>
        <w:t>Procedural Matters</w:t>
      </w:r>
    </w:p>
    <w:p w14:paraId="7E797FB8" w14:textId="4B3E9D8A" w:rsidR="00567F6E" w:rsidRDefault="00595FB3" w:rsidP="00DF54F2">
      <w:pPr>
        <w:pStyle w:val="ParaNum"/>
        <w:tabs>
          <w:tab w:val="clear" w:pos="1080"/>
          <w:tab w:val="num" w:pos="1440"/>
        </w:tabs>
      </w:pPr>
      <w:r>
        <w:t>This d</w:t>
      </w:r>
      <w:r w:rsidR="00567F6E">
        <w:t xml:space="preserve">eclaratory </w:t>
      </w:r>
      <w:r>
        <w:t>r</w:t>
      </w:r>
      <w:r w:rsidR="00567F6E">
        <w:t xml:space="preserve">uling is issued pursuant to </w:t>
      </w:r>
      <w:r w:rsidR="00D43736">
        <w:t xml:space="preserve">section 310(b)(4) of the Communications Act of 1934, 47 U.S.C. § 310(b)(4), and </w:t>
      </w:r>
      <w:r w:rsidR="00567F6E">
        <w:t>sections 0.61 and 0.283 of the Commission’s rules, 47 C.F.R. §</w:t>
      </w:r>
      <w:r w:rsidR="00A26638">
        <w:t>§</w:t>
      </w:r>
      <w:r w:rsidR="00567F6E">
        <w:t xml:space="preserve"> 0.61 and 0.283.</w:t>
      </w:r>
    </w:p>
    <w:p w14:paraId="798F116A" w14:textId="249DE850" w:rsidR="00567F6E" w:rsidRDefault="00567F6E" w:rsidP="001834FD">
      <w:pPr>
        <w:pStyle w:val="ParaNum"/>
        <w:tabs>
          <w:tab w:val="clear" w:pos="1080"/>
          <w:tab w:val="num" w:pos="1440"/>
        </w:tabs>
      </w:pPr>
      <w:r>
        <w:t xml:space="preserve">Issuance of this </w:t>
      </w:r>
      <w:r w:rsidR="00595FB3">
        <w:t>declaratory r</w:t>
      </w:r>
      <w:r>
        <w:t>uling is without prejudice to the Commission’s action on any other matter.</w:t>
      </w:r>
    </w:p>
    <w:p w14:paraId="01921B89" w14:textId="64E87FB4" w:rsidR="009F71DB" w:rsidRPr="009F71DB" w:rsidRDefault="00567F6E" w:rsidP="00567F6E">
      <w:pPr>
        <w:pStyle w:val="ParaNum"/>
        <w:tabs>
          <w:tab w:val="clear" w:pos="1080"/>
          <w:tab w:val="num" w:pos="1440"/>
        </w:tabs>
      </w:pPr>
      <w:r>
        <w:t xml:space="preserve">Pursuant to section 1.103 of the Commission’s rules, 47 C.F.R. § 1.103, the consent granted herein is </w:t>
      </w:r>
      <w:r w:rsidR="00595FB3">
        <w:t>effective upon release of this declaratory r</w:t>
      </w:r>
      <w:r>
        <w:t>uling.</w:t>
      </w:r>
    </w:p>
    <w:p w14:paraId="5D370DB1" w14:textId="77777777" w:rsidR="009F71DB" w:rsidRPr="009F71DB" w:rsidRDefault="009F71DB" w:rsidP="009F71DB">
      <w:pPr>
        <w:keepNext/>
      </w:pPr>
      <w:r w:rsidRPr="009F71DB">
        <w:rPr>
          <w:b/>
        </w:rPr>
        <w:tab/>
      </w:r>
      <w:r w:rsidRPr="009F71DB">
        <w:tab/>
      </w:r>
      <w:r w:rsidRPr="009F71DB">
        <w:tab/>
      </w:r>
      <w:r w:rsidRPr="009F71DB">
        <w:tab/>
      </w:r>
      <w:r w:rsidRPr="009F71DB">
        <w:tab/>
      </w:r>
      <w:r w:rsidRPr="009F71DB">
        <w:tab/>
      </w:r>
    </w:p>
    <w:p w14:paraId="24151E9D" w14:textId="77777777" w:rsidR="009F71DB" w:rsidRPr="002444D3" w:rsidRDefault="009F71DB" w:rsidP="009F71DB">
      <w:pPr>
        <w:keepNext/>
        <w:rPr>
          <w:rFonts w:ascii="Times New Roman" w:hAnsi="Times New Roman"/>
        </w:rPr>
      </w:pPr>
      <w:r w:rsidRPr="009F71DB">
        <w:tab/>
      </w:r>
      <w:r w:rsidRPr="009F71DB">
        <w:tab/>
      </w:r>
      <w:r w:rsidRPr="009F71DB">
        <w:tab/>
      </w:r>
      <w:r w:rsidRPr="009F71DB">
        <w:tab/>
      </w:r>
      <w:r w:rsidRPr="009F71DB">
        <w:tab/>
      </w:r>
      <w:r w:rsidRPr="009F71DB">
        <w:tab/>
      </w:r>
      <w:r w:rsidRPr="002444D3">
        <w:rPr>
          <w:rFonts w:ascii="Times New Roman" w:hAnsi="Times New Roman"/>
        </w:rPr>
        <w:t>FEDERAL COMMUNICATIONS COMMISSION</w:t>
      </w:r>
    </w:p>
    <w:p w14:paraId="59442DC6" w14:textId="77777777" w:rsidR="009F71DB" w:rsidRPr="002444D3" w:rsidRDefault="009F71DB" w:rsidP="009F71DB">
      <w:pPr>
        <w:keepNext/>
        <w:rPr>
          <w:rFonts w:ascii="Times New Roman" w:hAnsi="Times New Roman"/>
        </w:rPr>
      </w:pPr>
    </w:p>
    <w:p w14:paraId="279CDC5F" w14:textId="77777777" w:rsidR="009F71DB" w:rsidRPr="002444D3" w:rsidRDefault="009F71DB" w:rsidP="009F71DB">
      <w:pPr>
        <w:keepNext/>
        <w:rPr>
          <w:rFonts w:ascii="Times New Roman" w:hAnsi="Times New Roman"/>
        </w:rPr>
      </w:pPr>
    </w:p>
    <w:p w14:paraId="47BF0160" w14:textId="77777777" w:rsidR="009F71DB" w:rsidRPr="002444D3" w:rsidRDefault="009F71DB" w:rsidP="009F71DB">
      <w:pPr>
        <w:keepNext/>
        <w:rPr>
          <w:rFonts w:ascii="Times New Roman" w:hAnsi="Times New Roman"/>
        </w:rPr>
      </w:pPr>
    </w:p>
    <w:p w14:paraId="05A4AA0D" w14:textId="77777777" w:rsidR="009F71DB" w:rsidRPr="002444D3" w:rsidRDefault="009F71DB" w:rsidP="009F71DB">
      <w:pPr>
        <w:keepNext/>
        <w:rPr>
          <w:rFonts w:ascii="Times New Roman" w:hAnsi="Times New Roman"/>
        </w:rPr>
      </w:pPr>
    </w:p>
    <w:p w14:paraId="191C76F6" w14:textId="52163092" w:rsidR="009F71DB" w:rsidRPr="002444D3" w:rsidRDefault="009F71DB" w:rsidP="009F71DB">
      <w:pPr>
        <w:keepNext/>
        <w:rPr>
          <w:rFonts w:ascii="Times New Roman" w:hAnsi="Times New Roman"/>
        </w:rPr>
      </w:pP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t>William T. Lake</w:t>
      </w:r>
    </w:p>
    <w:p w14:paraId="740C84B8" w14:textId="77777777" w:rsidR="009F71DB" w:rsidRPr="002444D3" w:rsidRDefault="009F71DB" w:rsidP="009F71DB">
      <w:pPr>
        <w:keepNext/>
        <w:rPr>
          <w:rFonts w:ascii="Times New Roman" w:hAnsi="Times New Roman"/>
        </w:rPr>
      </w:pP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t>Chief</w:t>
      </w:r>
    </w:p>
    <w:p w14:paraId="1F4C8061" w14:textId="423E372E" w:rsidR="009F71DB" w:rsidRPr="002444D3" w:rsidRDefault="009F71DB" w:rsidP="009F71DB">
      <w:pPr>
        <w:keepNext/>
        <w:rPr>
          <w:rFonts w:ascii="Times New Roman" w:hAnsi="Times New Roman"/>
        </w:rPr>
      </w:pP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r>
      <w:r w:rsidRPr="002444D3">
        <w:rPr>
          <w:rFonts w:ascii="Times New Roman" w:hAnsi="Times New Roman"/>
        </w:rPr>
        <w:tab/>
        <w:t>Media Bureau</w:t>
      </w:r>
    </w:p>
    <w:p w14:paraId="29FE2F62" w14:textId="55BD992C" w:rsidR="009D7871" w:rsidRPr="0094666B" w:rsidRDefault="009D7871" w:rsidP="009F71DB">
      <w:pPr>
        <w:pStyle w:val="ParaNum"/>
        <w:numPr>
          <w:ilvl w:val="0"/>
          <w:numId w:val="0"/>
        </w:numPr>
        <w:ind w:left="720"/>
        <w:rPr>
          <w:sz w:val="20"/>
        </w:rPr>
      </w:pPr>
    </w:p>
    <w:p w14:paraId="65AA1B6D" w14:textId="77777777" w:rsidR="009D7871" w:rsidRPr="0094666B" w:rsidRDefault="009D7871" w:rsidP="009D7871">
      <w:pPr>
        <w:pStyle w:val="ParaNum"/>
        <w:numPr>
          <w:ilvl w:val="0"/>
          <w:numId w:val="0"/>
        </w:numPr>
        <w:ind w:left="720"/>
        <w:rPr>
          <w:sz w:val="20"/>
        </w:rPr>
      </w:pPr>
    </w:p>
    <w:p w14:paraId="12B3550F" w14:textId="77777777" w:rsidR="002C00E8" w:rsidRPr="0094666B" w:rsidRDefault="002C00E8" w:rsidP="003112AD">
      <w:pPr>
        <w:rPr>
          <w:rFonts w:ascii="Times New Roman" w:hAnsi="Times New Roman"/>
          <w:sz w:val="20"/>
          <w:szCs w:val="20"/>
        </w:rPr>
      </w:pPr>
    </w:p>
    <w:sectPr w:rsidR="002C00E8" w:rsidRPr="0094666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5F7FB" w14:textId="77777777" w:rsidR="00FA160C" w:rsidRDefault="00FA160C">
      <w:pPr>
        <w:spacing w:line="20" w:lineRule="exact"/>
      </w:pPr>
    </w:p>
  </w:endnote>
  <w:endnote w:type="continuationSeparator" w:id="0">
    <w:p w14:paraId="3E7D1392" w14:textId="77777777" w:rsidR="00FA160C" w:rsidRDefault="00FA160C">
      <w:r>
        <w:t xml:space="preserve"> </w:t>
      </w:r>
    </w:p>
  </w:endnote>
  <w:endnote w:type="continuationNotice" w:id="1">
    <w:p w14:paraId="30F0F9F1" w14:textId="77777777" w:rsidR="00FA160C" w:rsidRDefault="00FA16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2125" w14:textId="77777777" w:rsidR="00FA160C" w:rsidRDefault="00FA160C" w:rsidP="0055614C">
    <w:pPr>
      <w:pStyle w:val="Footer"/>
      <w:framePr w:wrap="around" w:vAnchor="text" w:hAnchor="margin" w:xAlign="center" w:y="1"/>
    </w:pPr>
    <w:r>
      <w:fldChar w:fldCharType="begin"/>
    </w:r>
    <w:r>
      <w:instrText xml:space="preserve">PAGE  </w:instrText>
    </w:r>
    <w:r>
      <w:fldChar w:fldCharType="end"/>
    </w:r>
  </w:p>
  <w:p w14:paraId="607651DF" w14:textId="77777777" w:rsidR="00FA160C" w:rsidRDefault="00FA1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4959" w14:textId="77777777" w:rsidR="00FA160C" w:rsidRPr="00BF1B58" w:rsidRDefault="00FA160C" w:rsidP="0055614C">
    <w:pPr>
      <w:pStyle w:val="Footer"/>
      <w:framePr w:wrap="around" w:vAnchor="text" w:hAnchor="margin" w:xAlign="center" w:y="1"/>
      <w:rPr>
        <w:szCs w:val="22"/>
      </w:rPr>
    </w:pPr>
    <w:r w:rsidRPr="00BF1B58">
      <w:rPr>
        <w:szCs w:val="22"/>
      </w:rPr>
      <w:fldChar w:fldCharType="begin"/>
    </w:r>
    <w:r w:rsidRPr="00BF1B58">
      <w:rPr>
        <w:szCs w:val="22"/>
      </w:rPr>
      <w:instrText xml:space="preserve">PAGE  </w:instrText>
    </w:r>
    <w:r w:rsidRPr="00BF1B58">
      <w:rPr>
        <w:szCs w:val="22"/>
      </w:rPr>
      <w:fldChar w:fldCharType="separate"/>
    </w:r>
    <w:r w:rsidR="0080297E">
      <w:rPr>
        <w:noProof/>
        <w:szCs w:val="22"/>
      </w:rPr>
      <w:t>2</w:t>
    </w:r>
    <w:r w:rsidRPr="00BF1B58">
      <w:rPr>
        <w:szCs w:val="22"/>
      </w:rPr>
      <w:fldChar w:fldCharType="end"/>
    </w:r>
  </w:p>
  <w:p w14:paraId="4454CA9A" w14:textId="77777777" w:rsidR="00FA160C" w:rsidRPr="00BF1B58" w:rsidRDefault="00FA160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37EB" w14:textId="77777777" w:rsidR="00FA160C" w:rsidRDefault="00FA160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91E28" w14:textId="77777777" w:rsidR="00FA160C" w:rsidRDefault="00FA160C">
      <w:r>
        <w:separator/>
      </w:r>
    </w:p>
  </w:footnote>
  <w:footnote w:type="continuationSeparator" w:id="0">
    <w:p w14:paraId="76C78D75" w14:textId="77777777" w:rsidR="00FA160C" w:rsidRDefault="00FA160C" w:rsidP="00C721AC">
      <w:pPr>
        <w:spacing w:before="120"/>
        <w:rPr>
          <w:sz w:val="20"/>
        </w:rPr>
      </w:pPr>
      <w:r>
        <w:rPr>
          <w:sz w:val="20"/>
        </w:rPr>
        <w:t xml:space="preserve">(Continued from previous page)  </w:t>
      </w:r>
      <w:r>
        <w:rPr>
          <w:sz w:val="20"/>
        </w:rPr>
        <w:separator/>
      </w:r>
    </w:p>
  </w:footnote>
  <w:footnote w:type="continuationNotice" w:id="1">
    <w:p w14:paraId="42C67613" w14:textId="77777777" w:rsidR="00FA160C" w:rsidRDefault="00FA160C" w:rsidP="00C721AC">
      <w:pPr>
        <w:jc w:val="right"/>
        <w:rPr>
          <w:sz w:val="20"/>
        </w:rPr>
      </w:pPr>
      <w:r>
        <w:rPr>
          <w:sz w:val="20"/>
        </w:rPr>
        <w:t>(continued….)</w:t>
      </w:r>
    </w:p>
  </w:footnote>
  <w:footnote w:id="2">
    <w:p w14:paraId="4240A3AB" w14:textId="4EB52F92" w:rsidR="00A35245" w:rsidRPr="00A35245" w:rsidRDefault="00A35245">
      <w:pPr>
        <w:pStyle w:val="FootnoteText"/>
      </w:pPr>
      <w:r>
        <w:rPr>
          <w:rStyle w:val="FootnoteReference"/>
        </w:rPr>
        <w:footnoteRef/>
      </w:r>
      <w:r>
        <w:t xml:space="preserve"> HMTV</w:t>
      </w:r>
      <w:r w:rsidR="0033038F">
        <w:t xml:space="preserve"> also</w:t>
      </w:r>
      <w:r>
        <w:t xml:space="preserve"> filed </w:t>
      </w:r>
      <w:r w:rsidR="00FC42F1">
        <w:t>a Supplement to Petition for Declaratory Ruling (Supplement), a Second Supplement to Petition for Declaratory Ruling (Second Supplement)</w:t>
      </w:r>
      <w:r w:rsidR="005A17EB">
        <w:t>, a Third Supplement to Petition for Declaratory Ruling (Third Supplement</w:t>
      </w:r>
      <w:r w:rsidR="0033038F">
        <w:t>)</w:t>
      </w:r>
      <w:r w:rsidR="00653206">
        <w:t>, and a Fourth Supplement to Petition for Declaratory Ruling (Fourth Supplement)</w:t>
      </w:r>
      <w:r w:rsidR="00FC42F1">
        <w:t xml:space="preserve"> (Collectively Petition).  T</w:t>
      </w:r>
      <w:r>
        <w:t>he Second Supplement reflect</w:t>
      </w:r>
      <w:r w:rsidR="00FC42F1">
        <w:t>s</w:t>
      </w:r>
      <w:r>
        <w:t xml:space="preserve"> changes in </w:t>
      </w:r>
      <w:r w:rsidR="00FC42F1">
        <w:t>HMTV’s</w:t>
      </w:r>
      <w:r>
        <w:t xml:space="preserve"> ownership structure pursuant to the Commission’s grant of a </w:t>
      </w:r>
      <w:r>
        <w:rPr>
          <w:i/>
        </w:rPr>
        <w:t>pro forma</w:t>
      </w:r>
      <w:r>
        <w:t xml:space="preserve"> transfer of control that was consummated on October 21, 2016.  </w:t>
      </w:r>
      <w:r>
        <w:rPr>
          <w:i/>
        </w:rPr>
        <w:t xml:space="preserve">See </w:t>
      </w:r>
      <w:r>
        <w:t>FCC File</w:t>
      </w:r>
      <w:r w:rsidR="00A73758">
        <w:t xml:space="preserve"> </w:t>
      </w:r>
      <w:r>
        <w:t>No. BTCCDT-2</w:t>
      </w:r>
      <w:r w:rsidR="00A73758">
        <w:t>0</w:t>
      </w:r>
      <w:r>
        <w:t>160916ABD-ABF (granted October 19, 2016).</w:t>
      </w:r>
    </w:p>
  </w:footnote>
  <w:footnote w:id="3">
    <w:p w14:paraId="18EE7533" w14:textId="05902094" w:rsidR="00FA160C" w:rsidRDefault="00FA160C">
      <w:pPr>
        <w:pStyle w:val="FootnoteText"/>
      </w:pPr>
      <w:r>
        <w:rPr>
          <w:rStyle w:val="FootnoteReference"/>
        </w:rPr>
        <w:footnoteRef/>
      </w:r>
      <w:r>
        <w:t xml:space="preserve"> 47 U.S.C. § 310(b)(4).  </w:t>
      </w:r>
    </w:p>
  </w:footnote>
  <w:footnote w:id="4">
    <w:p w14:paraId="1DCF58A6" w14:textId="4AD2CDC9" w:rsidR="00FA160C" w:rsidRDefault="00FA160C">
      <w:pPr>
        <w:pStyle w:val="FootnoteText"/>
      </w:pPr>
      <w:r>
        <w:rPr>
          <w:rStyle w:val="FootnoteReference"/>
        </w:rPr>
        <w:footnoteRef/>
      </w:r>
      <w:r>
        <w:t xml:space="preserve"> </w:t>
      </w:r>
      <w:r w:rsidR="005A17EB">
        <w:t xml:space="preserve">Initial </w:t>
      </w:r>
      <w:r>
        <w:t>Petition at 1.</w:t>
      </w:r>
    </w:p>
  </w:footnote>
  <w:footnote w:id="5">
    <w:p w14:paraId="3DF0B959" w14:textId="22EE17E6" w:rsidR="00FA160C" w:rsidRPr="000579AE" w:rsidRDefault="00FA160C">
      <w:pPr>
        <w:pStyle w:val="FootnoteText"/>
        <w:rPr>
          <w:i/>
        </w:rPr>
      </w:pPr>
      <w:r>
        <w:rPr>
          <w:rStyle w:val="FootnoteReference"/>
        </w:rPr>
        <w:footnoteRef/>
      </w:r>
      <w:r>
        <w:t xml:space="preserve"> </w:t>
      </w:r>
      <w:r>
        <w:rPr>
          <w:i/>
        </w:rPr>
        <w:t>Id.</w:t>
      </w:r>
    </w:p>
  </w:footnote>
  <w:footnote w:id="6">
    <w:p w14:paraId="77C6F129" w14:textId="131AB1B8" w:rsidR="00FA160C" w:rsidRPr="005D5D97" w:rsidRDefault="00FA160C">
      <w:pPr>
        <w:pStyle w:val="FootnoteText"/>
      </w:pPr>
      <w:r>
        <w:rPr>
          <w:rStyle w:val="FootnoteReference"/>
        </w:rPr>
        <w:footnoteRef/>
      </w:r>
      <w:r>
        <w:t xml:space="preserve"> </w:t>
      </w:r>
      <w:r>
        <w:rPr>
          <w:i/>
        </w:rPr>
        <w:t xml:space="preserve">Id. </w:t>
      </w:r>
      <w:r>
        <w:t>at 1-3.</w:t>
      </w:r>
    </w:p>
  </w:footnote>
  <w:footnote w:id="7">
    <w:p w14:paraId="165EFF92" w14:textId="6FDD2B48" w:rsidR="00FA160C" w:rsidRDefault="00FA160C">
      <w:pPr>
        <w:pStyle w:val="FootnoteText"/>
      </w:pPr>
      <w:r>
        <w:rPr>
          <w:rStyle w:val="FootnoteReference"/>
        </w:rPr>
        <w:footnoteRef/>
      </w:r>
      <w:r>
        <w:t xml:space="preserve"> WAPA-TV, San Juan, Puerto Rico; WNJX-TV, Mayaguez, Puerto Rico; and WTIN-TV, Ponce, Puerto Rico.</w:t>
      </w:r>
    </w:p>
  </w:footnote>
  <w:footnote w:id="8">
    <w:p w14:paraId="35CF0D53" w14:textId="60E97CD0" w:rsidR="00FA160C" w:rsidRDefault="00FA160C">
      <w:pPr>
        <w:pStyle w:val="FootnoteText"/>
      </w:pPr>
      <w:r>
        <w:rPr>
          <w:rStyle w:val="FootnoteReference"/>
        </w:rPr>
        <w:footnoteRef/>
      </w:r>
      <w:r>
        <w:t xml:space="preserve"> </w:t>
      </w:r>
      <w:r w:rsidR="00A73758">
        <w:t>Supplement at 1</w:t>
      </w:r>
      <w:r>
        <w:t>.</w:t>
      </w:r>
    </w:p>
  </w:footnote>
  <w:footnote w:id="9">
    <w:p w14:paraId="09A1F97D" w14:textId="142D82DF" w:rsidR="00FA160C" w:rsidRDefault="00FA160C">
      <w:pPr>
        <w:pStyle w:val="FootnoteText"/>
      </w:pPr>
      <w:r>
        <w:rPr>
          <w:rStyle w:val="FootnoteReference"/>
        </w:rPr>
        <w:footnoteRef/>
      </w:r>
      <w:r>
        <w:t xml:space="preserve"> </w:t>
      </w:r>
      <w:r w:rsidR="005A17EB">
        <w:t xml:space="preserve">Initial </w:t>
      </w:r>
      <w:r w:rsidR="00A73758">
        <w:t xml:space="preserve">Petition at 2.  Second Supplement at 2.  </w:t>
      </w:r>
    </w:p>
  </w:footnote>
  <w:footnote w:id="10">
    <w:p w14:paraId="580BC0E7" w14:textId="5648B371" w:rsidR="00A73758" w:rsidRPr="00A73758" w:rsidRDefault="00A73758">
      <w:pPr>
        <w:pStyle w:val="FootnoteText"/>
      </w:pPr>
      <w:r>
        <w:rPr>
          <w:rStyle w:val="FootnoteReference"/>
        </w:rPr>
        <w:footnoteRef/>
      </w:r>
      <w:r>
        <w:t xml:space="preserve"> </w:t>
      </w:r>
      <w:r>
        <w:rPr>
          <w:i/>
        </w:rPr>
        <w:t>Id.</w:t>
      </w:r>
    </w:p>
  </w:footnote>
  <w:footnote w:id="11">
    <w:p w14:paraId="11FA9C14" w14:textId="4D01EC65" w:rsidR="00FA160C" w:rsidRPr="005D5D97" w:rsidRDefault="00FA160C">
      <w:pPr>
        <w:pStyle w:val="FootnoteText"/>
      </w:pPr>
      <w:r>
        <w:rPr>
          <w:rStyle w:val="FootnoteReference"/>
        </w:rPr>
        <w:footnoteRef/>
      </w:r>
      <w:r>
        <w:t xml:space="preserve"> </w:t>
      </w:r>
      <w:r w:rsidR="005A17EB">
        <w:t xml:space="preserve">Initial </w:t>
      </w:r>
      <w:r w:rsidR="00A73758" w:rsidRPr="00332C54">
        <w:t>Petition</w:t>
      </w:r>
      <w:r w:rsidR="002A3EB7">
        <w:t xml:space="preserve"> at 3.</w:t>
      </w:r>
    </w:p>
  </w:footnote>
  <w:footnote w:id="12">
    <w:p w14:paraId="4C032C87" w14:textId="2A58EC0B" w:rsidR="00FA160C" w:rsidRDefault="00FA160C">
      <w:pPr>
        <w:pStyle w:val="FootnoteText"/>
      </w:pPr>
      <w:r>
        <w:rPr>
          <w:rStyle w:val="FootnoteReference"/>
        </w:rPr>
        <w:footnoteRef/>
      </w:r>
      <w:r>
        <w:t xml:space="preserve"> </w:t>
      </w:r>
      <w:r w:rsidR="00877B0F">
        <w:t>Second Supplement at 2 and Exhibit A</w:t>
      </w:r>
      <w:r>
        <w:t>.</w:t>
      </w:r>
    </w:p>
  </w:footnote>
  <w:footnote w:id="13">
    <w:p w14:paraId="66F34386" w14:textId="01B88670" w:rsidR="00FA160C" w:rsidRPr="005D5D97" w:rsidRDefault="00FA160C">
      <w:pPr>
        <w:pStyle w:val="FootnoteText"/>
        <w:rPr>
          <w:i/>
        </w:rPr>
      </w:pPr>
      <w:r>
        <w:rPr>
          <w:rStyle w:val="FootnoteReference"/>
        </w:rPr>
        <w:footnoteRef/>
      </w:r>
      <w:r>
        <w:t xml:space="preserve"> </w:t>
      </w:r>
      <w:r>
        <w:rPr>
          <w:i/>
        </w:rPr>
        <w:t>Id.</w:t>
      </w:r>
    </w:p>
  </w:footnote>
  <w:footnote w:id="14">
    <w:p w14:paraId="30E3B05A" w14:textId="310586B3" w:rsidR="00877B0F" w:rsidRPr="00877B0F" w:rsidRDefault="00877B0F">
      <w:pPr>
        <w:pStyle w:val="FootnoteText"/>
      </w:pPr>
      <w:r>
        <w:rPr>
          <w:rStyle w:val="FootnoteReference"/>
        </w:rPr>
        <w:footnoteRef/>
      </w:r>
      <w:r>
        <w:t xml:space="preserve"> </w:t>
      </w:r>
      <w:r>
        <w:rPr>
          <w:i/>
        </w:rPr>
        <w:t>Id.</w:t>
      </w:r>
    </w:p>
  </w:footnote>
  <w:footnote w:id="15">
    <w:p w14:paraId="3D98BB4E" w14:textId="2844D2E7" w:rsidR="000A4AD7" w:rsidRPr="000A4AD7" w:rsidRDefault="000A4AD7">
      <w:pPr>
        <w:pStyle w:val="FootnoteText"/>
      </w:pPr>
      <w:r>
        <w:rPr>
          <w:rStyle w:val="FootnoteReference"/>
        </w:rPr>
        <w:footnoteRef/>
      </w:r>
      <w:r>
        <w:t xml:space="preserve"> </w:t>
      </w:r>
      <w:r>
        <w:rPr>
          <w:i/>
        </w:rPr>
        <w:t>Id.</w:t>
      </w:r>
    </w:p>
  </w:footnote>
  <w:footnote w:id="16">
    <w:p w14:paraId="1CC41F19" w14:textId="09C5FC3A" w:rsidR="000A4AD7" w:rsidRPr="000A4AD7" w:rsidRDefault="000A4AD7">
      <w:pPr>
        <w:pStyle w:val="FootnoteText"/>
      </w:pPr>
      <w:r>
        <w:rPr>
          <w:rStyle w:val="FootnoteReference"/>
        </w:rPr>
        <w:footnoteRef/>
      </w:r>
      <w:r>
        <w:t xml:space="preserve"> </w:t>
      </w:r>
      <w:r>
        <w:rPr>
          <w:i/>
        </w:rPr>
        <w:t>Id.</w:t>
      </w:r>
    </w:p>
  </w:footnote>
  <w:footnote w:id="17">
    <w:p w14:paraId="3397A2C4" w14:textId="3750550D" w:rsidR="00FA160C" w:rsidRPr="00150090" w:rsidRDefault="00FA160C">
      <w:pPr>
        <w:pStyle w:val="FootnoteText"/>
      </w:pPr>
      <w:r>
        <w:rPr>
          <w:rStyle w:val="FootnoteReference"/>
        </w:rPr>
        <w:footnoteRef/>
      </w:r>
      <w:r>
        <w:t xml:space="preserve"> </w:t>
      </w:r>
      <w:r w:rsidR="000A4AD7">
        <w:t>Second Supplement at Exhibit A.</w:t>
      </w:r>
    </w:p>
  </w:footnote>
  <w:footnote w:id="18">
    <w:p w14:paraId="5D43A8AC" w14:textId="5B0B9ADC" w:rsidR="00E2501C" w:rsidRPr="00E2501C" w:rsidRDefault="00E2501C">
      <w:pPr>
        <w:pStyle w:val="FootnoteText"/>
      </w:pPr>
      <w:r>
        <w:rPr>
          <w:rStyle w:val="FootnoteReference"/>
        </w:rPr>
        <w:footnoteRef/>
      </w:r>
      <w:r>
        <w:t xml:space="preserve"> </w:t>
      </w:r>
      <w:r>
        <w:rPr>
          <w:i/>
        </w:rPr>
        <w:t>Id.</w:t>
      </w:r>
      <w:r>
        <w:t xml:space="preserve"> at 3.</w:t>
      </w:r>
    </w:p>
  </w:footnote>
  <w:footnote w:id="19">
    <w:p w14:paraId="17C8CC6F" w14:textId="5E852ACF" w:rsidR="00E2501C" w:rsidRPr="00E2501C" w:rsidRDefault="00E2501C">
      <w:pPr>
        <w:pStyle w:val="FootnoteText"/>
      </w:pPr>
      <w:r>
        <w:rPr>
          <w:rStyle w:val="FootnoteReference"/>
        </w:rPr>
        <w:footnoteRef/>
      </w:r>
      <w:r>
        <w:t xml:space="preserve"> </w:t>
      </w:r>
      <w:r>
        <w:rPr>
          <w:i/>
        </w:rPr>
        <w:t>Id.</w:t>
      </w:r>
    </w:p>
  </w:footnote>
  <w:footnote w:id="20">
    <w:p w14:paraId="243C1F48" w14:textId="422643CA" w:rsidR="00FA160C" w:rsidRPr="00C03B6C" w:rsidRDefault="00FA160C">
      <w:pPr>
        <w:pStyle w:val="FootnoteText"/>
      </w:pPr>
      <w:r>
        <w:rPr>
          <w:rStyle w:val="FootnoteReference"/>
        </w:rPr>
        <w:footnoteRef/>
      </w:r>
      <w:r>
        <w:t xml:space="preserve"> </w:t>
      </w:r>
      <w:r w:rsidR="005A17EB">
        <w:t xml:space="preserve">Initial </w:t>
      </w:r>
      <w:r w:rsidR="00A35245">
        <w:t>Petition at 4-5.  Second Supplement at 3 and Exhibit B.</w:t>
      </w:r>
    </w:p>
  </w:footnote>
  <w:footnote w:id="21">
    <w:p w14:paraId="4B809029" w14:textId="510372ED" w:rsidR="00FA160C" w:rsidRPr="00C03B6C" w:rsidRDefault="00FA160C">
      <w:pPr>
        <w:pStyle w:val="FootnoteText"/>
      </w:pPr>
      <w:r>
        <w:rPr>
          <w:rStyle w:val="FootnoteReference"/>
        </w:rPr>
        <w:footnoteRef/>
      </w:r>
      <w:r>
        <w:t xml:space="preserve"> </w:t>
      </w:r>
      <w:r w:rsidR="005A17EB">
        <w:t xml:space="preserve">Initial </w:t>
      </w:r>
      <w:r w:rsidR="00E2501C">
        <w:t>Petition</w:t>
      </w:r>
      <w:r>
        <w:rPr>
          <w:i/>
        </w:rPr>
        <w:t xml:space="preserve"> </w:t>
      </w:r>
      <w:r>
        <w:t>at 5.</w:t>
      </w:r>
    </w:p>
  </w:footnote>
  <w:footnote w:id="22">
    <w:p w14:paraId="792E0584" w14:textId="34F1FD27" w:rsidR="00FA160C" w:rsidRPr="00C03B6C" w:rsidRDefault="00FA160C">
      <w:pPr>
        <w:pStyle w:val="FootnoteText"/>
        <w:rPr>
          <w:i/>
        </w:rPr>
      </w:pPr>
      <w:r>
        <w:rPr>
          <w:rStyle w:val="FootnoteReference"/>
        </w:rPr>
        <w:footnoteRef/>
      </w:r>
      <w:r>
        <w:t xml:space="preserve"> </w:t>
      </w:r>
      <w:r>
        <w:rPr>
          <w:i/>
        </w:rPr>
        <w:t xml:space="preserve">Id. </w:t>
      </w:r>
      <w:r>
        <w:t xml:space="preserve">HSBC 61549 directly own 98.06% and indirectly owns 1.50% of MVS.  </w:t>
      </w:r>
      <w:r>
        <w:rPr>
          <w:i/>
        </w:rPr>
        <w:t>Id.</w:t>
      </w:r>
    </w:p>
  </w:footnote>
  <w:footnote w:id="23">
    <w:p w14:paraId="2DC71A13" w14:textId="3C99F30A" w:rsidR="00FA160C" w:rsidRPr="00C03B6C" w:rsidRDefault="00FA160C">
      <w:pPr>
        <w:pStyle w:val="FootnoteText"/>
        <w:rPr>
          <w:i/>
        </w:rPr>
      </w:pPr>
      <w:r>
        <w:rPr>
          <w:rStyle w:val="FootnoteReference"/>
        </w:rPr>
        <w:footnoteRef/>
      </w:r>
      <w:r>
        <w:t xml:space="preserve"> </w:t>
      </w:r>
      <w:r>
        <w:rPr>
          <w:i/>
        </w:rPr>
        <w:t>Id.</w:t>
      </w:r>
    </w:p>
  </w:footnote>
  <w:footnote w:id="24">
    <w:p w14:paraId="25B79BA0" w14:textId="614526E5" w:rsidR="00FA160C" w:rsidRPr="00C03B6C" w:rsidRDefault="00FA160C">
      <w:pPr>
        <w:pStyle w:val="FootnoteText"/>
        <w:rPr>
          <w:i/>
        </w:rPr>
      </w:pPr>
      <w:r>
        <w:rPr>
          <w:rStyle w:val="FootnoteReference"/>
        </w:rPr>
        <w:footnoteRef/>
      </w:r>
      <w:r>
        <w:t xml:space="preserve"> </w:t>
      </w:r>
      <w:r>
        <w:rPr>
          <w:i/>
        </w:rPr>
        <w:t xml:space="preserve">Id.  </w:t>
      </w:r>
      <w:r>
        <w:t xml:space="preserve">All of the other board members are U.S. citizens.  </w:t>
      </w:r>
      <w:r>
        <w:rPr>
          <w:i/>
        </w:rPr>
        <w:t>Id.</w:t>
      </w:r>
    </w:p>
  </w:footnote>
  <w:footnote w:id="25">
    <w:p w14:paraId="32C4BC25" w14:textId="24682286" w:rsidR="00FA160C" w:rsidRPr="00C03B6C" w:rsidRDefault="00FA160C">
      <w:pPr>
        <w:pStyle w:val="FootnoteText"/>
      </w:pPr>
      <w:r>
        <w:rPr>
          <w:rStyle w:val="FootnoteReference"/>
        </w:rPr>
        <w:footnoteRef/>
      </w:r>
      <w:r>
        <w:t xml:space="preserve"> </w:t>
      </w:r>
      <w:r>
        <w:rPr>
          <w:i/>
        </w:rPr>
        <w:t xml:space="preserve">Id. </w:t>
      </w:r>
      <w:r>
        <w:t>at 11-14.</w:t>
      </w:r>
    </w:p>
  </w:footnote>
  <w:footnote w:id="26">
    <w:p w14:paraId="276BCB5E" w14:textId="43E5BAB8" w:rsidR="00E2501C" w:rsidRDefault="00E2501C">
      <w:pPr>
        <w:pStyle w:val="FootnoteText"/>
      </w:pPr>
      <w:r>
        <w:rPr>
          <w:rStyle w:val="FootnoteReference"/>
        </w:rPr>
        <w:footnoteRef/>
      </w:r>
      <w:r>
        <w:t xml:space="preserve"> Second Supplement at </w:t>
      </w:r>
      <w:r w:rsidR="00332C54">
        <w:t>3</w:t>
      </w:r>
      <w:r>
        <w:t>.</w:t>
      </w:r>
    </w:p>
  </w:footnote>
  <w:footnote w:id="27">
    <w:p w14:paraId="0CFB72C3" w14:textId="5F38F012" w:rsidR="00FA160C" w:rsidRPr="00332C54" w:rsidRDefault="00FA160C">
      <w:pPr>
        <w:pStyle w:val="FootnoteText"/>
      </w:pPr>
      <w:r>
        <w:rPr>
          <w:rStyle w:val="FootnoteReference"/>
        </w:rPr>
        <w:footnoteRef/>
      </w:r>
      <w:r>
        <w:t xml:space="preserve"> </w:t>
      </w:r>
      <w:r>
        <w:rPr>
          <w:i/>
        </w:rPr>
        <w:t>Id.</w:t>
      </w:r>
      <w:r w:rsidR="009B5B69">
        <w:rPr>
          <w:i/>
        </w:rPr>
        <w:t xml:space="preserve"> </w:t>
      </w:r>
      <w:r w:rsidR="00332C54">
        <w:t>at 3-4.</w:t>
      </w:r>
    </w:p>
  </w:footnote>
  <w:footnote w:id="28">
    <w:p w14:paraId="00DA9E2D" w14:textId="5F4594CB" w:rsidR="00745CA0" w:rsidRDefault="00745CA0">
      <w:pPr>
        <w:pStyle w:val="FootnoteText"/>
      </w:pPr>
      <w:r>
        <w:rPr>
          <w:rStyle w:val="FootnoteReference"/>
        </w:rPr>
        <w:footnoteRef/>
      </w:r>
      <w:r>
        <w:t xml:space="preserve"> </w:t>
      </w:r>
      <w:r w:rsidR="000C317C" w:rsidRPr="00AC42F4">
        <w:t>“</w:t>
      </w:r>
      <w:r w:rsidR="000C317C" w:rsidRPr="00AC42F4">
        <w:rPr>
          <w:bCs/>
          <w:color w:val="222222"/>
          <w:shd w:val="clear" w:color="auto" w:fill="FFFFFF"/>
        </w:rPr>
        <w:t>Registered</w:t>
      </w:r>
      <w:r w:rsidR="000C317C" w:rsidRPr="00AC42F4">
        <w:rPr>
          <w:rStyle w:val="apple-converted-space"/>
          <w:color w:val="222222"/>
          <w:shd w:val="clear" w:color="auto" w:fill="FFFFFF"/>
        </w:rPr>
        <w:t> Shareholders” are </w:t>
      </w:r>
      <w:r w:rsidR="000C317C" w:rsidRPr="00AC42F4">
        <w:rPr>
          <w:bCs/>
          <w:color w:val="222222"/>
          <w:shd w:val="clear" w:color="auto" w:fill="FFFFFF"/>
        </w:rPr>
        <w:t>Shareholders</w:t>
      </w:r>
      <w:r w:rsidR="000C317C" w:rsidRPr="00AC42F4">
        <w:rPr>
          <w:rStyle w:val="apple-converted-space"/>
          <w:color w:val="222222"/>
          <w:shd w:val="clear" w:color="auto" w:fill="FFFFFF"/>
        </w:rPr>
        <w:t> </w:t>
      </w:r>
      <w:r w:rsidR="000C317C" w:rsidRPr="00AC42F4">
        <w:rPr>
          <w:color w:val="222222"/>
          <w:shd w:val="clear" w:color="auto" w:fill="FFFFFF"/>
        </w:rPr>
        <w:t>who hold their shares directly with a company.</w:t>
      </w:r>
      <w:r w:rsidR="00ED1117" w:rsidRPr="00ED1117">
        <w:t xml:space="preserve"> </w:t>
      </w:r>
      <w:hyperlink r:id="rId1" w:history="1">
        <w:r w:rsidR="00ED1117" w:rsidRPr="00D15F81">
          <w:rPr>
            <w:rStyle w:val="Hyperlink"/>
            <w:shd w:val="clear" w:color="auto" w:fill="FFFFFF"/>
          </w:rPr>
          <w:t>https://www.investor.gov/research-before-you-invest/research/shareholder-voting/what-registered-what-beneficial</w:t>
        </w:r>
      </w:hyperlink>
      <w:r w:rsidR="00ED1117">
        <w:rPr>
          <w:color w:val="222222"/>
          <w:shd w:val="clear" w:color="auto" w:fill="FFFFFF"/>
        </w:rPr>
        <w:t xml:space="preserve">.  </w:t>
      </w:r>
      <w:r w:rsidR="000C317C" w:rsidRPr="00B96324">
        <w:rPr>
          <w:bCs/>
          <w:color w:val="222222"/>
          <w:shd w:val="clear" w:color="auto" w:fill="FFFFFF"/>
        </w:rPr>
        <w:t>Registered</w:t>
      </w:r>
      <w:r w:rsidR="000C317C" w:rsidRPr="00AC42F4">
        <w:rPr>
          <w:rStyle w:val="apple-converted-space"/>
          <w:color w:val="222222"/>
          <w:shd w:val="clear" w:color="auto" w:fill="FFFFFF"/>
        </w:rPr>
        <w:t> </w:t>
      </w:r>
      <w:r w:rsidR="000C317C" w:rsidRPr="00AC42F4">
        <w:rPr>
          <w:color w:val="222222"/>
          <w:shd w:val="clear" w:color="auto" w:fill="FFFFFF"/>
        </w:rPr>
        <w:t>holders have their names and addresses recorded in the company's share registry, which is usually maintained by its transfer agent.</w:t>
      </w:r>
    </w:p>
  </w:footnote>
  <w:footnote w:id="29">
    <w:p w14:paraId="5A5EA620" w14:textId="207814D6" w:rsidR="00E2501C" w:rsidRPr="0038230D" w:rsidRDefault="00E2501C">
      <w:pPr>
        <w:pStyle w:val="FootnoteText"/>
      </w:pPr>
      <w:r>
        <w:rPr>
          <w:rStyle w:val="FootnoteReference"/>
        </w:rPr>
        <w:footnoteRef/>
      </w:r>
      <w:r>
        <w:t xml:space="preserve"> </w:t>
      </w:r>
      <w:r w:rsidR="0038230D">
        <w:t>Second Supplement at 3-4.</w:t>
      </w:r>
      <w:r w:rsidR="00B635CE">
        <w:rPr>
          <w:i/>
        </w:rPr>
        <w:t xml:space="preserve">  </w:t>
      </w:r>
      <w:r w:rsidR="00B635CE">
        <w:t>HMTV states that these foreign registered shareholders acquired their share</w:t>
      </w:r>
      <w:r w:rsidR="005B61EE">
        <w:t>s</w:t>
      </w:r>
      <w:r w:rsidR="00B635CE">
        <w:t xml:space="preserve"> pursuant to the </w:t>
      </w:r>
      <w:r w:rsidR="00B635CE">
        <w:rPr>
          <w:i/>
        </w:rPr>
        <w:t xml:space="preserve">pro forma </w:t>
      </w:r>
      <w:r w:rsidR="00B635CE">
        <w:t xml:space="preserve">transaction.  </w:t>
      </w:r>
      <w:r w:rsidR="00B635CE">
        <w:rPr>
          <w:i/>
        </w:rPr>
        <w:t>Id.</w:t>
      </w:r>
      <w:r w:rsidR="0038230D">
        <w:rPr>
          <w:i/>
        </w:rPr>
        <w:t xml:space="preserve">  </w:t>
      </w:r>
      <w:r w:rsidR="0038230D" w:rsidRPr="000C5301">
        <w:rPr>
          <w:szCs w:val="22"/>
        </w:rPr>
        <w:t>Cinéma Aeropuerto</w:t>
      </w:r>
      <w:r w:rsidR="0038230D">
        <w:rPr>
          <w:szCs w:val="22"/>
        </w:rPr>
        <w:t xml:space="preserve"> and Gato are registered shareholders.</w:t>
      </w:r>
      <w:r w:rsidR="00653206">
        <w:rPr>
          <w:szCs w:val="22"/>
        </w:rPr>
        <w:t xml:space="preserve">  Fourth Supplement at 1.</w:t>
      </w:r>
    </w:p>
  </w:footnote>
  <w:footnote w:id="30">
    <w:p w14:paraId="4B75A957" w14:textId="74341868" w:rsidR="00B635CE" w:rsidRPr="00B635CE" w:rsidRDefault="00B635CE">
      <w:pPr>
        <w:pStyle w:val="FootnoteText"/>
      </w:pPr>
      <w:r>
        <w:rPr>
          <w:rStyle w:val="FootnoteReference"/>
        </w:rPr>
        <w:footnoteRef/>
      </w:r>
      <w:r>
        <w:t xml:space="preserve"> </w:t>
      </w:r>
      <w:r>
        <w:rPr>
          <w:i/>
        </w:rPr>
        <w:t>Id.</w:t>
      </w:r>
    </w:p>
  </w:footnote>
  <w:footnote w:id="31">
    <w:p w14:paraId="55DA1CD7" w14:textId="37653622" w:rsidR="00FA160C" w:rsidRPr="004316EA" w:rsidRDefault="00FA160C">
      <w:pPr>
        <w:pStyle w:val="FootnoteText"/>
      </w:pPr>
      <w:r>
        <w:rPr>
          <w:rStyle w:val="FootnoteReference"/>
        </w:rPr>
        <w:footnoteRef/>
      </w:r>
      <w:r>
        <w:t xml:space="preserve"> </w:t>
      </w:r>
      <w:r>
        <w:rPr>
          <w:i/>
        </w:rPr>
        <w:t>Id.</w:t>
      </w:r>
      <w:r w:rsidR="004316EA">
        <w:rPr>
          <w:i/>
        </w:rPr>
        <w:t xml:space="preserve">  </w:t>
      </w:r>
      <w:r w:rsidR="004316EA">
        <w:t xml:space="preserve">Foreign Voting Interests:  </w:t>
      </w:r>
      <w:r w:rsidR="00FD6AD6">
        <w:t>13.05</w:t>
      </w:r>
      <w:r w:rsidR="004316EA">
        <w:t xml:space="preserve"> (Cinema Aeropuerto) + </w:t>
      </w:r>
      <w:r w:rsidR="00FD6AD6">
        <w:t>&lt; 3 (Gato) + 1.36 (SEG-100</w:t>
      </w:r>
      <w:r w:rsidR="004316EA">
        <w:t xml:space="preserve">) </w:t>
      </w:r>
      <w:r w:rsidR="00FD6AD6">
        <w:t xml:space="preserve">+ 0.93 (Registered shareholders) </w:t>
      </w:r>
      <w:r w:rsidR="004316EA">
        <w:t xml:space="preserve">= </w:t>
      </w:r>
      <w:r w:rsidR="00FD6AD6">
        <w:t>18.34</w:t>
      </w:r>
      <w:r w:rsidR="004316EA">
        <w:t xml:space="preserve">.  Foreign Equity Interests:  7.07 (Cinema Aeropuerto) + </w:t>
      </w:r>
      <w:r w:rsidR="00FD6AD6">
        <w:t xml:space="preserve">&lt;3 </w:t>
      </w:r>
      <w:r w:rsidR="005B61EE">
        <w:t>(</w:t>
      </w:r>
      <w:r w:rsidR="00FD6AD6">
        <w:t>Gato) + 7.34 (SEG-100</w:t>
      </w:r>
      <w:r w:rsidR="004316EA">
        <w:t>)</w:t>
      </w:r>
      <w:r w:rsidR="00FD6AD6">
        <w:t xml:space="preserve"> + 5.06 (Registered shareholders) = 22.47</w:t>
      </w:r>
      <w:r w:rsidR="004316EA">
        <w:t>.</w:t>
      </w:r>
    </w:p>
  </w:footnote>
  <w:footnote w:id="32">
    <w:p w14:paraId="1B15B696" w14:textId="0D26E116" w:rsidR="001B23C3" w:rsidRPr="001B23C3" w:rsidRDefault="001B23C3">
      <w:pPr>
        <w:pStyle w:val="FootnoteText"/>
      </w:pPr>
      <w:r>
        <w:rPr>
          <w:rStyle w:val="FootnoteReference"/>
        </w:rPr>
        <w:footnoteRef/>
      </w:r>
      <w:r w:rsidR="00FD6AD6">
        <w:t xml:space="preserve"> </w:t>
      </w:r>
      <w:r w:rsidR="007A2C6A">
        <w:t xml:space="preserve">Initial </w:t>
      </w:r>
      <w:r w:rsidR="00FD6AD6">
        <w:t xml:space="preserve">Petition at </w:t>
      </w:r>
      <w:r w:rsidR="0021488B">
        <w:t>3-4</w:t>
      </w:r>
      <w:r w:rsidR="00B70BC1">
        <w:rPr>
          <w:i/>
        </w:rPr>
        <w:t>.</w:t>
      </w:r>
    </w:p>
  </w:footnote>
  <w:footnote w:id="33">
    <w:p w14:paraId="316E22E8" w14:textId="3814D188" w:rsidR="00FA160C" w:rsidRPr="001B23C3" w:rsidRDefault="00FA160C">
      <w:pPr>
        <w:pStyle w:val="FootnoteText"/>
      </w:pPr>
      <w:r>
        <w:rPr>
          <w:rStyle w:val="FootnoteReference"/>
        </w:rPr>
        <w:footnoteRef/>
      </w:r>
      <w:r>
        <w:t xml:space="preserve"> </w:t>
      </w:r>
      <w:r>
        <w:rPr>
          <w:i/>
        </w:rPr>
        <w:t>Id.</w:t>
      </w:r>
      <w:r w:rsidR="001B23C3">
        <w:rPr>
          <w:i/>
        </w:rPr>
        <w:t xml:space="preserve"> </w:t>
      </w:r>
      <w:r w:rsidR="001B23C3">
        <w:t>at 6.</w:t>
      </w:r>
    </w:p>
  </w:footnote>
  <w:footnote w:id="34">
    <w:p w14:paraId="5FEC611C" w14:textId="0866E9AC" w:rsidR="00826C3A" w:rsidRPr="007C76FB" w:rsidRDefault="00826C3A" w:rsidP="00826C3A">
      <w:pPr>
        <w:pStyle w:val="FootnoteText"/>
      </w:pPr>
      <w:r>
        <w:rPr>
          <w:rStyle w:val="FootnoteReference"/>
        </w:rPr>
        <w:footnoteRef/>
      </w:r>
      <w:r>
        <w:t xml:space="preserve"> </w:t>
      </w:r>
      <w:r>
        <w:rPr>
          <w:i/>
        </w:rPr>
        <w:t xml:space="preserve">Id. </w:t>
      </w:r>
      <w:r>
        <w:t>at 4-5</w:t>
      </w:r>
      <w:r w:rsidR="007532DA">
        <w:t>.</w:t>
      </w:r>
    </w:p>
  </w:footnote>
  <w:footnote w:id="35">
    <w:p w14:paraId="459D59EF" w14:textId="6FF73E7F" w:rsidR="007C76FB" w:rsidRPr="007C76FB" w:rsidRDefault="007C76FB">
      <w:pPr>
        <w:pStyle w:val="FootnoteText"/>
        <w:rPr>
          <w:i/>
        </w:rPr>
      </w:pPr>
      <w:r>
        <w:rPr>
          <w:rStyle w:val="FootnoteReference"/>
        </w:rPr>
        <w:footnoteRef/>
      </w:r>
      <w:r>
        <w:t xml:space="preserve"> </w:t>
      </w:r>
      <w:r>
        <w:rPr>
          <w:i/>
        </w:rPr>
        <w:t>Id.</w:t>
      </w:r>
    </w:p>
  </w:footnote>
  <w:footnote w:id="36">
    <w:p w14:paraId="64AD3620" w14:textId="04852E94" w:rsidR="007C76FB" w:rsidRPr="007C76FB" w:rsidRDefault="007C76FB">
      <w:pPr>
        <w:pStyle w:val="FootnoteText"/>
      </w:pPr>
      <w:r>
        <w:rPr>
          <w:rStyle w:val="FootnoteReference"/>
        </w:rPr>
        <w:footnoteRef/>
      </w:r>
      <w:r>
        <w:t xml:space="preserve"> </w:t>
      </w:r>
      <w:r>
        <w:rPr>
          <w:i/>
        </w:rPr>
        <w:t xml:space="preserve">Id. </w:t>
      </w:r>
      <w:r>
        <w:t>at 5.</w:t>
      </w:r>
      <w:r w:rsidR="00084CD3">
        <w:t xml:space="preserve">  In particular, HMTV states that Mexico permits non-citizens to own up</w:t>
      </w:r>
      <w:r w:rsidR="001F1813">
        <w:t xml:space="preserve"> to</w:t>
      </w:r>
      <w:r w:rsidR="00084CD3">
        <w:t xml:space="preserve"> 49% of the outstanding voting stock of a Mexican television or radio broadcast licensee, subject to reciprocity by the relevant foreign country.  Petition at 16, n.13; Supplement at 5.</w:t>
      </w:r>
    </w:p>
  </w:footnote>
  <w:footnote w:id="37">
    <w:p w14:paraId="3144FE21" w14:textId="039464AD" w:rsidR="00F73E18" w:rsidRDefault="00F73E18">
      <w:pPr>
        <w:pStyle w:val="FootnoteText"/>
      </w:pPr>
      <w:r>
        <w:rPr>
          <w:rStyle w:val="FootnoteReference"/>
        </w:rPr>
        <w:footnoteRef/>
      </w:r>
      <w:r>
        <w:t xml:space="preserve"> </w:t>
      </w:r>
      <w:r w:rsidR="00B47CB7">
        <w:t>On August 16</w:t>
      </w:r>
      <w:r>
        <w:t xml:space="preserve">, 2016, the Commission received a request to defer action on the Petition pending review by Executive Branch agencies.  </w:t>
      </w:r>
      <w:r>
        <w:rPr>
          <w:i/>
        </w:rPr>
        <w:t>See Letter from</w:t>
      </w:r>
      <w:r w:rsidR="00F62BC6">
        <w:rPr>
          <w:i/>
        </w:rPr>
        <w:t xml:space="preserve"> </w:t>
      </w:r>
      <w:r>
        <w:rPr>
          <w:i/>
        </w:rPr>
        <w:t xml:space="preserve">Bermel Paz to Marlene Dortch, Secretary, Federal Communications Commission, </w:t>
      </w:r>
      <w:r>
        <w:t xml:space="preserve">dated </w:t>
      </w:r>
      <w:r w:rsidR="00F62BC6">
        <w:t>August 16</w:t>
      </w:r>
      <w:r>
        <w:t xml:space="preserve">, 2016, MB Docket 16-238.  A further letter withdrawing the deferral request and stating that the reviewing agencies have no objection to the Petition was received by the Commission on </w:t>
      </w:r>
      <w:r w:rsidR="002C26B9">
        <w:t>January 12</w:t>
      </w:r>
      <w:r>
        <w:t xml:space="preserve">, 2017.  </w:t>
      </w:r>
      <w:r w:rsidR="003771BB">
        <w:rPr>
          <w:i/>
        </w:rPr>
        <w:t xml:space="preserve">See Letter from </w:t>
      </w:r>
      <w:r>
        <w:rPr>
          <w:i/>
        </w:rPr>
        <w:t xml:space="preserve">Bermel Paz to Marlene Dortch, Secretary, Federal Communications Commission, </w:t>
      </w:r>
      <w:r>
        <w:t xml:space="preserve">dated January </w:t>
      </w:r>
      <w:r w:rsidR="002C26B9">
        <w:t>12</w:t>
      </w:r>
      <w:r>
        <w:t>, 2017, MB Docket 16-238.</w:t>
      </w:r>
    </w:p>
  </w:footnote>
  <w:footnote w:id="38">
    <w:p w14:paraId="7735B5FA" w14:textId="6F654115" w:rsidR="000B63E1" w:rsidRDefault="000B63E1" w:rsidP="000B63E1">
      <w:pPr>
        <w:pStyle w:val="FootnoteText"/>
      </w:pPr>
      <w:r>
        <w:rPr>
          <w:rStyle w:val="FootnoteReference"/>
        </w:rPr>
        <w:footnoteRef/>
      </w:r>
      <w:r>
        <w:t xml:space="preserve"> 47 U.S.C. § 310(b).</w:t>
      </w:r>
    </w:p>
  </w:footnote>
  <w:footnote w:id="39">
    <w:p w14:paraId="02C4EF8A" w14:textId="77777777" w:rsidR="000B63E1" w:rsidRPr="00105E96" w:rsidRDefault="000B63E1" w:rsidP="000B63E1">
      <w:pPr>
        <w:pStyle w:val="FootnoteText"/>
      </w:pPr>
      <w:r>
        <w:rPr>
          <w:rStyle w:val="FootnoteReference"/>
        </w:rPr>
        <w:footnoteRef/>
      </w:r>
      <w:r>
        <w:t xml:space="preserve"> 47 U.S.C. § 310(b)(4).</w:t>
      </w:r>
    </w:p>
  </w:footnote>
  <w:footnote w:id="40">
    <w:p w14:paraId="0CA330F1" w14:textId="23C6E4A7" w:rsidR="00084CD3" w:rsidRDefault="00084CD3">
      <w:pPr>
        <w:pStyle w:val="FootnoteText"/>
      </w:pPr>
      <w:r>
        <w:rPr>
          <w:rStyle w:val="FootnoteReference"/>
        </w:rPr>
        <w:footnoteRef/>
      </w:r>
      <w:r>
        <w:t xml:space="preserve"> </w:t>
      </w:r>
      <w:r w:rsidRPr="00EF0AC2">
        <w:rPr>
          <w:i/>
        </w:rPr>
        <w:t>Commission Policies and Procedures Under Section 310(b)(4) of the Communications Act, Foreign Investment in Broadcast Licensees</w:t>
      </w:r>
      <w:r w:rsidRPr="00EF0AC2">
        <w:t>, MB Docket No. 13-50, Declaratory Ruling, 28 FCC Rcd 16244 (2013) (</w:t>
      </w:r>
      <w:r w:rsidRPr="00EF0AC2">
        <w:rPr>
          <w:i/>
        </w:rPr>
        <w:t>2013 Broadcast</w:t>
      </w:r>
      <w:r w:rsidRPr="00EF0AC2">
        <w:t xml:space="preserve"> </w:t>
      </w:r>
      <w:r w:rsidRPr="00EF0AC2">
        <w:rPr>
          <w:i/>
        </w:rPr>
        <w:t>Clarification Order</w:t>
      </w:r>
      <w:r w:rsidRPr="00EF0AC2">
        <w:t>).</w:t>
      </w:r>
    </w:p>
  </w:footnote>
  <w:footnote w:id="41">
    <w:p w14:paraId="70604DDE" w14:textId="203E8F1F" w:rsidR="00E632FD" w:rsidRPr="00084CD3" w:rsidRDefault="00E632FD" w:rsidP="00E632FD">
      <w:pPr>
        <w:pStyle w:val="FootnoteText"/>
        <w:rPr>
          <w:i/>
        </w:rPr>
      </w:pPr>
      <w:r w:rsidRPr="00EF0AC2">
        <w:rPr>
          <w:rStyle w:val="FootnoteReference"/>
        </w:rPr>
        <w:footnoteRef/>
      </w:r>
      <w:r w:rsidRPr="00EF0AC2">
        <w:t xml:space="preserve"> </w:t>
      </w:r>
      <w:r w:rsidR="00084CD3">
        <w:rPr>
          <w:i/>
        </w:rPr>
        <w:t>Id.</w:t>
      </w:r>
    </w:p>
  </w:footnote>
  <w:footnote w:id="42">
    <w:p w14:paraId="1ECEF9DC" w14:textId="4F101587" w:rsidR="00E632FD" w:rsidRPr="00EF0AC2" w:rsidRDefault="00E632FD" w:rsidP="00E632FD">
      <w:pPr>
        <w:pStyle w:val="FootnoteText"/>
      </w:pPr>
      <w:r w:rsidRPr="00EF0AC2">
        <w:rPr>
          <w:rStyle w:val="FootnoteReference"/>
        </w:rPr>
        <w:footnoteRef/>
      </w:r>
      <w:r w:rsidR="00826C3A">
        <w:t xml:space="preserve"> The Commission stated that it</w:t>
      </w:r>
      <w:r w:rsidRPr="00EF0AC2">
        <w:t xml:space="preserve"> would not entertain petitions to exceed the foreign ownership limits of Section 310(b)(3) for foreign investment in broadcast licensees.  </w:t>
      </w:r>
      <w:r w:rsidRPr="00EF0AC2">
        <w:rPr>
          <w:i/>
        </w:rPr>
        <w:t>2013 Broadcast Clarification Order</w:t>
      </w:r>
      <w:r w:rsidRPr="00EF0AC2">
        <w:t>, 28 FCC Rcd at 5752, para. 15</w:t>
      </w:r>
      <w:r w:rsidR="001F1813">
        <w:t>,</w:t>
      </w:r>
      <w:r w:rsidRPr="00EF0AC2">
        <w:t xml:space="preserve"> n.49.  Unlike Section 310(b)(4), Section 310(b)(3) does not afford the Commission discretion to approve foreign investment in broadcast licensees in excess of the limitations contained therein.      </w:t>
      </w:r>
    </w:p>
  </w:footnote>
  <w:footnote w:id="43">
    <w:p w14:paraId="05543BC0" w14:textId="77777777" w:rsidR="00E632FD" w:rsidRPr="00EF0AC2" w:rsidRDefault="00E632FD" w:rsidP="00E632FD">
      <w:pPr>
        <w:pStyle w:val="FootnoteText"/>
      </w:pPr>
      <w:r w:rsidRPr="00EF0AC2">
        <w:rPr>
          <w:rStyle w:val="FootnoteReference"/>
        </w:rPr>
        <w:footnoteRef/>
      </w:r>
      <w:r w:rsidRPr="00EF0AC2">
        <w:t xml:space="preserve"> </w:t>
      </w:r>
      <w:r w:rsidRPr="00EF0AC2">
        <w:rPr>
          <w:i/>
        </w:rPr>
        <w:t>2013 Broadcast Clarification Order</w:t>
      </w:r>
      <w:r w:rsidRPr="00EF0AC2">
        <w:t>, 28 FCC Rcd at 16249-50, para. 11.</w:t>
      </w:r>
    </w:p>
  </w:footnote>
  <w:footnote w:id="44">
    <w:p w14:paraId="0B84EB87" w14:textId="77777777" w:rsidR="00E632FD" w:rsidRPr="00EF0AC2" w:rsidRDefault="00E632FD" w:rsidP="00E632FD">
      <w:pPr>
        <w:pStyle w:val="FootnoteText"/>
      </w:pPr>
      <w:r w:rsidRPr="00EF0AC2">
        <w:rPr>
          <w:rStyle w:val="FootnoteReference"/>
        </w:rPr>
        <w:footnoteRef/>
      </w:r>
      <w:r w:rsidRPr="00EF0AC2">
        <w:t xml:space="preserve"> </w:t>
      </w:r>
      <w:r w:rsidRPr="00EF0AC2">
        <w:rPr>
          <w:i/>
        </w:rPr>
        <w:t>Id.</w:t>
      </w:r>
      <w:r w:rsidRPr="00EF0AC2">
        <w:t xml:space="preserve"> at 16249, para. 10.</w:t>
      </w:r>
    </w:p>
  </w:footnote>
  <w:footnote w:id="45">
    <w:p w14:paraId="426DEF1A" w14:textId="77777777" w:rsidR="00FA160C" w:rsidRPr="00EF0AC2" w:rsidRDefault="00FA160C" w:rsidP="003112AD">
      <w:pPr>
        <w:pStyle w:val="FootnoteText"/>
      </w:pPr>
      <w:r w:rsidRPr="00EF0AC2">
        <w:rPr>
          <w:rStyle w:val="FootnoteReference"/>
        </w:rPr>
        <w:footnoteRef/>
      </w:r>
      <w:r w:rsidRPr="00EF0AC2">
        <w:t xml:space="preserve"> </w:t>
      </w:r>
      <w:r w:rsidRPr="00EF0AC2">
        <w:rPr>
          <w:i/>
        </w:rPr>
        <w:t>Pandora Radio LLC Petition for Declaratory Ruling Under Section 310(b)(4) of the Communications Act of 1934, as Amended</w:t>
      </w:r>
      <w:r w:rsidRPr="00EF0AC2">
        <w:t>, MB Docket No. 14-109, Declaratory Ruling, 30 FCC Rcd 5094, 5095-96, para. 4 (2015) (</w:t>
      </w:r>
      <w:r w:rsidRPr="00EF0AC2">
        <w:rPr>
          <w:i/>
        </w:rPr>
        <w:t>2015 Pandora Declaratory Ruling</w:t>
      </w:r>
      <w:r w:rsidRPr="00EF0AC2">
        <w:t xml:space="preserve">), </w:t>
      </w:r>
      <w:r w:rsidRPr="00EF0AC2">
        <w:rPr>
          <w:i/>
        </w:rPr>
        <w:t>recon denied,</w:t>
      </w:r>
      <w:r w:rsidRPr="00EF0AC2">
        <w:t xml:space="preserve"> 30 FCC Rcd 10570 (2015).  </w:t>
      </w:r>
    </w:p>
  </w:footnote>
  <w:footnote w:id="46">
    <w:p w14:paraId="0E7A88CF" w14:textId="77777777" w:rsidR="00FA160C" w:rsidRPr="00EF0AC2" w:rsidRDefault="00FA160C" w:rsidP="003112AD">
      <w:pPr>
        <w:pStyle w:val="FootnoteText"/>
      </w:pPr>
      <w:r w:rsidRPr="00EF0AC2">
        <w:rPr>
          <w:rStyle w:val="FootnoteReference"/>
        </w:rPr>
        <w:footnoteRef/>
      </w:r>
      <w:r w:rsidRPr="00EF0AC2">
        <w:t xml:space="preserve"> </w:t>
      </w:r>
      <w:r w:rsidRPr="00EF0AC2">
        <w:rPr>
          <w:i/>
        </w:rPr>
        <w:t>Id.</w:t>
      </w:r>
      <w:r w:rsidRPr="00EF0AC2">
        <w:t xml:space="preserve">  </w:t>
      </w:r>
    </w:p>
  </w:footnote>
  <w:footnote w:id="47">
    <w:p w14:paraId="0DDF380E" w14:textId="77777777" w:rsidR="00FA160C" w:rsidRPr="00EF0AC2" w:rsidRDefault="00FA160C" w:rsidP="003112AD">
      <w:pPr>
        <w:pStyle w:val="FootnoteText"/>
      </w:pPr>
      <w:r w:rsidRPr="00EF0AC2">
        <w:rPr>
          <w:rStyle w:val="FootnoteReference"/>
        </w:rPr>
        <w:footnoteRef/>
      </w:r>
      <w:r w:rsidRPr="00EF0AC2">
        <w:t xml:space="preserve"> </w:t>
      </w:r>
      <w:r w:rsidRPr="00EF0AC2">
        <w:rPr>
          <w:i/>
        </w:rPr>
        <w:t>Id.</w:t>
      </w:r>
      <w:r w:rsidRPr="00EF0AC2">
        <w:t xml:space="preserve"> at 5101, para. 19.</w:t>
      </w:r>
    </w:p>
  </w:footnote>
  <w:footnote w:id="48">
    <w:p w14:paraId="4776362B" w14:textId="77777777" w:rsidR="00FA160C" w:rsidRPr="00EF0AC2" w:rsidRDefault="00FA160C">
      <w:pPr>
        <w:pStyle w:val="FootnoteText"/>
      </w:pPr>
      <w:r w:rsidRPr="00EF0AC2">
        <w:rPr>
          <w:rStyle w:val="FootnoteReference"/>
        </w:rPr>
        <w:footnoteRef/>
      </w:r>
      <w:r w:rsidRPr="00EF0AC2">
        <w:t xml:space="preserve"> </w:t>
      </w:r>
      <w:r w:rsidRPr="00EF0AC2">
        <w:rPr>
          <w:i/>
        </w:rPr>
        <w:t>Id.</w:t>
      </w:r>
      <w:r w:rsidRPr="00EF0AC2">
        <w:t xml:space="preserve"> at 5101, para. 20.</w:t>
      </w:r>
    </w:p>
  </w:footnote>
  <w:footnote w:id="49">
    <w:p w14:paraId="53AB8028" w14:textId="020F47A2" w:rsidR="00EA7DB8" w:rsidRPr="005460ED" w:rsidRDefault="00EA7DB8" w:rsidP="00EA7DB8">
      <w:pPr>
        <w:pStyle w:val="FootnoteText"/>
      </w:pPr>
      <w:r>
        <w:rPr>
          <w:rStyle w:val="FootnoteReference"/>
        </w:rPr>
        <w:footnoteRef/>
      </w:r>
      <w:r>
        <w:t xml:space="preserve"> </w:t>
      </w:r>
      <w:r>
        <w:rPr>
          <w:i/>
        </w:rPr>
        <w:t>Review of Foreign Ownership Policies for Broadcast, Common Carrier and Aeronautical Radio Licensees under Section 310(b)(4) of the Communications Act of 1934, as Amended,</w:t>
      </w:r>
      <w:r>
        <w:t xml:space="preserve"> Report and Order, GN Docket 15-236 (2016)(</w:t>
      </w:r>
      <w:r>
        <w:rPr>
          <w:i/>
        </w:rPr>
        <w:t>2016 Foreign Ownership Order</w:t>
      </w:r>
      <w:r>
        <w:t>).</w:t>
      </w:r>
      <w:r w:rsidR="00414D07" w:rsidRPr="00414D07">
        <w:rPr>
          <w:i/>
        </w:rPr>
        <w:t xml:space="preserve"> </w:t>
      </w:r>
      <w:r w:rsidR="00414D07" w:rsidRPr="00AC728C">
        <w:rPr>
          <w:i/>
        </w:rPr>
        <w:t>See</w:t>
      </w:r>
      <w:r w:rsidR="00414D07">
        <w:t xml:space="preserve"> note 39 </w:t>
      </w:r>
      <w:r w:rsidR="00414D07" w:rsidRPr="00AC728C">
        <w:rPr>
          <w:i/>
        </w:rPr>
        <w:t>supra</w:t>
      </w:r>
      <w:r w:rsidR="00414D07">
        <w:rPr>
          <w:i/>
        </w:rPr>
        <w:t>.</w:t>
      </w:r>
    </w:p>
  </w:footnote>
  <w:footnote w:id="50">
    <w:p w14:paraId="75605226" w14:textId="77777777" w:rsidR="00EA7DB8" w:rsidRPr="00084CD3" w:rsidRDefault="00EA7DB8" w:rsidP="00EA7DB8">
      <w:pPr>
        <w:pStyle w:val="FootnoteText"/>
      </w:pPr>
      <w:r>
        <w:rPr>
          <w:rStyle w:val="FootnoteReference"/>
        </w:rPr>
        <w:footnoteRef/>
      </w:r>
      <w:r>
        <w:t xml:space="preserve"> </w:t>
      </w:r>
      <w:r>
        <w:rPr>
          <w:i/>
        </w:rPr>
        <w:t>Id.</w:t>
      </w:r>
    </w:p>
  </w:footnote>
  <w:footnote w:id="51">
    <w:p w14:paraId="0B3C70EC" w14:textId="77777777" w:rsidR="00EA7DB8" w:rsidRDefault="00EA7DB8" w:rsidP="00EA7DB8">
      <w:pPr>
        <w:pStyle w:val="FootnoteText"/>
      </w:pPr>
      <w:r>
        <w:rPr>
          <w:rStyle w:val="FootnoteReference"/>
        </w:rPr>
        <w:footnoteRef/>
      </w:r>
      <w:r>
        <w:t xml:space="preserve"> 47 U.S.C. § 310(b)(3)(Prohibiting grant of a</w:t>
      </w:r>
      <w:r w:rsidRPr="000B63E1">
        <w:rPr>
          <w:sz w:val="22"/>
          <w:szCs w:val="22"/>
        </w:rPr>
        <w:t xml:space="preserve"> </w:t>
      </w:r>
      <w:r w:rsidRPr="000B63E1">
        <w:t xml:space="preserve">broadcast, common carrier, aeronautical en route and aeronautical fixed radio license to </w:t>
      </w:r>
      <w:r>
        <w:t xml:space="preserve">“[A]ny corporation of which more than one-fifth of the capital stock is owned of record or voted by aliens or their representatives or by a foreign government or representative thereof or by any corporation organized under the laws of a foreign country…”). </w:t>
      </w:r>
    </w:p>
  </w:footnote>
  <w:footnote w:id="52">
    <w:p w14:paraId="28C4BD9E" w14:textId="3071765E" w:rsidR="00EA7DB8" w:rsidRPr="00084CD3" w:rsidRDefault="00EA7DB8" w:rsidP="00EA7DB8">
      <w:pPr>
        <w:pStyle w:val="FootnoteText"/>
      </w:pPr>
      <w:r>
        <w:rPr>
          <w:rStyle w:val="FootnoteReference"/>
        </w:rPr>
        <w:footnoteRef/>
      </w:r>
      <w:r>
        <w:t xml:space="preserve"> </w:t>
      </w:r>
      <w:r w:rsidR="001331EA">
        <w:rPr>
          <w:i/>
        </w:rPr>
        <w:t>2016 Foreign Ownership Order,</w:t>
      </w:r>
      <w:r>
        <w:rPr>
          <w:i/>
        </w:rPr>
        <w:t xml:space="preserve"> </w:t>
      </w:r>
      <w:r>
        <w:t>at para. 35-72.</w:t>
      </w:r>
    </w:p>
  </w:footnote>
  <w:footnote w:id="53">
    <w:p w14:paraId="1EAB0C80" w14:textId="77777777" w:rsidR="00EA7DB8" w:rsidRPr="00084CD3" w:rsidRDefault="00EA7DB8" w:rsidP="00EA7DB8">
      <w:pPr>
        <w:pStyle w:val="FootnoteText"/>
      </w:pPr>
      <w:r>
        <w:rPr>
          <w:rStyle w:val="FootnoteReference"/>
        </w:rPr>
        <w:footnoteRef/>
      </w:r>
      <w:r>
        <w:t xml:space="preserve"> </w:t>
      </w:r>
      <w:r>
        <w:rPr>
          <w:i/>
        </w:rPr>
        <w:t xml:space="preserve">Id. </w:t>
      </w:r>
      <w:r>
        <w:t>at para. 44-53.</w:t>
      </w:r>
    </w:p>
  </w:footnote>
  <w:footnote w:id="54">
    <w:p w14:paraId="2BB0D9DA" w14:textId="05A3D6AC" w:rsidR="001331EA" w:rsidRPr="001331EA" w:rsidRDefault="001331EA">
      <w:pPr>
        <w:pStyle w:val="FootnoteText"/>
      </w:pPr>
      <w:r>
        <w:rPr>
          <w:rStyle w:val="FootnoteReference"/>
        </w:rPr>
        <w:footnoteRef/>
      </w:r>
      <w:r>
        <w:t xml:space="preserve"> By its terms, the </w:t>
      </w:r>
      <w:r>
        <w:rPr>
          <w:i/>
        </w:rPr>
        <w:t xml:space="preserve">2016 Foreign Ownership Order </w:t>
      </w:r>
      <w:r>
        <w:t xml:space="preserve">takes effect 60 days after publication in the Federal Register, except those provisions that contain new or modified information collection requirements that require approval by the Office of Management and Budget </w:t>
      </w:r>
      <w:r w:rsidR="00B40141">
        <w:t xml:space="preserve">(OMB) </w:t>
      </w:r>
      <w:r>
        <w:t xml:space="preserve">under the Paperwork Reduction Act.  </w:t>
      </w:r>
      <w:r>
        <w:rPr>
          <w:i/>
        </w:rPr>
        <w:t xml:space="preserve">Id. </w:t>
      </w:r>
      <w:r>
        <w:t xml:space="preserve">at para. 113.  Those sections will become effective after the Commission publishes a notice in the Federal Register announcing such approval and the relevant effective date.  </w:t>
      </w:r>
      <w:r>
        <w:rPr>
          <w:i/>
        </w:rPr>
        <w:t>Id.</w:t>
      </w:r>
      <w:r>
        <w:t xml:space="preserve">  The </w:t>
      </w:r>
      <w:r>
        <w:rPr>
          <w:i/>
        </w:rPr>
        <w:t xml:space="preserve">2016 Foreign Ownership Order </w:t>
      </w:r>
      <w:r>
        <w:t xml:space="preserve">was published in the Federal Register on December 1, 2016.  </w:t>
      </w:r>
      <w:r>
        <w:rPr>
          <w:i/>
        </w:rPr>
        <w:t xml:space="preserve">Review of Foreign Ownership for Broadcast, Common Carrier and Aeronautical Radio Licensees, </w:t>
      </w:r>
      <w:r w:rsidR="00AC6B3A">
        <w:t>81 Fed.  Reg. 86568 (Dec. 1, 2016).</w:t>
      </w:r>
      <w:r w:rsidR="00B40141">
        <w:t xml:space="preserve">  The order will be effective on January 30, 2017, except for those sections requiring OMB approval.</w:t>
      </w:r>
    </w:p>
  </w:footnote>
  <w:footnote w:id="55">
    <w:p w14:paraId="20B596C4" w14:textId="74090262" w:rsidR="00C17B4D" w:rsidRPr="00C17B4D" w:rsidRDefault="00C17B4D">
      <w:pPr>
        <w:pStyle w:val="FootnoteText"/>
      </w:pPr>
      <w:r>
        <w:rPr>
          <w:rStyle w:val="FootnoteReference"/>
        </w:rPr>
        <w:footnoteRef/>
      </w:r>
      <w:r>
        <w:t xml:space="preserve"> </w:t>
      </w:r>
      <w:r>
        <w:rPr>
          <w:i/>
        </w:rPr>
        <w:t xml:space="preserve">2013 Broadcast Clarification Order, </w:t>
      </w:r>
      <w:r>
        <w:t>28 FCC Rcd at 16252.</w:t>
      </w:r>
    </w:p>
  </w:footnote>
  <w:footnote w:id="56">
    <w:p w14:paraId="0C9DB8C0" w14:textId="679CE574" w:rsidR="00113FAF" w:rsidRPr="00113FAF" w:rsidRDefault="00113FAF">
      <w:pPr>
        <w:pStyle w:val="FootnoteText"/>
      </w:pPr>
      <w:r>
        <w:rPr>
          <w:rStyle w:val="FootnoteReference"/>
        </w:rPr>
        <w:footnoteRef/>
      </w:r>
      <w:r>
        <w:t xml:space="preserve"> </w:t>
      </w:r>
      <w:r>
        <w:rPr>
          <w:i/>
        </w:rPr>
        <w:t>Id.</w:t>
      </w:r>
    </w:p>
  </w:footnote>
  <w:footnote w:id="57">
    <w:p w14:paraId="611928B8" w14:textId="6F5AEE4E" w:rsidR="00113FAF" w:rsidRPr="00113FAF" w:rsidRDefault="00113FAF">
      <w:pPr>
        <w:pStyle w:val="FootnoteText"/>
      </w:pPr>
      <w:r>
        <w:rPr>
          <w:rStyle w:val="FootnoteReference"/>
        </w:rPr>
        <w:footnoteRef/>
      </w:r>
      <w:r>
        <w:t xml:space="preserve"> </w:t>
      </w:r>
      <w:r>
        <w:rPr>
          <w:i/>
        </w:rPr>
        <w:t>Pandora</w:t>
      </w:r>
      <w:r w:rsidR="00C17B4D">
        <w:rPr>
          <w:i/>
        </w:rPr>
        <w:t xml:space="preserve"> Declaratory Ruling</w:t>
      </w:r>
      <w:r>
        <w:rPr>
          <w:i/>
        </w:rPr>
        <w:t xml:space="preserve">, </w:t>
      </w:r>
      <w:r>
        <w:t>30 FCC Rcd at 5101-</w:t>
      </w:r>
      <w:r w:rsidR="00C74395">
        <w:t xml:space="preserve">5103.  </w:t>
      </w:r>
    </w:p>
  </w:footnote>
  <w:footnote w:id="58">
    <w:p w14:paraId="29A55D20" w14:textId="77777777" w:rsidR="00C17B4D" w:rsidRPr="008A4966" w:rsidRDefault="00C17B4D" w:rsidP="00C17B4D">
      <w:pPr>
        <w:pStyle w:val="FootnoteText"/>
      </w:pPr>
      <w:r>
        <w:rPr>
          <w:rStyle w:val="FootnoteReference"/>
        </w:rPr>
        <w:footnoteRef/>
      </w:r>
      <w:r>
        <w:t xml:space="preserve"> </w:t>
      </w:r>
      <w:r>
        <w:rPr>
          <w:i/>
        </w:rPr>
        <w:t>Id</w:t>
      </w:r>
      <w:r>
        <w:t xml:space="preserve">. </w:t>
      </w:r>
    </w:p>
  </w:footnote>
  <w:footnote w:id="59">
    <w:p w14:paraId="78337C29" w14:textId="4B09EC0B" w:rsidR="009F54B3" w:rsidRDefault="009F54B3">
      <w:pPr>
        <w:pStyle w:val="FootnoteText"/>
      </w:pPr>
      <w:r>
        <w:rPr>
          <w:rStyle w:val="FootnoteReference"/>
        </w:rPr>
        <w:footnoteRef/>
      </w:r>
      <w:r>
        <w:t xml:space="preserve"> For example, HMTV </w:t>
      </w:r>
      <w:r w:rsidR="00AF0FEE">
        <w:t xml:space="preserve">has stated that as part of its compliance monitoring processes it </w:t>
      </w:r>
      <w:r>
        <w:t>already</w:t>
      </w:r>
      <w:r w:rsidR="00AF0FEE">
        <w:t xml:space="preserve"> performs </w:t>
      </w:r>
      <w:r>
        <w:t>the same broadc</w:t>
      </w:r>
      <w:r w:rsidR="00AF0FEE">
        <w:t xml:space="preserve">ast industry best practices set out </w:t>
      </w:r>
      <w:r>
        <w:t xml:space="preserve">in the </w:t>
      </w:r>
      <w:r>
        <w:rPr>
          <w:i/>
        </w:rPr>
        <w:t>Pandora Declaratory Ruling</w:t>
      </w:r>
      <w:r w:rsidR="00AF0FEE">
        <w:t xml:space="preserve"> and that it already has in place the types of restrictions that required changes to Pandora’s organizational documents</w:t>
      </w:r>
      <w:r>
        <w:t xml:space="preserve">.  </w:t>
      </w:r>
      <w:r>
        <w:rPr>
          <w:i/>
        </w:rPr>
        <w:t>Pandora Declaratory Ruling</w:t>
      </w:r>
      <w:r>
        <w:t xml:space="preserve">, 20 FCC Rcd. at 5101.  </w:t>
      </w:r>
      <w:r>
        <w:rPr>
          <w:i/>
        </w:rPr>
        <w:t xml:space="preserve">See also </w:t>
      </w:r>
      <w:r>
        <w:t>para. 7, supra.</w:t>
      </w:r>
      <w:r w:rsidR="00E3410D">
        <w:t xml:space="preserve">  We do, however, require that HMTV maintain these practices.</w:t>
      </w:r>
    </w:p>
  </w:footnote>
  <w:footnote w:id="60">
    <w:p w14:paraId="483D3810" w14:textId="56DCBFCC" w:rsidR="00103369" w:rsidRPr="00DE6E04" w:rsidRDefault="00103369" w:rsidP="00103369">
      <w:pPr>
        <w:pStyle w:val="FootnoteText"/>
      </w:pPr>
      <w:r>
        <w:rPr>
          <w:rStyle w:val="FootnoteReference"/>
        </w:rPr>
        <w:footnoteRef/>
      </w:r>
      <w:r>
        <w:t xml:space="preserve"> </w:t>
      </w:r>
      <w:r w:rsidR="007014BA">
        <w:t xml:space="preserve">HMTV’s petition was on public notice, under review by the Executive Branch, and amended repeatedly during the pendency of the proceeding that resulted in the </w:t>
      </w:r>
      <w:r w:rsidR="007014BA" w:rsidRPr="00222BCA">
        <w:rPr>
          <w:i/>
        </w:rPr>
        <w:t xml:space="preserve">2016 Foreign Ownership </w:t>
      </w:r>
      <w:r w:rsidR="007014BA">
        <w:rPr>
          <w:i/>
        </w:rPr>
        <w:t>Order</w:t>
      </w:r>
      <w:r w:rsidR="007014BA">
        <w:t xml:space="preserve">.  </w:t>
      </w:r>
      <w:r w:rsidR="007014BA" w:rsidRPr="00EF0AC2">
        <w:rPr>
          <w:i/>
        </w:rPr>
        <w:t>Review of Foreign Ownership Policies for Broadcast, Common Carrier and Aeronautical Radio Licensees Under Section 310(b)(4) of the Communications Act of 1934, as Amended</w:t>
      </w:r>
      <w:r w:rsidR="007014BA" w:rsidRPr="00EF0AC2">
        <w:t>, GN Docket 15-236, Notice of Proposed Rulemaking, 30 FCC Rcd 11830 (2015) (</w:t>
      </w:r>
      <w:r w:rsidR="007014BA" w:rsidRPr="00EF0AC2">
        <w:rPr>
          <w:i/>
        </w:rPr>
        <w:t>2015 Foreign Ownership NPRM</w:t>
      </w:r>
      <w:r w:rsidR="007014BA" w:rsidRPr="00EF0AC2">
        <w:t>).</w:t>
      </w:r>
      <w:r w:rsidR="007014BA">
        <w:t xml:space="preserve">  </w:t>
      </w:r>
      <w:r>
        <w:t xml:space="preserve">The </w:t>
      </w:r>
      <w:r>
        <w:rPr>
          <w:i/>
        </w:rPr>
        <w:t xml:space="preserve">2016 Foreign Ownership Order </w:t>
      </w:r>
      <w:r w:rsidR="00F70B8A">
        <w:rPr>
          <w:i/>
        </w:rPr>
        <w:t xml:space="preserve">NPRM </w:t>
      </w:r>
      <w:r>
        <w:t xml:space="preserve">was released on October 22, 2015 and HMTV filed its Initial Petition </w:t>
      </w:r>
      <w:r w:rsidRPr="00D43736">
        <w:t>on July 8, 2016</w:t>
      </w:r>
      <w:r w:rsidR="0031436A">
        <w:t xml:space="preserve">, and supplemented it after the release of the </w:t>
      </w:r>
      <w:r w:rsidR="0031436A">
        <w:rPr>
          <w:i/>
        </w:rPr>
        <w:t>2016 Foreign Ownership Order</w:t>
      </w:r>
      <w:r>
        <w:t>.</w:t>
      </w:r>
      <w:r w:rsidR="007014BA" w:rsidRPr="007014BA">
        <w:t xml:space="preserve"> </w:t>
      </w:r>
      <w:r w:rsidR="007014BA">
        <w:t xml:space="preserve"> HMTV</w:t>
      </w:r>
      <w:r w:rsidR="0038230D">
        <w:t>’s</w:t>
      </w:r>
      <w:r w:rsidR="007014BA">
        <w:t xml:space="preserve"> petition is therefore differently situated then Pandora’s.  Pandora did not have the benefit of the Commission’s guidance in the </w:t>
      </w:r>
      <w:r w:rsidR="007014BA">
        <w:rPr>
          <w:i/>
        </w:rPr>
        <w:t xml:space="preserve">2015 Foreign Ownership NPRM </w:t>
      </w:r>
      <w:r w:rsidR="007014BA">
        <w:t xml:space="preserve">or the </w:t>
      </w:r>
      <w:r w:rsidR="007014BA" w:rsidRPr="00222BCA">
        <w:rPr>
          <w:i/>
        </w:rPr>
        <w:t>2016 Foreign Ownership Order</w:t>
      </w:r>
      <w:r w:rsidR="007014BA">
        <w:rPr>
          <w:i/>
        </w:rPr>
        <w:t>.</w:t>
      </w:r>
    </w:p>
  </w:footnote>
  <w:footnote w:id="61">
    <w:p w14:paraId="7D61B038" w14:textId="2795BA99" w:rsidR="00A1657D" w:rsidRDefault="00A1657D">
      <w:pPr>
        <w:pStyle w:val="FootnoteText"/>
      </w:pPr>
      <w:r>
        <w:rPr>
          <w:rStyle w:val="FootnoteReference"/>
        </w:rPr>
        <w:footnoteRef/>
      </w:r>
      <w:r>
        <w:t xml:space="preserve"> </w:t>
      </w:r>
      <w:r w:rsidR="007A2C6A">
        <w:t xml:space="preserve">Initial </w:t>
      </w:r>
      <w:r>
        <w:t>Petition at 2.</w:t>
      </w:r>
    </w:p>
  </w:footnote>
  <w:footnote w:id="62">
    <w:p w14:paraId="4CE4F0A6" w14:textId="60E156B9" w:rsidR="00592A4C" w:rsidRPr="00A32781" w:rsidRDefault="00592A4C" w:rsidP="00592A4C">
      <w:pPr>
        <w:pStyle w:val="FootnoteText"/>
      </w:pPr>
      <w:r>
        <w:rPr>
          <w:rStyle w:val="FootnoteReference"/>
        </w:rPr>
        <w:footnoteRef/>
      </w:r>
      <w:r>
        <w:t xml:space="preserve"> </w:t>
      </w:r>
      <w:r>
        <w:rPr>
          <w:i/>
        </w:rPr>
        <w:t>2013</w:t>
      </w:r>
      <w:r w:rsidR="00B20D7F">
        <w:rPr>
          <w:i/>
        </w:rPr>
        <w:t xml:space="preserve"> Broadcast</w:t>
      </w:r>
      <w:r>
        <w:rPr>
          <w:i/>
        </w:rPr>
        <w:t xml:space="preserve"> </w:t>
      </w:r>
      <w:r w:rsidR="000621FD">
        <w:rPr>
          <w:i/>
        </w:rPr>
        <w:t>Clarification Order</w:t>
      </w:r>
      <w:r>
        <w:rPr>
          <w:i/>
        </w:rPr>
        <w:t xml:space="preserve"> </w:t>
      </w:r>
      <w:r>
        <w:t xml:space="preserve">at 16249; </w:t>
      </w:r>
      <w:r>
        <w:rPr>
          <w:i/>
        </w:rPr>
        <w:t xml:space="preserve">2016 Foreign Ownership Order </w:t>
      </w:r>
      <w:r>
        <w:t xml:space="preserve">at para. 2.  </w:t>
      </w:r>
    </w:p>
  </w:footnote>
  <w:footnote w:id="63">
    <w:p w14:paraId="55588B42" w14:textId="33855D16" w:rsidR="00F81D74" w:rsidRDefault="00F81D74" w:rsidP="00F81D74">
      <w:pPr>
        <w:pStyle w:val="FootnoteText"/>
      </w:pPr>
      <w:r>
        <w:rPr>
          <w:rStyle w:val="FootnoteReference"/>
        </w:rPr>
        <w:footnoteRef/>
      </w:r>
      <w:r>
        <w:t xml:space="preserve"> </w:t>
      </w:r>
      <w:r>
        <w:rPr>
          <w:i/>
        </w:rPr>
        <w:t xml:space="preserve">2013 </w:t>
      </w:r>
      <w:r w:rsidR="00594BE9">
        <w:rPr>
          <w:i/>
        </w:rPr>
        <w:t xml:space="preserve">Broadcast </w:t>
      </w:r>
      <w:r>
        <w:rPr>
          <w:i/>
        </w:rPr>
        <w:t xml:space="preserve">Clarification Order, </w:t>
      </w:r>
      <w:r>
        <w:t xml:space="preserve">28 FCC Fcd at 16251; </w:t>
      </w:r>
      <w:r>
        <w:rPr>
          <w:i/>
        </w:rPr>
        <w:t xml:space="preserve">2016 Foreign Ownership Order </w:t>
      </w:r>
      <w:r>
        <w:t xml:space="preserve">at para. 2.  </w:t>
      </w:r>
    </w:p>
  </w:footnote>
  <w:footnote w:id="64">
    <w:p w14:paraId="5E22DCE1" w14:textId="786D4CA1" w:rsidR="000621FD" w:rsidRPr="00EF4226" w:rsidRDefault="000621FD">
      <w:pPr>
        <w:pStyle w:val="FootnoteText"/>
      </w:pPr>
      <w:r>
        <w:rPr>
          <w:rStyle w:val="FootnoteReference"/>
        </w:rPr>
        <w:footnoteRef/>
      </w:r>
      <w:r>
        <w:t xml:space="preserve"> </w:t>
      </w:r>
      <w:r w:rsidR="007A2C6A">
        <w:t xml:space="preserve">Initial </w:t>
      </w:r>
      <w:r w:rsidR="00EF4226">
        <w:t>Petition at 16, fn 13</w:t>
      </w:r>
      <w:r w:rsidR="003061BD">
        <w:t>.  U.S. Department of State, 2014 Investment Climate Statement at 4-5 (2014).</w:t>
      </w:r>
      <w:r w:rsidR="00EF4226">
        <w:t xml:space="preserve">  </w:t>
      </w:r>
      <w:r w:rsidR="00EF4226">
        <w:rPr>
          <w:i/>
        </w:rPr>
        <w:t>See also, Ley Federal de Telecommunicaciones y Radiofusión</w:t>
      </w:r>
      <w:r w:rsidR="00EF4226">
        <w:t xml:space="preserve">, Articulo Segundo (issued July 14, 2014), http://www.dof.gob.mx.nota_detalle.php?codigo5352323&amp;fecha++14/07/2014 </w:t>
      </w:r>
      <w:r w:rsidR="00FC2B25">
        <w:t>(</w:t>
      </w:r>
      <w:r w:rsidR="00EF4226">
        <w:t xml:space="preserve">available in English at </w:t>
      </w:r>
      <w:hyperlink r:id="rId2" w:history="1">
        <w:r w:rsidR="00FC2B25" w:rsidRPr="00FC2B25">
          <w:rPr>
            <w:rStyle w:val="Hyperlink"/>
          </w:rPr>
          <w:t>http://www.sct.gob.mx/fileadmin/Comunicaciones/LFTR_english.pdf</w:t>
        </w:r>
      </w:hyperlink>
      <w:r w:rsidR="007A2C6A">
        <w:t>, Article Two</w:t>
      </w:r>
      <w:r w:rsidR="00EF4226">
        <w:t>, at pdf p. 86).</w:t>
      </w:r>
    </w:p>
  </w:footnote>
  <w:footnote w:id="65">
    <w:p w14:paraId="3FCF19E5" w14:textId="646909AE" w:rsidR="000B6118" w:rsidRDefault="000B6118">
      <w:pPr>
        <w:pStyle w:val="FootnoteText"/>
      </w:pPr>
      <w:r>
        <w:rPr>
          <w:rStyle w:val="FootnoteReference"/>
        </w:rPr>
        <w:footnoteRef/>
      </w:r>
      <w:r>
        <w:t xml:space="preserve"> </w:t>
      </w:r>
      <w:r w:rsidR="00CC4C3B">
        <w:rPr>
          <w:i/>
        </w:rPr>
        <w:t xml:space="preserve">See Pandora Declaratory Ruling, </w:t>
      </w:r>
      <w:r w:rsidR="00CC4C3B">
        <w:t xml:space="preserve">30 FCC Rcd at 5101.  </w:t>
      </w:r>
      <w:r>
        <w:t xml:space="preserve">A “group” is </w:t>
      </w:r>
      <w:r w:rsidR="00D67EF8">
        <w:rPr>
          <w:szCs w:val="22"/>
        </w:rPr>
        <w:t>t</w:t>
      </w:r>
      <w:r w:rsidR="00D67EF8" w:rsidRPr="00033B42">
        <w:rPr>
          <w:szCs w:val="22"/>
        </w:rPr>
        <w:t xml:space="preserve">wo or more individuals or entities </w:t>
      </w:r>
      <w:r w:rsidR="00D67EF8">
        <w:rPr>
          <w:szCs w:val="22"/>
        </w:rPr>
        <w:t>that</w:t>
      </w:r>
      <w:r w:rsidR="00D67EF8" w:rsidRPr="00033B42">
        <w:rPr>
          <w:szCs w:val="22"/>
        </w:rPr>
        <w:t xml:space="preserve"> have agreed to act together for the purpose of acquiring, holding, voting, or disposing of their equity and/or voting interests in the licensee and/or controlling U.S. parent of the licensee or in any intermediate company(ies) through which any of the individuals or entities holds its interests in the licensee and/or controlling U.S. parent of the licensee.</w:t>
      </w:r>
      <w:r w:rsidR="0067095F">
        <w:rPr>
          <w:szCs w:val="22"/>
        </w:rPr>
        <w:t xml:space="preserve">  </w:t>
      </w:r>
      <w:r w:rsidR="00B96324">
        <w:rPr>
          <w:szCs w:val="22"/>
        </w:rPr>
        <w:t xml:space="preserve"> 17 C.F.R. § 240.13d-5(b).</w:t>
      </w:r>
    </w:p>
  </w:footnote>
  <w:footnote w:id="66">
    <w:p w14:paraId="2CB6C03D" w14:textId="55FE110C" w:rsidR="00F2688F" w:rsidRDefault="00F2688F">
      <w:pPr>
        <w:pStyle w:val="FootnoteText"/>
      </w:pPr>
      <w:r>
        <w:rPr>
          <w:rStyle w:val="FootnoteReference"/>
        </w:rPr>
        <w:footnoteRef/>
      </w:r>
      <w:r w:rsidR="00B96324">
        <w:t xml:space="preserve"> As discussed above, fn. 5</w:t>
      </w:r>
      <w:r w:rsidR="008A3223">
        <w:t>9</w:t>
      </w:r>
      <w:r>
        <w:t>, HMTV has demonstrated that it already has in place methods for monitoring</w:t>
      </w:r>
      <w:r w:rsidR="00C4082B">
        <w:t xml:space="preserve"> and ensuring</w:t>
      </w:r>
      <w:r>
        <w:t xml:space="preserve"> compliance with 310(b) benchmarks</w:t>
      </w:r>
      <w:r w:rsidR="00C4082B">
        <w:t xml:space="preserve"> and we require it to keep these safeguards in place</w:t>
      </w:r>
      <w:r>
        <w:t xml:space="preserve">.  It has also </w:t>
      </w:r>
      <w:r w:rsidR="0067095F">
        <w:t xml:space="preserve">shown </w:t>
      </w:r>
      <w:r>
        <w:t>that it is currently in compliance with 310(b).  Therefore, the special biennial certification requirement imposed in</w:t>
      </w:r>
      <w:r w:rsidR="00594BE9">
        <w:t xml:space="preserve"> the</w:t>
      </w:r>
      <w:r>
        <w:t xml:space="preserve"> </w:t>
      </w:r>
      <w:r>
        <w:rPr>
          <w:i/>
        </w:rPr>
        <w:t>Pandora</w:t>
      </w:r>
      <w:r w:rsidR="0007362C">
        <w:rPr>
          <w:i/>
        </w:rPr>
        <w:t xml:space="preserve"> Declaratory Ruling</w:t>
      </w:r>
      <w:r>
        <w:rPr>
          <w:i/>
        </w:rPr>
        <w:t xml:space="preserve"> </w:t>
      </w:r>
      <w:r>
        <w:t xml:space="preserve">is not warranted in this instance.  </w:t>
      </w:r>
      <w:r>
        <w:rPr>
          <w:i/>
        </w:rPr>
        <w:t>See Pandora</w:t>
      </w:r>
      <w:r w:rsidR="0007362C">
        <w:rPr>
          <w:i/>
        </w:rPr>
        <w:t xml:space="preserve"> Declaratory Ruling</w:t>
      </w:r>
      <w:r>
        <w:rPr>
          <w:i/>
        </w:rPr>
        <w:t xml:space="preserve">, </w:t>
      </w:r>
      <w:r>
        <w:t xml:space="preserve">30 FCC Rcd at 5101-5102.   </w:t>
      </w:r>
      <w:r w:rsidR="00FA0BA8">
        <w:t>Nothing in this declaratory ruling excuses the petitioner or its subsidiary licensees from the requirements associated with 310(b) certification at the time of filing a Commission application that requires such certification.</w:t>
      </w:r>
    </w:p>
  </w:footnote>
  <w:footnote w:id="67">
    <w:p w14:paraId="3A565E2B" w14:textId="1F5F1070" w:rsidR="002228AE" w:rsidRDefault="002228AE">
      <w:pPr>
        <w:pStyle w:val="FootnoteText"/>
      </w:pPr>
      <w:r>
        <w:rPr>
          <w:rStyle w:val="FootnoteReference"/>
        </w:rPr>
        <w:footnoteRef/>
      </w:r>
      <w:r w:rsidR="00CC4C3B">
        <w:t xml:space="preserve"> </w:t>
      </w:r>
      <w:r w:rsidR="00CC4C3B">
        <w:rPr>
          <w:i/>
        </w:rPr>
        <w:t xml:space="preserve">See Pandora Declaratory Ruling, </w:t>
      </w:r>
      <w:r w:rsidR="00CC4C3B">
        <w:t>30 FCC Rcd at 5102.</w:t>
      </w:r>
    </w:p>
  </w:footnote>
  <w:footnote w:id="68">
    <w:p w14:paraId="7FDE6CB7" w14:textId="541DEBCA" w:rsidR="00991245" w:rsidRPr="00991245" w:rsidRDefault="00991245">
      <w:pPr>
        <w:pStyle w:val="FootnoteText"/>
      </w:pPr>
      <w:r>
        <w:rPr>
          <w:rStyle w:val="FootnoteReference"/>
        </w:rPr>
        <w:footnoteRef/>
      </w:r>
      <w:r>
        <w:t xml:space="preserve"> Although this condition was not in the </w:t>
      </w:r>
      <w:r>
        <w:rPr>
          <w:i/>
        </w:rPr>
        <w:t>Pandora</w:t>
      </w:r>
      <w:r w:rsidR="0007362C">
        <w:rPr>
          <w:i/>
        </w:rPr>
        <w:t xml:space="preserve"> Declaratory Ruling</w:t>
      </w:r>
      <w:r>
        <w:t xml:space="preserve">, we find that it is consistent with that decision’s condition allowing the </w:t>
      </w:r>
      <w:r w:rsidR="007959BD">
        <w:t>creation of new, wholly</w:t>
      </w:r>
      <w:r>
        <w:t xml:space="preserve"> owned subsidiaries of the licensee’s parent company to be inserted in the ownership chain.</w:t>
      </w:r>
    </w:p>
  </w:footnote>
  <w:footnote w:id="69">
    <w:p w14:paraId="61234E21" w14:textId="23172707" w:rsidR="00405B84" w:rsidRPr="00405B84" w:rsidRDefault="00405B84">
      <w:pPr>
        <w:pStyle w:val="FootnoteText"/>
      </w:pPr>
      <w:r>
        <w:rPr>
          <w:rStyle w:val="FootnoteReference"/>
        </w:rPr>
        <w:footnoteRef/>
      </w:r>
      <w:r w:rsidR="00CC4C3B">
        <w:rPr>
          <w:i/>
        </w:rPr>
        <w:t xml:space="preserve">See Pandora Declaratory Ruling, </w:t>
      </w:r>
      <w:r w:rsidR="00CC4C3B">
        <w:t>30 FCC Rcd at 5102</w:t>
      </w:r>
      <w:r>
        <w:rPr>
          <w:i/>
        </w:rPr>
        <w:t>.</w:t>
      </w:r>
    </w:p>
  </w:footnote>
  <w:footnote w:id="70">
    <w:p w14:paraId="6D0C22F9" w14:textId="0B30D418" w:rsidR="00481947" w:rsidRDefault="00481947">
      <w:pPr>
        <w:pStyle w:val="FootnoteText"/>
      </w:pPr>
      <w:r>
        <w:rPr>
          <w:rStyle w:val="FootnoteReference"/>
        </w:rPr>
        <w:footnoteRef/>
      </w:r>
      <w:r>
        <w:t xml:space="preserve"> Some of the conditions we adopt here are similar to the terms of the rules adopted in the </w:t>
      </w:r>
      <w:r>
        <w:rPr>
          <w:i/>
        </w:rPr>
        <w:t>2016 Foreign Ownership Order.</w:t>
      </w:r>
      <w:r>
        <w:t xml:space="preserve"> </w:t>
      </w:r>
      <w:r w:rsidR="00F81D74">
        <w:rPr>
          <w:i/>
        </w:rPr>
        <w:t xml:space="preserve">See, e.g. </w:t>
      </w:r>
      <w:r w:rsidR="00F81D74">
        <w:t>47 C.F.R. §1.5001(i); 47 C.F.R. § 1.5004 (b), (d) and (f</w:t>
      </w:r>
      <w:r>
        <w:t xml:space="preserve"> However, we adopt these conditions here not to </w:t>
      </w:r>
      <w:r w:rsidR="0067095F">
        <w:t>apply</w:t>
      </w:r>
      <w:r>
        <w:t xml:space="preserve"> those rules, which are not yet effective, but because</w:t>
      </w:r>
      <w:r w:rsidR="0067095F">
        <w:t xml:space="preserve"> </w:t>
      </w:r>
      <w:r>
        <w:t>we conclude that these conditions are appropriate under the facts and circumstances of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C5E5C" w14:textId="77777777" w:rsidR="00292D25" w:rsidRDefault="00292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B36E" w14:textId="54319630" w:rsidR="00FA160C" w:rsidRDefault="00FA160C" w:rsidP="00452EE7">
    <w:pPr>
      <w:pStyle w:val="Header"/>
      <w:tabs>
        <w:tab w:val="left" w:pos="7512"/>
      </w:tabs>
      <w:ind w:firstLine="720"/>
    </w:pPr>
    <w:r>
      <w:tab/>
      <w:t>Federal Communications Commission</w:t>
    </w:r>
    <w:r>
      <w:tab/>
    </w:r>
    <w:r>
      <w:tab/>
    </w:r>
    <w:r w:rsidR="00671660">
      <w:t>DA 17</w:t>
    </w:r>
    <w:r>
      <w:t>-</w:t>
    </w:r>
    <w:r w:rsidR="00A54F11">
      <w:t>79</w:t>
    </w:r>
  </w:p>
  <w:p w14:paraId="7487621E" w14:textId="77777777" w:rsidR="00FA160C" w:rsidRDefault="00FA160C">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14:anchorId="653E109F" wp14:editId="19107F7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39EAC4"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BF73" w14:textId="4F11506C" w:rsidR="00FA160C" w:rsidRDefault="00FA160C" w:rsidP="003A36A3">
    <w:pPr>
      <w:pStyle w:val="Header"/>
    </w:pPr>
    <w:r>
      <w:rPr>
        <w:noProof/>
      </w:rPr>
      <mc:AlternateContent>
        <mc:Choice Requires="wps">
          <w:drawing>
            <wp:anchor distT="0" distB="0" distL="114300" distR="114300" simplePos="0" relativeHeight="251658752" behindDoc="1" locked="0" layoutInCell="0" allowOverlap="1" wp14:anchorId="28F72B63" wp14:editId="2D48340E">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A81A3B"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71660">
      <w:rPr>
        <w:spacing w:val="-2"/>
      </w:rPr>
      <w:t>DA 17</w:t>
    </w:r>
    <w:r>
      <w:rPr>
        <w:spacing w:val="-2"/>
      </w:rPr>
      <w:t>-</w:t>
    </w:r>
    <w:r w:rsidR="00A54F11">
      <w:rPr>
        <w:spacing w:val="-2"/>
      </w:rPr>
      <w:t>79</w:t>
    </w:r>
  </w:p>
  <w:p w14:paraId="41918727" w14:textId="77777777" w:rsidR="00FA160C" w:rsidRDefault="00FA160C" w:rsidP="003A36A3">
    <w:pPr>
      <w:pStyle w:val="Header"/>
    </w:pPr>
    <w:r>
      <w:rPr>
        <w:noProof/>
      </w:rPr>
      <mc:AlternateContent>
        <mc:Choice Requires="wps">
          <w:drawing>
            <wp:anchor distT="0" distB="0" distL="114300" distR="114300" simplePos="0" relativeHeight="251657728" behindDoc="1" locked="0" layoutInCell="0" allowOverlap="1" wp14:anchorId="4601D4AD" wp14:editId="4F48D7A6">
              <wp:simplePos x="0" y="0"/>
              <wp:positionH relativeFrom="margin">
                <wp:posOffset>0</wp:posOffset>
              </wp:positionH>
              <wp:positionV relativeFrom="paragraph">
                <wp:posOffset>-635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4EE54C" id="Rectangle 3" o:spid="_x0000_s1026" style="position:absolute;margin-left:0;margin-top:-.0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" o:allowincell="f" fillcolor="black" stroked="f" strokeweight=".05pt">
              <w10:wrap anchorx="margin"/>
            </v:rect>
          </w:pict>
        </mc:Fallback>
      </mc:AlternateContent>
    </w:r>
  </w:p>
  <w:p w14:paraId="06FABE0F" w14:textId="77777777" w:rsidR="00FA160C" w:rsidRPr="003112AD" w:rsidRDefault="00FA160C" w:rsidP="003A3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6030BC"/>
    <w:multiLevelType w:val="hybridMultilevel"/>
    <w:tmpl w:val="56C420F2"/>
    <w:lvl w:ilvl="0" w:tplc="A1B892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6382"/>
    <w:multiLevelType w:val="hybridMultilevel"/>
    <w:tmpl w:val="565A0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892400"/>
    <w:multiLevelType w:val="hybridMultilevel"/>
    <w:tmpl w:val="377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D6922EF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187FCF"/>
    <w:multiLevelType w:val="hybridMultilevel"/>
    <w:tmpl w:val="AEB8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C2AAE"/>
    <w:multiLevelType w:val="hybridMultilevel"/>
    <w:tmpl w:val="367A74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80307"/>
    <w:multiLevelType w:val="hybridMultilevel"/>
    <w:tmpl w:val="C3646614"/>
    <w:lvl w:ilvl="0" w:tplc="F984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255B8"/>
    <w:multiLevelType w:val="hybridMultilevel"/>
    <w:tmpl w:val="8CCE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7A65383"/>
    <w:multiLevelType w:val="hybridMultilevel"/>
    <w:tmpl w:val="0B10E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D93189"/>
    <w:multiLevelType w:val="hybridMultilevel"/>
    <w:tmpl w:val="FB4E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5A95038"/>
    <w:multiLevelType w:val="hybridMultilevel"/>
    <w:tmpl w:val="8A5E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457269"/>
    <w:multiLevelType w:val="hybridMultilevel"/>
    <w:tmpl w:val="9C1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50F98"/>
    <w:multiLevelType w:val="hybridMultilevel"/>
    <w:tmpl w:val="29B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16"/>
  </w:num>
  <w:num w:numId="3">
    <w:abstractNumId w:val="7"/>
  </w:num>
  <w:num w:numId="4">
    <w:abstractNumId w:val="13"/>
  </w:num>
  <w:num w:numId="5">
    <w:abstractNumId w:val="5"/>
  </w:num>
  <w:num w:numId="6">
    <w:abstractNumId w:val="1"/>
  </w:num>
  <w:num w:numId="7">
    <w:abstractNumId w:val="0"/>
  </w:num>
  <w:num w:numId="8">
    <w:abstractNumId w:val="20"/>
  </w:num>
  <w:num w:numId="9">
    <w:abstractNumId w:val="11"/>
  </w:num>
  <w:num w:numId="10">
    <w:abstractNumId w:val="9"/>
  </w:num>
  <w:num w:numId="11">
    <w:abstractNumId w:val="2"/>
  </w:num>
  <w:num w:numId="12">
    <w:abstractNumId w:val="14"/>
  </w:num>
  <w:num w:numId="13">
    <w:abstractNumId w:val="10"/>
  </w:num>
  <w:num w:numId="14">
    <w:abstractNumId w:val="16"/>
    <w:lvlOverride w:ilvl="0">
      <w:startOverride w:val="1"/>
    </w:lvlOverride>
  </w:num>
  <w:num w:numId="15">
    <w:abstractNumId w:val="12"/>
  </w:num>
  <w:num w:numId="16">
    <w:abstractNumId w:val="8"/>
  </w:num>
  <w:num w:numId="17">
    <w:abstractNumId w:val="15"/>
  </w:num>
  <w:num w:numId="18">
    <w:abstractNumId w:val="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3"/>
  </w:num>
  <w:num w:numId="30">
    <w:abstractNumId w:val="16"/>
    <w:lvlOverride w:ilvl="0">
      <w:startOverride w:val="1"/>
    </w:lvlOverride>
  </w:num>
  <w:num w:numId="31">
    <w:abstractNumId w:val="18"/>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AD"/>
    <w:rsid w:val="00000832"/>
    <w:rsid w:val="00000EC9"/>
    <w:rsid w:val="00002AC6"/>
    <w:rsid w:val="0000336A"/>
    <w:rsid w:val="00003801"/>
    <w:rsid w:val="00004C54"/>
    <w:rsid w:val="00011A13"/>
    <w:rsid w:val="000133D7"/>
    <w:rsid w:val="00014D4F"/>
    <w:rsid w:val="000159CF"/>
    <w:rsid w:val="00015D63"/>
    <w:rsid w:val="00020ADD"/>
    <w:rsid w:val="00020EF3"/>
    <w:rsid w:val="00021A7F"/>
    <w:rsid w:val="000222B1"/>
    <w:rsid w:val="000272E9"/>
    <w:rsid w:val="000278C2"/>
    <w:rsid w:val="00030556"/>
    <w:rsid w:val="0003095F"/>
    <w:rsid w:val="00034683"/>
    <w:rsid w:val="000350D9"/>
    <w:rsid w:val="00035979"/>
    <w:rsid w:val="00036039"/>
    <w:rsid w:val="00036314"/>
    <w:rsid w:val="0003785C"/>
    <w:rsid w:val="00037EE0"/>
    <w:rsid w:val="00037F90"/>
    <w:rsid w:val="0004198F"/>
    <w:rsid w:val="00042228"/>
    <w:rsid w:val="00042458"/>
    <w:rsid w:val="000433C9"/>
    <w:rsid w:val="00043CBE"/>
    <w:rsid w:val="00044048"/>
    <w:rsid w:val="00045BB5"/>
    <w:rsid w:val="00046D85"/>
    <w:rsid w:val="00054896"/>
    <w:rsid w:val="00055562"/>
    <w:rsid w:val="00055EB4"/>
    <w:rsid w:val="000579AE"/>
    <w:rsid w:val="00060742"/>
    <w:rsid w:val="00060F72"/>
    <w:rsid w:val="000612C1"/>
    <w:rsid w:val="000621FD"/>
    <w:rsid w:val="00065F77"/>
    <w:rsid w:val="00070A5D"/>
    <w:rsid w:val="00071171"/>
    <w:rsid w:val="00071514"/>
    <w:rsid w:val="000728B6"/>
    <w:rsid w:val="0007362C"/>
    <w:rsid w:val="00074A5A"/>
    <w:rsid w:val="00076464"/>
    <w:rsid w:val="00083ECB"/>
    <w:rsid w:val="000845D9"/>
    <w:rsid w:val="00084CD3"/>
    <w:rsid w:val="000875BF"/>
    <w:rsid w:val="00087613"/>
    <w:rsid w:val="000879D9"/>
    <w:rsid w:val="00093D65"/>
    <w:rsid w:val="00096D8C"/>
    <w:rsid w:val="00097BED"/>
    <w:rsid w:val="000A2C28"/>
    <w:rsid w:val="000A3F86"/>
    <w:rsid w:val="000A4AD7"/>
    <w:rsid w:val="000A5DD1"/>
    <w:rsid w:val="000A6F92"/>
    <w:rsid w:val="000B3244"/>
    <w:rsid w:val="000B34AD"/>
    <w:rsid w:val="000B6118"/>
    <w:rsid w:val="000B61B9"/>
    <w:rsid w:val="000B63E1"/>
    <w:rsid w:val="000B6D2A"/>
    <w:rsid w:val="000B73A4"/>
    <w:rsid w:val="000B7A6F"/>
    <w:rsid w:val="000B7D37"/>
    <w:rsid w:val="000C0B65"/>
    <w:rsid w:val="000C0DC6"/>
    <w:rsid w:val="000C317C"/>
    <w:rsid w:val="000C5301"/>
    <w:rsid w:val="000C5C1C"/>
    <w:rsid w:val="000C6EFB"/>
    <w:rsid w:val="000C7253"/>
    <w:rsid w:val="000D2339"/>
    <w:rsid w:val="000D2D21"/>
    <w:rsid w:val="000D379E"/>
    <w:rsid w:val="000D3AF7"/>
    <w:rsid w:val="000D570E"/>
    <w:rsid w:val="000D72CE"/>
    <w:rsid w:val="000E05FE"/>
    <w:rsid w:val="000E0991"/>
    <w:rsid w:val="000E0E3F"/>
    <w:rsid w:val="000E209A"/>
    <w:rsid w:val="000E2881"/>
    <w:rsid w:val="000E2EF5"/>
    <w:rsid w:val="000E3D42"/>
    <w:rsid w:val="000E7092"/>
    <w:rsid w:val="000E75AE"/>
    <w:rsid w:val="000E7E59"/>
    <w:rsid w:val="000F5837"/>
    <w:rsid w:val="000F746D"/>
    <w:rsid w:val="00100DEF"/>
    <w:rsid w:val="00101871"/>
    <w:rsid w:val="00103369"/>
    <w:rsid w:val="00103D1A"/>
    <w:rsid w:val="00104D28"/>
    <w:rsid w:val="00105B2C"/>
    <w:rsid w:val="00106995"/>
    <w:rsid w:val="00106EC2"/>
    <w:rsid w:val="00107EDC"/>
    <w:rsid w:val="00112B55"/>
    <w:rsid w:val="001134A2"/>
    <w:rsid w:val="00113FAF"/>
    <w:rsid w:val="00115B1C"/>
    <w:rsid w:val="0012037A"/>
    <w:rsid w:val="001220A0"/>
    <w:rsid w:val="00122BD5"/>
    <w:rsid w:val="00123ECF"/>
    <w:rsid w:val="0012469F"/>
    <w:rsid w:val="00124E1A"/>
    <w:rsid w:val="0012733A"/>
    <w:rsid w:val="00127712"/>
    <w:rsid w:val="001331EA"/>
    <w:rsid w:val="00133F79"/>
    <w:rsid w:val="001400B6"/>
    <w:rsid w:val="0014198B"/>
    <w:rsid w:val="0014707E"/>
    <w:rsid w:val="00150090"/>
    <w:rsid w:val="0015105C"/>
    <w:rsid w:val="00151C81"/>
    <w:rsid w:val="0015237E"/>
    <w:rsid w:val="00152ADF"/>
    <w:rsid w:val="00155F23"/>
    <w:rsid w:val="0015754E"/>
    <w:rsid w:val="00165B8C"/>
    <w:rsid w:val="001661E1"/>
    <w:rsid w:val="001666F2"/>
    <w:rsid w:val="0017098E"/>
    <w:rsid w:val="001758B3"/>
    <w:rsid w:val="001761F7"/>
    <w:rsid w:val="00181D59"/>
    <w:rsid w:val="001834FD"/>
    <w:rsid w:val="00184389"/>
    <w:rsid w:val="0018739A"/>
    <w:rsid w:val="001911D6"/>
    <w:rsid w:val="00192433"/>
    <w:rsid w:val="001930DB"/>
    <w:rsid w:val="00193EEA"/>
    <w:rsid w:val="00194A66"/>
    <w:rsid w:val="00194BEA"/>
    <w:rsid w:val="00195971"/>
    <w:rsid w:val="00195F68"/>
    <w:rsid w:val="00196107"/>
    <w:rsid w:val="00196670"/>
    <w:rsid w:val="00196C4A"/>
    <w:rsid w:val="00197652"/>
    <w:rsid w:val="00197E91"/>
    <w:rsid w:val="001A0371"/>
    <w:rsid w:val="001A2F24"/>
    <w:rsid w:val="001A4805"/>
    <w:rsid w:val="001A57FC"/>
    <w:rsid w:val="001B0022"/>
    <w:rsid w:val="001B10D7"/>
    <w:rsid w:val="001B124D"/>
    <w:rsid w:val="001B19FF"/>
    <w:rsid w:val="001B1E00"/>
    <w:rsid w:val="001B23C3"/>
    <w:rsid w:val="001B4824"/>
    <w:rsid w:val="001B4A6E"/>
    <w:rsid w:val="001B6D83"/>
    <w:rsid w:val="001B77EA"/>
    <w:rsid w:val="001C1B2C"/>
    <w:rsid w:val="001C32A9"/>
    <w:rsid w:val="001C59C7"/>
    <w:rsid w:val="001D0382"/>
    <w:rsid w:val="001D0398"/>
    <w:rsid w:val="001D0B4B"/>
    <w:rsid w:val="001D46B0"/>
    <w:rsid w:val="001D4A5C"/>
    <w:rsid w:val="001D5C37"/>
    <w:rsid w:val="001D6BCF"/>
    <w:rsid w:val="001E01CA"/>
    <w:rsid w:val="001E021E"/>
    <w:rsid w:val="001E2EC7"/>
    <w:rsid w:val="001E4549"/>
    <w:rsid w:val="001E4AF4"/>
    <w:rsid w:val="001E4D27"/>
    <w:rsid w:val="001E5B91"/>
    <w:rsid w:val="001F00A6"/>
    <w:rsid w:val="001F1813"/>
    <w:rsid w:val="001F2312"/>
    <w:rsid w:val="001F6C06"/>
    <w:rsid w:val="00200E53"/>
    <w:rsid w:val="002018FE"/>
    <w:rsid w:val="00205726"/>
    <w:rsid w:val="00205F55"/>
    <w:rsid w:val="002067B1"/>
    <w:rsid w:val="002133F5"/>
    <w:rsid w:val="0021488B"/>
    <w:rsid w:val="00214DD4"/>
    <w:rsid w:val="002178B8"/>
    <w:rsid w:val="00217F32"/>
    <w:rsid w:val="00221D85"/>
    <w:rsid w:val="00222527"/>
    <w:rsid w:val="002227A2"/>
    <w:rsid w:val="002228AE"/>
    <w:rsid w:val="00224319"/>
    <w:rsid w:val="00224F78"/>
    <w:rsid w:val="00225E5D"/>
    <w:rsid w:val="0022660B"/>
    <w:rsid w:val="00232F04"/>
    <w:rsid w:val="002343B4"/>
    <w:rsid w:val="00234B29"/>
    <w:rsid w:val="00234D11"/>
    <w:rsid w:val="00234DEC"/>
    <w:rsid w:val="00234F0D"/>
    <w:rsid w:val="0023537E"/>
    <w:rsid w:val="00236934"/>
    <w:rsid w:val="002403CE"/>
    <w:rsid w:val="002444D3"/>
    <w:rsid w:val="002448C1"/>
    <w:rsid w:val="00244C05"/>
    <w:rsid w:val="00245691"/>
    <w:rsid w:val="0024688F"/>
    <w:rsid w:val="002479EE"/>
    <w:rsid w:val="00247D08"/>
    <w:rsid w:val="00257718"/>
    <w:rsid w:val="00262D97"/>
    <w:rsid w:val="002640BB"/>
    <w:rsid w:val="00264425"/>
    <w:rsid w:val="00266BDA"/>
    <w:rsid w:val="00272831"/>
    <w:rsid w:val="002729F6"/>
    <w:rsid w:val="00272CA7"/>
    <w:rsid w:val="0027515F"/>
    <w:rsid w:val="0027573C"/>
    <w:rsid w:val="00275CF5"/>
    <w:rsid w:val="00277A78"/>
    <w:rsid w:val="0028301F"/>
    <w:rsid w:val="00285017"/>
    <w:rsid w:val="00285B17"/>
    <w:rsid w:val="00285C79"/>
    <w:rsid w:val="00286114"/>
    <w:rsid w:val="00287F2E"/>
    <w:rsid w:val="00291107"/>
    <w:rsid w:val="00291C60"/>
    <w:rsid w:val="00292D25"/>
    <w:rsid w:val="00292EF0"/>
    <w:rsid w:val="00294564"/>
    <w:rsid w:val="0029500E"/>
    <w:rsid w:val="00295944"/>
    <w:rsid w:val="002A0477"/>
    <w:rsid w:val="002A09DC"/>
    <w:rsid w:val="002A1E3F"/>
    <w:rsid w:val="002A2D2E"/>
    <w:rsid w:val="002A39D7"/>
    <w:rsid w:val="002A3EB7"/>
    <w:rsid w:val="002A584F"/>
    <w:rsid w:val="002A5A55"/>
    <w:rsid w:val="002A5E33"/>
    <w:rsid w:val="002A6B20"/>
    <w:rsid w:val="002A6DBF"/>
    <w:rsid w:val="002A75B9"/>
    <w:rsid w:val="002B08FC"/>
    <w:rsid w:val="002B0C8B"/>
    <w:rsid w:val="002B22D7"/>
    <w:rsid w:val="002B2461"/>
    <w:rsid w:val="002B2E56"/>
    <w:rsid w:val="002B31CF"/>
    <w:rsid w:val="002B5661"/>
    <w:rsid w:val="002B74FF"/>
    <w:rsid w:val="002C00E8"/>
    <w:rsid w:val="002C26B9"/>
    <w:rsid w:val="002C60B4"/>
    <w:rsid w:val="002C68F4"/>
    <w:rsid w:val="002C69C9"/>
    <w:rsid w:val="002C71B7"/>
    <w:rsid w:val="002D21BD"/>
    <w:rsid w:val="002D2A0C"/>
    <w:rsid w:val="002D30AC"/>
    <w:rsid w:val="002D33DA"/>
    <w:rsid w:val="002D3CF4"/>
    <w:rsid w:val="002D4E88"/>
    <w:rsid w:val="002E61C0"/>
    <w:rsid w:val="002E78EE"/>
    <w:rsid w:val="002F42EE"/>
    <w:rsid w:val="002F5E30"/>
    <w:rsid w:val="002F61E2"/>
    <w:rsid w:val="002F6380"/>
    <w:rsid w:val="002F6DE6"/>
    <w:rsid w:val="002F74D3"/>
    <w:rsid w:val="002F7E30"/>
    <w:rsid w:val="0030049D"/>
    <w:rsid w:val="003017D7"/>
    <w:rsid w:val="003036CE"/>
    <w:rsid w:val="003039F0"/>
    <w:rsid w:val="0030463D"/>
    <w:rsid w:val="003061BD"/>
    <w:rsid w:val="0030718B"/>
    <w:rsid w:val="00310896"/>
    <w:rsid w:val="003112AD"/>
    <w:rsid w:val="003137BD"/>
    <w:rsid w:val="00313D48"/>
    <w:rsid w:val="0031436A"/>
    <w:rsid w:val="003150BB"/>
    <w:rsid w:val="00315AF3"/>
    <w:rsid w:val="00315F0F"/>
    <w:rsid w:val="003168D2"/>
    <w:rsid w:val="00316DB6"/>
    <w:rsid w:val="00317B66"/>
    <w:rsid w:val="00320BBF"/>
    <w:rsid w:val="00320FEE"/>
    <w:rsid w:val="003217DE"/>
    <w:rsid w:val="00321F2E"/>
    <w:rsid w:val="00322ADB"/>
    <w:rsid w:val="00323CF2"/>
    <w:rsid w:val="0033038F"/>
    <w:rsid w:val="003329A2"/>
    <w:rsid w:val="00332C54"/>
    <w:rsid w:val="00340C58"/>
    <w:rsid w:val="00341C2D"/>
    <w:rsid w:val="00343749"/>
    <w:rsid w:val="00343BE5"/>
    <w:rsid w:val="00346586"/>
    <w:rsid w:val="00347749"/>
    <w:rsid w:val="00347985"/>
    <w:rsid w:val="00353A96"/>
    <w:rsid w:val="00356BA5"/>
    <w:rsid w:val="0036201F"/>
    <w:rsid w:val="00362BC8"/>
    <w:rsid w:val="0036501E"/>
    <w:rsid w:val="003660ED"/>
    <w:rsid w:val="00370D13"/>
    <w:rsid w:val="0037655E"/>
    <w:rsid w:val="003768FB"/>
    <w:rsid w:val="003771BB"/>
    <w:rsid w:val="00377F36"/>
    <w:rsid w:val="003808B3"/>
    <w:rsid w:val="00380DCA"/>
    <w:rsid w:val="0038196A"/>
    <w:rsid w:val="0038230D"/>
    <w:rsid w:val="00382DBF"/>
    <w:rsid w:val="003836CF"/>
    <w:rsid w:val="003871B2"/>
    <w:rsid w:val="003871C0"/>
    <w:rsid w:val="00390D47"/>
    <w:rsid w:val="00395E9F"/>
    <w:rsid w:val="00396829"/>
    <w:rsid w:val="00396AA1"/>
    <w:rsid w:val="003A04E3"/>
    <w:rsid w:val="003A137A"/>
    <w:rsid w:val="003A33C5"/>
    <w:rsid w:val="003A36A3"/>
    <w:rsid w:val="003A3EF5"/>
    <w:rsid w:val="003A4D4E"/>
    <w:rsid w:val="003A61F4"/>
    <w:rsid w:val="003A7E6D"/>
    <w:rsid w:val="003B0550"/>
    <w:rsid w:val="003B4AB3"/>
    <w:rsid w:val="003B5179"/>
    <w:rsid w:val="003B68DC"/>
    <w:rsid w:val="003B694F"/>
    <w:rsid w:val="003C1537"/>
    <w:rsid w:val="003C1940"/>
    <w:rsid w:val="003C48FA"/>
    <w:rsid w:val="003C5517"/>
    <w:rsid w:val="003C5BE8"/>
    <w:rsid w:val="003C649C"/>
    <w:rsid w:val="003C7FF6"/>
    <w:rsid w:val="003D1D62"/>
    <w:rsid w:val="003D1F8C"/>
    <w:rsid w:val="003D45C2"/>
    <w:rsid w:val="003D538A"/>
    <w:rsid w:val="003D6A4E"/>
    <w:rsid w:val="003E011F"/>
    <w:rsid w:val="003E02F6"/>
    <w:rsid w:val="003E62DA"/>
    <w:rsid w:val="003F1680"/>
    <w:rsid w:val="003F171C"/>
    <w:rsid w:val="003F735A"/>
    <w:rsid w:val="003F75A1"/>
    <w:rsid w:val="00404F2F"/>
    <w:rsid w:val="0040513E"/>
    <w:rsid w:val="004059BE"/>
    <w:rsid w:val="00405A22"/>
    <w:rsid w:val="00405B84"/>
    <w:rsid w:val="00405BF1"/>
    <w:rsid w:val="00406006"/>
    <w:rsid w:val="004061FC"/>
    <w:rsid w:val="00412FC5"/>
    <w:rsid w:val="00414D07"/>
    <w:rsid w:val="00414EC2"/>
    <w:rsid w:val="00414F05"/>
    <w:rsid w:val="00416EAF"/>
    <w:rsid w:val="004218D5"/>
    <w:rsid w:val="004219F9"/>
    <w:rsid w:val="00422276"/>
    <w:rsid w:val="00423C0A"/>
    <w:rsid w:val="004242F1"/>
    <w:rsid w:val="004308E5"/>
    <w:rsid w:val="004316EA"/>
    <w:rsid w:val="0043170E"/>
    <w:rsid w:val="00432161"/>
    <w:rsid w:val="004328E8"/>
    <w:rsid w:val="0043373B"/>
    <w:rsid w:val="0043492A"/>
    <w:rsid w:val="004351B1"/>
    <w:rsid w:val="00440574"/>
    <w:rsid w:val="00445A00"/>
    <w:rsid w:val="00446235"/>
    <w:rsid w:val="00446AD1"/>
    <w:rsid w:val="0044723C"/>
    <w:rsid w:val="00451B0F"/>
    <w:rsid w:val="00452EE7"/>
    <w:rsid w:val="004538DD"/>
    <w:rsid w:val="00455303"/>
    <w:rsid w:val="00455BB3"/>
    <w:rsid w:val="00455BC4"/>
    <w:rsid w:val="00462D31"/>
    <w:rsid w:val="00462F31"/>
    <w:rsid w:val="0046561B"/>
    <w:rsid w:val="00466379"/>
    <w:rsid w:val="00466871"/>
    <w:rsid w:val="004706BF"/>
    <w:rsid w:val="00470A31"/>
    <w:rsid w:val="00473562"/>
    <w:rsid w:val="00474438"/>
    <w:rsid w:val="004757DE"/>
    <w:rsid w:val="004760E4"/>
    <w:rsid w:val="00481947"/>
    <w:rsid w:val="00482FDA"/>
    <w:rsid w:val="004842EE"/>
    <w:rsid w:val="00485B1F"/>
    <w:rsid w:val="00485C85"/>
    <w:rsid w:val="00486432"/>
    <w:rsid w:val="004950A8"/>
    <w:rsid w:val="00495401"/>
    <w:rsid w:val="00497740"/>
    <w:rsid w:val="004A0B53"/>
    <w:rsid w:val="004A1155"/>
    <w:rsid w:val="004A175B"/>
    <w:rsid w:val="004A378C"/>
    <w:rsid w:val="004A37BF"/>
    <w:rsid w:val="004A63F6"/>
    <w:rsid w:val="004A7C95"/>
    <w:rsid w:val="004B0013"/>
    <w:rsid w:val="004B0CFC"/>
    <w:rsid w:val="004B15B3"/>
    <w:rsid w:val="004B1A28"/>
    <w:rsid w:val="004B285A"/>
    <w:rsid w:val="004B3492"/>
    <w:rsid w:val="004B37CB"/>
    <w:rsid w:val="004B6E8F"/>
    <w:rsid w:val="004B7B4E"/>
    <w:rsid w:val="004C0529"/>
    <w:rsid w:val="004C0FD6"/>
    <w:rsid w:val="004C1E8D"/>
    <w:rsid w:val="004C2CA9"/>
    <w:rsid w:val="004C2EE3"/>
    <w:rsid w:val="004C3EEC"/>
    <w:rsid w:val="004C4241"/>
    <w:rsid w:val="004D00E1"/>
    <w:rsid w:val="004D136E"/>
    <w:rsid w:val="004D171E"/>
    <w:rsid w:val="004D17D5"/>
    <w:rsid w:val="004D1922"/>
    <w:rsid w:val="004D56EA"/>
    <w:rsid w:val="004D58C5"/>
    <w:rsid w:val="004D5C3D"/>
    <w:rsid w:val="004D6329"/>
    <w:rsid w:val="004D6EA0"/>
    <w:rsid w:val="004D7853"/>
    <w:rsid w:val="004E07F0"/>
    <w:rsid w:val="004E4A22"/>
    <w:rsid w:val="004E5005"/>
    <w:rsid w:val="004E5737"/>
    <w:rsid w:val="004E5CF7"/>
    <w:rsid w:val="004E5DB5"/>
    <w:rsid w:val="004E61CC"/>
    <w:rsid w:val="004E67DD"/>
    <w:rsid w:val="004E690E"/>
    <w:rsid w:val="004F32EB"/>
    <w:rsid w:val="004F74D6"/>
    <w:rsid w:val="005015E3"/>
    <w:rsid w:val="00501EB5"/>
    <w:rsid w:val="005025BC"/>
    <w:rsid w:val="00502C6F"/>
    <w:rsid w:val="0050539E"/>
    <w:rsid w:val="005067D2"/>
    <w:rsid w:val="00506A10"/>
    <w:rsid w:val="00510E74"/>
    <w:rsid w:val="0051124B"/>
    <w:rsid w:val="00511547"/>
    <w:rsid w:val="00511968"/>
    <w:rsid w:val="0051351A"/>
    <w:rsid w:val="0051413B"/>
    <w:rsid w:val="005173B2"/>
    <w:rsid w:val="005225F3"/>
    <w:rsid w:val="005239C9"/>
    <w:rsid w:val="0052455D"/>
    <w:rsid w:val="005248E5"/>
    <w:rsid w:val="0052561D"/>
    <w:rsid w:val="005259A2"/>
    <w:rsid w:val="00525E8A"/>
    <w:rsid w:val="00526143"/>
    <w:rsid w:val="00530318"/>
    <w:rsid w:val="0053555A"/>
    <w:rsid w:val="005455CC"/>
    <w:rsid w:val="005456B6"/>
    <w:rsid w:val="005460ED"/>
    <w:rsid w:val="00547CBE"/>
    <w:rsid w:val="0055602F"/>
    <w:rsid w:val="0055614C"/>
    <w:rsid w:val="005570C9"/>
    <w:rsid w:val="00563079"/>
    <w:rsid w:val="0056377A"/>
    <w:rsid w:val="00563C03"/>
    <w:rsid w:val="00565114"/>
    <w:rsid w:val="00567F6E"/>
    <w:rsid w:val="00570D02"/>
    <w:rsid w:val="005756E6"/>
    <w:rsid w:val="00580699"/>
    <w:rsid w:val="0058142F"/>
    <w:rsid w:val="0058321B"/>
    <w:rsid w:val="00583599"/>
    <w:rsid w:val="00585C95"/>
    <w:rsid w:val="00586B39"/>
    <w:rsid w:val="00592A4C"/>
    <w:rsid w:val="0059399D"/>
    <w:rsid w:val="00594180"/>
    <w:rsid w:val="00594BE9"/>
    <w:rsid w:val="00595FB3"/>
    <w:rsid w:val="00597604"/>
    <w:rsid w:val="005A17EB"/>
    <w:rsid w:val="005A2AF2"/>
    <w:rsid w:val="005A33FD"/>
    <w:rsid w:val="005A5142"/>
    <w:rsid w:val="005A56CC"/>
    <w:rsid w:val="005A6028"/>
    <w:rsid w:val="005A6E3E"/>
    <w:rsid w:val="005B0594"/>
    <w:rsid w:val="005B36B2"/>
    <w:rsid w:val="005B5B3C"/>
    <w:rsid w:val="005B5F6C"/>
    <w:rsid w:val="005B61EE"/>
    <w:rsid w:val="005B6C1B"/>
    <w:rsid w:val="005C254F"/>
    <w:rsid w:val="005C462D"/>
    <w:rsid w:val="005C4DD5"/>
    <w:rsid w:val="005C4E01"/>
    <w:rsid w:val="005C5355"/>
    <w:rsid w:val="005C5DD8"/>
    <w:rsid w:val="005D0690"/>
    <w:rsid w:val="005D14C9"/>
    <w:rsid w:val="005D1881"/>
    <w:rsid w:val="005D2712"/>
    <w:rsid w:val="005D35D8"/>
    <w:rsid w:val="005D5D97"/>
    <w:rsid w:val="005D7162"/>
    <w:rsid w:val="005E14C2"/>
    <w:rsid w:val="005F1E26"/>
    <w:rsid w:val="005F3CF3"/>
    <w:rsid w:val="005F440F"/>
    <w:rsid w:val="005F54CD"/>
    <w:rsid w:val="0060005C"/>
    <w:rsid w:val="006001EB"/>
    <w:rsid w:val="006014D5"/>
    <w:rsid w:val="00602F40"/>
    <w:rsid w:val="00603E22"/>
    <w:rsid w:val="006070C2"/>
    <w:rsid w:val="00607BA5"/>
    <w:rsid w:val="0061180A"/>
    <w:rsid w:val="00612E85"/>
    <w:rsid w:val="006139D5"/>
    <w:rsid w:val="00613EE0"/>
    <w:rsid w:val="00613EF3"/>
    <w:rsid w:val="00614173"/>
    <w:rsid w:val="00621044"/>
    <w:rsid w:val="006223C7"/>
    <w:rsid w:val="00622923"/>
    <w:rsid w:val="00622DDF"/>
    <w:rsid w:val="00623A03"/>
    <w:rsid w:val="00626EB6"/>
    <w:rsid w:val="0062702E"/>
    <w:rsid w:val="006362BF"/>
    <w:rsid w:val="0063649A"/>
    <w:rsid w:val="006371E2"/>
    <w:rsid w:val="006413AF"/>
    <w:rsid w:val="0064213D"/>
    <w:rsid w:val="0064289B"/>
    <w:rsid w:val="00643C07"/>
    <w:rsid w:val="00645D38"/>
    <w:rsid w:val="006500CE"/>
    <w:rsid w:val="00650E01"/>
    <w:rsid w:val="0065157F"/>
    <w:rsid w:val="00653206"/>
    <w:rsid w:val="006546D9"/>
    <w:rsid w:val="00655497"/>
    <w:rsid w:val="00655D03"/>
    <w:rsid w:val="00656F8A"/>
    <w:rsid w:val="00661277"/>
    <w:rsid w:val="0066145D"/>
    <w:rsid w:val="00663227"/>
    <w:rsid w:val="00664C8C"/>
    <w:rsid w:val="00665983"/>
    <w:rsid w:val="00667B33"/>
    <w:rsid w:val="0067095F"/>
    <w:rsid w:val="006710D2"/>
    <w:rsid w:val="00671660"/>
    <w:rsid w:val="0067181C"/>
    <w:rsid w:val="00671CC2"/>
    <w:rsid w:val="006821A8"/>
    <w:rsid w:val="00682927"/>
    <w:rsid w:val="00683388"/>
    <w:rsid w:val="00683F84"/>
    <w:rsid w:val="0068443F"/>
    <w:rsid w:val="00684EDF"/>
    <w:rsid w:val="00686CB1"/>
    <w:rsid w:val="00687356"/>
    <w:rsid w:val="0069330D"/>
    <w:rsid w:val="006963FA"/>
    <w:rsid w:val="0069689B"/>
    <w:rsid w:val="006A0454"/>
    <w:rsid w:val="006A1FC0"/>
    <w:rsid w:val="006A237E"/>
    <w:rsid w:val="006A53E4"/>
    <w:rsid w:val="006A6A81"/>
    <w:rsid w:val="006A6EE5"/>
    <w:rsid w:val="006B0998"/>
    <w:rsid w:val="006B19FF"/>
    <w:rsid w:val="006C08B3"/>
    <w:rsid w:val="006C2B38"/>
    <w:rsid w:val="006C42C5"/>
    <w:rsid w:val="006C69B6"/>
    <w:rsid w:val="006D38E2"/>
    <w:rsid w:val="006D3F86"/>
    <w:rsid w:val="006D5E31"/>
    <w:rsid w:val="006D6EB2"/>
    <w:rsid w:val="006D7270"/>
    <w:rsid w:val="006E1C27"/>
    <w:rsid w:val="006E50C2"/>
    <w:rsid w:val="006E6361"/>
    <w:rsid w:val="006F0F01"/>
    <w:rsid w:val="006F1CC5"/>
    <w:rsid w:val="006F32C8"/>
    <w:rsid w:val="006F63B2"/>
    <w:rsid w:val="006F7393"/>
    <w:rsid w:val="006F7921"/>
    <w:rsid w:val="007014BA"/>
    <w:rsid w:val="0070224F"/>
    <w:rsid w:val="00704B28"/>
    <w:rsid w:val="007052C7"/>
    <w:rsid w:val="0070643C"/>
    <w:rsid w:val="00706E76"/>
    <w:rsid w:val="007115F7"/>
    <w:rsid w:val="00711D5D"/>
    <w:rsid w:val="0071292E"/>
    <w:rsid w:val="007142FA"/>
    <w:rsid w:val="00714CE1"/>
    <w:rsid w:val="0071525B"/>
    <w:rsid w:val="00717B33"/>
    <w:rsid w:val="00721146"/>
    <w:rsid w:val="00722768"/>
    <w:rsid w:val="007233DB"/>
    <w:rsid w:val="00723A9B"/>
    <w:rsid w:val="00723AFC"/>
    <w:rsid w:val="00724584"/>
    <w:rsid w:val="00724C74"/>
    <w:rsid w:val="0072500E"/>
    <w:rsid w:val="0072505D"/>
    <w:rsid w:val="00730D29"/>
    <w:rsid w:val="00731215"/>
    <w:rsid w:val="00732C3B"/>
    <w:rsid w:val="00733C77"/>
    <w:rsid w:val="0073535C"/>
    <w:rsid w:val="0073739D"/>
    <w:rsid w:val="00737538"/>
    <w:rsid w:val="0073776A"/>
    <w:rsid w:val="0074012A"/>
    <w:rsid w:val="007412B3"/>
    <w:rsid w:val="00742C2B"/>
    <w:rsid w:val="00744637"/>
    <w:rsid w:val="00745707"/>
    <w:rsid w:val="00745CA0"/>
    <w:rsid w:val="00746CFC"/>
    <w:rsid w:val="007479D7"/>
    <w:rsid w:val="0075069F"/>
    <w:rsid w:val="00751EE7"/>
    <w:rsid w:val="007532DA"/>
    <w:rsid w:val="00754A9E"/>
    <w:rsid w:val="00754BD0"/>
    <w:rsid w:val="00761134"/>
    <w:rsid w:val="007629BB"/>
    <w:rsid w:val="00764548"/>
    <w:rsid w:val="007663D8"/>
    <w:rsid w:val="00770502"/>
    <w:rsid w:val="00771843"/>
    <w:rsid w:val="00771ABE"/>
    <w:rsid w:val="007742CE"/>
    <w:rsid w:val="00775374"/>
    <w:rsid w:val="00775F59"/>
    <w:rsid w:val="00776E3F"/>
    <w:rsid w:val="00777307"/>
    <w:rsid w:val="007805DF"/>
    <w:rsid w:val="00782CEC"/>
    <w:rsid w:val="00783897"/>
    <w:rsid w:val="00785689"/>
    <w:rsid w:val="007862FD"/>
    <w:rsid w:val="00787F55"/>
    <w:rsid w:val="007901B8"/>
    <w:rsid w:val="007907DA"/>
    <w:rsid w:val="00793F64"/>
    <w:rsid w:val="0079595D"/>
    <w:rsid w:val="007959BD"/>
    <w:rsid w:val="0079754B"/>
    <w:rsid w:val="007A0FA8"/>
    <w:rsid w:val="007A1E6D"/>
    <w:rsid w:val="007A23A2"/>
    <w:rsid w:val="007A2C6A"/>
    <w:rsid w:val="007A4BF9"/>
    <w:rsid w:val="007A4F93"/>
    <w:rsid w:val="007A714B"/>
    <w:rsid w:val="007A77F5"/>
    <w:rsid w:val="007B0EB2"/>
    <w:rsid w:val="007B2D08"/>
    <w:rsid w:val="007B2D52"/>
    <w:rsid w:val="007B6DB0"/>
    <w:rsid w:val="007C21E3"/>
    <w:rsid w:val="007C44F5"/>
    <w:rsid w:val="007C4D4A"/>
    <w:rsid w:val="007C76FB"/>
    <w:rsid w:val="007D34E0"/>
    <w:rsid w:val="007D5EEC"/>
    <w:rsid w:val="007D7906"/>
    <w:rsid w:val="007D79F4"/>
    <w:rsid w:val="007E04E1"/>
    <w:rsid w:val="007E10EA"/>
    <w:rsid w:val="007E1E29"/>
    <w:rsid w:val="007E5160"/>
    <w:rsid w:val="007E559E"/>
    <w:rsid w:val="007E6BED"/>
    <w:rsid w:val="007F1866"/>
    <w:rsid w:val="007F1962"/>
    <w:rsid w:val="007F4B20"/>
    <w:rsid w:val="007F5045"/>
    <w:rsid w:val="007F64A4"/>
    <w:rsid w:val="007F6B62"/>
    <w:rsid w:val="0080251B"/>
    <w:rsid w:val="0080297E"/>
    <w:rsid w:val="00802E62"/>
    <w:rsid w:val="00803D5D"/>
    <w:rsid w:val="00804852"/>
    <w:rsid w:val="008072D1"/>
    <w:rsid w:val="008100C5"/>
    <w:rsid w:val="00810348"/>
    <w:rsid w:val="00810B6F"/>
    <w:rsid w:val="00813316"/>
    <w:rsid w:val="008134DE"/>
    <w:rsid w:val="00813755"/>
    <w:rsid w:val="008171CB"/>
    <w:rsid w:val="00817AD8"/>
    <w:rsid w:val="00821D40"/>
    <w:rsid w:val="00822196"/>
    <w:rsid w:val="00822CE0"/>
    <w:rsid w:val="0082337D"/>
    <w:rsid w:val="0082517B"/>
    <w:rsid w:val="00825772"/>
    <w:rsid w:val="00825E65"/>
    <w:rsid w:val="00826C3A"/>
    <w:rsid w:val="00826DF0"/>
    <w:rsid w:val="00827900"/>
    <w:rsid w:val="00827E2D"/>
    <w:rsid w:val="00830CB9"/>
    <w:rsid w:val="008334FD"/>
    <w:rsid w:val="008345BD"/>
    <w:rsid w:val="008368B0"/>
    <w:rsid w:val="00837476"/>
    <w:rsid w:val="00841AB1"/>
    <w:rsid w:val="00843FC7"/>
    <w:rsid w:val="00847A41"/>
    <w:rsid w:val="00852913"/>
    <w:rsid w:val="00852DBF"/>
    <w:rsid w:val="00855A41"/>
    <w:rsid w:val="00856EA0"/>
    <w:rsid w:val="00860C26"/>
    <w:rsid w:val="00860EA6"/>
    <w:rsid w:val="00873DA5"/>
    <w:rsid w:val="00877B0F"/>
    <w:rsid w:val="00880235"/>
    <w:rsid w:val="00881173"/>
    <w:rsid w:val="00881A63"/>
    <w:rsid w:val="008831E3"/>
    <w:rsid w:val="00883DE4"/>
    <w:rsid w:val="00885952"/>
    <w:rsid w:val="00886068"/>
    <w:rsid w:val="00886129"/>
    <w:rsid w:val="00887AA0"/>
    <w:rsid w:val="00893C63"/>
    <w:rsid w:val="00893F96"/>
    <w:rsid w:val="008955A2"/>
    <w:rsid w:val="0089629B"/>
    <w:rsid w:val="00896DFF"/>
    <w:rsid w:val="008A179F"/>
    <w:rsid w:val="008A3223"/>
    <w:rsid w:val="008A34A6"/>
    <w:rsid w:val="008A4966"/>
    <w:rsid w:val="008B0D4B"/>
    <w:rsid w:val="008B459D"/>
    <w:rsid w:val="008C3CDA"/>
    <w:rsid w:val="008C4315"/>
    <w:rsid w:val="008C68F1"/>
    <w:rsid w:val="008C6DED"/>
    <w:rsid w:val="008D0E6C"/>
    <w:rsid w:val="008D27D3"/>
    <w:rsid w:val="008D346E"/>
    <w:rsid w:val="008D34F7"/>
    <w:rsid w:val="008D7C97"/>
    <w:rsid w:val="008E16B4"/>
    <w:rsid w:val="008E17E1"/>
    <w:rsid w:val="008E284B"/>
    <w:rsid w:val="008E7D7B"/>
    <w:rsid w:val="008F002B"/>
    <w:rsid w:val="008F03A1"/>
    <w:rsid w:val="008F3439"/>
    <w:rsid w:val="008F3AAA"/>
    <w:rsid w:val="008F4006"/>
    <w:rsid w:val="008F4B47"/>
    <w:rsid w:val="008F7C15"/>
    <w:rsid w:val="0090056F"/>
    <w:rsid w:val="009030F2"/>
    <w:rsid w:val="00904A0D"/>
    <w:rsid w:val="009056CE"/>
    <w:rsid w:val="00905904"/>
    <w:rsid w:val="00906B67"/>
    <w:rsid w:val="00910560"/>
    <w:rsid w:val="0091752E"/>
    <w:rsid w:val="00920667"/>
    <w:rsid w:val="00921803"/>
    <w:rsid w:val="00922A13"/>
    <w:rsid w:val="00926503"/>
    <w:rsid w:val="009316C4"/>
    <w:rsid w:val="0093170D"/>
    <w:rsid w:val="009374CF"/>
    <w:rsid w:val="00943F99"/>
    <w:rsid w:val="009445CD"/>
    <w:rsid w:val="00945E05"/>
    <w:rsid w:val="0094666B"/>
    <w:rsid w:val="0095106D"/>
    <w:rsid w:val="0095107D"/>
    <w:rsid w:val="00957841"/>
    <w:rsid w:val="0096223E"/>
    <w:rsid w:val="009627BD"/>
    <w:rsid w:val="009662A6"/>
    <w:rsid w:val="009671E4"/>
    <w:rsid w:val="00970F76"/>
    <w:rsid w:val="009726D8"/>
    <w:rsid w:val="00972EE3"/>
    <w:rsid w:val="0097331A"/>
    <w:rsid w:val="00976084"/>
    <w:rsid w:val="00976A3D"/>
    <w:rsid w:val="00983B3D"/>
    <w:rsid w:val="00984171"/>
    <w:rsid w:val="00984487"/>
    <w:rsid w:val="009869D3"/>
    <w:rsid w:val="00990378"/>
    <w:rsid w:val="00990397"/>
    <w:rsid w:val="00991245"/>
    <w:rsid w:val="00995B84"/>
    <w:rsid w:val="00996B8F"/>
    <w:rsid w:val="00996BAB"/>
    <w:rsid w:val="009A134F"/>
    <w:rsid w:val="009A3622"/>
    <w:rsid w:val="009A3CE9"/>
    <w:rsid w:val="009A5F55"/>
    <w:rsid w:val="009A6811"/>
    <w:rsid w:val="009A6AC1"/>
    <w:rsid w:val="009B0213"/>
    <w:rsid w:val="009B18AD"/>
    <w:rsid w:val="009B2F03"/>
    <w:rsid w:val="009B2F8F"/>
    <w:rsid w:val="009B396D"/>
    <w:rsid w:val="009B5B69"/>
    <w:rsid w:val="009C2286"/>
    <w:rsid w:val="009C5186"/>
    <w:rsid w:val="009C68E6"/>
    <w:rsid w:val="009C69B8"/>
    <w:rsid w:val="009D12BA"/>
    <w:rsid w:val="009D13DD"/>
    <w:rsid w:val="009D7274"/>
    <w:rsid w:val="009D7871"/>
    <w:rsid w:val="009D7ECA"/>
    <w:rsid w:val="009E0C6F"/>
    <w:rsid w:val="009E450E"/>
    <w:rsid w:val="009E4CBE"/>
    <w:rsid w:val="009E629D"/>
    <w:rsid w:val="009E6477"/>
    <w:rsid w:val="009E6FAF"/>
    <w:rsid w:val="009F036D"/>
    <w:rsid w:val="009F30C3"/>
    <w:rsid w:val="009F4115"/>
    <w:rsid w:val="009F4D71"/>
    <w:rsid w:val="009F54B3"/>
    <w:rsid w:val="009F57C3"/>
    <w:rsid w:val="009F71DB"/>
    <w:rsid w:val="009F76DB"/>
    <w:rsid w:val="009F7A88"/>
    <w:rsid w:val="00A007AE"/>
    <w:rsid w:val="00A00AB4"/>
    <w:rsid w:val="00A05DD0"/>
    <w:rsid w:val="00A062D8"/>
    <w:rsid w:val="00A073A4"/>
    <w:rsid w:val="00A07595"/>
    <w:rsid w:val="00A07B05"/>
    <w:rsid w:val="00A1657D"/>
    <w:rsid w:val="00A21E70"/>
    <w:rsid w:val="00A22A1B"/>
    <w:rsid w:val="00A246C6"/>
    <w:rsid w:val="00A24B54"/>
    <w:rsid w:val="00A26638"/>
    <w:rsid w:val="00A266C7"/>
    <w:rsid w:val="00A31819"/>
    <w:rsid w:val="00A32781"/>
    <w:rsid w:val="00A32C3B"/>
    <w:rsid w:val="00A348E6"/>
    <w:rsid w:val="00A35245"/>
    <w:rsid w:val="00A35A20"/>
    <w:rsid w:val="00A36DDD"/>
    <w:rsid w:val="00A42C4E"/>
    <w:rsid w:val="00A42D31"/>
    <w:rsid w:val="00A439AA"/>
    <w:rsid w:val="00A441B7"/>
    <w:rsid w:val="00A452AD"/>
    <w:rsid w:val="00A45F4F"/>
    <w:rsid w:val="00A54F11"/>
    <w:rsid w:val="00A55D39"/>
    <w:rsid w:val="00A568D9"/>
    <w:rsid w:val="00A60073"/>
    <w:rsid w:val="00A600A9"/>
    <w:rsid w:val="00A61AE7"/>
    <w:rsid w:val="00A642E5"/>
    <w:rsid w:val="00A642F3"/>
    <w:rsid w:val="00A64F7F"/>
    <w:rsid w:val="00A65026"/>
    <w:rsid w:val="00A73758"/>
    <w:rsid w:val="00A74871"/>
    <w:rsid w:val="00A74E41"/>
    <w:rsid w:val="00A758AF"/>
    <w:rsid w:val="00A769F7"/>
    <w:rsid w:val="00A76AAB"/>
    <w:rsid w:val="00A77DA7"/>
    <w:rsid w:val="00A83B22"/>
    <w:rsid w:val="00A87729"/>
    <w:rsid w:val="00A90AE1"/>
    <w:rsid w:val="00A9256A"/>
    <w:rsid w:val="00A94D0E"/>
    <w:rsid w:val="00A955A6"/>
    <w:rsid w:val="00A95777"/>
    <w:rsid w:val="00AA16B7"/>
    <w:rsid w:val="00AA3A6F"/>
    <w:rsid w:val="00AA4C41"/>
    <w:rsid w:val="00AA55B7"/>
    <w:rsid w:val="00AA5B9E"/>
    <w:rsid w:val="00AB1462"/>
    <w:rsid w:val="00AB2407"/>
    <w:rsid w:val="00AB339F"/>
    <w:rsid w:val="00AB3B17"/>
    <w:rsid w:val="00AB51E3"/>
    <w:rsid w:val="00AB53DF"/>
    <w:rsid w:val="00AB69F9"/>
    <w:rsid w:val="00AC1722"/>
    <w:rsid w:val="00AC2DEF"/>
    <w:rsid w:val="00AC2E17"/>
    <w:rsid w:val="00AC37D5"/>
    <w:rsid w:val="00AC4C77"/>
    <w:rsid w:val="00AC56B1"/>
    <w:rsid w:val="00AC570E"/>
    <w:rsid w:val="00AC58D0"/>
    <w:rsid w:val="00AC6B3A"/>
    <w:rsid w:val="00AC6B8C"/>
    <w:rsid w:val="00AD0CCA"/>
    <w:rsid w:val="00AD375D"/>
    <w:rsid w:val="00AD3880"/>
    <w:rsid w:val="00AE1445"/>
    <w:rsid w:val="00AE3294"/>
    <w:rsid w:val="00AE403B"/>
    <w:rsid w:val="00AE4C2B"/>
    <w:rsid w:val="00AE693D"/>
    <w:rsid w:val="00AF001C"/>
    <w:rsid w:val="00AF0222"/>
    <w:rsid w:val="00AF090C"/>
    <w:rsid w:val="00AF0D4B"/>
    <w:rsid w:val="00AF0FEE"/>
    <w:rsid w:val="00AF2367"/>
    <w:rsid w:val="00AF26BD"/>
    <w:rsid w:val="00AF5714"/>
    <w:rsid w:val="00AF6611"/>
    <w:rsid w:val="00AF6727"/>
    <w:rsid w:val="00AF79E3"/>
    <w:rsid w:val="00B008EA"/>
    <w:rsid w:val="00B025B7"/>
    <w:rsid w:val="00B05D9B"/>
    <w:rsid w:val="00B05EFE"/>
    <w:rsid w:val="00B07E5C"/>
    <w:rsid w:val="00B1379B"/>
    <w:rsid w:val="00B1429A"/>
    <w:rsid w:val="00B14F8F"/>
    <w:rsid w:val="00B15407"/>
    <w:rsid w:val="00B15D5A"/>
    <w:rsid w:val="00B168F0"/>
    <w:rsid w:val="00B207B9"/>
    <w:rsid w:val="00B20D7F"/>
    <w:rsid w:val="00B20F25"/>
    <w:rsid w:val="00B2154E"/>
    <w:rsid w:val="00B22046"/>
    <w:rsid w:val="00B22BE0"/>
    <w:rsid w:val="00B23777"/>
    <w:rsid w:val="00B2440C"/>
    <w:rsid w:val="00B24D8E"/>
    <w:rsid w:val="00B26CA8"/>
    <w:rsid w:val="00B273BF"/>
    <w:rsid w:val="00B310AC"/>
    <w:rsid w:val="00B34E91"/>
    <w:rsid w:val="00B34EF2"/>
    <w:rsid w:val="00B36AA5"/>
    <w:rsid w:val="00B37AAD"/>
    <w:rsid w:val="00B400A3"/>
    <w:rsid w:val="00B40141"/>
    <w:rsid w:val="00B4063E"/>
    <w:rsid w:val="00B41957"/>
    <w:rsid w:val="00B46553"/>
    <w:rsid w:val="00B46E99"/>
    <w:rsid w:val="00B47CB7"/>
    <w:rsid w:val="00B5024B"/>
    <w:rsid w:val="00B50363"/>
    <w:rsid w:val="00B5096D"/>
    <w:rsid w:val="00B524F7"/>
    <w:rsid w:val="00B54F11"/>
    <w:rsid w:val="00B55CB1"/>
    <w:rsid w:val="00B608F5"/>
    <w:rsid w:val="00B61FFF"/>
    <w:rsid w:val="00B62782"/>
    <w:rsid w:val="00B631B8"/>
    <w:rsid w:val="00B635CE"/>
    <w:rsid w:val="00B636C1"/>
    <w:rsid w:val="00B65C13"/>
    <w:rsid w:val="00B66970"/>
    <w:rsid w:val="00B70BC1"/>
    <w:rsid w:val="00B7179B"/>
    <w:rsid w:val="00B74B59"/>
    <w:rsid w:val="00B759AB"/>
    <w:rsid w:val="00B75C21"/>
    <w:rsid w:val="00B811F7"/>
    <w:rsid w:val="00B87B1D"/>
    <w:rsid w:val="00B914D7"/>
    <w:rsid w:val="00B94426"/>
    <w:rsid w:val="00B94BED"/>
    <w:rsid w:val="00B951DA"/>
    <w:rsid w:val="00B95B98"/>
    <w:rsid w:val="00B961EF"/>
    <w:rsid w:val="00B96324"/>
    <w:rsid w:val="00B97628"/>
    <w:rsid w:val="00BA5DC6"/>
    <w:rsid w:val="00BA6196"/>
    <w:rsid w:val="00BA6807"/>
    <w:rsid w:val="00BB05BB"/>
    <w:rsid w:val="00BB24E0"/>
    <w:rsid w:val="00BB28FC"/>
    <w:rsid w:val="00BB46FA"/>
    <w:rsid w:val="00BB5972"/>
    <w:rsid w:val="00BC0D55"/>
    <w:rsid w:val="00BC266F"/>
    <w:rsid w:val="00BC3F20"/>
    <w:rsid w:val="00BC6D8C"/>
    <w:rsid w:val="00BC7D8A"/>
    <w:rsid w:val="00BD2282"/>
    <w:rsid w:val="00BD46F7"/>
    <w:rsid w:val="00BE048E"/>
    <w:rsid w:val="00BE1D9B"/>
    <w:rsid w:val="00BF1B58"/>
    <w:rsid w:val="00BF3DEC"/>
    <w:rsid w:val="00C01E36"/>
    <w:rsid w:val="00C01FD6"/>
    <w:rsid w:val="00C023BA"/>
    <w:rsid w:val="00C03169"/>
    <w:rsid w:val="00C03B6C"/>
    <w:rsid w:val="00C03E69"/>
    <w:rsid w:val="00C107DD"/>
    <w:rsid w:val="00C13D5E"/>
    <w:rsid w:val="00C146F1"/>
    <w:rsid w:val="00C15FF9"/>
    <w:rsid w:val="00C16523"/>
    <w:rsid w:val="00C16D2D"/>
    <w:rsid w:val="00C17B4D"/>
    <w:rsid w:val="00C20034"/>
    <w:rsid w:val="00C20B39"/>
    <w:rsid w:val="00C213CD"/>
    <w:rsid w:val="00C266DF"/>
    <w:rsid w:val="00C32BD8"/>
    <w:rsid w:val="00C32C60"/>
    <w:rsid w:val="00C33432"/>
    <w:rsid w:val="00C34006"/>
    <w:rsid w:val="00C34CCA"/>
    <w:rsid w:val="00C35B37"/>
    <w:rsid w:val="00C35E6E"/>
    <w:rsid w:val="00C3665C"/>
    <w:rsid w:val="00C4082B"/>
    <w:rsid w:val="00C41994"/>
    <w:rsid w:val="00C426B1"/>
    <w:rsid w:val="00C42830"/>
    <w:rsid w:val="00C45A91"/>
    <w:rsid w:val="00C45DFC"/>
    <w:rsid w:val="00C46E69"/>
    <w:rsid w:val="00C50F27"/>
    <w:rsid w:val="00C54772"/>
    <w:rsid w:val="00C567A5"/>
    <w:rsid w:val="00C57224"/>
    <w:rsid w:val="00C60405"/>
    <w:rsid w:val="00C61066"/>
    <w:rsid w:val="00C6153F"/>
    <w:rsid w:val="00C61959"/>
    <w:rsid w:val="00C62406"/>
    <w:rsid w:val="00C6332F"/>
    <w:rsid w:val="00C63BBF"/>
    <w:rsid w:val="00C66160"/>
    <w:rsid w:val="00C721AC"/>
    <w:rsid w:val="00C727C6"/>
    <w:rsid w:val="00C74395"/>
    <w:rsid w:val="00C7700E"/>
    <w:rsid w:val="00C770CF"/>
    <w:rsid w:val="00C90D6A"/>
    <w:rsid w:val="00C91AD1"/>
    <w:rsid w:val="00C932D0"/>
    <w:rsid w:val="00C932F3"/>
    <w:rsid w:val="00C94EB3"/>
    <w:rsid w:val="00C95969"/>
    <w:rsid w:val="00C95BFF"/>
    <w:rsid w:val="00C966CE"/>
    <w:rsid w:val="00C97679"/>
    <w:rsid w:val="00CA247E"/>
    <w:rsid w:val="00CA41F2"/>
    <w:rsid w:val="00CA4697"/>
    <w:rsid w:val="00CA6E8D"/>
    <w:rsid w:val="00CB1007"/>
    <w:rsid w:val="00CB390E"/>
    <w:rsid w:val="00CB3F17"/>
    <w:rsid w:val="00CB4040"/>
    <w:rsid w:val="00CB4047"/>
    <w:rsid w:val="00CB4F45"/>
    <w:rsid w:val="00CB60CB"/>
    <w:rsid w:val="00CB78C5"/>
    <w:rsid w:val="00CC150F"/>
    <w:rsid w:val="00CC25B1"/>
    <w:rsid w:val="00CC2BA3"/>
    <w:rsid w:val="00CC4C3B"/>
    <w:rsid w:val="00CC522D"/>
    <w:rsid w:val="00CC7016"/>
    <w:rsid w:val="00CC72B6"/>
    <w:rsid w:val="00CD2688"/>
    <w:rsid w:val="00CD5733"/>
    <w:rsid w:val="00CD592F"/>
    <w:rsid w:val="00CE0842"/>
    <w:rsid w:val="00CE0EFB"/>
    <w:rsid w:val="00CE49FC"/>
    <w:rsid w:val="00CE55D2"/>
    <w:rsid w:val="00CE6828"/>
    <w:rsid w:val="00CE75B5"/>
    <w:rsid w:val="00CE7C03"/>
    <w:rsid w:val="00CF2236"/>
    <w:rsid w:val="00CF5232"/>
    <w:rsid w:val="00D0218D"/>
    <w:rsid w:val="00D04EE9"/>
    <w:rsid w:val="00D07779"/>
    <w:rsid w:val="00D103EE"/>
    <w:rsid w:val="00D11439"/>
    <w:rsid w:val="00D14A2A"/>
    <w:rsid w:val="00D14C0E"/>
    <w:rsid w:val="00D1517E"/>
    <w:rsid w:val="00D17BC9"/>
    <w:rsid w:val="00D17CDA"/>
    <w:rsid w:val="00D2336D"/>
    <w:rsid w:val="00D24595"/>
    <w:rsid w:val="00D249DB"/>
    <w:rsid w:val="00D25FB5"/>
    <w:rsid w:val="00D27A31"/>
    <w:rsid w:val="00D301AE"/>
    <w:rsid w:val="00D308AD"/>
    <w:rsid w:val="00D34AA8"/>
    <w:rsid w:val="00D36AEB"/>
    <w:rsid w:val="00D4016D"/>
    <w:rsid w:val="00D421ED"/>
    <w:rsid w:val="00D424E4"/>
    <w:rsid w:val="00D42C72"/>
    <w:rsid w:val="00D4344E"/>
    <w:rsid w:val="00D43736"/>
    <w:rsid w:val="00D44223"/>
    <w:rsid w:val="00D50DAF"/>
    <w:rsid w:val="00D512E0"/>
    <w:rsid w:val="00D522D6"/>
    <w:rsid w:val="00D53F41"/>
    <w:rsid w:val="00D54510"/>
    <w:rsid w:val="00D54790"/>
    <w:rsid w:val="00D548A2"/>
    <w:rsid w:val="00D5516E"/>
    <w:rsid w:val="00D5636A"/>
    <w:rsid w:val="00D57E01"/>
    <w:rsid w:val="00D63BF0"/>
    <w:rsid w:val="00D64748"/>
    <w:rsid w:val="00D6477A"/>
    <w:rsid w:val="00D64897"/>
    <w:rsid w:val="00D64D12"/>
    <w:rsid w:val="00D64FB7"/>
    <w:rsid w:val="00D65F76"/>
    <w:rsid w:val="00D67E66"/>
    <w:rsid w:val="00D67EF8"/>
    <w:rsid w:val="00D701B3"/>
    <w:rsid w:val="00D7055A"/>
    <w:rsid w:val="00D71857"/>
    <w:rsid w:val="00D7436F"/>
    <w:rsid w:val="00D76720"/>
    <w:rsid w:val="00D77D35"/>
    <w:rsid w:val="00D806CF"/>
    <w:rsid w:val="00D82240"/>
    <w:rsid w:val="00D82A35"/>
    <w:rsid w:val="00D85475"/>
    <w:rsid w:val="00D85D3E"/>
    <w:rsid w:val="00D86496"/>
    <w:rsid w:val="00D87D15"/>
    <w:rsid w:val="00D90CEB"/>
    <w:rsid w:val="00D94B45"/>
    <w:rsid w:val="00D95C74"/>
    <w:rsid w:val="00D96462"/>
    <w:rsid w:val="00D969BE"/>
    <w:rsid w:val="00DA0778"/>
    <w:rsid w:val="00DA190B"/>
    <w:rsid w:val="00DA2529"/>
    <w:rsid w:val="00DA3A3D"/>
    <w:rsid w:val="00DA404F"/>
    <w:rsid w:val="00DB130A"/>
    <w:rsid w:val="00DB2D3E"/>
    <w:rsid w:val="00DB2EBB"/>
    <w:rsid w:val="00DB35F3"/>
    <w:rsid w:val="00DB366B"/>
    <w:rsid w:val="00DB3A5B"/>
    <w:rsid w:val="00DB7A50"/>
    <w:rsid w:val="00DC10A1"/>
    <w:rsid w:val="00DC1667"/>
    <w:rsid w:val="00DC256E"/>
    <w:rsid w:val="00DC655F"/>
    <w:rsid w:val="00DC6A0D"/>
    <w:rsid w:val="00DC7666"/>
    <w:rsid w:val="00DD0B59"/>
    <w:rsid w:val="00DD1A11"/>
    <w:rsid w:val="00DD43D1"/>
    <w:rsid w:val="00DD59B2"/>
    <w:rsid w:val="00DD6D7E"/>
    <w:rsid w:val="00DD6F95"/>
    <w:rsid w:val="00DD7EBD"/>
    <w:rsid w:val="00DE5A6C"/>
    <w:rsid w:val="00DE6E04"/>
    <w:rsid w:val="00DE7A8C"/>
    <w:rsid w:val="00DE7B11"/>
    <w:rsid w:val="00DF2D50"/>
    <w:rsid w:val="00DF54F2"/>
    <w:rsid w:val="00DF6199"/>
    <w:rsid w:val="00DF62B6"/>
    <w:rsid w:val="00DF693C"/>
    <w:rsid w:val="00DF7AD6"/>
    <w:rsid w:val="00E04E53"/>
    <w:rsid w:val="00E05C7B"/>
    <w:rsid w:val="00E071F9"/>
    <w:rsid w:val="00E07225"/>
    <w:rsid w:val="00E07468"/>
    <w:rsid w:val="00E11237"/>
    <w:rsid w:val="00E140AF"/>
    <w:rsid w:val="00E16320"/>
    <w:rsid w:val="00E164B6"/>
    <w:rsid w:val="00E1749B"/>
    <w:rsid w:val="00E17FD5"/>
    <w:rsid w:val="00E23BF8"/>
    <w:rsid w:val="00E242A7"/>
    <w:rsid w:val="00E2501C"/>
    <w:rsid w:val="00E26100"/>
    <w:rsid w:val="00E26DEB"/>
    <w:rsid w:val="00E30B30"/>
    <w:rsid w:val="00E322D5"/>
    <w:rsid w:val="00E32862"/>
    <w:rsid w:val="00E33274"/>
    <w:rsid w:val="00E3393D"/>
    <w:rsid w:val="00E3410D"/>
    <w:rsid w:val="00E34790"/>
    <w:rsid w:val="00E34A27"/>
    <w:rsid w:val="00E3646E"/>
    <w:rsid w:val="00E367C7"/>
    <w:rsid w:val="00E4195F"/>
    <w:rsid w:val="00E453BB"/>
    <w:rsid w:val="00E46CCA"/>
    <w:rsid w:val="00E46DD8"/>
    <w:rsid w:val="00E51697"/>
    <w:rsid w:val="00E51D3F"/>
    <w:rsid w:val="00E52713"/>
    <w:rsid w:val="00E52C6C"/>
    <w:rsid w:val="00E5409F"/>
    <w:rsid w:val="00E5549B"/>
    <w:rsid w:val="00E55ADD"/>
    <w:rsid w:val="00E573AB"/>
    <w:rsid w:val="00E6143F"/>
    <w:rsid w:val="00E632FD"/>
    <w:rsid w:val="00E64F95"/>
    <w:rsid w:val="00E67802"/>
    <w:rsid w:val="00E70441"/>
    <w:rsid w:val="00E70F11"/>
    <w:rsid w:val="00E71912"/>
    <w:rsid w:val="00E722A4"/>
    <w:rsid w:val="00E74C0C"/>
    <w:rsid w:val="00E752DD"/>
    <w:rsid w:val="00E76C2E"/>
    <w:rsid w:val="00E82004"/>
    <w:rsid w:val="00E83CB7"/>
    <w:rsid w:val="00E84030"/>
    <w:rsid w:val="00E84400"/>
    <w:rsid w:val="00E877D2"/>
    <w:rsid w:val="00E90585"/>
    <w:rsid w:val="00E92511"/>
    <w:rsid w:val="00E94A19"/>
    <w:rsid w:val="00E94E50"/>
    <w:rsid w:val="00E9654D"/>
    <w:rsid w:val="00E96C20"/>
    <w:rsid w:val="00EA41E9"/>
    <w:rsid w:val="00EA5A43"/>
    <w:rsid w:val="00EA674F"/>
    <w:rsid w:val="00EA7DB8"/>
    <w:rsid w:val="00EB130F"/>
    <w:rsid w:val="00EB1C3F"/>
    <w:rsid w:val="00EB2668"/>
    <w:rsid w:val="00EB3876"/>
    <w:rsid w:val="00EB4573"/>
    <w:rsid w:val="00EC0FB8"/>
    <w:rsid w:val="00EC1259"/>
    <w:rsid w:val="00EC180F"/>
    <w:rsid w:val="00EC26D9"/>
    <w:rsid w:val="00EC4440"/>
    <w:rsid w:val="00ED1117"/>
    <w:rsid w:val="00ED4C6E"/>
    <w:rsid w:val="00ED5582"/>
    <w:rsid w:val="00EE32FD"/>
    <w:rsid w:val="00EE4165"/>
    <w:rsid w:val="00EE6488"/>
    <w:rsid w:val="00EE692E"/>
    <w:rsid w:val="00EF0225"/>
    <w:rsid w:val="00EF0AC2"/>
    <w:rsid w:val="00EF3242"/>
    <w:rsid w:val="00EF3A59"/>
    <w:rsid w:val="00EF4226"/>
    <w:rsid w:val="00EF5963"/>
    <w:rsid w:val="00EF5D8A"/>
    <w:rsid w:val="00EF72FB"/>
    <w:rsid w:val="00EF7E98"/>
    <w:rsid w:val="00F014AD"/>
    <w:rsid w:val="00F021FA"/>
    <w:rsid w:val="00F03719"/>
    <w:rsid w:val="00F04483"/>
    <w:rsid w:val="00F04D89"/>
    <w:rsid w:val="00F06C91"/>
    <w:rsid w:val="00F06D6C"/>
    <w:rsid w:val="00F07413"/>
    <w:rsid w:val="00F101CB"/>
    <w:rsid w:val="00F10A91"/>
    <w:rsid w:val="00F10ECF"/>
    <w:rsid w:val="00F1165C"/>
    <w:rsid w:val="00F117AA"/>
    <w:rsid w:val="00F11A2E"/>
    <w:rsid w:val="00F11ED2"/>
    <w:rsid w:val="00F12C77"/>
    <w:rsid w:val="00F13286"/>
    <w:rsid w:val="00F14822"/>
    <w:rsid w:val="00F15E4F"/>
    <w:rsid w:val="00F169D4"/>
    <w:rsid w:val="00F17086"/>
    <w:rsid w:val="00F2688F"/>
    <w:rsid w:val="00F301DE"/>
    <w:rsid w:val="00F31E82"/>
    <w:rsid w:val="00F35B0A"/>
    <w:rsid w:val="00F402F3"/>
    <w:rsid w:val="00F40341"/>
    <w:rsid w:val="00F40AF0"/>
    <w:rsid w:val="00F41621"/>
    <w:rsid w:val="00F42764"/>
    <w:rsid w:val="00F42FA7"/>
    <w:rsid w:val="00F46D27"/>
    <w:rsid w:val="00F5205F"/>
    <w:rsid w:val="00F5438D"/>
    <w:rsid w:val="00F566A7"/>
    <w:rsid w:val="00F57065"/>
    <w:rsid w:val="00F576AC"/>
    <w:rsid w:val="00F60A8F"/>
    <w:rsid w:val="00F60DF3"/>
    <w:rsid w:val="00F618C6"/>
    <w:rsid w:val="00F61DFE"/>
    <w:rsid w:val="00F62BC6"/>
    <w:rsid w:val="00F62E97"/>
    <w:rsid w:val="00F63B62"/>
    <w:rsid w:val="00F63F47"/>
    <w:rsid w:val="00F64209"/>
    <w:rsid w:val="00F64F4E"/>
    <w:rsid w:val="00F6732E"/>
    <w:rsid w:val="00F70B8A"/>
    <w:rsid w:val="00F727F7"/>
    <w:rsid w:val="00F72D36"/>
    <w:rsid w:val="00F73E18"/>
    <w:rsid w:val="00F77B1A"/>
    <w:rsid w:val="00F8071B"/>
    <w:rsid w:val="00F81D74"/>
    <w:rsid w:val="00F82F85"/>
    <w:rsid w:val="00F841D6"/>
    <w:rsid w:val="00F90F84"/>
    <w:rsid w:val="00F9110A"/>
    <w:rsid w:val="00F9238C"/>
    <w:rsid w:val="00F924B7"/>
    <w:rsid w:val="00F934E6"/>
    <w:rsid w:val="00F939EE"/>
    <w:rsid w:val="00F93BF5"/>
    <w:rsid w:val="00F95C5C"/>
    <w:rsid w:val="00FA0BA8"/>
    <w:rsid w:val="00FA160C"/>
    <w:rsid w:val="00FA73B7"/>
    <w:rsid w:val="00FB2E7D"/>
    <w:rsid w:val="00FB6E8C"/>
    <w:rsid w:val="00FC118D"/>
    <w:rsid w:val="00FC24B0"/>
    <w:rsid w:val="00FC2B25"/>
    <w:rsid w:val="00FC42F1"/>
    <w:rsid w:val="00FC4679"/>
    <w:rsid w:val="00FD1597"/>
    <w:rsid w:val="00FD30C7"/>
    <w:rsid w:val="00FD45F4"/>
    <w:rsid w:val="00FD6AD6"/>
    <w:rsid w:val="00FD700B"/>
    <w:rsid w:val="00FD713E"/>
    <w:rsid w:val="00FD7A5B"/>
    <w:rsid w:val="00FD7B85"/>
    <w:rsid w:val="00FE06A6"/>
    <w:rsid w:val="00FE06E5"/>
    <w:rsid w:val="00FE1DD0"/>
    <w:rsid w:val="00FE2065"/>
    <w:rsid w:val="00FE25FE"/>
    <w:rsid w:val="00FE4D7D"/>
    <w:rsid w:val="00FE58C6"/>
    <w:rsid w:val="00FF0063"/>
    <w:rsid w:val="00FF05E1"/>
    <w:rsid w:val="00FF0DD2"/>
    <w:rsid w:val="00FF1E8B"/>
    <w:rsid w:val="00FF2698"/>
    <w:rsid w:val="00FF3B3A"/>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DEA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7EA"/>
    <w:rPr>
      <w:rFonts w:ascii="Calibri" w:eastAsiaTheme="minorHAnsi" w:hAnsi="Calibr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Cs w:val="20"/>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C107DD"/>
    <w:pPr>
      <w:keepNext/>
      <w:widowControl w:val="0"/>
      <w:numPr>
        <w:ilvl w:val="1"/>
        <w:numId w:val="3"/>
      </w:numPr>
      <w:spacing w:after="120"/>
      <w:outlineLvl w:val="1"/>
    </w:pPr>
    <w:rPr>
      <w:rFonts w:ascii="Times New Roman" w:eastAsia="Times New Roman" w:hAnsi="Times New Roman"/>
      <w:b/>
      <w:snapToGrid w:val="0"/>
      <w:kern w:val="28"/>
      <w:szCs w:val="20"/>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BA6196"/>
    <w:pPr>
      <w:keepNext/>
      <w:widowControl w:val="0"/>
      <w:numPr>
        <w:ilvl w:val="2"/>
        <w:numId w:val="3"/>
      </w:numPr>
      <w:tabs>
        <w:tab w:val="left" w:pos="2160"/>
      </w:tabs>
      <w:spacing w:after="120"/>
      <w:outlineLvl w:val="2"/>
    </w:pPr>
    <w:rPr>
      <w:rFonts w:ascii="Times New Roman" w:eastAsia="Times New Roman" w:hAnsi="Times New Roman"/>
      <w:b/>
      <w:snapToGrid w:val="0"/>
      <w:kern w:val="28"/>
      <w:szCs w:val="20"/>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widowControl w:val="0"/>
      <w:numPr>
        <w:ilvl w:val="3"/>
        <w:numId w:val="3"/>
      </w:numPr>
      <w:tabs>
        <w:tab w:val="left" w:pos="2880"/>
      </w:tabs>
      <w:spacing w:after="120"/>
      <w:outlineLvl w:val="3"/>
    </w:pPr>
    <w:rPr>
      <w:rFonts w:ascii="Times New Roman" w:eastAsia="Times New Roman" w:hAnsi="Times New Roman"/>
      <w:b/>
      <w:snapToGrid w:val="0"/>
      <w:kern w:val="28"/>
      <w:szCs w:val="20"/>
    </w:rPr>
  </w:style>
  <w:style w:type="paragraph" w:styleId="Heading5">
    <w:name w:val="heading 5"/>
    <w:basedOn w:val="Normal"/>
    <w:next w:val="ParaNum"/>
    <w:link w:val="Heading5Char"/>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b/>
      <w:snapToGrid w:val="0"/>
      <w:kern w:val="28"/>
      <w:szCs w:val="20"/>
    </w:rPr>
  </w:style>
  <w:style w:type="paragraph" w:styleId="Heading6">
    <w:name w:val="heading 6"/>
    <w:aliases w:val="h6"/>
    <w:basedOn w:val="Normal"/>
    <w:next w:val="ParaNum"/>
    <w:link w:val="Heading6Char"/>
    <w:qFormat/>
    <w:rsid w:val="00036039"/>
    <w:pPr>
      <w:widowControl w:val="0"/>
      <w:numPr>
        <w:ilvl w:val="5"/>
        <w:numId w:val="3"/>
      </w:numPr>
      <w:tabs>
        <w:tab w:val="left" w:pos="4320"/>
      </w:tabs>
      <w:spacing w:after="120"/>
      <w:outlineLvl w:val="5"/>
    </w:pPr>
    <w:rPr>
      <w:rFonts w:ascii="Times New Roman" w:eastAsia="Times New Roman" w:hAnsi="Times New Roman"/>
      <w:b/>
      <w:snapToGrid w:val="0"/>
      <w:kern w:val="28"/>
      <w:szCs w:val="20"/>
    </w:rPr>
  </w:style>
  <w:style w:type="paragraph" w:styleId="Heading7">
    <w:name w:val="heading 7"/>
    <w:basedOn w:val="Normal"/>
    <w:next w:val="ParaNum"/>
    <w:link w:val="Heading7Char"/>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link w:val="Heading8Char"/>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link w:val="Heading9Char"/>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pPr>
    <w:rPr>
      <w:rFonts w:ascii="Times New Roman" w:eastAsia="Times New Roman" w:hAnsi="Times New Roman"/>
      <w:snapToGrid w:val="0"/>
      <w:kern w:val="28"/>
      <w:szCs w:val="20"/>
    </w:rPr>
  </w:style>
  <w:style w:type="paragraph" w:styleId="EndnoteText">
    <w:name w:val="endnote text"/>
    <w:basedOn w:val="Normal"/>
    <w:link w:val="EndnoteTextChar"/>
    <w:semiHidden/>
    <w:pPr>
      <w:widowControl w:val="0"/>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uiPriority w:val="39"/>
    <w:pPr>
      <w:widowControl w:val="0"/>
      <w:tabs>
        <w:tab w:val="left" w:pos="720"/>
        <w:tab w:val="right" w:leader="dot" w:pos="9360"/>
      </w:tabs>
      <w:suppressAutoHyphens/>
      <w:ind w:left="720" w:right="720" w:hanging="360"/>
    </w:pPr>
    <w:rPr>
      <w:rFonts w:ascii="Times New Roman" w:eastAsia="Times New Roman" w:hAnsi="Times New Roman"/>
      <w:noProof/>
      <w:snapToGrid w:val="0"/>
      <w:kern w:val="28"/>
      <w:szCs w:val="20"/>
    </w:rPr>
  </w:style>
  <w:style w:type="paragraph" w:styleId="TOC3">
    <w:name w:val="toc 3"/>
    <w:basedOn w:val="Normal"/>
    <w:next w:val="Normal"/>
    <w:uiPriority w:val="39"/>
    <w:pPr>
      <w:widowControl w:val="0"/>
      <w:tabs>
        <w:tab w:val="left" w:pos="1080"/>
        <w:tab w:val="right" w:leader="dot" w:pos="9360"/>
      </w:tabs>
      <w:suppressAutoHyphens/>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uiPriority w:val="39"/>
    <w:pPr>
      <w:widowControl w:val="0"/>
      <w:tabs>
        <w:tab w:val="left" w:pos="1440"/>
        <w:tab w:val="right" w:leader="dot" w:pos="9360"/>
      </w:tabs>
      <w:suppressAutoHyphens/>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uiPriority w:val="39"/>
    <w:pPr>
      <w:widowControl w:val="0"/>
      <w:tabs>
        <w:tab w:val="left" w:pos="1800"/>
        <w:tab w:val="right" w:leader="dot" w:pos="9360"/>
      </w:tabs>
      <w:suppressAutoHyphens/>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link w:val="HeaderChar"/>
    <w:autoRedefine/>
    <w:rsid w:val="003A36A3"/>
    <w:pPr>
      <w:widowControl w:val="0"/>
      <w:tabs>
        <w:tab w:val="center" w:pos="4680"/>
        <w:tab w:val="right" w:pos="9360"/>
      </w:tabs>
      <w:jc w:val="center"/>
    </w:pPr>
    <w:rPr>
      <w:rFonts w:ascii="Times New Roman" w:eastAsia="Times New Roman" w:hAnsi="Times New Roman"/>
      <w:b/>
      <w:snapToGrid w:val="0"/>
      <w:kern w:val="28"/>
      <w:szCs w:val="20"/>
    </w:rPr>
  </w:style>
  <w:style w:type="paragraph" w:styleId="Footer">
    <w:name w:val="footer"/>
    <w:basedOn w:val="Normal"/>
    <w:link w:val="FooterChar"/>
    <w:pPr>
      <w:widowControl w:val="0"/>
      <w:tabs>
        <w:tab w:val="center" w:pos="4320"/>
        <w:tab w:val="right" w:pos="8640"/>
      </w:tabs>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112AD"/>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C107DD"/>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3112AD"/>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3112AD"/>
    <w:rPr>
      <w:b/>
      <w:snapToGrid w:val="0"/>
      <w:kern w:val="28"/>
      <w:sz w:val="22"/>
    </w:rPr>
  </w:style>
  <w:style w:type="character" w:customStyle="1" w:styleId="Heading5Char">
    <w:name w:val="Heading 5 Char"/>
    <w:link w:val="Heading5"/>
    <w:rsid w:val="003112AD"/>
    <w:rPr>
      <w:b/>
      <w:snapToGrid w:val="0"/>
      <w:kern w:val="28"/>
      <w:sz w:val="22"/>
    </w:rPr>
  </w:style>
  <w:style w:type="character" w:customStyle="1" w:styleId="Heading6Char">
    <w:name w:val="Heading 6 Char"/>
    <w:aliases w:val="h6 Char"/>
    <w:link w:val="Heading6"/>
    <w:rsid w:val="003112AD"/>
    <w:rPr>
      <w:b/>
      <w:snapToGrid w:val="0"/>
      <w:kern w:val="28"/>
      <w:sz w:val="22"/>
    </w:rPr>
  </w:style>
  <w:style w:type="character" w:customStyle="1" w:styleId="Heading7Char">
    <w:name w:val="Heading 7 Char"/>
    <w:link w:val="Heading7"/>
    <w:rsid w:val="003112AD"/>
    <w:rPr>
      <w:b/>
      <w:snapToGrid w:val="0"/>
      <w:kern w:val="28"/>
      <w:sz w:val="22"/>
    </w:rPr>
  </w:style>
  <w:style w:type="character" w:customStyle="1" w:styleId="Heading8Char">
    <w:name w:val="Heading 8 Char"/>
    <w:link w:val="Heading8"/>
    <w:rsid w:val="003112AD"/>
    <w:rPr>
      <w:b/>
      <w:snapToGrid w:val="0"/>
      <w:kern w:val="28"/>
      <w:sz w:val="22"/>
    </w:rPr>
  </w:style>
  <w:style w:type="character" w:customStyle="1" w:styleId="Heading9Char">
    <w:name w:val="Heading 9 Char"/>
    <w:link w:val="Heading9"/>
    <w:rsid w:val="003112AD"/>
    <w:rPr>
      <w:b/>
      <w:snapToGrid w:val="0"/>
      <w:kern w:val="28"/>
      <w:sz w:val="22"/>
    </w:rPr>
  </w:style>
  <w:style w:type="character" w:customStyle="1" w:styleId="EndnoteTextChar">
    <w:name w:val="Endnote Text Char"/>
    <w:link w:val="EndnoteText"/>
    <w:semiHidden/>
    <w:rsid w:val="003112AD"/>
    <w:rPr>
      <w:snapToGrid w:val="0"/>
      <w:kern w:val="28"/>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uiPriority w:val="99"/>
    <w:rsid w:val="003112AD"/>
  </w:style>
  <w:style w:type="character" w:customStyle="1" w:styleId="HeaderChar">
    <w:name w:val="Header Char"/>
    <w:link w:val="Header"/>
    <w:rsid w:val="003A36A3"/>
    <w:rPr>
      <w:b/>
      <w:snapToGrid w:val="0"/>
      <w:kern w:val="28"/>
      <w:sz w:val="22"/>
    </w:rPr>
  </w:style>
  <w:style w:type="character" w:customStyle="1" w:styleId="FooterChar">
    <w:name w:val="Footer Char"/>
    <w:link w:val="Footer"/>
    <w:rsid w:val="003112AD"/>
    <w:rPr>
      <w:snapToGrid w:val="0"/>
      <w:kern w:val="28"/>
      <w:sz w:val="22"/>
    </w:rPr>
  </w:style>
  <w:style w:type="character" w:customStyle="1" w:styleId="ParaNumChar">
    <w:name w:val="ParaNum Char"/>
    <w:link w:val="ParaNum"/>
    <w:rsid w:val="003112AD"/>
    <w:rPr>
      <w:snapToGrid w:val="0"/>
      <w:kern w:val="28"/>
      <w:sz w:val="22"/>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
    <w:rsid w:val="003112AD"/>
  </w:style>
  <w:style w:type="character" w:customStyle="1" w:styleId="documentbody">
    <w:name w:val="documentbody"/>
    <w:rsid w:val="003112AD"/>
    <w:rPr>
      <w:rFonts w:cs="Times New Roman"/>
    </w:rPr>
  </w:style>
  <w:style w:type="character" w:customStyle="1" w:styleId="ParaNumCharChar">
    <w:name w:val="ParaNum Char Char"/>
    <w:uiPriority w:val="99"/>
    <w:rsid w:val="003112AD"/>
    <w:rPr>
      <w:kern w:val="28"/>
      <w:sz w:val="22"/>
    </w:rPr>
  </w:style>
  <w:style w:type="paragraph" w:styleId="BalloonText">
    <w:name w:val="Balloon Text"/>
    <w:basedOn w:val="Normal"/>
    <w:link w:val="BalloonTextChar"/>
    <w:rsid w:val="003112AD"/>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3112AD"/>
    <w:rPr>
      <w:rFonts w:ascii="Segoe UI" w:hAnsi="Segoe UI" w:cs="Segoe UI"/>
      <w:snapToGrid w:val="0"/>
      <w:kern w:val="28"/>
      <w:sz w:val="18"/>
      <w:szCs w:val="18"/>
    </w:rPr>
  </w:style>
  <w:style w:type="character" w:styleId="CommentReference">
    <w:name w:val="annotation reference"/>
    <w:uiPriority w:val="99"/>
    <w:rsid w:val="003112AD"/>
    <w:rPr>
      <w:sz w:val="16"/>
      <w:szCs w:val="16"/>
    </w:rPr>
  </w:style>
  <w:style w:type="paragraph" w:styleId="CommentText">
    <w:name w:val="annotation text"/>
    <w:basedOn w:val="Normal"/>
    <w:link w:val="CommentTextChar"/>
    <w:uiPriority w:val="99"/>
    <w:rsid w:val="003112AD"/>
    <w:pPr>
      <w:widowControl w:val="0"/>
    </w:pPr>
    <w:rPr>
      <w:rFonts w:ascii="Times New Roman" w:eastAsia="Times New Roman" w:hAnsi="Times New Roman"/>
      <w:snapToGrid w:val="0"/>
      <w:kern w:val="28"/>
      <w:sz w:val="20"/>
      <w:szCs w:val="20"/>
    </w:rPr>
  </w:style>
  <w:style w:type="character" w:customStyle="1" w:styleId="CommentTextChar">
    <w:name w:val="Comment Text Char"/>
    <w:link w:val="CommentText"/>
    <w:uiPriority w:val="99"/>
    <w:rsid w:val="003112AD"/>
    <w:rPr>
      <w:snapToGrid w:val="0"/>
      <w:kern w:val="28"/>
    </w:rPr>
  </w:style>
  <w:style w:type="paragraph" w:styleId="CommentSubject">
    <w:name w:val="annotation subject"/>
    <w:basedOn w:val="CommentText"/>
    <w:next w:val="CommentText"/>
    <w:link w:val="CommentSubjectChar"/>
    <w:rsid w:val="003112AD"/>
    <w:rPr>
      <w:b/>
      <w:bCs/>
    </w:rPr>
  </w:style>
  <w:style w:type="character" w:customStyle="1" w:styleId="CommentSubjectChar">
    <w:name w:val="Comment Subject Char"/>
    <w:link w:val="CommentSubject"/>
    <w:rsid w:val="003112AD"/>
    <w:rPr>
      <w:b/>
      <w:bCs/>
      <w:snapToGrid w:val="0"/>
      <w:kern w:val="28"/>
    </w:rPr>
  </w:style>
  <w:style w:type="paragraph" w:styleId="ListParagraph">
    <w:name w:val="List Paragraph"/>
    <w:basedOn w:val="Normal"/>
    <w:uiPriority w:val="34"/>
    <w:qFormat/>
    <w:rsid w:val="003112AD"/>
    <w:pPr>
      <w:widowControl w:val="0"/>
      <w:ind w:left="720"/>
      <w:contextualSpacing/>
    </w:pPr>
    <w:rPr>
      <w:rFonts w:ascii="Times New Roman" w:eastAsia="Times New Roman" w:hAnsi="Times New Roman"/>
      <w:snapToGrid w:val="0"/>
      <w:kern w:val="28"/>
      <w:szCs w:val="20"/>
    </w:rPr>
  </w:style>
  <w:style w:type="paragraph" w:styleId="Revision">
    <w:name w:val="Revision"/>
    <w:hidden/>
    <w:uiPriority w:val="99"/>
    <w:semiHidden/>
    <w:rsid w:val="003112AD"/>
    <w:rPr>
      <w:snapToGrid w:val="0"/>
      <w:kern w:val="28"/>
      <w:sz w:val="22"/>
    </w:rPr>
  </w:style>
  <w:style w:type="character" w:styleId="FollowedHyperlink">
    <w:name w:val="FollowedHyperlink"/>
    <w:rsid w:val="003112AD"/>
    <w:rPr>
      <w:color w:val="954F72"/>
      <w:u w:val="single"/>
    </w:rPr>
  </w:style>
  <w:style w:type="paragraph" w:styleId="NormalWeb">
    <w:name w:val="Normal (Web)"/>
    <w:basedOn w:val="Normal"/>
    <w:uiPriority w:val="99"/>
    <w:unhideWhenUsed/>
    <w:rsid w:val="003112AD"/>
    <w:rPr>
      <w:rFonts w:ascii="Times New Roman" w:eastAsia="Calibri" w:hAnsi="Times New Roman"/>
      <w:sz w:val="24"/>
      <w:szCs w:val="24"/>
    </w:rPr>
  </w:style>
  <w:style w:type="character" w:customStyle="1" w:styleId="cohl">
    <w:name w:val="co_hl"/>
    <w:rsid w:val="003112AD"/>
  </w:style>
  <w:style w:type="character" w:customStyle="1" w:styleId="apple-converted-space">
    <w:name w:val="apple-converted-space"/>
    <w:rsid w:val="003112AD"/>
  </w:style>
  <w:style w:type="character" w:styleId="Emphasis">
    <w:name w:val="Emphasis"/>
    <w:basedOn w:val="DefaultParagraphFont"/>
    <w:uiPriority w:val="20"/>
    <w:qFormat/>
    <w:rsid w:val="004A0B53"/>
    <w:rPr>
      <w:i/>
      <w:iCs/>
    </w:rPr>
  </w:style>
  <w:style w:type="character" w:styleId="Strong">
    <w:name w:val="Strong"/>
    <w:basedOn w:val="DefaultParagraphFont"/>
    <w:uiPriority w:val="22"/>
    <w:qFormat/>
    <w:rsid w:val="00F11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7EA"/>
    <w:rPr>
      <w:rFonts w:ascii="Calibri" w:eastAsiaTheme="minorHAnsi" w:hAnsi="Calibr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Cs w:val="20"/>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C107DD"/>
    <w:pPr>
      <w:keepNext/>
      <w:widowControl w:val="0"/>
      <w:numPr>
        <w:ilvl w:val="1"/>
        <w:numId w:val="3"/>
      </w:numPr>
      <w:spacing w:after="120"/>
      <w:outlineLvl w:val="1"/>
    </w:pPr>
    <w:rPr>
      <w:rFonts w:ascii="Times New Roman" w:eastAsia="Times New Roman" w:hAnsi="Times New Roman"/>
      <w:b/>
      <w:snapToGrid w:val="0"/>
      <w:kern w:val="28"/>
      <w:szCs w:val="20"/>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BA6196"/>
    <w:pPr>
      <w:keepNext/>
      <w:widowControl w:val="0"/>
      <w:numPr>
        <w:ilvl w:val="2"/>
        <w:numId w:val="3"/>
      </w:numPr>
      <w:tabs>
        <w:tab w:val="left" w:pos="2160"/>
      </w:tabs>
      <w:spacing w:after="120"/>
      <w:outlineLvl w:val="2"/>
    </w:pPr>
    <w:rPr>
      <w:rFonts w:ascii="Times New Roman" w:eastAsia="Times New Roman" w:hAnsi="Times New Roman"/>
      <w:b/>
      <w:snapToGrid w:val="0"/>
      <w:kern w:val="28"/>
      <w:szCs w:val="20"/>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widowControl w:val="0"/>
      <w:numPr>
        <w:ilvl w:val="3"/>
        <w:numId w:val="3"/>
      </w:numPr>
      <w:tabs>
        <w:tab w:val="left" w:pos="2880"/>
      </w:tabs>
      <w:spacing w:after="120"/>
      <w:outlineLvl w:val="3"/>
    </w:pPr>
    <w:rPr>
      <w:rFonts w:ascii="Times New Roman" w:eastAsia="Times New Roman" w:hAnsi="Times New Roman"/>
      <w:b/>
      <w:snapToGrid w:val="0"/>
      <w:kern w:val="28"/>
      <w:szCs w:val="20"/>
    </w:rPr>
  </w:style>
  <w:style w:type="paragraph" w:styleId="Heading5">
    <w:name w:val="heading 5"/>
    <w:basedOn w:val="Normal"/>
    <w:next w:val="ParaNum"/>
    <w:link w:val="Heading5Char"/>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b/>
      <w:snapToGrid w:val="0"/>
      <w:kern w:val="28"/>
      <w:szCs w:val="20"/>
    </w:rPr>
  </w:style>
  <w:style w:type="paragraph" w:styleId="Heading6">
    <w:name w:val="heading 6"/>
    <w:aliases w:val="h6"/>
    <w:basedOn w:val="Normal"/>
    <w:next w:val="ParaNum"/>
    <w:link w:val="Heading6Char"/>
    <w:qFormat/>
    <w:rsid w:val="00036039"/>
    <w:pPr>
      <w:widowControl w:val="0"/>
      <w:numPr>
        <w:ilvl w:val="5"/>
        <w:numId w:val="3"/>
      </w:numPr>
      <w:tabs>
        <w:tab w:val="left" w:pos="4320"/>
      </w:tabs>
      <w:spacing w:after="120"/>
      <w:outlineLvl w:val="5"/>
    </w:pPr>
    <w:rPr>
      <w:rFonts w:ascii="Times New Roman" w:eastAsia="Times New Roman" w:hAnsi="Times New Roman"/>
      <w:b/>
      <w:snapToGrid w:val="0"/>
      <w:kern w:val="28"/>
      <w:szCs w:val="20"/>
    </w:rPr>
  </w:style>
  <w:style w:type="paragraph" w:styleId="Heading7">
    <w:name w:val="heading 7"/>
    <w:basedOn w:val="Normal"/>
    <w:next w:val="ParaNum"/>
    <w:link w:val="Heading7Char"/>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link w:val="Heading8Char"/>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link w:val="Heading9Char"/>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pPr>
    <w:rPr>
      <w:rFonts w:ascii="Times New Roman" w:eastAsia="Times New Roman" w:hAnsi="Times New Roman"/>
      <w:snapToGrid w:val="0"/>
      <w:kern w:val="28"/>
      <w:szCs w:val="20"/>
    </w:rPr>
  </w:style>
  <w:style w:type="paragraph" w:styleId="EndnoteText">
    <w:name w:val="endnote text"/>
    <w:basedOn w:val="Normal"/>
    <w:link w:val="EndnoteTextChar"/>
    <w:semiHidden/>
    <w:pPr>
      <w:widowControl w:val="0"/>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uiPriority w:val="39"/>
    <w:pPr>
      <w:widowControl w:val="0"/>
      <w:tabs>
        <w:tab w:val="left" w:pos="720"/>
        <w:tab w:val="right" w:leader="dot" w:pos="9360"/>
      </w:tabs>
      <w:suppressAutoHyphens/>
      <w:ind w:left="720" w:right="720" w:hanging="360"/>
    </w:pPr>
    <w:rPr>
      <w:rFonts w:ascii="Times New Roman" w:eastAsia="Times New Roman" w:hAnsi="Times New Roman"/>
      <w:noProof/>
      <w:snapToGrid w:val="0"/>
      <w:kern w:val="28"/>
      <w:szCs w:val="20"/>
    </w:rPr>
  </w:style>
  <w:style w:type="paragraph" w:styleId="TOC3">
    <w:name w:val="toc 3"/>
    <w:basedOn w:val="Normal"/>
    <w:next w:val="Normal"/>
    <w:uiPriority w:val="39"/>
    <w:pPr>
      <w:widowControl w:val="0"/>
      <w:tabs>
        <w:tab w:val="left" w:pos="1080"/>
        <w:tab w:val="right" w:leader="dot" w:pos="9360"/>
      </w:tabs>
      <w:suppressAutoHyphens/>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uiPriority w:val="39"/>
    <w:pPr>
      <w:widowControl w:val="0"/>
      <w:tabs>
        <w:tab w:val="left" w:pos="1440"/>
        <w:tab w:val="right" w:leader="dot" w:pos="9360"/>
      </w:tabs>
      <w:suppressAutoHyphens/>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uiPriority w:val="39"/>
    <w:pPr>
      <w:widowControl w:val="0"/>
      <w:tabs>
        <w:tab w:val="left" w:pos="1800"/>
        <w:tab w:val="right" w:leader="dot" w:pos="9360"/>
      </w:tabs>
      <w:suppressAutoHyphens/>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link w:val="HeaderChar"/>
    <w:autoRedefine/>
    <w:rsid w:val="003A36A3"/>
    <w:pPr>
      <w:widowControl w:val="0"/>
      <w:tabs>
        <w:tab w:val="center" w:pos="4680"/>
        <w:tab w:val="right" w:pos="9360"/>
      </w:tabs>
      <w:jc w:val="center"/>
    </w:pPr>
    <w:rPr>
      <w:rFonts w:ascii="Times New Roman" w:eastAsia="Times New Roman" w:hAnsi="Times New Roman"/>
      <w:b/>
      <w:snapToGrid w:val="0"/>
      <w:kern w:val="28"/>
      <w:szCs w:val="20"/>
    </w:rPr>
  </w:style>
  <w:style w:type="paragraph" w:styleId="Footer">
    <w:name w:val="footer"/>
    <w:basedOn w:val="Normal"/>
    <w:link w:val="FooterChar"/>
    <w:pPr>
      <w:widowControl w:val="0"/>
      <w:tabs>
        <w:tab w:val="center" w:pos="4320"/>
        <w:tab w:val="right" w:pos="8640"/>
      </w:tabs>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112AD"/>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C107DD"/>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3112AD"/>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3112AD"/>
    <w:rPr>
      <w:b/>
      <w:snapToGrid w:val="0"/>
      <w:kern w:val="28"/>
      <w:sz w:val="22"/>
    </w:rPr>
  </w:style>
  <w:style w:type="character" w:customStyle="1" w:styleId="Heading5Char">
    <w:name w:val="Heading 5 Char"/>
    <w:link w:val="Heading5"/>
    <w:rsid w:val="003112AD"/>
    <w:rPr>
      <w:b/>
      <w:snapToGrid w:val="0"/>
      <w:kern w:val="28"/>
      <w:sz w:val="22"/>
    </w:rPr>
  </w:style>
  <w:style w:type="character" w:customStyle="1" w:styleId="Heading6Char">
    <w:name w:val="Heading 6 Char"/>
    <w:aliases w:val="h6 Char"/>
    <w:link w:val="Heading6"/>
    <w:rsid w:val="003112AD"/>
    <w:rPr>
      <w:b/>
      <w:snapToGrid w:val="0"/>
      <w:kern w:val="28"/>
      <w:sz w:val="22"/>
    </w:rPr>
  </w:style>
  <w:style w:type="character" w:customStyle="1" w:styleId="Heading7Char">
    <w:name w:val="Heading 7 Char"/>
    <w:link w:val="Heading7"/>
    <w:rsid w:val="003112AD"/>
    <w:rPr>
      <w:b/>
      <w:snapToGrid w:val="0"/>
      <w:kern w:val="28"/>
      <w:sz w:val="22"/>
    </w:rPr>
  </w:style>
  <w:style w:type="character" w:customStyle="1" w:styleId="Heading8Char">
    <w:name w:val="Heading 8 Char"/>
    <w:link w:val="Heading8"/>
    <w:rsid w:val="003112AD"/>
    <w:rPr>
      <w:b/>
      <w:snapToGrid w:val="0"/>
      <w:kern w:val="28"/>
      <w:sz w:val="22"/>
    </w:rPr>
  </w:style>
  <w:style w:type="character" w:customStyle="1" w:styleId="Heading9Char">
    <w:name w:val="Heading 9 Char"/>
    <w:link w:val="Heading9"/>
    <w:rsid w:val="003112AD"/>
    <w:rPr>
      <w:b/>
      <w:snapToGrid w:val="0"/>
      <w:kern w:val="28"/>
      <w:sz w:val="22"/>
    </w:rPr>
  </w:style>
  <w:style w:type="character" w:customStyle="1" w:styleId="EndnoteTextChar">
    <w:name w:val="Endnote Text Char"/>
    <w:link w:val="EndnoteText"/>
    <w:semiHidden/>
    <w:rsid w:val="003112AD"/>
    <w:rPr>
      <w:snapToGrid w:val="0"/>
      <w:kern w:val="28"/>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uiPriority w:val="99"/>
    <w:rsid w:val="003112AD"/>
  </w:style>
  <w:style w:type="character" w:customStyle="1" w:styleId="HeaderChar">
    <w:name w:val="Header Char"/>
    <w:link w:val="Header"/>
    <w:rsid w:val="003A36A3"/>
    <w:rPr>
      <w:b/>
      <w:snapToGrid w:val="0"/>
      <w:kern w:val="28"/>
      <w:sz w:val="22"/>
    </w:rPr>
  </w:style>
  <w:style w:type="character" w:customStyle="1" w:styleId="FooterChar">
    <w:name w:val="Footer Char"/>
    <w:link w:val="Footer"/>
    <w:rsid w:val="003112AD"/>
    <w:rPr>
      <w:snapToGrid w:val="0"/>
      <w:kern w:val="28"/>
      <w:sz w:val="22"/>
    </w:rPr>
  </w:style>
  <w:style w:type="character" w:customStyle="1" w:styleId="ParaNumChar">
    <w:name w:val="ParaNum Char"/>
    <w:link w:val="ParaNum"/>
    <w:rsid w:val="003112AD"/>
    <w:rPr>
      <w:snapToGrid w:val="0"/>
      <w:kern w:val="28"/>
      <w:sz w:val="22"/>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
    <w:rsid w:val="003112AD"/>
  </w:style>
  <w:style w:type="character" w:customStyle="1" w:styleId="documentbody">
    <w:name w:val="documentbody"/>
    <w:rsid w:val="003112AD"/>
    <w:rPr>
      <w:rFonts w:cs="Times New Roman"/>
    </w:rPr>
  </w:style>
  <w:style w:type="character" w:customStyle="1" w:styleId="ParaNumCharChar">
    <w:name w:val="ParaNum Char Char"/>
    <w:uiPriority w:val="99"/>
    <w:rsid w:val="003112AD"/>
    <w:rPr>
      <w:kern w:val="28"/>
      <w:sz w:val="22"/>
    </w:rPr>
  </w:style>
  <w:style w:type="paragraph" w:styleId="BalloonText">
    <w:name w:val="Balloon Text"/>
    <w:basedOn w:val="Normal"/>
    <w:link w:val="BalloonTextChar"/>
    <w:rsid w:val="003112AD"/>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3112AD"/>
    <w:rPr>
      <w:rFonts w:ascii="Segoe UI" w:hAnsi="Segoe UI" w:cs="Segoe UI"/>
      <w:snapToGrid w:val="0"/>
      <w:kern w:val="28"/>
      <w:sz w:val="18"/>
      <w:szCs w:val="18"/>
    </w:rPr>
  </w:style>
  <w:style w:type="character" w:styleId="CommentReference">
    <w:name w:val="annotation reference"/>
    <w:uiPriority w:val="99"/>
    <w:rsid w:val="003112AD"/>
    <w:rPr>
      <w:sz w:val="16"/>
      <w:szCs w:val="16"/>
    </w:rPr>
  </w:style>
  <w:style w:type="paragraph" w:styleId="CommentText">
    <w:name w:val="annotation text"/>
    <w:basedOn w:val="Normal"/>
    <w:link w:val="CommentTextChar"/>
    <w:uiPriority w:val="99"/>
    <w:rsid w:val="003112AD"/>
    <w:pPr>
      <w:widowControl w:val="0"/>
    </w:pPr>
    <w:rPr>
      <w:rFonts w:ascii="Times New Roman" w:eastAsia="Times New Roman" w:hAnsi="Times New Roman"/>
      <w:snapToGrid w:val="0"/>
      <w:kern w:val="28"/>
      <w:sz w:val="20"/>
      <w:szCs w:val="20"/>
    </w:rPr>
  </w:style>
  <w:style w:type="character" w:customStyle="1" w:styleId="CommentTextChar">
    <w:name w:val="Comment Text Char"/>
    <w:link w:val="CommentText"/>
    <w:uiPriority w:val="99"/>
    <w:rsid w:val="003112AD"/>
    <w:rPr>
      <w:snapToGrid w:val="0"/>
      <w:kern w:val="28"/>
    </w:rPr>
  </w:style>
  <w:style w:type="paragraph" w:styleId="CommentSubject">
    <w:name w:val="annotation subject"/>
    <w:basedOn w:val="CommentText"/>
    <w:next w:val="CommentText"/>
    <w:link w:val="CommentSubjectChar"/>
    <w:rsid w:val="003112AD"/>
    <w:rPr>
      <w:b/>
      <w:bCs/>
    </w:rPr>
  </w:style>
  <w:style w:type="character" w:customStyle="1" w:styleId="CommentSubjectChar">
    <w:name w:val="Comment Subject Char"/>
    <w:link w:val="CommentSubject"/>
    <w:rsid w:val="003112AD"/>
    <w:rPr>
      <w:b/>
      <w:bCs/>
      <w:snapToGrid w:val="0"/>
      <w:kern w:val="28"/>
    </w:rPr>
  </w:style>
  <w:style w:type="paragraph" w:styleId="ListParagraph">
    <w:name w:val="List Paragraph"/>
    <w:basedOn w:val="Normal"/>
    <w:uiPriority w:val="34"/>
    <w:qFormat/>
    <w:rsid w:val="003112AD"/>
    <w:pPr>
      <w:widowControl w:val="0"/>
      <w:ind w:left="720"/>
      <w:contextualSpacing/>
    </w:pPr>
    <w:rPr>
      <w:rFonts w:ascii="Times New Roman" w:eastAsia="Times New Roman" w:hAnsi="Times New Roman"/>
      <w:snapToGrid w:val="0"/>
      <w:kern w:val="28"/>
      <w:szCs w:val="20"/>
    </w:rPr>
  </w:style>
  <w:style w:type="paragraph" w:styleId="Revision">
    <w:name w:val="Revision"/>
    <w:hidden/>
    <w:uiPriority w:val="99"/>
    <w:semiHidden/>
    <w:rsid w:val="003112AD"/>
    <w:rPr>
      <w:snapToGrid w:val="0"/>
      <w:kern w:val="28"/>
      <w:sz w:val="22"/>
    </w:rPr>
  </w:style>
  <w:style w:type="character" w:styleId="FollowedHyperlink">
    <w:name w:val="FollowedHyperlink"/>
    <w:rsid w:val="003112AD"/>
    <w:rPr>
      <w:color w:val="954F72"/>
      <w:u w:val="single"/>
    </w:rPr>
  </w:style>
  <w:style w:type="paragraph" w:styleId="NormalWeb">
    <w:name w:val="Normal (Web)"/>
    <w:basedOn w:val="Normal"/>
    <w:uiPriority w:val="99"/>
    <w:unhideWhenUsed/>
    <w:rsid w:val="003112AD"/>
    <w:rPr>
      <w:rFonts w:ascii="Times New Roman" w:eastAsia="Calibri" w:hAnsi="Times New Roman"/>
      <w:sz w:val="24"/>
      <w:szCs w:val="24"/>
    </w:rPr>
  </w:style>
  <w:style w:type="character" w:customStyle="1" w:styleId="cohl">
    <w:name w:val="co_hl"/>
    <w:rsid w:val="003112AD"/>
  </w:style>
  <w:style w:type="character" w:customStyle="1" w:styleId="apple-converted-space">
    <w:name w:val="apple-converted-space"/>
    <w:rsid w:val="003112AD"/>
  </w:style>
  <w:style w:type="character" w:styleId="Emphasis">
    <w:name w:val="Emphasis"/>
    <w:basedOn w:val="DefaultParagraphFont"/>
    <w:uiPriority w:val="20"/>
    <w:qFormat/>
    <w:rsid w:val="004A0B53"/>
    <w:rPr>
      <w:i/>
      <w:iCs/>
    </w:rPr>
  </w:style>
  <w:style w:type="character" w:styleId="Strong">
    <w:name w:val="Strong"/>
    <w:basedOn w:val="DefaultParagraphFont"/>
    <w:uiPriority w:val="22"/>
    <w:qFormat/>
    <w:rsid w:val="00F11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353">
      <w:bodyDiv w:val="1"/>
      <w:marLeft w:val="0"/>
      <w:marRight w:val="0"/>
      <w:marTop w:val="0"/>
      <w:marBottom w:val="0"/>
      <w:divBdr>
        <w:top w:val="none" w:sz="0" w:space="0" w:color="auto"/>
        <w:left w:val="none" w:sz="0" w:space="0" w:color="auto"/>
        <w:bottom w:val="none" w:sz="0" w:space="0" w:color="auto"/>
        <w:right w:val="none" w:sz="0" w:space="0" w:color="auto"/>
      </w:divBdr>
    </w:div>
    <w:div w:id="319424479">
      <w:bodyDiv w:val="1"/>
      <w:marLeft w:val="0"/>
      <w:marRight w:val="0"/>
      <w:marTop w:val="0"/>
      <w:marBottom w:val="0"/>
      <w:divBdr>
        <w:top w:val="none" w:sz="0" w:space="0" w:color="auto"/>
        <w:left w:val="none" w:sz="0" w:space="0" w:color="auto"/>
        <w:bottom w:val="none" w:sz="0" w:space="0" w:color="auto"/>
        <w:right w:val="none" w:sz="0" w:space="0" w:color="auto"/>
      </w:divBdr>
    </w:div>
    <w:div w:id="516508123">
      <w:bodyDiv w:val="1"/>
      <w:marLeft w:val="0"/>
      <w:marRight w:val="0"/>
      <w:marTop w:val="0"/>
      <w:marBottom w:val="0"/>
      <w:divBdr>
        <w:top w:val="none" w:sz="0" w:space="0" w:color="auto"/>
        <w:left w:val="none" w:sz="0" w:space="0" w:color="auto"/>
        <w:bottom w:val="none" w:sz="0" w:space="0" w:color="auto"/>
        <w:right w:val="none" w:sz="0" w:space="0" w:color="auto"/>
      </w:divBdr>
    </w:div>
    <w:div w:id="762148377">
      <w:bodyDiv w:val="1"/>
      <w:marLeft w:val="0"/>
      <w:marRight w:val="0"/>
      <w:marTop w:val="0"/>
      <w:marBottom w:val="0"/>
      <w:divBdr>
        <w:top w:val="none" w:sz="0" w:space="0" w:color="auto"/>
        <w:left w:val="none" w:sz="0" w:space="0" w:color="auto"/>
        <w:bottom w:val="none" w:sz="0" w:space="0" w:color="auto"/>
        <w:right w:val="none" w:sz="0" w:space="0" w:color="auto"/>
      </w:divBdr>
    </w:div>
    <w:div w:id="860125908">
      <w:bodyDiv w:val="1"/>
      <w:marLeft w:val="0"/>
      <w:marRight w:val="0"/>
      <w:marTop w:val="0"/>
      <w:marBottom w:val="0"/>
      <w:divBdr>
        <w:top w:val="none" w:sz="0" w:space="0" w:color="auto"/>
        <w:left w:val="none" w:sz="0" w:space="0" w:color="auto"/>
        <w:bottom w:val="none" w:sz="0" w:space="0" w:color="auto"/>
        <w:right w:val="none" w:sz="0" w:space="0" w:color="auto"/>
      </w:divBdr>
    </w:div>
    <w:div w:id="885527844">
      <w:bodyDiv w:val="1"/>
      <w:marLeft w:val="0"/>
      <w:marRight w:val="0"/>
      <w:marTop w:val="0"/>
      <w:marBottom w:val="0"/>
      <w:divBdr>
        <w:top w:val="none" w:sz="0" w:space="0" w:color="auto"/>
        <w:left w:val="none" w:sz="0" w:space="0" w:color="auto"/>
        <w:bottom w:val="none" w:sz="0" w:space="0" w:color="auto"/>
        <w:right w:val="none" w:sz="0" w:space="0" w:color="auto"/>
      </w:divBdr>
    </w:div>
    <w:div w:id="971252134">
      <w:bodyDiv w:val="1"/>
      <w:marLeft w:val="0"/>
      <w:marRight w:val="0"/>
      <w:marTop w:val="0"/>
      <w:marBottom w:val="0"/>
      <w:divBdr>
        <w:top w:val="none" w:sz="0" w:space="0" w:color="auto"/>
        <w:left w:val="none" w:sz="0" w:space="0" w:color="auto"/>
        <w:bottom w:val="none" w:sz="0" w:space="0" w:color="auto"/>
        <w:right w:val="none" w:sz="0" w:space="0" w:color="auto"/>
      </w:divBdr>
    </w:div>
    <w:div w:id="1045449592">
      <w:bodyDiv w:val="1"/>
      <w:marLeft w:val="0"/>
      <w:marRight w:val="0"/>
      <w:marTop w:val="0"/>
      <w:marBottom w:val="0"/>
      <w:divBdr>
        <w:top w:val="none" w:sz="0" w:space="0" w:color="auto"/>
        <w:left w:val="none" w:sz="0" w:space="0" w:color="auto"/>
        <w:bottom w:val="none" w:sz="0" w:space="0" w:color="auto"/>
        <w:right w:val="none" w:sz="0" w:space="0" w:color="auto"/>
      </w:divBdr>
    </w:div>
    <w:div w:id="12024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ct.gob.mx/fileadmin/Comunicaciones/LFTR_english.pdf" TargetMode="External"/><Relationship Id="rId1" Type="http://schemas.openxmlformats.org/officeDocument/2006/relationships/hyperlink" Target="https://www.investor.gov/research-before-you-invest/research/shareholder-voting/what-registered-what-benefic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3571</Words>
  <Characters>19447</Characters>
  <Application>Microsoft Office Word</Application>
  <DocSecurity>0</DocSecurity>
  <Lines>292</Lines>
  <Paragraphs>71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23118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2017-01-18T15:55:00Z</cp:lastPrinted>
  <dcterms:created xsi:type="dcterms:W3CDTF">2017-01-18T18:01:00Z</dcterms:created>
  <dcterms:modified xsi:type="dcterms:W3CDTF">2017-01-18T18:01:00Z</dcterms:modified>
  <cp:category> </cp:category>
  <cp:contentStatus> </cp:contentStatus>
</cp:coreProperties>
</file>