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9F2" w:rsidRPr="007237D7" w:rsidRDefault="001719F2" w:rsidP="00DD56F8">
      <w:pPr>
        <w:jc w:val="center"/>
        <w:rPr>
          <w:b/>
        </w:rPr>
      </w:pPr>
      <w:bookmarkStart w:id="0" w:name="_GoBack"/>
      <w:bookmarkEnd w:id="0"/>
      <w:r w:rsidRPr="007237D7">
        <w:rPr>
          <w:b/>
        </w:rPr>
        <w:t>Before the</w:t>
      </w:r>
    </w:p>
    <w:p w:rsidR="001719F2" w:rsidRPr="007237D7" w:rsidRDefault="001719F2" w:rsidP="00DD56F8">
      <w:pPr>
        <w:jc w:val="center"/>
        <w:rPr>
          <w:b/>
        </w:rPr>
      </w:pPr>
      <w:r w:rsidRPr="007237D7">
        <w:rPr>
          <w:b/>
        </w:rPr>
        <w:t>Federal Communications Commission</w:t>
      </w:r>
    </w:p>
    <w:p w:rsidR="001719F2" w:rsidRPr="007237D7" w:rsidRDefault="001719F2" w:rsidP="00DD56F8">
      <w:pPr>
        <w:jc w:val="center"/>
        <w:rPr>
          <w:b/>
        </w:rPr>
      </w:pPr>
      <w:r w:rsidRPr="007237D7">
        <w:rPr>
          <w:b/>
        </w:rPr>
        <w:t>Washington, D.C. 20554</w:t>
      </w:r>
      <w:r w:rsidR="007F6868" w:rsidRPr="007237D7">
        <w:rPr>
          <w:b/>
        </w:rPr>
        <w:t xml:space="preserve"> </w:t>
      </w:r>
    </w:p>
    <w:p w:rsidR="001719F2" w:rsidRPr="007237D7" w:rsidRDefault="001719F2" w:rsidP="00DD56F8"/>
    <w:p w:rsidR="001719F2" w:rsidRPr="007237D7" w:rsidRDefault="001719F2" w:rsidP="00DD56F8"/>
    <w:tbl>
      <w:tblPr>
        <w:tblW w:w="10757" w:type="dxa"/>
        <w:tblLayout w:type="fixed"/>
        <w:tblLook w:val="0000" w:firstRow="0" w:lastRow="0" w:firstColumn="0" w:lastColumn="0" w:noHBand="0" w:noVBand="0"/>
      </w:tblPr>
      <w:tblGrid>
        <w:gridCol w:w="4680"/>
        <w:gridCol w:w="630"/>
        <w:gridCol w:w="5447"/>
      </w:tblGrid>
      <w:tr w:rsidR="000B4CC7" w:rsidRPr="007237D7" w:rsidTr="00A83760">
        <w:trPr>
          <w:trHeight w:val="247"/>
        </w:trPr>
        <w:tc>
          <w:tcPr>
            <w:tcW w:w="4680" w:type="dxa"/>
          </w:tcPr>
          <w:p w:rsidR="000B4CC7" w:rsidRPr="007237D7" w:rsidRDefault="000B4CC7" w:rsidP="00DD56F8">
            <w:pPr>
              <w:ind w:right="-18"/>
            </w:pPr>
            <w:r w:rsidRPr="007237D7">
              <w:t>In the Matter of</w:t>
            </w:r>
          </w:p>
          <w:p w:rsidR="000B4CC7" w:rsidRPr="007237D7" w:rsidRDefault="000B4CC7" w:rsidP="00DD56F8">
            <w:pPr>
              <w:ind w:right="-18"/>
            </w:pPr>
          </w:p>
          <w:p w:rsidR="000B4CC7" w:rsidRPr="007237D7" w:rsidRDefault="008D6900" w:rsidP="00DD56F8">
            <w:pPr>
              <w:ind w:right="-18"/>
            </w:pPr>
            <w:r w:rsidRPr="007237D7">
              <w:t>Higher Ground LLC</w:t>
            </w:r>
          </w:p>
          <w:p w:rsidR="000B4CC7" w:rsidRPr="007237D7" w:rsidRDefault="000B4CC7" w:rsidP="00DD56F8">
            <w:pPr>
              <w:ind w:right="-18"/>
              <w:rPr>
                <w:b/>
              </w:rPr>
            </w:pPr>
          </w:p>
          <w:p w:rsidR="00A7624A" w:rsidRPr="007237D7" w:rsidRDefault="008D6900" w:rsidP="00DD56F8">
            <w:pPr>
              <w:ind w:right="-18"/>
            </w:pPr>
            <w:r w:rsidRPr="007237D7">
              <w:t>Application for Blanket Earth Station</w:t>
            </w:r>
          </w:p>
          <w:p w:rsidR="000B4CC7" w:rsidRPr="007237D7" w:rsidRDefault="008D6900" w:rsidP="00DD56F8">
            <w:pPr>
              <w:ind w:right="-18"/>
            </w:pPr>
            <w:r w:rsidRPr="007237D7">
              <w:t>License</w:t>
            </w:r>
          </w:p>
          <w:p w:rsidR="000B4CC7" w:rsidRPr="007237D7" w:rsidRDefault="000B4CC7" w:rsidP="00DD56F8">
            <w:pPr>
              <w:ind w:right="-18"/>
            </w:pPr>
          </w:p>
        </w:tc>
        <w:tc>
          <w:tcPr>
            <w:tcW w:w="630" w:type="dxa"/>
          </w:tcPr>
          <w:p w:rsidR="000B4CC7" w:rsidRPr="007237D7" w:rsidRDefault="000B4CC7" w:rsidP="00DD56F8">
            <w:pPr>
              <w:rPr>
                <w:b/>
              </w:rPr>
            </w:pPr>
            <w:r w:rsidRPr="007237D7">
              <w:rPr>
                <w:b/>
              </w:rPr>
              <w:t>)</w:t>
            </w:r>
          </w:p>
          <w:p w:rsidR="000B4CC7" w:rsidRPr="007237D7" w:rsidRDefault="000B4CC7" w:rsidP="00DD56F8">
            <w:pPr>
              <w:rPr>
                <w:b/>
              </w:rPr>
            </w:pPr>
            <w:r w:rsidRPr="007237D7">
              <w:rPr>
                <w:b/>
              </w:rPr>
              <w:t>)</w:t>
            </w:r>
          </w:p>
          <w:p w:rsidR="000B4CC7" w:rsidRPr="007237D7" w:rsidRDefault="000B4CC7" w:rsidP="00DD56F8">
            <w:pPr>
              <w:rPr>
                <w:b/>
              </w:rPr>
            </w:pPr>
            <w:r w:rsidRPr="007237D7">
              <w:rPr>
                <w:b/>
              </w:rPr>
              <w:t>)</w:t>
            </w:r>
          </w:p>
          <w:p w:rsidR="000B4CC7" w:rsidRPr="007237D7" w:rsidRDefault="000B4CC7" w:rsidP="00DD56F8">
            <w:pPr>
              <w:rPr>
                <w:b/>
              </w:rPr>
            </w:pPr>
            <w:r w:rsidRPr="007237D7">
              <w:rPr>
                <w:b/>
              </w:rPr>
              <w:t>)</w:t>
            </w:r>
          </w:p>
          <w:p w:rsidR="000B4CC7" w:rsidRPr="007237D7" w:rsidRDefault="000B4CC7" w:rsidP="00DD56F8">
            <w:pPr>
              <w:rPr>
                <w:b/>
              </w:rPr>
            </w:pPr>
            <w:r w:rsidRPr="007237D7">
              <w:rPr>
                <w:b/>
              </w:rPr>
              <w:t>)</w:t>
            </w:r>
          </w:p>
          <w:p w:rsidR="000B4CC7" w:rsidRPr="007237D7" w:rsidRDefault="000B4CC7" w:rsidP="00DD56F8">
            <w:pPr>
              <w:rPr>
                <w:b/>
              </w:rPr>
            </w:pPr>
            <w:r w:rsidRPr="007237D7">
              <w:rPr>
                <w:b/>
              </w:rPr>
              <w:t>)</w:t>
            </w:r>
          </w:p>
          <w:p w:rsidR="000B4CC7" w:rsidRPr="007237D7" w:rsidRDefault="003B7F62" w:rsidP="00DD56F8">
            <w:pPr>
              <w:rPr>
                <w:b/>
              </w:rPr>
            </w:pPr>
            <w:r w:rsidRPr="007237D7">
              <w:rPr>
                <w:b/>
              </w:rPr>
              <w:t>)</w:t>
            </w:r>
          </w:p>
          <w:p w:rsidR="000B4CC7" w:rsidRPr="007237D7" w:rsidRDefault="000B4CC7" w:rsidP="00DD56F8">
            <w:pPr>
              <w:rPr>
                <w:b/>
              </w:rPr>
            </w:pPr>
          </w:p>
        </w:tc>
        <w:tc>
          <w:tcPr>
            <w:tcW w:w="5447" w:type="dxa"/>
          </w:tcPr>
          <w:p w:rsidR="003B7F62" w:rsidRPr="007237D7" w:rsidRDefault="003B7F62" w:rsidP="00DD56F8"/>
          <w:p w:rsidR="008D6900" w:rsidRPr="007237D7" w:rsidRDefault="008D6900" w:rsidP="00DD56F8"/>
          <w:p w:rsidR="000B4CC7" w:rsidRPr="007237D7" w:rsidRDefault="000B4CC7" w:rsidP="00DD56F8">
            <w:r w:rsidRPr="007237D7">
              <w:t>IBFS File No.</w:t>
            </w:r>
            <w:r w:rsidR="00A83760">
              <w:t xml:space="preserve">:  </w:t>
            </w:r>
            <w:r w:rsidR="008D6900" w:rsidRPr="007237D7">
              <w:t>SES-LIC-</w:t>
            </w:r>
            <w:r w:rsidRPr="007237D7">
              <w:t>20</w:t>
            </w:r>
            <w:r w:rsidR="008D6900" w:rsidRPr="007237D7">
              <w:t>15</w:t>
            </w:r>
            <w:r w:rsidRPr="007237D7">
              <w:t>0</w:t>
            </w:r>
            <w:r w:rsidR="008D6900" w:rsidRPr="007237D7">
              <w:t>616</w:t>
            </w:r>
            <w:r w:rsidRPr="007237D7">
              <w:t>-00</w:t>
            </w:r>
            <w:r w:rsidR="008D6900" w:rsidRPr="007237D7">
              <w:t>357</w:t>
            </w:r>
          </w:p>
          <w:p w:rsidR="000B4CC7" w:rsidRPr="007237D7" w:rsidRDefault="00C10B59" w:rsidP="00DD56F8">
            <w:r>
              <w:t>Call Sign</w:t>
            </w:r>
            <w:r w:rsidR="00A83760">
              <w:t xml:space="preserve">:  </w:t>
            </w:r>
            <w:r w:rsidR="008D6900" w:rsidRPr="007237D7">
              <w:t>E150095</w:t>
            </w:r>
          </w:p>
          <w:p w:rsidR="000B4CC7" w:rsidRPr="007237D7" w:rsidRDefault="000B4CC7" w:rsidP="00DD56F8"/>
          <w:p w:rsidR="000B4CC7" w:rsidRPr="007237D7" w:rsidRDefault="000B4CC7" w:rsidP="00DD56F8"/>
        </w:tc>
      </w:tr>
      <w:tr w:rsidR="001719F2" w:rsidRPr="007237D7" w:rsidTr="00A83760">
        <w:trPr>
          <w:trHeight w:val="247"/>
        </w:trPr>
        <w:tc>
          <w:tcPr>
            <w:tcW w:w="4680" w:type="dxa"/>
          </w:tcPr>
          <w:p w:rsidR="001719F2" w:rsidRPr="007237D7" w:rsidRDefault="001719F2" w:rsidP="00DD56F8">
            <w:pPr>
              <w:ind w:right="-18"/>
            </w:pPr>
          </w:p>
        </w:tc>
        <w:tc>
          <w:tcPr>
            <w:tcW w:w="630" w:type="dxa"/>
          </w:tcPr>
          <w:p w:rsidR="001719F2" w:rsidRPr="007237D7" w:rsidRDefault="001719F2" w:rsidP="00DD56F8">
            <w:pPr>
              <w:rPr>
                <w:b/>
              </w:rPr>
            </w:pPr>
          </w:p>
        </w:tc>
        <w:tc>
          <w:tcPr>
            <w:tcW w:w="5447" w:type="dxa"/>
          </w:tcPr>
          <w:p w:rsidR="001719F2" w:rsidRPr="007237D7" w:rsidRDefault="001719F2" w:rsidP="00DD56F8"/>
        </w:tc>
      </w:tr>
    </w:tbl>
    <w:p w:rsidR="001719F2" w:rsidRPr="007237D7" w:rsidRDefault="001719F2" w:rsidP="00DD56F8">
      <w:pPr>
        <w:jc w:val="center"/>
        <w:rPr>
          <w:b/>
        </w:rPr>
      </w:pPr>
      <w:r w:rsidRPr="007237D7">
        <w:rPr>
          <w:b/>
          <w:spacing w:val="-2"/>
        </w:rPr>
        <w:t>ORDER AND AUTHORIZATION</w:t>
      </w:r>
    </w:p>
    <w:p w:rsidR="001719F2" w:rsidRPr="007237D7" w:rsidRDefault="001719F2" w:rsidP="00DD56F8"/>
    <w:p w:rsidR="001719F2" w:rsidRPr="00DD56F8" w:rsidRDefault="008D6900" w:rsidP="00DD56F8">
      <w:pPr>
        <w:tabs>
          <w:tab w:val="left" w:pos="5760"/>
        </w:tabs>
        <w:rPr>
          <w:b/>
        </w:rPr>
      </w:pPr>
      <w:r w:rsidRPr="00DD56F8">
        <w:rPr>
          <w:b/>
        </w:rPr>
        <w:t xml:space="preserve">Adopted:  </w:t>
      </w:r>
      <w:r w:rsidR="00C55F38">
        <w:rPr>
          <w:b/>
        </w:rPr>
        <w:t>January 18</w:t>
      </w:r>
      <w:r w:rsidR="001719F2" w:rsidRPr="00DD56F8">
        <w:rPr>
          <w:b/>
          <w:spacing w:val="-2"/>
        </w:rPr>
        <w:t>, 201</w:t>
      </w:r>
      <w:r w:rsidR="00C55F38">
        <w:rPr>
          <w:b/>
          <w:spacing w:val="-2"/>
        </w:rPr>
        <w:t>7</w:t>
      </w:r>
      <w:r w:rsidR="001719F2" w:rsidRPr="00DD56F8">
        <w:rPr>
          <w:b/>
        </w:rPr>
        <w:tab/>
        <w:t xml:space="preserve">Released:  </w:t>
      </w:r>
      <w:r w:rsidR="00C55F38">
        <w:rPr>
          <w:b/>
        </w:rPr>
        <w:t>January</w:t>
      </w:r>
      <w:r w:rsidRPr="00DD56F8">
        <w:rPr>
          <w:b/>
        </w:rPr>
        <w:t xml:space="preserve"> </w:t>
      </w:r>
      <w:r w:rsidR="00C55F38">
        <w:rPr>
          <w:b/>
        </w:rPr>
        <w:t>18</w:t>
      </w:r>
      <w:r w:rsidR="001719F2" w:rsidRPr="00DD56F8">
        <w:rPr>
          <w:b/>
        </w:rPr>
        <w:t>, 201</w:t>
      </w:r>
      <w:r w:rsidR="00C55F38">
        <w:rPr>
          <w:b/>
        </w:rPr>
        <w:t>7</w:t>
      </w:r>
    </w:p>
    <w:p w:rsidR="001719F2" w:rsidRPr="009115C0" w:rsidRDefault="001719F2" w:rsidP="00DD56F8">
      <w:pPr>
        <w:tabs>
          <w:tab w:val="left" w:pos="5760"/>
        </w:tabs>
        <w:rPr>
          <w:b/>
        </w:rPr>
      </w:pPr>
    </w:p>
    <w:p w:rsidR="0025707A" w:rsidRPr="00E95159" w:rsidRDefault="0025707A" w:rsidP="00DD56F8">
      <w:pPr>
        <w:tabs>
          <w:tab w:val="left" w:pos="5760"/>
        </w:tabs>
      </w:pPr>
      <w:r w:rsidRPr="00D27D3B">
        <w:t xml:space="preserve">By the </w:t>
      </w:r>
      <w:r w:rsidRPr="00D27D3B">
        <w:rPr>
          <w:spacing w:val="-2"/>
        </w:rPr>
        <w:t>Chiefs, International Bureau</w:t>
      </w:r>
      <w:r w:rsidR="001D6406" w:rsidRPr="00D27D3B">
        <w:rPr>
          <w:spacing w:val="-2"/>
        </w:rPr>
        <w:t>,</w:t>
      </w:r>
      <w:r w:rsidR="00D33565" w:rsidRPr="00D27D3B">
        <w:rPr>
          <w:spacing w:val="-2"/>
        </w:rPr>
        <w:t xml:space="preserve"> </w:t>
      </w:r>
      <w:r w:rsidRPr="00D27D3B">
        <w:rPr>
          <w:spacing w:val="-2"/>
        </w:rPr>
        <w:t>Wireless Telecommunications Bureau</w:t>
      </w:r>
      <w:r w:rsidR="001D6406" w:rsidRPr="00D27D3B">
        <w:rPr>
          <w:spacing w:val="-2"/>
        </w:rPr>
        <w:t xml:space="preserve">, </w:t>
      </w:r>
      <w:r w:rsidR="00D26D7E" w:rsidRPr="00D27D3B">
        <w:rPr>
          <w:spacing w:val="-2"/>
        </w:rPr>
        <w:t>Office of Engineering and Technology</w:t>
      </w:r>
      <w:r w:rsidRPr="00D27D3B">
        <w:rPr>
          <w:spacing w:val="-2"/>
        </w:rPr>
        <w:t>:</w:t>
      </w:r>
    </w:p>
    <w:p w:rsidR="001719F2" w:rsidRPr="00E95159" w:rsidRDefault="001719F2" w:rsidP="00DD56F8">
      <w:pPr>
        <w:tabs>
          <w:tab w:val="left" w:pos="5760"/>
        </w:tabs>
      </w:pPr>
    </w:p>
    <w:p w:rsidR="001719F2" w:rsidRPr="00E95159" w:rsidRDefault="001719F2" w:rsidP="005E19CD">
      <w:pPr>
        <w:pStyle w:val="Heading1"/>
        <w:numPr>
          <w:ilvl w:val="0"/>
          <w:numId w:val="4"/>
        </w:numPr>
        <w:rPr>
          <w:rFonts w:ascii="Times New Roman" w:hAnsi="Times New Roman"/>
        </w:rPr>
      </w:pPr>
      <w:r w:rsidRPr="00E95159">
        <w:rPr>
          <w:rFonts w:ascii="Times New Roman" w:hAnsi="Times New Roman"/>
        </w:rPr>
        <w:t>Introduction</w:t>
      </w:r>
      <w:r w:rsidRPr="00E95159">
        <w:rPr>
          <w:rFonts w:ascii="Times New Roman" w:hAnsi="Times New Roman"/>
        </w:rPr>
        <w:tab/>
      </w:r>
      <w:r w:rsidRPr="00E95159">
        <w:rPr>
          <w:rFonts w:ascii="Times New Roman" w:hAnsi="Times New Roman"/>
        </w:rPr>
        <w:tab/>
      </w:r>
    </w:p>
    <w:p w:rsidR="000A3454" w:rsidRPr="00E95159" w:rsidRDefault="001719F2" w:rsidP="006D4E4D">
      <w:pPr>
        <w:pStyle w:val="ParaNum"/>
      </w:pPr>
      <w:r w:rsidRPr="00E95159">
        <w:t xml:space="preserve">With this Order, we </w:t>
      </w:r>
      <w:r w:rsidR="002E5397" w:rsidRPr="00E95159">
        <w:t>grant the application</w:t>
      </w:r>
      <w:r w:rsidR="00791D75" w:rsidRPr="00E95159">
        <w:t xml:space="preserve"> of Higher Ground LLC (Higher Ground)</w:t>
      </w:r>
      <w:r w:rsidR="00DA1C85" w:rsidRPr="00E95159">
        <w:t>, with conditions,</w:t>
      </w:r>
      <w:r w:rsidR="002E5397" w:rsidRPr="00E95159">
        <w:t xml:space="preserve"> for </w:t>
      </w:r>
      <w:r w:rsidR="00791D75" w:rsidRPr="00E95159">
        <w:t xml:space="preserve">a blanket earth station license </w:t>
      </w:r>
      <w:r w:rsidR="002E5397" w:rsidRPr="00E95159">
        <w:t>to operate up to 50,000</w:t>
      </w:r>
      <w:r w:rsidR="00433D7C" w:rsidRPr="00E95159">
        <w:t xml:space="preserve"> </w:t>
      </w:r>
      <w:r w:rsidR="009A3381" w:rsidRPr="00E95159">
        <w:t>earth stations</w:t>
      </w:r>
      <w:r w:rsidR="0043404D" w:rsidRPr="00E95159">
        <w:t xml:space="preserve">, known as </w:t>
      </w:r>
      <w:r w:rsidR="00524766" w:rsidRPr="00E95159">
        <w:t>“</w:t>
      </w:r>
      <w:r w:rsidR="0043404D" w:rsidRPr="00E95159">
        <w:t>SatPaqs,</w:t>
      </w:r>
      <w:r w:rsidR="00524766" w:rsidRPr="00E95159">
        <w:t>”</w:t>
      </w:r>
      <w:r w:rsidR="002E5397" w:rsidRPr="00E95159">
        <w:t xml:space="preserve"> </w:t>
      </w:r>
      <w:r w:rsidR="00F200D5" w:rsidRPr="00E95159">
        <w:t xml:space="preserve">to communicate with the following U.S.-licensed satellites:  Galaxy 3-C at the 95.05° W.L. orbital location, Galaxy 12 at the 129.0º W.L. orbital location, and Galaxy 19 at the 97.0° W.L. orbital location.  </w:t>
      </w:r>
      <w:r w:rsidR="00223336" w:rsidRPr="00E95159">
        <w:t xml:space="preserve">In doing so, we waive the Table of Frequency Allocations to the extent necessary to permit </w:t>
      </w:r>
      <w:r w:rsidR="00F200D5" w:rsidRPr="00E95159">
        <w:t xml:space="preserve">Higher Ground </w:t>
      </w:r>
      <w:r w:rsidR="00223336" w:rsidRPr="00E95159">
        <w:t>to provide the services proposed in its application</w:t>
      </w:r>
      <w:r w:rsidR="00F200D5" w:rsidRPr="00E95159">
        <w:t xml:space="preserve"> </w:t>
      </w:r>
      <w:r w:rsidR="00C21884" w:rsidRPr="00E95159">
        <w:t xml:space="preserve">in the 5925-6425 MHz (Earth-to-space) and the 3700-4200 MHz (space-to-Earth) frequency bands </w:t>
      </w:r>
      <w:r w:rsidR="00F200D5" w:rsidRPr="00E95159">
        <w:t xml:space="preserve">on a </w:t>
      </w:r>
      <w:r w:rsidR="00F200D5" w:rsidRPr="00DD56F8">
        <w:t>non-interference basis</w:t>
      </w:r>
      <w:r w:rsidR="00663FE0" w:rsidRPr="00DD56F8">
        <w:t>, subject to the conditions listed below</w:t>
      </w:r>
      <w:r w:rsidR="002E5397" w:rsidRPr="00DD56F8">
        <w:t>.</w:t>
      </w:r>
      <w:r w:rsidR="00FA13FE" w:rsidRPr="00DD56F8">
        <w:rPr>
          <w:rStyle w:val="FootnoteReference"/>
          <w:sz w:val="22"/>
        </w:rPr>
        <w:footnoteReference w:id="2"/>
      </w:r>
      <w:r w:rsidR="00663FE0" w:rsidRPr="00DD56F8">
        <w:t xml:space="preserve">  </w:t>
      </w:r>
      <w:r w:rsidR="00FD7FE0" w:rsidRPr="00DD56F8">
        <w:t xml:space="preserve">The authorization will serve the public interest by allowing Higher Ground to provide new communications services to </w:t>
      </w:r>
      <w:r w:rsidR="00FD7FE0" w:rsidRPr="009115C0">
        <w:t xml:space="preserve">U.S. consumers, with </w:t>
      </w:r>
      <w:r w:rsidR="00DA1C85" w:rsidRPr="00D27D3B">
        <w:t xml:space="preserve">safeguards designed to </w:t>
      </w:r>
      <w:r w:rsidR="00FD7FE0" w:rsidRPr="00D27D3B">
        <w:t>mini</w:t>
      </w:r>
      <w:r w:rsidR="00DA1C85" w:rsidRPr="00D27D3B">
        <w:t>mize the</w:t>
      </w:r>
      <w:r w:rsidR="00FD7FE0" w:rsidRPr="00D27D3B">
        <w:t xml:space="preserve"> risk of harmful interference to </w:t>
      </w:r>
      <w:r w:rsidR="00DA1C85" w:rsidRPr="00E95159">
        <w:t xml:space="preserve">primary </w:t>
      </w:r>
      <w:r w:rsidR="00FD7FE0" w:rsidRPr="00E95159">
        <w:t>users operating in these frequency bands.</w:t>
      </w:r>
      <w:r w:rsidR="000A3454" w:rsidRPr="00E95159">
        <w:t xml:space="preserve">  </w:t>
      </w:r>
      <w:r w:rsidR="00F200D5" w:rsidRPr="00E95159">
        <w:t>Accordingly, we deny</w:t>
      </w:r>
      <w:r w:rsidR="00E971E7" w:rsidRPr="00E95159">
        <w:t xml:space="preserve"> the Petition to Deny filed by the Fixed Wireless Communications Coalition, Inc. (FWCC)</w:t>
      </w:r>
      <w:r w:rsidR="003F2EEA" w:rsidRPr="00E95159">
        <w:t>.</w:t>
      </w:r>
      <w:r w:rsidR="002D2715" w:rsidRPr="002A6B41">
        <w:rPr>
          <w:rStyle w:val="FootnoteReference"/>
          <w:sz w:val="22"/>
        </w:rPr>
        <w:footnoteReference w:id="3"/>
      </w:r>
      <w:r w:rsidR="00E971E7" w:rsidRPr="00E95159">
        <w:t xml:space="preserve">  </w:t>
      </w:r>
    </w:p>
    <w:p w:rsidR="00DE0457" w:rsidRPr="00E95159" w:rsidRDefault="003F2EEA" w:rsidP="006D4E4D">
      <w:pPr>
        <w:pStyle w:val="ParaNum"/>
      </w:pPr>
      <w:r w:rsidRPr="00E95159">
        <w:t xml:space="preserve">CenturyLink filed comments in opposition to </w:t>
      </w:r>
      <w:r w:rsidR="000A3454" w:rsidRPr="00E95159">
        <w:t xml:space="preserve">Higher Ground’s </w:t>
      </w:r>
      <w:r w:rsidRPr="00E95159">
        <w:t>application</w:t>
      </w:r>
      <w:r w:rsidR="00C70E72">
        <w:t>, and</w:t>
      </w:r>
      <w:r w:rsidR="00A446E6" w:rsidRPr="00E95159">
        <w:t xml:space="preserve"> </w:t>
      </w:r>
      <w:r w:rsidR="00987E64">
        <w:t>t</w:t>
      </w:r>
      <w:r w:rsidR="00CA71B9" w:rsidRPr="00E95159">
        <w:t>he National Spectrum Management Association (NSMA)</w:t>
      </w:r>
      <w:r w:rsidR="00C70E72">
        <w:t xml:space="preserve"> filed comments in response to Higher Ground’s Consolidated Opposition.</w:t>
      </w:r>
      <w:r w:rsidR="00C70E72" w:rsidRPr="002A6B41">
        <w:rPr>
          <w:rStyle w:val="FootnoteReference"/>
          <w:sz w:val="22"/>
        </w:rPr>
        <w:footnoteReference w:id="4"/>
      </w:r>
      <w:r w:rsidR="00C70E72" w:rsidRPr="00E95159">
        <w:t xml:space="preserve"> </w:t>
      </w:r>
      <w:r w:rsidR="00CA71B9" w:rsidRPr="00E95159">
        <w:t xml:space="preserve"> Frontier Communications, the State of Alaska’s Office of Enterprise Technology Services, the Nebraska Public Power District, </w:t>
      </w:r>
      <w:r w:rsidR="001A4F23" w:rsidRPr="00E95159">
        <w:t xml:space="preserve">the </w:t>
      </w:r>
      <w:r w:rsidR="00A94387" w:rsidRPr="00E95159">
        <w:t xml:space="preserve">Office of Enterprise Technology Services of the </w:t>
      </w:r>
      <w:r w:rsidR="001A4F23" w:rsidRPr="00E95159">
        <w:t xml:space="preserve">State of Hawaii, </w:t>
      </w:r>
      <w:r w:rsidR="00CA71B9" w:rsidRPr="00E95159">
        <w:t>the Utilities Technology Council (UTC)</w:t>
      </w:r>
      <w:r w:rsidR="00A37A08" w:rsidRPr="00E95159">
        <w:t>, the City of Mesa,</w:t>
      </w:r>
      <w:r w:rsidR="000E6DED" w:rsidRPr="00E95159">
        <w:t xml:space="preserve"> the Regional Wireless </w:t>
      </w:r>
      <w:r w:rsidR="000E6DED" w:rsidRPr="00E95159">
        <w:lastRenderedPageBreak/>
        <w:t>Cooperative</w:t>
      </w:r>
      <w:r w:rsidR="00A37A08" w:rsidRPr="00E95159">
        <w:t>,</w:t>
      </w:r>
      <w:r w:rsidR="00CA71B9" w:rsidRPr="00E95159">
        <w:t xml:space="preserve"> </w:t>
      </w:r>
      <w:r w:rsidR="00A37A08" w:rsidRPr="00E95159">
        <w:t>the TOPAZ Regional Wireless Cooperative</w:t>
      </w:r>
      <w:r w:rsidR="003A379F" w:rsidRPr="00E95159">
        <w:t xml:space="preserve"> (TRWC)</w:t>
      </w:r>
      <w:r w:rsidR="00A37A08" w:rsidRPr="00E95159">
        <w:t>,</w:t>
      </w:r>
      <w:r w:rsidR="003A379F" w:rsidRPr="002A6B41">
        <w:rPr>
          <w:rStyle w:val="FootnoteReference"/>
          <w:sz w:val="22"/>
        </w:rPr>
        <w:footnoteReference w:id="5"/>
      </w:r>
      <w:r w:rsidR="00A37A08" w:rsidRPr="00E95159">
        <w:t xml:space="preserve"> Southern Company Services, Inc.</w:t>
      </w:r>
      <w:r w:rsidR="00DB51FB">
        <w:t>,</w:t>
      </w:r>
      <w:r w:rsidR="002226E7">
        <w:t xml:space="preserve"> Cellular Network Partnership d/b/a Pioneer Cellular, the Cities of Garland, Mesquite, Rowlett, and Sachse, Texas,</w:t>
      </w:r>
      <w:r w:rsidR="00DB51FB">
        <w:t xml:space="preserve"> </w:t>
      </w:r>
      <w:r w:rsidR="002226E7">
        <w:t xml:space="preserve">and </w:t>
      </w:r>
      <w:r w:rsidR="00DB51FB">
        <w:t>the Association of American Railroads</w:t>
      </w:r>
      <w:r w:rsidR="00A37A08" w:rsidRPr="00E95159">
        <w:t xml:space="preserve"> </w:t>
      </w:r>
      <w:r w:rsidR="00CA71B9" w:rsidRPr="00E95159">
        <w:t xml:space="preserve">filed </w:t>
      </w:r>
      <w:r w:rsidR="00CA71B9" w:rsidRPr="00E95159">
        <w:rPr>
          <w:i/>
        </w:rPr>
        <w:t>ex parte</w:t>
      </w:r>
      <w:r w:rsidR="00CA71B9" w:rsidRPr="00E95159">
        <w:t xml:space="preserve"> communications </w:t>
      </w:r>
      <w:r w:rsidR="00E971E7" w:rsidRPr="00E95159">
        <w:t xml:space="preserve">requesting that Higher Ground’s application be </w:t>
      </w:r>
      <w:r w:rsidR="005C1032" w:rsidRPr="00E95159">
        <w:t>dismissed</w:t>
      </w:r>
      <w:r w:rsidR="00E971E7" w:rsidRPr="00E95159">
        <w:t xml:space="preserve"> and </w:t>
      </w:r>
      <w:r w:rsidR="005C1032" w:rsidRPr="00E95159">
        <w:t xml:space="preserve">that </w:t>
      </w:r>
      <w:r w:rsidR="00524766" w:rsidRPr="00E95159">
        <w:t>Higher Ground’s</w:t>
      </w:r>
      <w:r w:rsidR="00E971E7" w:rsidRPr="00E95159">
        <w:t xml:space="preserve"> request</w:t>
      </w:r>
      <w:r w:rsidR="00B26C3F" w:rsidRPr="00E95159">
        <w:t>s</w:t>
      </w:r>
      <w:r w:rsidR="00E971E7" w:rsidRPr="00E95159">
        <w:t xml:space="preserve"> </w:t>
      </w:r>
      <w:r w:rsidR="005C1032" w:rsidRPr="00E95159">
        <w:t xml:space="preserve">be </w:t>
      </w:r>
      <w:r w:rsidR="00E971E7" w:rsidRPr="00E95159">
        <w:t>addressed in a rulemaking proceeding instead.</w:t>
      </w:r>
      <w:r w:rsidR="00CC0E5A" w:rsidRPr="002A6B41">
        <w:rPr>
          <w:rStyle w:val="FootnoteReference"/>
          <w:sz w:val="22"/>
        </w:rPr>
        <w:footnoteReference w:id="6"/>
      </w:r>
      <w:r w:rsidR="00F200D5" w:rsidRPr="00E95159">
        <w:t xml:space="preserve"> </w:t>
      </w:r>
      <w:r w:rsidR="00E971E7" w:rsidRPr="00E95159">
        <w:t xml:space="preserve"> </w:t>
      </w:r>
      <w:r w:rsidR="00F200D5" w:rsidRPr="00E95159">
        <w:t xml:space="preserve">We decline to do so for the reasons explained below.  </w:t>
      </w:r>
    </w:p>
    <w:p w:rsidR="001719F2" w:rsidRPr="00E95159" w:rsidRDefault="001719F2" w:rsidP="005E19CD">
      <w:pPr>
        <w:pStyle w:val="Heading1"/>
        <w:numPr>
          <w:ilvl w:val="0"/>
          <w:numId w:val="4"/>
        </w:numPr>
        <w:rPr>
          <w:rFonts w:ascii="Times New Roman" w:hAnsi="Times New Roman"/>
        </w:rPr>
      </w:pPr>
      <w:r w:rsidRPr="00E95159">
        <w:rPr>
          <w:rFonts w:ascii="Times New Roman" w:hAnsi="Times New Roman"/>
        </w:rPr>
        <w:t>BACKGROUND</w:t>
      </w:r>
    </w:p>
    <w:p w:rsidR="00AB4961" w:rsidRPr="00E95159" w:rsidRDefault="002E5397" w:rsidP="006D4E4D">
      <w:pPr>
        <w:pStyle w:val="ParaNum"/>
      </w:pPr>
      <w:r w:rsidRPr="00E95159">
        <w:t xml:space="preserve">On June 16, 2015, </w:t>
      </w:r>
      <w:r w:rsidR="008D6900" w:rsidRPr="00E95159">
        <w:t xml:space="preserve">Higher Ground </w:t>
      </w:r>
      <w:r w:rsidRPr="00E95159">
        <w:t>submitted a request for</w:t>
      </w:r>
      <w:r w:rsidR="008D6900" w:rsidRPr="00E95159">
        <w:t xml:space="preserve"> a blanket authorization to operate up to 50,000 </w:t>
      </w:r>
      <w:r w:rsidR="00F846F0" w:rsidRPr="00E95159">
        <w:t>SatPaq t</w:t>
      </w:r>
      <w:r w:rsidR="00BF4DAE" w:rsidRPr="00E95159">
        <w:t>erminals</w:t>
      </w:r>
      <w:r w:rsidR="0043404D" w:rsidRPr="00E95159">
        <w:t xml:space="preserve"> to</w:t>
      </w:r>
      <w:r w:rsidR="008D6900" w:rsidRPr="00E95159">
        <w:t xml:space="preserve"> provide consumer-based text messaging/light email and Internet of Things (IoT) communications in the United States</w:t>
      </w:r>
      <w:r w:rsidR="003206EA" w:rsidRPr="00E95159">
        <w:t>, particularly in areas unserved by terrestrial CMRS networks</w:t>
      </w:r>
      <w:r w:rsidR="008D6900" w:rsidRPr="00E95159">
        <w:t>.</w:t>
      </w:r>
      <w:r w:rsidRPr="00E95159">
        <w:rPr>
          <w:rStyle w:val="FootnoteReference"/>
          <w:sz w:val="22"/>
        </w:rPr>
        <w:footnoteReference w:id="7"/>
      </w:r>
      <w:r w:rsidR="008D6900" w:rsidRPr="00E95159">
        <w:t xml:space="preserve">  The </w:t>
      </w:r>
      <w:r w:rsidR="00BA383A" w:rsidRPr="00E95159">
        <w:t>SatPaq</w:t>
      </w:r>
      <w:r w:rsidR="00BF4DAE" w:rsidRPr="00E95159">
        <w:t xml:space="preserve"> terminals</w:t>
      </w:r>
      <w:r w:rsidR="004566A9" w:rsidRPr="00E95159">
        <w:t xml:space="preserve"> </w:t>
      </w:r>
      <w:r w:rsidR="007403FC" w:rsidRPr="00E95159">
        <w:t>will be embedded in protective cases attached to</w:t>
      </w:r>
      <w:r w:rsidR="005F5E16" w:rsidRPr="00E95159">
        <w:t xml:space="preserve"> </w:t>
      </w:r>
      <w:r w:rsidR="00C97D1F" w:rsidRPr="00E95159">
        <w:t>ordinary</w:t>
      </w:r>
      <w:r w:rsidR="007403FC" w:rsidRPr="00E95159">
        <w:t xml:space="preserve"> smartphones.</w:t>
      </w:r>
      <w:r w:rsidR="008D6900" w:rsidRPr="00E95159">
        <w:t xml:space="preserve"> </w:t>
      </w:r>
      <w:r w:rsidR="00C44F17" w:rsidRPr="00E95159">
        <w:t xml:space="preserve"> </w:t>
      </w:r>
      <w:r w:rsidR="00CA737E" w:rsidRPr="00E95159">
        <w:t>These SatPaq</w:t>
      </w:r>
      <w:r w:rsidR="00BF4DAE" w:rsidRPr="00E95159">
        <w:t xml:space="preserve"> terminals</w:t>
      </w:r>
      <w:r w:rsidR="008D6900" w:rsidRPr="00E95159">
        <w:t xml:space="preserve"> will </w:t>
      </w:r>
      <w:r w:rsidR="007403FC" w:rsidRPr="00E95159">
        <w:t xml:space="preserve">communicate with </w:t>
      </w:r>
      <w:r w:rsidR="006076B0" w:rsidRPr="00E95159">
        <w:t xml:space="preserve">the following </w:t>
      </w:r>
      <w:r w:rsidR="007403FC" w:rsidRPr="00E95159">
        <w:t>authorized satell</w:t>
      </w:r>
      <w:r w:rsidR="006076B0" w:rsidRPr="00E95159">
        <w:t xml:space="preserve">ites: </w:t>
      </w:r>
      <w:r w:rsidR="008D6900" w:rsidRPr="00E95159">
        <w:t xml:space="preserve"> Galaxy 3-C at the 95.05° W.L. orbital location, Galaxy 12 at the 129</w:t>
      </w:r>
      <w:r w:rsidR="003342B6" w:rsidRPr="00E95159">
        <w:t>.0</w:t>
      </w:r>
      <w:r w:rsidR="008D6900" w:rsidRPr="00E95159">
        <w:t>º W.L. orbital location, and Galaxy 19 at the 97</w:t>
      </w:r>
      <w:r w:rsidR="003342B6" w:rsidRPr="00E95159">
        <w:t>.0</w:t>
      </w:r>
      <w:r w:rsidR="008D6900" w:rsidRPr="00E95159">
        <w:t>° W.L. orbital location</w:t>
      </w:r>
      <w:r w:rsidR="007403FC" w:rsidRPr="00E95159">
        <w:t>.  In turn, these satellites will communicate with one of three authorized remote control facilities</w:t>
      </w:r>
      <w:r w:rsidR="00014CE7" w:rsidRPr="00E95159">
        <w:t xml:space="preserve">: </w:t>
      </w:r>
      <w:r w:rsidR="001B6A6E" w:rsidRPr="00E95159">
        <w:t xml:space="preserve"> one</w:t>
      </w:r>
      <w:r w:rsidR="007403FC" w:rsidRPr="00E95159">
        <w:t xml:space="preserve"> in Napa, California (Call Sign E970391) and </w:t>
      </w:r>
      <w:r w:rsidR="001B6A6E" w:rsidRPr="00E95159">
        <w:t xml:space="preserve">two in </w:t>
      </w:r>
      <w:r w:rsidR="007403FC" w:rsidRPr="00E95159">
        <w:t xml:space="preserve">Hagerstown, </w:t>
      </w:r>
      <w:r w:rsidR="005C1032" w:rsidRPr="00E95159">
        <w:t xml:space="preserve">Maryland </w:t>
      </w:r>
      <w:r w:rsidR="007403FC" w:rsidRPr="00E95159">
        <w:t>(E050048 and E050049).</w:t>
      </w:r>
      <w:r w:rsidR="007403FC" w:rsidRPr="00E95159">
        <w:rPr>
          <w:rStyle w:val="FootnoteReference"/>
          <w:sz w:val="22"/>
        </w:rPr>
        <w:footnoteReference w:id="8"/>
      </w:r>
      <w:r w:rsidR="007403FC" w:rsidRPr="00E95159">
        <w:t xml:space="preserve">  The </w:t>
      </w:r>
      <w:r w:rsidR="0054023D" w:rsidRPr="00E95159">
        <w:t>SatPaqs</w:t>
      </w:r>
      <w:r w:rsidR="007403FC" w:rsidRPr="00E95159">
        <w:t xml:space="preserve"> will operate on C-band frequencies in the 3700-4200 MHz </w:t>
      </w:r>
      <w:r w:rsidR="007403FC" w:rsidRPr="00E95159">
        <w:lastRenderedPageBreak/>
        <w:t xml:space="preserve">(space-to-Earth) and </w:t>
      </w:r>
      <w:r w:rsidR="008D6900" w:rsidRPr="00E95159">
        <w:t>5925-6425 MHz (Earth-to-space)</w:t>
      </w:r>
      <w:r w:rsidR="00DF01B4" w:rsidRPr="00E95159">
        <w:t xml:space="preserve"> bands.  </w:t>
      </w:r>
      <w:r w:rsidR="002A4B50" w:rsidRPr="00E95159">
        <w:t xml:space="preserve">The </w:t>
      </w:r>
      <w:r w:rsidR="00AB4961" w:rsidRPr="00E95159">
        <w:t>SatPaq</w:t>
      </w:r>
      <w:r w:rsidR="00BF4DAE" w:rsidRPr="00E95159">
        <w:t xml:space="preserve"> terminal</w:t>
      </w:r>
      <w:r w:rsidR="004566A9" w:rsidRPr="00E95159">
        <w:t>s</w:t>
      </w:r>
      <w:r w:rsidR="00AB4961" w:rsidRPr="00E95159">
        <w:t xml:space="preserve"> </w:t>
      </w:r>
      <w:r w:rsidR="00EE6BBA" w:rsidRPr="00E95159">
        <w:t>will operate i</w:t>
      </w:r>
      <w:r w:rsidR="00AB4961" w:rsidRPr="00E95159">
        <w:t>n the continental United States, Alaska, Hawaii, Puerto Rico, and the U.S. Virgin Islands.</w:t>
      </w:r>
      <w:r w:rsidR="00AB4961" w:rsidRPr="00E95159">
        <w:rPr>
          <w:rStyle w:val="FootnoteReference"/>
          <w:sz w:val="22"/>
        </w:rPr>
        <w:footnoteReference w:id="9"/>
      </w:r>
    </w:p>
    <w:p w:rsidR="002A4B50" w:rsidRPr="00E95159" w:rsidRDefault="00791D75" w:rsidP="006D4E4D">
      <w:pPr>
        <w:pStyle w:val="ParaNum"/>
      </w:pPr>
      <w:r w:rsidRPr="00E95159">
        <w:t>Higher Ground</w:t>
      </w:r>
      <w:r w:rsidR="00DF01B4" w:rsidRPr="00E95159">
        <w:t xml:space="preserve"> </w:t>
      </w:r>
      <w:r w:rsidR="008D6900" w:rsidRPr="00E95159">
        <w:t>request</w:t>
      </w:r>
      <w:r w:rsidR="00DF01B4" w:rsidRPr="00E95159">
        <w:t>s</w:t>
      </w:r>
      <w:r w:rsidR="008D6900" w:rsidRPr="00E95159">
        <w:t xml:space="preserve"> waivers of the Commission</w:t>
      </w:r>
      <w:r w:rsidR="005C1032" w:rsidRPr="00E95159">
        <w:t>’</w:t>
      </w:r>
      <w:r w:rsidR="008D6900" w:rsidRPr="00E95159">
        <w:t xml:space="preserve">s coordination rules, </w:t>
      </w:r>
      <w:r w:rsidR="00016E78" w:rsidRPr="00E95159">
        <w:t xml:space="preserve">Sections </w:t>
      </w:r>
      <w:r w:rsidR="008D6900" w:rsidRPr="00E95159">
        <w:t xml:space="preserve">25.130(b), 25.203(c), </w:t>
      </w:r>
      <w:r w:rsidR="00DF01B4" w:rsidRPr="00E95159">
        <w:t>and 101.103</w:t>
      </w:r>
      <w:r w:rsidR="00AC2507" w:rsidRPr="00E95159">
        <w:t>,</w:t>
      </w:r>
      <w:r w:rsidR="00DF01B4" w:rsidRPr="00E95159">
        <w:t xml:space="preserve"> </w:t>
      </w:r>
      <w:r w:rsidR="008D6900" w:rsidRPr="00E95159">
        <w:t xml:space="preserve">based on </w:t>
      </w:r>
      <w:r w:rsidR="00016E78" w:rsidRPr="00E95159">
        <w:t xml:space="preserve">the </w:t>
      </w:r>
      <w:r w:rsidR="008D6900" w:rsidRPr="00E95159">
        <w:t xml:space="preserve">low power operations of its transmitter and </w:t>
      </w:r>
      <w:r w:rsidR="00016E78" w:rsidRPr="00E95159">
        <w:t xml:space="preserve">its </w:t>
      </w:r>
      <w:r w:rsidR="008D6900" w:rsidRPr="00E95159">
        <w:t>automated frequency coordination analysis system</w:t>
      </w:r>
      <w:r w:rsidR="00DF01B4" w:rsidRPr="00E95159">
        <w:t>.</w:t>
      </w:r>
      <w:r w:rsidR="00DF01B4" w:rsidRPr="00E95159">
        <w:rPr>
          <w:rStyle w:val="FootnoteReference"/>
          <w:sz w:val="22"/>
        </w:rPr>
        <w:footnoteReference w:id="10"/>
      </w:r>
      <w:r w:rsidR="00DF01B4" w:rsidRPr="00E95159">
        <w:t xml:space="preserve">  Higher Ground</w:t>
      </w:r>
      <w:r w:rsidR="008D6900" w:rsidRPr="00E95159">
        <w:t xml:space="preserve"> also requests a waiver of </w:t>
      </w:r>
      <w:r w:rsidR="00DF01B4" w:rsidRPr="00E95159">
        <w:t>the</w:t>
      </w:r>
      <w:r w:rsidR="008E0A02" w:rsidRPr="00E95159">
        <w:t xml:space="preserve"> U.S. Table of Frequency Allocations, </w:t>
      </w:r>
      <w:r w:rsidR="006076B0" w:rsidRPr="00E95159">
        <w:t>Section</w:t>
      </w:r>
      <w:r w:rsidR="008E0A02" w:rsidRPr="00E95159">
        <w:t xml:space="preserve"> 2.106</w:t>
      </w:r>
      <w:r w:rsidR="002A6B41">
        <w:t>,</w:t>
      </w:r>
      <w:r w:rsidR="00AC2507" w:rsidRPr="00E95159">
        <w:t xml:space="preserve"> and </w:t>
      </w:r>
      <w:r w:rsidR="002A6B41">
        <w:t xml:space="preserve">of Section </w:t>
      </w:r>
      <w:r w:rsidR="00700663" w:rsidRPr="00E95159">
        <w:t>101.147(a)</w:t>
      </w:r>
      <w:r w:rsidR="00EB5408" w:rsidRPr="00E95159">
        <w:t>,</w:t>
      </w:r>
      <w:r w:rsidR="006076B0" w:rsidRPr="00E95159">
        <w:t xml:space="preserve"> Note 6</w:t>
      </w:r>
      <w:r w:rsidR="001B6A6E" w:rsidRPr="00E95159">
        <w:t>,</w:t>
      </w:r>
      <w:r w:rsidR="00DF01B4" w:rsidRPr="00E95159">
        <w:t xml:space="preserve"> </w:t>
      </w:r>
      <w:r w:rsidR="008D6900" w:rsidRPr="00E95159">
        <w:t xml:space="preserve">to permit mobile earth station operations as an application </w:t>
      </w:r>
      <w:r w:rsidR="001B6A6E" w:rsidRPr="00E95159">
        <w:t>of</w:t>
      </w:r>
      <w:r w:rsidR="008D6900" w:rsidRPr="00E95159">
        <w:t xml:space="preserve"> the </w:t>
      </w:r>
      <w:r w:rsidR="00FC4AF8" w:rsidRPr="00E95159">
        <w:t>Fixed-</w:t>
      </w:r>
      <w:r w:rsidR="008D6900" w:rsidRPr="00E95159">
        <w:t>Satellite Service</w:t>
      </w:r>
      <w:r w:rsidR="00FD372F" w:rsidRPr="00E95159">
        <w:t xml:space="preserve"> (FSS)</w:t>
      </w:r>
      <w:r w:rsidR="008D6900" w:rsidRPr="00E95159">
        <w:t>.</w:t>
      </w:r>
      <w:r w:rsidR="00DF01B4" w:rsidRPr="00E95159">
        <w:rPr>
          <w:rStyle w:val="FootnoteReference"/>
          <w:sz w:val="22"/>
        </w:rPr>
        <w:footnoteReference w:id="11"/>
      </w:r>
      <w:r w:rsidR="004566A9" w:rsidRPr="00E95159">
        <w:t xml:space="preserve">  </w:t>
      </w:r>
      <w:r w:rsidR="00200746" w:rsidRPr="00E95159">
        <w:t xml:space="preserve">Higher Ground </w:t>
      </w:r>
      <w:r w:rsidR="001E0050" w:rsidRPr="00E95159">
        <w:t xml:space="preserve">plans to </w:t>
      </w:r>
      <w:r w:rsidR="00200746" w:rsidRPr="00E95159">
        <w:t>protect</w:t>
      </w:r>
      <w:r w:rsidR="00441987" w:rsidRPr="00E95159">
        <w:t xml:space="preserve"> </w:t>
      </w:r>
      <w:r w:rsidR="00A026B8" w:rsidRPr="00E95159">
        <w:t>terrestrial</w:t>
      </w:r>
      <w:r w:rsidR="00200746" w:rsidRPr="00E95159">
        <w:t xml:space="preserve"> C-band operations from harmful interference by using a database-driven, permission-based</w:t>
      </w:r>
      <w:r w:rsidR="00891D34" w:rsidRPr="00E95159">
        <w:t xml:space="preserve">, self-coordination </w:t>
      </w:r>
      <w:r w:rsidR="00200746" w:rsidRPr="00E95159">
        <w:t xml:space="preserve">authorization </w:t>
      </w:r>
      <w:r w:rsidR="00FC4AF8" w:rsidRPr="00E95159">
        <w:t xml:space="preserve">system it calls “Channel Master” </w:t>
      </w:r>
      <w:r w:rsidR="002A4B50" w:rsidRPr="00E95159">
        <w:t xml:space="preserve">that was developed to identify non-interfering frequencies for SatPaq </w:t>
      </w:r>
      <w:r w:rsidR="004566A9" w:rsidRPr="00E95159">
        <w:t xml:space="preserve">terminal </w:t>
      </w:r>
      <w:r w:rsidR="002A4B50" w:rsidRPr="00E95159">
        <w:t>operations</w:t>
      </w:r>
      <w:r w:rsidR="00DF1278" w:rsidRPr="00E95159">
        <w:t xml:space="preserve"> at any specific location</w:t>
      </w:r>
      <w:r w:rsidR="00200746" w:rsidRPr="00E95159">
        <w:t>.</w:t>
      </w:r>
      <w:r w:rsidR="00016E78" w:rsidRPr="002A6B41">
        <w:rPr>
          <w:rStyle w:val="FootnoteReference"/>
          <w:sz w:val="22"/>
        </w:rPr>
        <w:footnoteReference w:id="12"/>
      </w:r>
      <w:r w:rsidR="00200746" w:rsidRPr="00E95159">
        <w:t xml:space="preserve">  </w:t>
      </w:r>
    </w:p>
    <w:p w:rsidR="00022065" w:rsidRPr="00E95159" w:rsidRDefault="00A53C8B" w:rsidP="006D4E4D">
      <w:pPr>
        <w:pStyle w:val="ParaNum"/>
      </w:pPr>
      <w:r w:rsidRPr="00E95159">
        <w:t xml:space="preserve">Specifically, </w:t>
      </w:r>
      <w:r w:rsidR="00016E78" w:rsidRPr="00E95159">
        <w:t xml:space="preserve">Higher Ground asserts that </w:t>
      </w:r>
      <w:r w:rsidR="004C549B" w:rsidRPr="00E95159">
        <w:t xml:space="preserve">its </w:t>
      </w:r>
      <w:r w:rsidRPr="00E95159">
        <w:t xml:space="preserve">Channel Master software will engage in a rigorous, conservative </w:t>
      </w:r>
      <w:r w:rsidR="00DF1278" w:rsidRPr="00E95159">
        <w:t>assessment of the interference that the transmissions from a SatPaq at a given location would cause to any</w:t>
      </w:r>
      <w:r w:rsidRPr="00E95159">
        <w:t xml:space="preserve"> </w:t>
      </w:r>
      <w:r w:rsidR="00E60D77" w:rsidRPr="00E95159">
        <w:t xml:space="preserve">receiver of a </w:t>
      </w:r>
      <w:r w:rsidRPr="00E95159">
        <w:t xml:space="preserve">C-band </w:t>
      </w:r>
      <w:r w:rsidR="00FC4AF8" w:rsidRPr="00E95159">
        <w:t>fixed service</w:t>
      </w:r>
      <w:r w:rsidR="00FD372F" w:rsidRPr="00E95159">
        <w:t xml:space="preserve"> (FS)</w:t>
      </w:r>
      <w:r w:rsidRPr="00E95159">
        <w:t xml:space="preserve"> </w:t>
      </w:r>
      <w:r w:rsidR="00E60D77" w:rsidRPr="00E95159">
        <w:t xml:space="preserve">link.  </w:t>
      </w:r>
      <w:r w:rsidR="00FC4AF8" w:rsidRPr="00E95159">
        <w:t>The Channel Master software will only authorize a SatPaq terminal to transmit</w:t>
      </w:r>
      <w:r w:rsidR="00E60D77" w:rsidRPr="00E95159">
        <w:t xml:space="preserve"> </w:t>
      </w:r>
      <w:r w:rsidR="00FC4AF8" w:rsidRPr="00E95159">
        <w:t>if</w:t>
      </w:r>
      <w:r w:rsidR="00E60D77" w:rsidRPr="00E95159">
        <w:t xml:space="preserve"> the interference level at </w:t>
      </w:r>
      <w:r w:rsidR="00FC4AF8" w:rsidRPr="00E95159">
        <w:t xml:space="preserve">all </w:t>
      </w:r>
      <w:r w:rsidR="00FD372F" w:rsidRPr="00E95159">
        <w:t>FS</w:t>
      </w:r>
      <w:r w:rsidR="00FC4AF8" w:rsidRPr="00E95159">
        <w:t xml:space="preserve"> </w:t>
      </w:r>
      <w:r w:rsidR="00E60D77" w:rsidRPr="00E95159">
        <w:t>receiver input</w:t>
      </w:r>
      <w:r w:rsidR="00FC4AF8" w:rsidRPr="00E95159">
        <w:t>s</w:t>
      </w:r>
      <w:r w:rsidR="00E60D77" w:rsidRPr="00E95159">
        <w:t xml:space="preserve"> is </w:t>
      </w:r>
      <w:r w:rsidRPr="00E95159">
        <w:t xml:space="preserve">6 dB (or more) below </w:t>
      </w:r>
      <w:r w:rsidR="00E60D77" w:rsidRPr="00E95159">
        <w:t>receiver thermal noise</w:t>
      </w:r>
      <w:r w:rsidR="006F23C1" w:rsidRPr="00E95159">
        <w:t xml:space="preserve"> (</w:t>
      </w:r>
      <w:r w:rsidR="006F23C1" w:rsidRPr="00E95159">
        <w:rPr>
          <w:i/>
        </w:rPr>
        <w:t>i.e.</w:t>
      </w:r>
      <w:r w:rsidR="006F23C1" w:rsidRPr="00E95159">
        <w:t>, I/N</w:t>
      </w:r>
      <w:r w:rsidR="001B6A6E" w:rsidRPr="00E95159">
        <w:t xml:space="preserve"> ≤ -6 dB</w:t>
      </w:r>
      <w:r w:rsidR="006F23C1" w:rsidRPr="00E95159">
        <w:t>)</w:t>
      </w:r>
      <w:r w:rsidR="00E60D77" w:rsidRPr="00E95159">
        <w:t xml:space="preserve">. </w:t>
      </w:r>
    </w:p>
    <w:p w:rsidR="000823BB" w:rsidRPr="00DD56F8" w:rsidRDefault="00290C5C" w:rsidP="00715941">
      <w:pPr>
        <w:pStyle w:val="ParaNum"/>
      </w:pPr>
      <w:r w:rsidRPr="00E95159">
        <w:t>Higher Ground</w:t>
      </w:r>
      <w:r w:rsidR="0073680F" w:rsidRPr="00E95159">
        <w:t xml:space="preserve">’s </w:t>
      </w:r>
      <w:r w:rsidRPr="00E95159">
        <w:t xml:space="preserve">SatPaq </w:t>
      </w:r>
      <w:r w:rsidR="00097ACF" w:rsidRPr="00E95159">
        <w:t>N</w:t>
      </w:r>
      <w:r w:rsidR="00F02EF9" w:rsidRPr="00E95159">
        <w:t>etwork</w:t>
      </w:r>
      <w:r w:rsidR="003F338A" w:rsidRPr="00E95159">
        <w:t xml:space="preserve"> </w:t>
      </w:r>
      <w:r w:rsidR="00097ACF" w:rsidRPr="00E95159">
        <w:t xml:space="preserve">Controller </w:t>
      </w:r>
      <w:r w:rsidR="00F02EF9" w:rsidRPr="00E95159">
        <w:t xml:space="preserve">will </w:t>
      </w:r>
      <w:r w:rsidRPr="00E95159">
        <w:t xml:space="preserve">maintain an updated database </w:t>
      </w:r>
      <w:r w:rsidR="00B83FB7" w:rsidRPr="00E95159">
        <w:t>deriv</w:t>
      </w:r>
      <w:r w:rsidR="00FC4AF8" w:rsidRPr="00E95159">
        <w:t xml:space="preserve">ed from </w:t>
      </w:r>
      <w:r w:rsidRPr="00E95159">
        <w:t xml:space="preserve">the </w:t>
      </w:r>
      <w:r w:rsidR="007D1D1C" w:rsidRPr="00E95159">
        <w:t xml:space="preserve">Commission’s </w:t>
      </w:r>
      <w:r w:rsidRPr="00E95159">
        <w:t xml:space="preserve">Universal Licensing System (ULS) </w:t>
      </w:r>
      <w:r w:rsidR="00E60D77" w:rsidRPr="00E95159">
        <w:t>with all</w:t>
      </w:r>
      <w:r w:rsidRPr="00E95159">
        <w:t xml:space="preserve"> authorizations </w:t>
      </w:r>
      <w:r w:rsidR="004547EA" w:rsidRPr="00E95159">
        <w:t xml:space="preserve">for </w:t>
      </w:r>
      <w:r w:rsidRPr="00E95159">
        <w:t xml:space="preserve">C-band, </w:t>
      </w:r>
      <w:r w:rsidR="00FD372F" w:rsidRPr="00E95159">
        <w:t>FS</w:t>
      </w:r>
      <w:r w:rsidRPr="00E95159">
        <w:t xml:space="preserve"> </w:t>
      </w:r>
      <w:r w:rsidR="00E60D77" w:rsidRPr="00E95159">
        <w:t xml:space="preserve">receive </w:t>
      </w:r>
      <w:r w:rsidRPr="00E95159">
        <w:t>stations</w:t>
      </w:r>
      <w:r w:rsidR="004547EA" w:rsidRPr="00E95159">
        <w:t xml:space="preserve">, </w:t>
      </w:r>
      <w:r w:rsidR="00917BDE" w:rsidRPr="00E95159">
        <w:t xml:space="preserve">which will be used to perform analysis of potential interference from SatPaq transmitters to </w:t>
      </w:r>
      <w:r w:rsidR="00FD372F" w:rsidRPr="00E95159">
        <w:t>FS</w:t>
      </w:r>
      <w:r w:rsidR="004547EA" w:rsidRPr="00E95159">
        <w:t xml:space="preserve"> receivers.</w:t>
      </w:r>
      <w:r w:rsidR="004547EA" w:rsidRPr="002A6B41">
        <w:rPr>
          <w:rStyle w:val="FootnoteReference"/>
          <w:sz w:val="22"/>
        </w:rPr>
        <w:footnoteReference w:id="13"/>
      </w:r>
      <w:r w:rsidR="004547EA" w:rsidRPr="00E95159">
        <w:t xml:space="preserve"> </w:t>
      </w:r>
      <w:r w:rsidR="00070137" w:rsidRPr="00E95159">
        <w:t xml:space="preserve"> T</w:t>
      </w:r>
      <w:r w:rsidR="0073680F" w:rsidRPr="00E95159">
        <w:t xml:space="preserve">he SatPaq </w:t>
      </w:r>
      <w:r w:rsidR="00097ACF" w:rsidRPr="00E95159">
        <w:t>N</w:t>
      </w:r>
      <w:r w:rsidR="0073680F" w:rsidRPr="00E95159">
        <w:t xml:space="preserve">etwork </w:t>
      </w:r>
      <w:r w:rsidR="00097ACF" w:rsidRPr="00E95159">
        <w:t xml:space="preserve">Controller </w:t>
      </w:r>
      <w:r w:rsidR="00F02EF9" w:rsidRPr="00E95159">
        <w:t xml:space="preserve">will </w:t>
      </w:r>
      <w:r w:rsidR="00E60D77" w:rsidRPr="00E95159">
        <w:t>use</w:t>
      </w:r>
      <w:r w:rsidR="0073680F" w:rsidRPr="00E95159">
        <w:t xml:space="preserve"> </w:t>
      </w:r>
      <w:r w:rsidR="000B4302">
        <w:t xml:space="preserve">the </w:t>
      </w:r>
      <w:r w:rsidR="0073680F" w:rsidRPr="00E95159">
        <w:t>SatPaq</w:t>
      </w:r>
      <w:r w:rsidR="00070137" w:rsidRPr="00E95159">
        <w:t xml:space="preserve"> terminal</w:t>
      </w:r>
      <w:r w:rsidR="0073680F" w:rsidRPr="00E95159">
        <w:t>’s geo</w:t>
      </w:r>
      <w:r w:rsidR="00E60D77" w:rsidRPr="00E95159">
        <w:t>-</w:t>
      </w:r>
      <w:r w:rsidR="0073680F" w:rsidRPr="00E95159">
        <w:t xml:space="preserve">coordinates </w:t>
      </w:r>
      <w:r w:rsidR="00E60D77" w:rsidRPr="00E95159">
        <w:t>and</w:t>
      </w:r>
      <w:r w:rsidR="00AB4096" w:rsidRPr="00E95159">
        <w:t xml:space="preserve"> the </w:t>
      </w:r>
      <w:r w:rsidR="0073680F" w:rsidRPr="00E95159">
        <w:t>database information</w:t>
      </w:r>
      <w:r w:rsidR="00E60D77" w:rsidRPr="00E95159">
        <w:t xml:space="preserve"> to determine whether transmission from that specific location </w:t>
      </w:r>
      <w:r w:rsidR="00517696" w:rsidRPr="00E95159">
        <w:t xml:space="preserve">on a given frequency and to a given satellite </w:t>
      </w:r>
      <w:r w:rsidR="00E60D77" w:rsidRPr="00E95159">
        <w:t xml:space="preserve">is allowable. </w:t>
      </w:r>
      <w:r w:rsidR="0073680F" w:rsidRPr="00E95159">
        <w:t xml:space="preserve"> According to Higher Ground, when </w:t>
      </w:r>
      <w:r w:rsidR="00E60D77" w:rsidRPr="00E95159">
        <w:t xml:space="preserve">transmission to a given satellite on a given frequency </w:t>
      </w:r>
      <w:r w:rsidR="00262840" w:rsidRPr="00E95159">
        <w:t xml:space="preserve">could </w:t>
      </w:r>
      <w:r w:rsidR="00E60D77" w:rsidRPr="00E95159">
        <w:t xml:space="preserve">exceed the specified interference threshold, </w:t>
      </w:r>
      <w:r w:rsidR="0073680F" w:rsidRPr="00E95159">
        <w:t>the SatPaq Network Controller</w:t>
      </w:r>
      <w:r w:rsidR="00F02EF9" w:rsidRPr="00E95159">
        <w:t xml:space="preserve"> </w:t>
      </w:r>
      <w:r w:rsidR="00517696" w:rsidRPr="00E95159">
        <w:t>will use the database</w:t>
      </w:r>
      <w:r w:rsidR="0073680F" w:rsidRPr="00E95159">
        <w:t xml:space="preserve"> </w:t>
      </w:r>
      <w:r w:rsidR="00517696" w:rsidRPr="00E95159">
        <w:t xml:space="preserve">to explore the possibility of </w:t>
      </w:r>
      <w:r w:rsidR="0073680F" w:rsidRPr="00E95159">
        <w:t>transmit</w:t>
      </w:r>
      <w:r w:rsidR="00517696" w:rsidRPr="00E95159">
        <w:t>ting</w:t>
      </w:r>
      <w:r w:rsidR="0073680F" w:rsidRPr="00E95159">
        <w:t xml:space="preserve"> on </w:t>
      </w:r>
      <w:r w:rsidR="00517696" w:rsidRPr="00E95159">
        <w:t>an</w:t>
      </w:r>
      <w:r w:rsidR="0073680F" w:rsidRPr="00E95159">
        <w:t>other frequenc</w:t>
      </w:r>
      <w:r w:rsidR="00517696" w:rsidRPr="00E95159">
        <w:t>y</w:t>
      </w:r>
      <w:r w:rsidR="0073680F" w:rsidRPr="00E95159">
        <w:t xml:space="preserve"> </w:t>
      </w:r>
      <w:r w:rsidR="00517696" w:rsidRPr="00E95159">
        <w:t>and/</w:t>
      </w:r>
      <w:r w:rsidR="0073680F" w:rsidRPr="00E95159">
        <w:t xml:space="preserve">or </w:t>
      </w:r>
      <w:r w:rsidR="00517696" w:rsidRPr="00E95159">
        <w:t>using a different</w:t>
      </w:r>
      <w:r w:rsidR="0073680F" w:rsidRPr="00E95159">
        <w:t xml:space="preserve"> satellite</w:t>
      </w:r>
      <w:r w:rsidR="00F40569" w:rsidRPr="00E95159">
        <w:t>.</w:t>
      </w:r>
      <w:r w:rsidR="0073680F" w:rsidRPr="00E95159">
        <w:rPr>
          <w:vertAlign w:val="superscript"/>
        </w:rPr>
        <w:footnoteReference w:id="14"/>
      </w:r>
      <w:r w:rsidR="00150D92" w:rsidRPr="00E95159">
        <w:t xml:space="preserve">  </w:t>
      </w:r>
      <w:r w:rsidR="00517696" w:rsidRPr="00E95159">
        <w:t>As described above</w:t>
      </w:r>
      <w:r w:rsidR="00A53C8B" w:rsidRPr="00E95159">
        <w:t xml:space="preserve">, </w:t>
      </w:r>
      <w:r w:rsidR="004C549B" w:rsidRPr="00E95159">
        <w:t xml:space="preserve">Higher Ground’s </w:t>
      </w:r>
      <w:r w:rsidR="00A53C8B" w:rsidRPr="00E95159">
        <w:t>Channel Master</w:t>
      </w:r>
      <w:r w:rsidR="00FC4AF8" w:rsidRPr="00E95159">
        <w:t xml:space="preserve"> </w:t>
      </w:r>
      <w:r w:rsidR="00A53C8B" w:rsidRPr="00E95159">
        <w:t xml:space="preserve">software </w:t>
      </w:r>
      <w:r w:rsidR="00517696" w:rsidRPr="00E95159">
        <w:t xml:space="preserve">identifies </w:t>
      </w:r>
      <w:r w:rsidR="00A53C8B" w:rsidRPr="00E95159">
        <w:t>all transmit frequencies and satellite choice</w:t>
      </w:r>
      <w:r w:rsidR="006F23C1" w:rsidRPr="00E95159">
        <w:t>s</w:t>
      </w:r>
      <w:r w:rsidR="00A53C8B" w:rsidRPr="00E95159">
        <w:t xml:space="preserve"> t</w:t>
      </w:r>
      <w:r w:rsidR="00517696" w:rsidRPr="00E95159">
        <w:t>hat</w:t>
      </w:r>
      <w:r w:rsidR="00A53C8B" w:rsidRPr="00E95159">
        <w:t xml:space="preserve"> ensure interference to any </w:t>
      </w:r>
      <w:r w:rsidR="00517696" w:rsidRPr="00E95159">
        <w:t xml:space="preserve">C-band </w:t>
      </w:r>
      <w:r w:rsidR="00FD372F" w:rsidRPr="00E95159">
        <w:t>FS</w:t>
      </w:r>
      <w:r w:rsidR="00A53C8B" w:rsidRPr="00E95159">
        <w:t xml:space="preserve"> receiver</w:t>
      </w:r>
      <w:r w:rsidR="00517696" w:rsidRPr="00E95159">
        <w:t xml:space="preserve"> does not exceed the -6 dB </w:t>
      </w:r>
      <w:r w:rsidR="006F23C1" w:rsidRPr="00E95159">
        <w:t xml:space="preserve">I/N </w:t>
      </w:r>
      <w:r w:rsidR="00517696" w:rsidRPr="00E95159">
        <w:t>threshold</w:t>
      </w:r>
      <w:r w:rsidR="00A53C8B" w:rsidRPr="00E95159">
        <w:t>.</w:t>
      </w:r>
      <w:r w:rsidR="00F40569" w:rsidRPr="00E95159">
        <w:t xml:space="preserve">  </w:t>
      </w:r>
      <w:r w:rsidR="00A53C8B" w:rsidRPr="00E95159">
        <w:t xml:space="preserve">Higher Ground incorporated </w:t>
      </w:r>
      <w:r w:rsidR="004C549B" w:rsidRPr="00E95159">
        <w:t xml:space="preserve">its </w:t>
      </w:r>
      <w:r w:rsidR="00A53C8B" w:rsidRPr="00E95159">
        <w:t>Channel Master software into the SatPaq app</w:t>
      </w:r>
      <w:r w:rsidR="00BB2CD8" w:rsidRPr="00E95159">
        <w:t>lication</w:t>
      </w:r>
      <w:r w:rsidR="00A53C8B" w:rsidRPr="00E95159">
        <w:t xml:space="preserve">, so that </w:t>
      </w:r>
      <w:r w:rsidR="00917BDE" w:rsidRPr="00E95159">
        <w:t xml:space="preserve">analysis of potential interference to </w:t>
      </w:r>
      <w:r w:rsidR="00FD372F" w:rsidRPr="00E95159">
        <w:t xml:space="preserve">FS </w:t>
      </w:r>
      <w:r w:rsidR="00917BDE" w:rsidRPr="00E95159">
        <w:t>receiving stations</w:t>
      </w:r>
      <w:r w:rsidR="00A53C8B" w:rsidRPr="00E95159">
        <w:t xml:space="preserve"> can be conducted both by the SatPaq </w:t>
      </w:r>
      <w:r w:rsidR="00070137" w:rsidRPr="00E95159">
        <w:t xml:space="preserve">terminal </w:t>
      </w:r>
      <w:r w:rsidR="001A6C50" w:rsidRPr="00E95159">
        <w:t>and</w:t>
      </w:r>
      <w:r w:rsidR="00A53C8B" w:rsidRPr="00E95159">
        <w:t xml:space="preserve"> the SatPaq Network Controller.</w:t>
      </w:r>
      <w:r w:rsidR="002F623F" w:rsidRPr="00E95159">
        <w:rPr>
          <w:rStyle w:val="FootnoteReference"/>
          <w:sz w:val="22"/>
        </w:rPr>
        <w:footnoteReference w:id="15"/>
      </w:r>
      <w:r w:rsidR="00A53C8B" w:rsidRPr="00E95159">
        <w:t xml:space="preserve">  </w:t>
      </w:r>
      <w:r w:rsidR="00332653" w:rsidRPr="00E95159">
        <w:t xml:space="preserve">Higher Ground </w:t>
      </w:r>
      <w:r w:rsidR="003A379F" w:rsidRPr="00E95159">
        <w:t xml:space="preserve">states that it </w:t>
      </w:r>
      <w:r w:rsidR="00332653" w:rsidRPr="00E95159">
        <w:t xml:space="preserve">will update </w:t>
      </w:r>
      <w:r w:rsidR="005C1032" w:rsidRPr="00E95159">
        <w:t xml:space="preserve">daily </w:t>
      </w:r>
      <w:r w:rsidR="00332653" w:rsidRPr="00E95159">
        <w:t>the Channel Master</w:t>
      </w:r>
      <w:r w:rsidR="00FC7798" w:rsidRPr="00E95159">
        <w:t xml:space="preserve"> </w:t>
      </w:r>
      <w:r w:rsidR="00332653" w:rsidRPr="00E95159">
        <w:t xml:space="preserve">database </w:t>
      </w:r>
      <w:r w:rsidR="003A379F" w:rsidRPr="00E95159">
        <w:t>for</w:t>
      </w:r>
      <w:r w:rsidR="00332653" w:rsidRPr="00E95159">
        <w:t xml:space="preserve"> C-band point-to-point operations, including the database embedded in the SatPaq</w:t>
      </w:r>
      <w:r w:rsidR="007A4A11" w:rsidRPr="00E95159">
        <w:t>, and</w:t>
      </w:r>
      <w:r w:rsidR="00DD32AB" w:rsidRPr="00E95159">
        <w:t xml:space="preserve"> </w:t>
      </w:r>
      <w:r w:rsidR="00332653" w:rsidRPr="00E95159">
        <w:t>will deliver these updates to the SatPaq app</w:t>
      </w:r>
      <w:r w:rsidR="003A379F" w:rsidRPr="00E95159">
        <w:t>lication</w:t>
      </w:r>
      <w:r w:rsidR="00332653" w:rsidRPr="00E95159">
        <w:t xml:space="preserve"> either via the smartphone’s mobile data network or Wi-Fi, or via the satellite when the SatPaq is out of mobile network range.</w:t>
      </w:r>
      <w:r w:rsidR="00BB2CD8" w:rsidRPr="00E95159">
        <w:rPr>
          <w:rStyle w:val="FootnoteReference"/>
          <w:sz w:val="22"/>
        </w:rPr>
        <w:footnoteReference w:id="16"/>
      </w:r>
      <w:r w:rsidR="00A53C8B" w:rsidRPr="00E95159">
        <w:t xml:space="preserve"> </w:t>
      </w:r>
      <w:r w:rsidR="00BB2CD8" w:rsidRPr="00E95159">
        <w:t xml:space="preserve"> </w:t>
      </w:r>
    </w:p>
    <w:p w:rsidR="008877FE" w:rsidRPr="00E95159" w:rsidRDefault="008877FE" w:rsidP="006D4E4D">
      <w:pPr>
        <w:pStyle w:val="ParaNum"/>
      </w:pPr>
      <w:r w:rsidRPr="00DD56F8">
        <w:t xml:space="preserve">On </w:t>
      </w:r>
      <w:r w:rsidR="000B4302">
        <w:t>August</w:t>
      </w:r>
      <w:r w:rsidR="000B4302" w:rsidRPr="00DD56F8">
        <w:t xml:space="preserve"> </w:t>
      </w:r>
      <w:r w:rsidR="004D4FC5" w:rsidRPr="00DD56F8">
        <w:t>5</w:t>
      </w:r>
      <w:r w:rsidRPr="00DD56F8">
        <w:t xml:space="preserve">, 2015, </w:t>
      </w:r>
      <w:r w:rsidR="00150D92" w:rsidRPr="00DD56F8">
        <w:t xml:space="preserve">the International Bureau </w:t>
      </w:r>
      <w:r w:rsidRPr="00DD56F8">
        <w:t>placed Higher Ground’s application on public notice.</w:t>
      </w:r>
      <w:r w:rsidRPr="00DD56F8">
        <w:rPr>
          <w:rStyle w:val="FootnoteReference"/>
          <w:sz w:val="22"/>
        </w:rPr>
        <w:footnoteReference w:id="17"/>
      </w:r>
      <w:r w:rsidRPr="00DD56F8">
        <w:t xml:space="preserve">  In response, the Fixed Wireless Communications Coalition, Inc. (FWCC) filed a Petition to Deny the application.</w:t>
      </w:r>
      <w:r w:rsidRPr="009115C0">
        <w:rPr>
          <w:rStyle w:val="FootnoteReference"/>
          <w:sz w:val="22"/>
        </w:rPr>
        <w:footnoteReference w:id="18"/>
      </w:r>
      <w:r w:rsidRPr="00D27D3B">
        <w:t xml:space="preserve">  FWCC has concerns about interference in the 6 GHz frequency band.  FWCC asserts that Higher Ground’s proposed unilateral interference protection mechanism is insufficient.</w:t>
      </w:r>
      <w:r w:rsidR="00DC6CF5" w:rsidRPr="00D27D3B">
        <w:rPr>
          <w:rStyle w:val="FootnoteReference"/>
          <w:sz w:val="22"/>
        </w:rPr>
        <w:footnoteReference w:id="19"/>
      </w:r>
      <w:r w:rsidRPr="00D27D3B">
        <w:t xml:space="preserve">  FWCC argues that Higher Ground’s request for waiver of the Table of Frequency Allocations for the </w:t>
      </w:r>
      <w:r w:rsidR="001A6C50" w:rsidRPr="00E95159">
        <w:t>operation of mobile earth stations in the 5925-6425 MHz fre</w:t>
      </w:r>
      <w:r w:rsidR="0024160E" w:rsidRPr="00E95159">
        <w:t>quency band</w:t>
      </w:r>
      <w:r w:rsidRPr="00E95159">
        <w:t xml:space="preserve"> is not appropriate and should be subject to a notice and comment rulemaking.</w:t>
      </w:r>
      <w:r w:rsidRPr="002A6B41">
        <w:rPr>
          <w:rStyle w:val="FootnoteReference"/>
          <w:sz w:val="22"/>
        </w:rPr>
        <w:footnoteReference w:id="20"/>
      </w:r>
      <w:r w:rsidRPr="00E95159">
        <w:t xml:space="preserve">  Specifically, FWCC states that Higher Ground’s waiver request does not meet the Commission’s waiver standards, and that grant of the waiver would increase the potential for harmful interference </w:t>
      </w:r>
      <w:r w:rsidR="006F23C1" w:rsidRPr="00E95159">
        <w:t xml:space="preserve">to </w:t>
      </w:r>
      <w:r w:rsidR="00FD372F" w:rsidRPr="00E95159">
        <w:t xml:space="preserve">FS </w:t>
      </w:r>
      <w:r w:rsidR="006F23C1" w:rsidRPr="00E95159">
        <w:t>station</w:t>
      </w:r>
      <w:r w:rsidRPr="00E95159">
        <w:t>s.</w:t>
      </w:r>
      <w:r w:rsidRPr="002A6B41">
        <w:rPr>
          <w:rStyle w:val="FootnoteReference"/>
          <w:sz w:val="22"/>
        </w:rPr>
        <w:footnoteReference w:id="21"/>
      </w:r>
      <w:r w:rsidRPr="00E95159">
        <w:t xml:space="preserve">  </w:t>
      </w:r>
      <w:r w:rsidR="00361879" w:rsidRPr="00E95159">
        <w:t>CenturyLink also filed opposition comments asserting similar concerns regarding the potential for harmful interference.</w:t>
      </w:r>
      <w:r w:rsidR="00361879" w:rsidRPr="002A6B41">
        <w:rPr>
          <w:rStyle w:val="FootnoteReference"/>
          <w:sz w:val="22"/>
        </w:rPr>
        <w:footnoteReference w:id="22"/>
      </w:r>
      <w:r w:rsidR="00361879" w:rsidRPr="00E95159">
        <w:t xml:space="preserve">  </w:t>
      </w:r>
      <w:r w:rsidR="00392181" w:rsidRPr="00E95159">
        <w:t xml:space="preserve">Nebraska Public Power District, Frontier, UTC, </w:t>
      </w:r>
      <w:r w:rsidR="003D25EC" w:rsidRPr="00E95159">
        <w:t>the State of Hawaii,</w:t>
      </w:r>
      <w:r w:rsidR="00392181" w:rsidRPr="00E95159">
        <w:t xml:space="preserve"> NSMA</w:t>
      </w:r>
      <w:r w:rsidR="00A33D9F" w:rsidRPr="00E95159">
        <w:t>, the City of Mesa,</w:t>
      </w:r>
      <w:r w:rsidR="00707A32" w:rsidRPr="00E95159">
        <w:t xml:space="preserve"> the Regional Wireless Cooperative</w:t>
      </w:r>
      <w:r w:rsidR="00A33D9F" w:rsidRPr="00E95159">
        <w:t>, the TOPAZ Regional Wireless Cooperative, and Southern Company Services, Inc.</w:t>
      </w:r>
      <w:r w:rsidR="00BB7E05" w:rsidRPr="00E95159">
        <w:t xml:space="preserve"> </w:t>
      </w:r>
      <w:r w:rsidR="00392181" w:rsidRPr="00E95159">
        <w:t xml:space="preserve">filed </w:t>
      </w:r>
      <w:r w:rsidR="00392181" w:rsidRPr="00E95159">
        <w:rPr>
          <w:i/>
        </w:rPr>
        <w:t xml:space="preserve">ex partes </w:t>
      </w:r>
      <w:r w:rsidR="005B04DC" w:rsidRPr="00E95159">
        <w:t>echoing the interference concerns articulated by FWCC and CenturyLink.</w:t>
      </w:r>
      <w:r w:rsidR="005B04DC" w:rsidRPr="002A6B41">
        <w:rPr>
          <w:rStyle w:val="FootnoteReference"/>
          <w:sz w:val="22"/>
        </w:rPr>
        <w:footnoteReference w:id="23"/>
      </w:r>
      <w:r w:rsidR="005B04DC" w:rsidRPr="00E95159">
        <w:t xml:space="preserve">  The </w:t>
      </w:r>
      <w:r w:rsidR="005B04DC" w:rsidRPr="00E95159">
        <w:rPr>
          <w:i/>
        </w:rPr>
        <w:t xml:space="preserve">ex parte </w:t>
      </w:r>
      <w:r w:rsidR="005B04DC" w:rsidRPr="00E95159">
        <w:t>filings also emphasized the importance of the 6 GHz band</w:t>
      </w:r>
      <w:r w:rsidR="00873C37" w:rsidRPr="00E95159">
        <w:t xml:space="preserve"> (or 5925-6425 MHz band)</w:t>
      </w:r>
      <w:r w:rsidR="005B04DC" w:rsidRPr="00E95159">
        <w:t xml:space="preserve"> to critical infrastructure.</w:t>
      </w:r>
      <w:r w:rsidR="00F9164E" w:rsidRPr="002A6B41">
        <w:rPr>
          <w:rStyle w:val="FootnoteReference"/>
          <w:sz w:val="22"/>
        </w:rPr>
        <w:footnoteReference w:id="24"/>
      </w:r>
      <w:r w:rsidR="005B04DC" w:rsidRPr="00E95159">
        <w:t xml:space="preserve">  Finally, the </w:t>
      </w:r>
      <w:r w:rsidR="005B04DC" w:rsidRPr="00E95159">
        <w:rPr>
          <w:i/>
        </w:rPr>
        <w:t>ex parte</w:t>
      </w:r>
      <w:r w:rsidR="005B04DC" w:rsidRPr="00E95159">
        <w:t xml:space="preserve"> filings expressed concern about the ability </w:t>
      </w:r>
      <w:r w:rsidR="0024160E" w:rsidRPr="00E95159">
        <w:t>of the terrestrial operator</w:t>
      </w:r>
      <w:r w:rsidR="006F23C1" w:rsidRPr="00E95159">
        <w:t>s</w:t>
      </w:r>
      <w:r w:rsidR="0024160E" w:rsidRPr="00E95159">
        <w:t xml:space="preserve"> </w:t>
      </w:r>
      <w:r w:rsidR="005B04DC" w:rsidRPr="00E95159">
        <w:t xml:space="preserve">to detect and </w:t>
      </w:r>
      <w:r w:rsidR="0024160E" w:rsidRPr="00E95159">
        <w:t>identify the source of</w:t>
      </w:r>
      <w:r w:rsidR="005B04DC" w:rsidRPr="00E95159">
        <w:t xml:space="preserve"> interference.</w:t>
      </w:r>
      <w:r w:rsidR="003D25EC" w:rsidRPr="002A6B41">
        <w:rPr>
          <w:rStyle w:val="FootnoteReference"/>
          <w:sz w:val="22"/>
        </w:rPr>
        <w:footnoteReference w:id="25"/>
      </w:r>
      <w:r w:rsidR="005B04DC" w:rsidRPr="00E95159">
        <w:t xml:space="preserve">  </w:t>
      </w:r>
      <w:r w:rsidRPr="00E95159">
        <w:t>Intelsat filed comments in support of Higher Ground’s application</w:t>
      </w:r>
      <w:r w:rsidR="002A66B5" w:rsidRPr="00E95159">
        <w:t>.</w:t>
      </w:r>
      <w:r w:rsidR="002A66B5" w:rsidRPr="002A6B41">
        <w:rPr>
          <w:rStyle w:val="FootnoteReference"/>
          <w:sz w:val="22"/>
        </w:rPr>
        <w:footnoteReference w:id="26"/>
      </w:r>
    </w:p>
    <w:p w:rsidR="001719F2" w:rsidRPr="00E95159" w:rsidRDefault="001719F2" w:rsidP="005E19CD">
      <w:pPr>
        <w:pStyle w:val="Heading1"/>
        <w:numPr>
          <w:ilvl w:val="0"/>
          <w:numId w:val="4"/>
        </w:numPr>
        <w:rPr>
          <w:rFonts w:ascii="Times New Roman" w:hAnsi="Times New Roman"/>
        </w:rPr>
      </w:pPr>
      <w:bookmarkStart w:id="1" w:name="co_tablefootnote_7_1"/>
      <w:bookmarkStart w:id="2" w:name="co_tablefootnote_8_1"/>
      <w:bookmarkStart w:id="3" w:name="co_tablefootnote_9_1"/>
      <w:bookmarkStart w:id="4" w:name="co_tablefootnote_10_1"/>
      <w:bookmarkStart w:id="5" w:name="co_pp_sp_1511_14340_1"/>
      <w:bookmarkStart w:id="6" w:name="co_tablefootnote_11_1"/>
      <w:bookmarkStart w:id="7" w:name="co_tablefootnote_12_1"/>
      <w:bookmarkStart w:id="8" w:name="co_tablefootnote_13_1"/>
      <w:bookmarkStart w:id="9" w:name="co_tablefootnote_14_1"/>
      <w:bookmarkStart w:id="10" w:name="co_tablefootnote_15_1"/>
      <w:bookmarkStart w:id="11" w:name="co_tablefootnote_16_1"/>
      <w:bookmarkStart w:id="12" w:name="co_tablefootnote_17_1"/>
      <w:bookmarkStart w:id="13" w:name="co_tablefootnote_18_1"/>
      <w:bookmarkStart w:id="14" w:name="co_tablefootnote_19_1"/>
      <w:bookmarkStart w:id="15" w:name="co_tablefootnote_20_1"/>
      <w:bookmarkStart w:id="16" w:name="co_pp_sp_1511_14341_1"/>
      <w:bookmarkStart w:id="17" w:name="co_tablefootnote_21_1"/>
      <w:bookmarkStart w:id="18" w:name="co_tablefootnote_22_1"/>
      <w:bookmarkStart w:id="19" w:name="co_tablefootnote_1_1"/>
      <w:bookmarkStart w:id="20" w:name="co_tablefootnote_2_1"/>
      <w:bookmarkStart w:id="21" w:name="co_tablefootnote_3_1"/>
      <w:bookmarkStart w:id="22" w:name="co_pp_sp_1511_14339_1"/>
      <w:bookmarkStart w:id="23" w:name="co_tablefootnote_4_1"/>
      <w:bookmarkStart w:id="24" w:name="co_tablefootnote_5_1"/>
      <w:bookmarkStart w:id="25" w:name="co_tablefootnote_6_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E95159">
        <w:rPr>
          <w:rFonts w:ascii="Times New Roman" w:hAnsi="Times New Roman"/>
        </w:rPr>
        <w:t>DISCUSSION</w:t>
      </w:r>
    </w:p>
    <w:p w:rsidR="008877FE" w:rsidRPr="00E95159" w:rsidRDefault="008877FE" w:rsidP="006D4E4D">
      <w:pPr>
        <w:pStyle w:val="ParaNum"/>
      </w:pPr>
      <w:r w:rsidRPr="00E95159">
        <w:t>As explained below, we grant Higher Ground’s application</w:t>
      </w:r>
      <w:r w:rsidR="00A026B8" w:rsidRPr="00E95159">
        <w:t xml:space="preserve">, and </w:t>
      </w:r>
      <w:r w:rsidR="00BB026A" w:rsidRPr="00E95159">
        <w:t>waive</w:t>
      </w:r>
      <w:r w:rsidR="00A026B8" w:rsidRPr="00E95159">
        <w:t xml:space="preserve"> the Table of </w:t>
      </w:r>
      <w:r w:rsidR="003570DC" w:rsidRPr="00E95159">
        <w:t xml:space="preserve">Frequency </w:t>
      </w:r>
      <w:r w:rsidR="00A026B8" w:rsidRPr="00E95159">
        <w:t xml:space="preserve">Allocations </w:t>
      </w:r>
      <w:r w:rsidR="00BB026A" w:rsidRPr="00E95159">
        <w:t xml:space="preserve">and the applicable coordination rules </w:t>
      </w:r>
      <w:r w:rsidR="00A026B8" w:rsidRPr="00E95159">
        <w:t xml:space="preserve">to the extent necessary to permit SatPaq operations as described in Higher Ground’s application, </w:t>
      </w:r>
      <w:r w:rsidRPr="00E95159">
        <w:t>with certain conditions.  In doing so, we first review the public interest benefits and unique circumstances posed by Higher Ground’s application.  We then address the concerns raised by existing users in the uplink frequency band about the potential for harmful interference.  We also consider</w:t>
      </w:r>
      <w:r w:rsidR="00F555A5" w:rsidRPr="00E95159">
        <w:t xml:space="preserve"> questions about the ability of </w:t>
      </w:r>
      <w:r w:rsidR="00290C5C" w:rsidRPr="00E95159">
        <w:t>other C-band users</w:t>
      </w:r>
      <w:r w:rsidR="00F555A5" w:rsidRPr="00E95159">
        <w:t xml:space="preserve"> to identify the source of potential interference,</w:t>
      </w:r>
      <w:r w:rsidR="00290C5C" w:rsidRPr="00E95159">
        <w:t xml:space="preserve"> if it occurs,</w:t>
      </w:r>
      <w:r w:rsidR="00F555A5" w:rsidRPr="00E95159">
        <w:t xml:space="preserve"> and available recourse.  Additionally, we discuss the issue raised regarding </w:t>
      </w:r>
      <w:r w:rsidR="00831EF9">
        <w:t xml:space="preserve">the </w:t>
      </w:r>
      <w:r w:rsidR="00F555A5" w:rsidRPr="00E95159">
        <w:t xml:space="preserve">potential for adjacent channel interference.  Finally, we weigh the issues raised by the introduction of a new </w:t>
      </w:r>
      <w:r w:rsidR="002F623F" w:rsidRPr="00E95159">
        <w:t xml:space="preserve">approach to frequency coordination analysis that uses an </w:t>
      </w:r>
      <w:r w:rsidR="00FC7798" w:rsidRPr="00E95159">
        <w:t>automated</w:t>
      </w:r>
      <w:r w:rsidR="002F623F" w:rsidRPr="00E95159">
        <w:t xml:space="preserve"> system. </w:t>
      </w:r>
    </w:p>
    <w:p w:rsidR="00401027" w:rsidRPr="00E95159" w:rsidRDefault="00FF5F88" w:rsidP="006D4E4D">
      <w:pPr>
        <w:pStyle w:val="ParaNum"/>
      </w:pPr>
      <w:r w:rsidRPr="00E95159">
        <w:rPr>
          <w:i/>
        </w:rPr>
        <w:t>Public Interest</w:t>
      </w:r>
      <w:r w:rsidR="00C51F6F" w:rsidRPr="00E95159">
        <w:rPr>
          <w:i/>
        </w:rPr>
        <w:t xml:space="preserve"> </w:t>
      </w:r>
      <w:r w:rsidR="00262840" w:rsidRPr="00E95159">
        <w:rPr>
          <w:i/>
        </w:rPr>
        <w:t>Benefits</w:t>
      </w:r>
      <w:r w:rsidR="003241B2" w:rsidRPr="00E95159">
        <w:t xml:space="preserve">. </w:t>
      </w:r>
      <w:r w:rsidR="00401027" w:rsidRPr="00E95159">
        <w:t xml:space="preserve"> </w:t>
      </w:r>
      <w:r w:rsidR="008B2991" w:rsidRPr="00E95159">
        <w:t>Under Section</w:t>
      </w:r>
      <w:r w:rsidR="00401027" w:rsidRPr="00E95159">
        <w:t xml:space="preserve"> 309(a) of the Communications Act, the Commission must determine whether the public interest is served by </w:t>
      </w:r>
      <w:r w:rsidR="008B2991" w:rsidRPr="00E95159">
        <w:t xml:space="preserve">the </w:t>
      </w:r>
      <w:r w:rsidR="00401027" w:rsidRPr="00E95159">
        <w:t xml:space="preserve">grant of an application.  In pertinent part, Section 309(a) states: </w:t>
      </w:r>
      <w:r w:rsidR="00C51F6F" w:rsidRPr="00E95159">
        <w:t>“</w:t>
      </w:r>
      <w:r w:rsidR="00F852F6">
        <w:t>[</w:t>
      </w:r>
      <w:r w:rsidR="00401027" w:rsidRPr="00E95159">
        <w:t>t</w:t>
      </w:r>
      <w:r w:rsidR="00F852F6">
        <w:t>]</w:t>
      </w:r>
      <w:r w:rsidR="00401027" w:rsidRPr="00E95159">
        <w:t>he Commission shall determine . . . whether the public interest, convenience, and necessity will be served by the granting of such application, and if the Commission, upon examination of such application and upon consideration of other matters as the Commission may officially notice, shall find that the public interest, convenience, and necessity would be served by the granting thereof, it shall grant such application.</w:t>
      </w:r>
      <w:r w:rsidR="00C51F6F" w:rsidRPr="00E95159">
        <w:t>”</w:t>
      </w:r>
      <w:r w:rsidR="00F852F6" w:rsidRPr="00E95159">
        <w:rPr>
          <w:rStyle w:val="FootnoteReference"/>
          <w:sz w:val="22"/>
        </w:rPr>
        <w:footnoteReference w:id="27"/>
      </w:r>
      <w:r w:rsidR="00F852F6" w:rsidRPr="00E95159">
        <w:t xml:space="preserve"> </w:t>
      </w:r>
      <w:r w:rsidR="00851F87" w:rsidRPr="00E95159">
        <w:t xml:space="preserve"> In making this determination, we first turn to the public interest benefits that Higher Ground claims its proposed operation will produce.</w:t>
      </w:r>
    </w:p>
    <w:p w:rsidR="006E126C" w:rsidRPr="00E95159" w:rsidRDefault="0043404D" w:rsidP="006D4E4D">
      <w:pPr>
        <w:pStyle w:val="ParaNum"/>
      </w:pPr>
      <w:r w:rsidRPr="00E95159">
        <w:t xml:space="preserve">Higher Ground </w:t>
      </w:r>
      <w:r w:rsidR="00106EB5" w:rsidRPr="00E95159">
        <w:t>asserts</w:t>
      </w:r>
      <w:r w:rsidRPr="00E95159">
        <w:t xml:space="preserve"> that grant of its application will allow the introduction of a new consumer service and mak</w:t>
      </w:r>
      <w:r w:rsidR="00851F87" w:rsidRPr="00E95159">
        <w:t>e</w:t>
      </w:r>
      <w:r w:rsidRPr="00E95159">
        <w:t xml:space="preserve"> more intensive and efficient use of C-band spectrum through a sharing regime.</w:t>
      </w:r>
      <w:r w:rsidRPr="00E95159">
        <w:rPr>
          <w:rStyle w:val="FootnoteReference"/>
          <w:sz w:val="22"/>
        </w:rPr>
        <w:footnoteReference w:id="28"/>
      </w:r>
      <w:r w:rsidRPr="00E95159">
        <w:t xml:space="preserve">  </w:t>
      </w:r>
      <w:r w:rsidR="00106EB5" w:rsidRPr="00E95159">
        <w:t xml:space="preserve">Higher Ground further notes in its application that the Commission encourages the shared use of spectrum, as </w:t>
      </w:r>
      <w:r w:rsidR="00DA1C85" w:rsidRPr="00E95159">
        <w:t xml:space="preserve">it </w:t>
      </w:r>
      <w:r w:rsidR="00106EB5" w:rsidRPr="00E95159">
        <w:t>propose</w:t>
      </w:r>
      <w:r w:rsidR="00DA1C85" w:rsidRPr="00E95159">
        <w:t>s</w:t>
      </w:r>
      <w:r w:rsidR="00106EB5" w:rsidRPr="00E95159">
        <w:t xml:space="preserve">, where the behavior of </w:t>
      </w:r>
      <w:r w:rsidR="00C51A20" w:rsidRPr="00E95159">
        <w:t>other</w:t>
      </w:r>
      <w:r w:rsidR="00AB4096" w:rsidRPr="00E95159">
        <w:t xml:space="preserve"> users – in this case, </w:t>
      </w:r>
      <w:r w:rsidR="00FD372F" w:rsidRPr="00E95159">
        <w:t>FS</w:t>
      </w:r>
      <w:r w:rsidR="00B83FB7" w:rsidRPr="00E95159">
        <w:t xml:space="preserve"> </w:t>
      </w:r>
      <w:r w:rsidR="00106EB5" w:rsidRPr="00E95159">
        <w:t>stations</w:t>
      </w:r>
      <w:r w:rsidR="003570DC" w:rsidRPr="00E95159">
        <w:t xml:space="preserve"> –</w:t>
      </w:r>
      <w:r w:rsidR="00106EB5" w:rsidRPr="00E95159">
        <w:t xml:space="preserve"> is well understood and predictable.</w:t>
      </w:r>
      <w:r w:rsidR="00106EB5" w:rsidRPr="00E95159">
        <w:rPr>
          <w:rStyle w:val="FootnoteReference"/>
          <w:sz w:val="22"/>
        </w:rPr>
        <w:footnoteReference w:id="29"/>
      </w:r>
      <w:r w:rsidR="00106EB5" w:rsidRPr="00E95159">
        <w:t xml:space="preserve">  </w:t>
      </w:r>
      <w:r w:rsidR="006E126C" w:rsidRPr="00E95159">
        <w:t xml:space="preserve">Intelsat </w:t>
      </w:r>
      <w:r w:rsidR="008B2991" w:rsidRPr="00E95159">
        <w:t>a</w:t>
      </w:r>
      <w:r w:rsidR="00106EB5" w:rsidRPr="00E95159">
        <w:t>rgues</w:t>
      </w:r>
      <w:r w:rsidR="006E126C" w:rsidRPr="00E95159">
        <w:t xml:space="preserve"> that Higher Ground’s service offerings will help satisfy consumer demand for affordable, ubiquitous messaging services offering universal connectivity across the United States.</w:t>
      </w:r>
      <w:r w:rsidR="006E126C" w:rsidRPr="00E95159">
        <w:rPr>
          <w:rStyle w:val="FootnoteReference"/>
          <w:sz w:val="22"/>
        </w:rPr>
        <w:footnoteReference w:id="30"/>
      </w:r>
    </w:p>
    <w:p w:rsidR="00AE5B58" w:rsidRPr="00E95159" w:rsidRDefault="00214B7E" w:rsidP="006D4E4D">
      <w:pPr>
        <w:pStyle w:val="ParaNum"/>
      </w:pPr>
      <w:r w:rsidRPr="00E95159">
        <w:t xml:space="preserve">We agree that Higher Ground’s proposed </w:t>
      </w:r>
      <w:r w:rsidR="00106EB5" w:rsidRPr="00E95159">
        <w:t xml:space="preserve">operations </w:t>
      </w:r>
      <w:r w:rsidR="00ED63CF" w:rsidRPr="00E95159">
        <w:t>would</w:t>
      </w:r>
      <w:r w:rsidRPr="00E95159">
        <w:t xml:space="preserve"> </w:t>
      </w:r>
      <w:r w:rsidR="00ED63CF" w:rsidRPr="00E95159">
        <w:t xml:space="preserve">provide </w:t>
      </w:r>
      <w:r w:rsidR="00736D5E" w:rsidRPr="00E95159">
        <w:t xml:space="preserve">public interest </w:t>
      </w:r>
      <w:r w:rsidR="00ED63CF" w:rsidRPr="00E95159">
        <w:t xml:space="preserve">benefits </w:t>
      </w:r>
      <w:r w:rsidR="00736D5E" w:rsidRPr="00E95159">
        <w:t>by making available</w:t>
      </w:r>
      <w:r w:rsidRPr="00E95159">
        <w:t xml:space="preserve"> </w:t>
      </w:r>
      <w:r w:rsidR="00D72551" w:rsidRPr="00E95159">
        <w:t xml:space="preserve">to consumers </w:t>
      </w:r>
      <w:r w:rsidRPr="00E95159">
        <w:t>a unique service</w:t>
      </w:r>
      <w:r w:rsidR="00587E81" w:rsidRPr="00E95159">
        <w:t xml:space="preserve"> </w:t>
      </w:r>
      <w:r w:rsidR="00D72551" w:rsidRPr="00E95159">
        <w:t>in</w:t>
      </w:r>
      <w:r w:rsidR="00E453E3" w:rsidRPr="00E95159">
        <w:t xml:space="preserve"> areas that </w:t>
      </w:r>
      <w:r w:rsidR="00DA1C85" w:rsidRPr="00E95159">
        <w:t>may lack coverage</w:t>
      </w:r>
      <w:r w:rsidR="00587E81" w:rsidRPr="00E95159">
        <w:t>.</w:t>
      </w:r>
      <w:r w:rsidR="00C51F6F" w:rsidRPr="00E95159">
        <w:t xml:space="preserve">  </w:t>
      </w:r>
      <w:r w:rsidR="002573CB">
        <w:t xml:space="preserve">Higher Ground has explained that </w:t>
      </w:r>
      <w:r w:rsidR="002573CB" w:rsidRPr="002573CB">
        <w:t xml:space="preserve">one of the primary purposes </w:t>
      </w:r>
      <w:r w:rsidR="002573CB">
        <w:t xml:space="preserve">of its service </w:t>
      </w:r>
      <w:r w:rsidR="002573CB" w:rsidRPr="002573CB">
        <w:t xml:space="preserve">is to enable </w:t>
      </w:r>
      <w:r w:rsidR="00F852F6">
        <w:t xml:space="preserve">hikers and others travelling </w:t>
      </w:r>
      <w:r w:rsidR="002573CB" w:rsidRPr="002573CB">
        <w:t>into areas that have no cell phone coverage to be able to keep in touc</w:t>
      </w:r>
      <w:r w:rsidR="002573CB">
        <w:t xml:space="preserve">h </w:t>
      </w:r>
      <w:r w:rsidR="00F852F6">
        <w:t>–</w:t>
      </w:r>
      <w:r w:rsidR="002573CB">
        <w:t xml:space="preserve"> </w:t>
      </w:r>
      <w:r w:rsidR="00F852F6">
        <w:rPr>
          <w:i/>
        </w:rPr>
        <w:t>e.g.</w:t>
      </w:r>
      <w:r w:rsidR="00F852F6">
        <w:t xml:space="preserve">, </w:t>
      </w:r>
      <w:r w:rsidR="002573CB">
        <w:t>s</w:t>
      </w:r>
      <w:r w:rsidR="002573CB" w:rsidRPr="002573CB">
        <w:t>hort text messages to friends or relatives to let them know they are alright.</w:t>
      </w:r>
      <w:r w:rsidR="00F852F6">
        <w:t xml:space="preserve"> </w:t>
      </w:r>
      <w:r w:rsidR="002573CB" w:rsidRPr="002573CB">
        <w:t xml:space="preserve"> Or </w:t>
      </w:r>
      <w:r w:rsidR="00E153C1">
        <w:t>message</w:t>
      </w:r>
      <w:r w:rsidR="00F852F6">
        <w:t xml:space="preserve"> for help </w:t>
      </w:r>
      <w:r w:rsidR="002573CB" w:rsidRPr="002573CB">
        <w:t>if they are in trouble</w:t>
      </w:r>
      <w:r w:rsidR="00F852F6">
        <w:t xml:space="preserve">. </w:t>
      </w:r>
      <w:r w:rsidR="002573CB" w:rsidRPr="002573CB">
        <w:t xml:space="preserve"> </w:t>
      </w:r>
      <w:r w:rsidR="00C51F6F" w:rsidRPr="00E95159">
        <w:t>The Commission has found that the public interest is best served when consumers have access to a diverse array of communications services and facilities, including robust satellite networks that can reach remote areas of the United States that are not well served by existing terrestrial networks.</w:t>
      </w:r>
      <w:r w:rsidR="00C51F6F" w:rsidRPr="00E95159">
        <w:rPr>
          <w:rStyle w:val="FootnoteReference"/>
          <w:sz w:val="22"/>
        </w:rPr>
        <w:footnoteReference w:id="31"/>
      </w:r>
      <w:r w:rsidR="00C51F6F" w:rsidRPr="00E95159">
        <w:t xml:space="preserve">  </w:t>
      </w:r>
      <w:r w:rsidR="00A07C58" w:rsidRPr="00E95159">
        <w:t>Higher Ground</w:t>
      </w:r>
      <w:r w:rsidR="00F11D64" w:rsidRPr="00E95159">
        <w:t xml:space="preserve"> seeks to use a customized</w:t>
      </w:r>
      <w:r w:rsidR="00A07C58" w:rsidRPr="00E95159">
        <w:t xml:space="preserve"> </w:t>
      </w:r>
      <w:r w:rsidR="00D0122C" w:rsidRPr="00E95159">
        <w:t>automated frequency coordination analysis</w:t>
      </w:r>
      <w:r w:rsidR="00A07C58" w:rsidRPr="00E95159">
        <w:t xml:space="preserve"> system (discussed below)</w:t>
      </w:r>
      <w:r w:rsidR="00F11D64" w:rsidRPr="00E95159">
        <w:t xml:space="preserve"> to</w:t>
      </w:r>
      <w:r w:rsidR="00A07C58" w:rsidRPr="00E95159">
        <w:t xml:space="preserve"> </w:t>
      </w:r>
      <w:r w:rsidR="00F11D64" w:rsidRPr="00E95159">
        <w:t>permit</w:t>
      </w:r>
      <w:r w:rsidR="00A07C58" w:rsidRPr="00E95159">
        <w:t xml:space="preserve"> </w:t>
      </w:r>
      <w:r w:rsidR="00D72551" w:rsidRPr="00E95159">
        <w:t>its proposed</w:t>
      </w:r>
      <w:r w:rsidR="00A07C58" w:rsidRPr="00E95159">
        <w:t xml:space="preserve"> use of C-band spectrum while mitigating the risk of harmful interference to point-to-point microwave receivers</w:t>
      </w:r>
      <w:r w:rsidR="00F11D64" w:rsidRPr="00E95159">
        <w:t xml:space="preserve">.  </w:t>
      </w:r>
      <w:r w:rsidR="003957CB" w:rsidRPr="00E95159">
        <w:t>W</w:t>
      </w:r>
      <w:r w:rsidR="00F11D64" w:rsidRPr="00E95159">
        <w:t>e</w:t>
      </w:r>
      <w:r w:rsidR="003957CB" w:rsidRPr="00E95159">
        <w:t xml:space="preserve"> thus find that Higher Ground’s proposed system and operations</w:t>
      </w:r>
      <w:r w:rsidR="00DA1C85" w:rsidRPr="00E95159">
        <w:t>, under certain conditions,</w:t>
      </w:r>
      <w:r w:rsidR="00F11D64" w:rsidRPr="00E95159">
        <w:t xml:space="preserve"> would further</w:t>
      </w:r>
      <w:r w:rsidR="00A07C58" w:rsidRPr="00E95159">
        <w:t xml:space="preserve"> the Commission’s interest in ensuring the highest public benefit </w:t>
      </w:r>
      <w:r w:rsidR="00F11D64" w:rsidRPr="00E95159">
        <w:t xml:space="preserve">is derived </w:t>
      </w:r>
      <w:r w:rsidR="00A07C58" w:rsidRPr="00E95159">
        <w:t>from th</w:t>
      </w:r>
      <w:r w:rsidR="00C97D1F" w:rsidRPr="00E95159">
        <w:t>is</w:t>
      </w:r>
      <w:r w:rsidR="00A07C58" w:rsidRPr="00E95159">
        <w:t xml:space="preserve"> finite spectrum </w:t>
      </w:r>
      <w:r w:rsidR="00853677" w:rsidRPr="00E95159">
        <w:t>resource.</w:t>
      </w:r>
      <w:r w:rsidR="00853677" w:rsidRPr="002A6B41">
        <w:rPr>
          <w:rStyle w:val="FootnoteReference"/>
          <w:sz w:val="22"/>
        </w:rPr>
        <w:footnoteReference w:id="32"/>
      </w:r>
      <w:r w:rsidR="003957CB" w:rsidRPr="00E95159">
        <w:t xml:space="preserve">  </w:t>
      </w:r>
    </w:p>
    <w:p w:rsidR="001B0222" w:rsidRPr="00E95159" w:rsidRDefault="00FF5F88" w:rsidP="006D4E4D">
      <w:pPr>
        <w:pStyle w:val="ParaNum"/>
      </w:pPr>
      <w:r w:rsidRPr="00E95159">
        <w:rPr>
          <w:i/>
        </w:rPr>
        <w:t>Interference</w:t>
      </w:r>
      <w:r w:rsidR="001E0931" w:rsidRPr="00E95159">
        <w:rPr>
          <w:i/>
        </w:rPr>
        <w:t xml:space="preserve"> Analysis</w:t>
      </w:r>
      <w:r w:rsidR="003241B2" w:rsidRPr="00E95159">
        <w:t xml:space="preserve">. </w:t>
      </w:r>
      <w:r w:rsidR="001E0931" w:rsidRPr="00E95159">
        <w:t xml:space="preserve"> </w:t>
      </w:r>
      <w:r w:rsidR="00B750C6" w:rsidRPr="00E95159">
        <w:t xml:space="preserve">We turn to the technical details of Higher Ground’s system.  </w:t>
      </w:r>
      <w:r w:rsidR="00E041F9" w:rsidRPr="00E95159">
        <w:t>Higher Ground proposes to operate in the 5925-6425 MHz (Earth-to-space) and the 3700-4200 MHz (space-to-Earth) frequency bands.</w:t>
      </w:r>
      <w:r w:rsidR="004739BD" w:rsidRPr="00E95159">
        <w:t xml:space="preserve">  In the U</w:t>
      </w:r>
      <w:r w:rsidR="001B0222" w:rsidRPr="00E95159">
        <w:t xml:space="preserve">nited </w:t>
      </w:r>
      <w:r w:rsidR="004739BD" w:rsidRPr="00E95159">
        <w:t>S</w:t>
      </w:r>
      <w:r w:rsidR="001B0222" w:rsidRPr="00E95159">
        <w:t>tates</w:t>
      </w:r>
      <w:r w:rsidR="004739BD" w:rsidRPr="00E95159">
        <w:t>, the</w:t>
      </w:r>
      <w:r w:rsidR="00395E4E" w:rsidRPr="00E95159">
        <w:t>se</w:t>
      </w:r>
      <w:r w:rsidR="004739BD" w:rsidRPr="00E95159">
        <w:t xml:space="preserve"> bands are allocated to </w:t>
      </w:r>
      <w:r w:rsidR="00B83FB7" w:rsidRPr="00E95159">
        <w:t xml:space="preserve">the </w:t>
      </w:r>
      <w:r w:rsidR="004739BD" w:rsidRPr="00E95159">
        <w:t>FS and</w:t>
      </w:r>
      <w:r w:rsidR="00A07C58" w:rsidRPr="00E95159">
        <w:t xml:space="preserve"> </w:t>
      </w:r>
      <w:r w:rsidR="00B83FB7" w:rsidRPr="00E95159">
        <w:t xml:space="preserve">the </w:t>
      </w:r>
      <w:r w:rsidR="004739BD" w:rsidRPr="00E95159">
        <w:t>FSS</w:t>
      </w:r>
      <w:r w:rsidR="00B750C6" w:rsidRPr="00E95159">
        <w:t xml:space="preserve"> for primary use</w:t>
      </w:r>
      <w:r w:rsidR="007E7071" w:rsidRPr="00E95159">
        <w:t>.</w:t>
      </w:r>
      <w:r w:rsidR="00A07C58" w:rsidRPr="002A6B41">
        <w:rPr>
          <w:rStyle w:val="FootnoteReference"/>
          <w:sz w:val="22"/>
        </w:rPr>
        <w:footnoteReference w:id="33"/>
      </w:r>
    </w:p>
    <w:p w:rsidR="00DF5A61" w:rsidRPr="00E95159" w:rsidRDefault="00434648" w:rsidP="006D4E4D">
      <w:pPr>
        <w:pStyle w:val="ParaNum"/>
      </w:pPr>
      <w:r w:rsidRPr="00E95159">
        <w:t xml:space="preserve">Higher Ground’s use of the 6 GHz band </w:t>
      </w:r>
      <w:r w:rsidR="00A07C58" w:rsidRPr="00E95159">
        <w:t>is opposed by</w:t>
      </w:r>
      <w:r w:rsidRPr="00E95159">
        <w:t xml:space="preserve"> various C-band </w:t>
      </w:r>
      <w:r w:rsidR="00B750C6" w:rsidRPr="00E95159">
        <w:t>FS</w:t>
      </w:r>
      <w:r w:rsidR="00B83FB7" w:rsidRPr="00E95159">
        <w:t xml:space="preserve"> </w:t>
      </w:r>
      <w:r w:rsidRPr="00E95159">
        <w:t>users.</w:t>
      </w:r>
      <w:r w:rsidRPr="002A6B41">
        <w:rPr>
          <w:rStyle w:val="FootnoteReference"/>
          <w:sz w:val="22"/>
        </w:rPr>
        <w:footnoteReference w:id="34"/>
      </w:r>
      <w:r w:rsidRPr="00E95159">
        <w:t xml:space="preserve">  </w:t>
      </w:r>
      <w:r w:rsidR="009A63E7" w:rsidRPr="00E95159">
        <w:t>As an initial matter</w:t>
      </w:r>
      <w:r w:rsidR="001B0222" w:rsidRPr="00E95159">
        <w:t xml:space="preserve">, FWCC, CenturyLink, and UTC point out that the 6 GHz band is crucially important to </w:t>
      </w:r>
      <w:r w:rsidR="00FD372F" w:rsidRPr="00E95159">
        <w:t>FS</w:t>
      </w:r>
      <w:r w:rsidR="001B0222" w:rsidRPr="00E95159">
        <w:t xml:space="preserve"> operations.</w:t>
      </w:r>
      <w:r w:rsidR="001B0222" w:rsidRPr="002A6B41">
        <w:rPr>
          <w:rStyle w:val="FootnoteReference"/>
          <w:sz w:val="22"/>
        </w:rPr>
        <w:footnoteReference w:id="35"/>
      </w:r>
      <w:r w:rsidR="001B0222" w:rsidRPr="00E95159">
        <w:t xml:space="preserve">  For example, the 6 GHz band routinely carries applications critical to safety of life and property such as pipeline control, operation of the electric grid, synchronizing the movement of railroad trains, real-time financial and market data, and public safety communications, among others.</w:t>
      </w:r>
      <w:r w:rsidR="001B0222" w:rsidRPr="00E95159">
        <w:rPr>
          <w:vertAlign w:val="superscript"/>
        </w:rPr>
        <w:footnoteReference w:id="36"/>
      </w:r>
      <w:r w:rsidR="001B0222" w:rsidRPr="00E95159">
        <w:t xml:space="preserve">  They stress that reliability is therefore an important factor, noting that many applications have typical availabilities of better than 99.999 percent.</w:t>
      </w:r>
      <w:r w:rsidR="001B0222" w:rsidRPr="00E95159">
        <w:rPr>
          <w:vertAlign w:val="superscript"/>
        </w:rPr>
        <w:footnoteReference w:id="37"/>
      </w:r>
    </w:p>
    <w:p w:rsidR="008058B6" w:rsidRPr="00E95159" w:rsidRDefault="00454E8E" w:rsidP="006D4E4D">
      <w:pPr>
        <w:pStyle w:val="ParaNum"/>
      </w:pPr>
      <w:r w:rsidRPr="00E95159">
        <w:t>FWCC</w:t>
      </w:r>
      <w:r w:rsidR="00BE7F01" w:rsidRPr="00E95159">
        <w:t>,</w:t>
      </w:r>
      <w:r w:rsidR="00293395" w:rsidRPr="00E95159">
        <w:t xml:space="preserve"> Century</w:t>
      </w:r>
      <w:r w:rsidR="009607DF" w:rsidRPr="00E95159">
        <w:t>Link</w:t>
      </w:r>
      <w:r w:rsidR="000E6DED" w:rsidRPr="00E95159">
        <w:t>, Frontier, and UTC</w:t>
      </w:r>
      <w:r w:rsidR="00BE7F01" w:rsidRPr="00E95159">
        <w:t xml:space="preserve"> </w:t>
      </w:r>
      <w:r w:rsidR="009A63E7" w:rsidRPr="00E95159">
        <w:t xml:space="preserve">also </w:t>
      </w:r>
      <w:r w:rsidR="005C22EF" w:rsidRPr="00E95159">
        <w:t>assert that SatPaq</w:t>
      </w:r>
      <w:r w:rsidR="00E8281A" w:rsidRPr="00E95159">
        <w:t xml:space="preserve"> terminal</w:t>
      </w:r>
      <w:r w:rsidR="005C22EF" w:rsidRPr="00E95159">
        <w:t>s will cause</w:t>
      </w:r>
      <w:r w:rsidRPr="00E95159">
        <w:t xml:space="preserve"> interference</w:t>
      </w:r>
      <w:r w:rsidR="00A55394" w:rsidRPr="00E95159">
        <w:t xml:space="preserve"> to </w:t>
      </w:r>
      <w:r w:rsidR="00FD372F" w:rsidRPr="00E95159">
        <w:t>FS</w:t>
      </w:r>
      <w:r w:rsidR="00B83FB7" w:rsidRPr="00E95159">
        <w:t xml:space="preserve"> </w:t>
      </w:r>
      <w:r w:rsidR="00A55394" w:rsidRPr="00E95159">
        <w:t>operations</w:t>
      </w:r>
      <w:r w:rsidRPr="00E95159">
        <w:t xml:space="preserve"> in the 6 GHz frequency band.</w:t>
      </w:r>
      <w:r w:rsidRPr="00E95159">
        <w:rPr>
          <w:rStyle w:val="FootnoteReference"/>
          <w:sz w:val="22"/>
        </w:rPr>
        <w:footnoteReference w:id="38"/>
      </w:r>
      <w:r w:rsidRPr="00E95159">
        <w:t xml:space="preserve"> </w:t>
      </w:r>
      <w:r w:rsidR="00293395" w:rsidRPr="00E95159">
        <w:t xml:space="preserve"> FWCC </w:t>
      </w:r>
      <w:r w:rsidR="00434648" w:rsidRPr="00E95159">
        <w:t>claims</w:t>
      </w:r>
      <w:r w:rsidR="00293395" w:rsidRPr="00E95159">
        <w:t xml:space="preserve"> that </w:t>
      </w:r>
      <w:r w:rsidR="00B63B07" w:rsidRPr="00E95159">
        <w:t>Higher Ground</w:t>
      </w:r>
      <w:r w:rsidR="00293395" w:rsidRPr="00E95159">
        <w:t>’s assumptions about the performance level and off-axis gain of the</w:t>
      </w:r>
      <w:r w:rsidR="00B750C6" w:rsidRPr="00E95159">
        <w:t xml:space="preserve"> FS</w:t>
      </w:r>
      <w:r w:rsidR="00293395" w:rsidRPr="00E95159">
        <w:t xml:space="preserve"> antennas that would be subject to interference </w:t>
      </w:r>
      <w:r w:rsidR="00B750C6" w:rsidRPr="00E95159">
        <w:t xml:space="preserve">from Higher Ground </w:t>
      </w:r>
      <w:r w:rsidR="00293395" w:rsidRPr="00E95159">
        <w:t xml:space="preserve">are </w:t>
      </w:r>
      <w:r w:rsidR="00E153C1">
        <w:t>incorrect</w:t>
      </w:r>
      <w:r w:rsidR="00293395" w:rsidRPr="00E95159">
        <w:t>, and therefore the separation distance it calculates is not nearly large enough to satisfy its interference objective</w:t>
      </w:r>
      <w:r w:rsidR="005B40D2" w:rsidRPr="00E95159">
        <w:t>.</w:t>
      </w:r>
      <w:r w:rsidR="00293395" w:rsidRPr="002A6B41">
        <w:rPr>
          <w:rStyle w:val="FootnoteReference"/>
          <w:sz w:val="22"/>
        </w:rPr>
        <w:footnoteReference w:id="39"/>
      </w:r>
      <w:r w:rsidR="009709FE" w:rsidRPr="00E95159">
        <w:t xml:space="preserve">  Similarly, </w:t>
      </w:r>
      <w:r w:rsidR="008058B6" w:rsidRPr="00E95159">
        <w:t>CenturyLink a</w:t>
      </w:r>
      <w:r w:rsidR="00434648" w:rsidRPr="00E95159">
        <w:t>sserts</w:t>
      </w:r>
      <w:r w:rsidR="008058B6" w:rsidRPr="00E95159">
        <w:t xml:space="preserve"> that </w:t>
      </w:r>
      <w:r w:rsidR="00B83FB7" w:rsidRPr="00E95159">
        <w:t xml:space="preserve">the </w:t>
      </w:r>
      <w:r w:rsidR="008058B6" w:rsidRPr="00E95159">
        <w:t>9</w:t>
      </w:r>
      <w:r w:rsidR="0056243B" w:rsidRPr="00E95159">
        <w:t xml:space="preserve"> </w:t>
      </w:r>
      <w:r w:rsidR="008058B6" w:rsidRPr="00E95159">
        <w:t>dBW (39</w:t>
      </w:r>
      <w:r w:rsidR="0056243B" w:rsidRPr="00E95159">
        <w:t xml:space="preserve"> </w:t>
      </w:r>
      <w:r w:rsidR="008058B6" w:rsidRPr="00E95159">
        <w:t xml:space="preserve">dBm) e.i.r.p. </w:t>
      </w:r>
      <w:r w:rsidR="00B83FB7" w:rsidRPr="00E95159">
        <w:t xml:space="preserve">level at which the SatPaq terminals would transmit </w:t>
      </w:r>
      <w:r w:rsidR="008058B6" w:rsidRPr="00E95159">
        <w:t>in the C-band may cause interference in some scenarios.</w:t>
      </w:r>
      <w:r w:rsidR="008058B6" w:rsidRPr="00E95159">
        <w:rPr>
          <w:rStyle w:val="FootnoteReference"/>
          <w:sz w:val="22"/>
        </w:rPr>
        <w:footnoteReference w:id="40"/>
      </w:r>
      <w:r w:rsidR="008058B6" w:rsidRPr="00E95159">
        <w:t xml:space="preserve">  </w:t>
      </w:r>
      <w:r w:rsidR="004E5EE2" w:rsidRPr="00E95159">
        <w:t xml:space="preserve">Further, FWCC is concerned about the SatPaq terminals’ use of a directional antenna and sensors in the attached consumer cell handset to turn off the device if the antenna is </w:t>
      </w:r>
      <w:r w:rsidR="00BB026A" w:rsidRPr="00E95159">
        <w:t>pointed in the wrong direction</w:t>
      </w:r>
      <w:r w:rsidR="004E5EE2" w:rsidRPr="00E95159">
        <w:t xml:space="preserve">.  They assert that the wide beam width of the transmit antenna could easily encompass both the satellite and a victim </w:t>
      </w:r>
      <w:r w:rsidR="00FD372F" w:rsidRPr="00E95159">
        <w:t>FS</w:t>
      </w:r>
      <w:r w:rsidR="004E5EE2" w:rsidRPr="00E95159">
        <w:t xml:space="preserve"> receiver, particularly at higher latitudes where satellite look angles are closer to the horizon.</w:t>
      </w:r>
      <w:r w:rsidR="004E5EE2" w:rsidRPr="002A6B41">
        <w:rPr>
          <w:rStyle w:val="FootnoteReference"/>
          <w:sz w:val="22"/>
        </w:rPr>
        <w:footnoteReference w:id="41"/>
      </w:r>
      <w:r w:rsidR="004E5EE2" w:rsidRPr="00E95159">
        <w:t xml:space="preserve">  </w:t>
      </w:r>
      <w:r w:rsidR="000D7E2B" w:rsidRPr="00E95159">
        <w:t>Therefore, CenturyLink asserts that u</w:t>
      </w:r>
      <w:r w:rsidR="008058B6" w:rsidRPr="00E95159">
        <w:t>nder certain circumstances, such interference could result in a major network outage.</w:t>
      </w:r>
      <w:r w:rsidR="008058B6" w:rsidRPr="00E95159">
        <w:rPr>
          <w:rStyle w:val="FootnoteReference"/>
          <w:sz w:val="22"/>
        </w:rPr>
        <w:footnoteReference w:id="42"/>
      </w:r>
    </w:p>
    <w:p w:rsidR="004739BD" w:rsidRPr="00E95159" w:rsidRDefault="009E631E" w:rsidP="006D4E4D">
      <w:pPr>
        <w:pStyle w:val="ParaNum"/>
      </w:pPr>
      <w:r w:rsidRPr="00E95159">
        <w:t xml:space="preserve">Higher Ground </w:t>
      </w:r>
      <w:r w:rsidR="00C453F6" w:rsidRPr="00E95159">
        <w:t>opposes the petitions</w:t>
      </w:r>
      <w:r w:rsidR="001543CC" w:rsidRPr="00E95159">
        <w:t>, and</w:t>
      </w:r>
      <w:r w:rsidRPr="00E95159">
        <w:t xml:space="preserve"> </w:t>
      </w:r>
      <w:r w:rsidR="00AE1BBE" w:rsidRPr="00E95159">
        <w:t>argues</w:t>
      </w:r>
      <w:r w:rsidR="003269EC" w:rsidRPr="00E95159">
        <w:t xml:space="preserve"> that</w:t>
      </w:r>
      <w:r w:rsidR="00AE1BBE" w:rsidRPr="00E95159">
        <w:t xml:space="preserve"> </w:t>
      </w:r>
      <w:r w:rsidRPr="00E95159">
        <w:t>its service can operate without causing interference to C-</w:t>
      </w:r>
      <w:r w:rsidR="00B750C6" w:rsidRPr="00E95159">
        <w:t xml:space="preserve">band </w:t>
      </w:r>
      <w:r w:rsidRPr="00E95159">
        <w:t xml:space="preserve">FS </w:t>
      </w:r>
      <w:r w:rsidR="00441987" w:rsidRPr="00E95159">
        <w:t xml:space="preserve">point-to-point </w:t>
      </w:r>
      <w:r w:rsidRPr="00E95159">
        <w:t xml:space="preserve">licensees. </w:t>
      </w:r>
      <w:r w:rsidR="004739BD" w:rsidRPr="00E95159">
        <w:t xml:space="preserve"> Higher Ground details several approaches that it has incorporated into its system to prevent or minimize the risk of</w:t>
      </w:r>
      <w:r w:rsidR="00736D5E" w:rsidRPr="00E95159">
        <w:t xml:space="preserve"> harmful </w:t>
      </w:r>
      <w:r w:rsidR="004739BD" w:rsidRPr="00E95159">
        <w:t xml:space="preserve">interference.  </w:t>
      </w:r>
      <w:r w:rsidR="00736D5E" w:rsidRPr="00E95159">
        <w:t>Specifically</w:t>
      </w:r>
      <w:r w:rsidR="004739BD" w:rsidRPr="00E95159">
        <w:t>, Higher Ground</w:t>
      </w:r>
      <w:r w:rsidR="00AE1BBE" w:rsidRPr="00E95159">
        <w:t xml:space="preserve"> will use</w:t>
      </w:r>
      <w:r w:rsidR="004739BD" w:rsidRPr="00E95159">
        <w:t xml:space="preserve"> </w:t>
      </w:r>
      <w:r w:rsidR="00AE1BBE" w:rsidRPr="00E95159">
        <w:t xml:space="preserve">its Channel Master software to identify non-interfering frequencies for SatPaq </w:t>
      </w:r>
      <w:r w:rsidR="00E8281A" w:rsidRPr="00E95159">
        <w:t xml:space="preserve">terminal </w:t>
      </w:r>
      <w:r w:rsidR="00AE1BBE" w:rsidRPr="00E95159">
        <w:t>operation</w:t>
      </w:r>
      <w:r w:rsidR="00BC682F" w:rsidRPr="00E95159">
        <w:t>, taking into account all relevant ULS-derived data for individual C-band point-to-point receivers as well as the SatPaq</w:t>
      </w:r>
      <w:r w:rsidR="00E8281A" w:rsidRPr="00E95159">
        <w:t xml:space="preserve"> terminal</w:t>
      </w:r>
      <w:r w:rsidR="00BC682F" w:rsidRPr="00E95159">
        <w:t>’s location and orientation, and the use of frequency diversity and satellite choice.</w:t>
      </w:r>
      <w:r w:rsidR="00EE22FE" w:rsidRPr="002A6B41">
        <w:rPr>
          <w:rStyle w:val="FootnoteReference"/>
          <w:sz w:val="22"/>
        </w:rPr>
        <w:footnoteReference w:id="43"/>
      </w:r>
      <w:r w:rsidR="00BC682F" w:rsidRPr="00E95159">
        <w:t xml:space="preserve">  A SatPaq </w:t>
      </w:r>
      <w:r w:rsidR="00E8281A" w:rsidRPr="00E95159">
        <w:t xml:space="preserve">terminal </w:t>
      </w:r>
      <w:r w:rsidR="00BC682F" w:rsidRPr="00E95159">
        <w:t xml:space="preserve">will not transmit other than on the non-interfering </w:t>
      </w:r>
      <w:r w:rsidR="005F5E16" w:rsidRPr="00E95159">
        <w:t>“</w:t>
      </w:r>
      <w:r w:rsidR="00BC682F" w:rsidRPr="00E95159">
        <w:t>hailing frequency</w:t>
      </w:r>
      <w:r w:rsidR="005F5E16" w:rsidRPr="00E95159">
        <w:t>”</w:t>
      </w:r>
      <w:r w:rsidR="00BC682F" w:rsidRPr="00E95159">
        <w:t xml:space="preserve"> if its database does not contain current information, absent frequency assignment from the SatPaq Network Controller.</w:t>
      </w:r>
      <w:r w:rsidR="005F5E16" w:rsidRPr="002A6B41">
        <w:rPr>
          <w:rStyle w:val="FootnoteReference"/>
          <w:sz w:val="22"/>
        </w:rPr>
        <w:footnoteReference w:id="44"/>
      </w:r>
      <w:r w:rsidR="00BC682F" w:rsidRPr="00E95159">
        <w:t xml:space="preserve"> </w:t>
      </w:r>
      <w:r w:rsidR="00A2040A" w:rsidRPr="00E95159">
        <w:t xml:space="preserve"> </w:t>
      </w:r>
      <w:r w:rsidR="00BC682F" w:rsidRPr="00E95159">
        <w:t xml:space="preserve">The SatPaq </w:t>
      </w:r>
      <w:r w:rsidR="00E8281A" w:rsidRPr="00E95159">
        <w:t xml:space="preserve">terminal </w:t>
      </w:r>
      <w:r w:rsidR="00BC682F" w:rsidRPr="00E95159">
        <w:t xml:space="preserve">can use the hailing frequency to request relevant updates, and the satellite will deliver “new” C-band </w:t>
      </w:r>
      <w:r w:rsidR="00B83FB7" w:rsidRPr="00E95159">
        <w:t>FS</w:t>
      </w:r>
      <w:r w:rsidR="00BC682F" w:rsidRPr="00E95159">
        <w:t xml:space="preserve"> receiver information to allow it to select a non-interfering frequency.</w:t>
      </w:r>
      <w:r w:rsidR="00BC682F" w:rsidRPr="002A6B41">
        <w:rPr>
          <w:rStyle w:val="FootnoteReference"/>
          <w:sz w:val="22"/>
        </w:rPr>
        <w:footnoteReference w:id="45"/>
      </w:r>
    </w:p>
    <w:p w:rsidR="001543CC" w:rsidRPr="00E95159" w:rsidRDefault="00AE1BBE" w:rsidP="006D4E4D">
      <w:pPr>
        <w:pStyle w:val="ParaNum"/>
      </w:pPr>
      <w:r w:rsidRPr="00E95159">
        <w:t xml:space="preserve">Additionally, </w:t>
      </w:r>
      <w:r w:rsidR="001543CC" w:rsidRPr="00E95159">
        <w:t>Higher Ground</w:t>
      </w:r>
      <w:r w:rsidR="001B0222" w:rsidRPr="00E95159">
        <w:t xml:space="preserve"> </w:t>
      </w:r>
      <w:r w:rsidR="001543CC" w:rsidRPr="00E95159" w:rsidDel="00D938A5">
        <w:t>underscore</w:t>
      </w:r>
      <w:r w:rsidR="001B0222" w:rsidRPr="00E95159">
        <w:t>s</w:t>
      </w:r>
      <w:r w:rsidR="001543CC" w:rsidRPr="00E95159" w:rsidDel="00D938A5">
        <w:t xml:space="preserve"> that SatPaq</w:t>
      </w:r>
      <w:r w:rsidR="00FC3591" w:rsidRPr="00E95159">
        <w:t xml:space="preserve"> terminal</w:t>
      </w:r>
      <w:r w:rsidR="0060782C" w:rsidRPr="00E95159">
        <w:t xml:space="preserve"> transmissions</w:t>
      </w:r>
      <w:r w:rsidR="001543CC" w:rsidRPr="00E95159">
        <w:t xml:space="preserve"> in the 5925-6425 MHz frequency band</w:t>
      </w:r>
      <w:r w:rsidR="001543CC" w:rsidRPr="00E95159" w:rsidDel="00D938A5">
        <w:t xml:space="preserve"> </w:t>
      </w:r>
      <w:r w:rsidR="0060782C" w:rsidRPr="00E95159">
        <w:t xml:space="preserve">will be such that the interference level </w:t>
      </w:r>
      <w:r w:rsidR="00941B97" w:rsidRPr="00E95159">
        <w:t xml:space="preserve">to </w:t>
      </w:r>
      <w:r w:rsidR="0060782C" w:rsidRPr="00E95159">
        <w:t xml:space="preserve">any C-band </w:t>
      </w:r>
      <w:r w:rsidR="00941B97" w:rsidRPr="00E95159">
        <w:t xml:space="preserve">FS </w:t>
      </w:r>
      <w:r w:rsidR="0060782C" w:rsidRPr="00E95159">
        <w:t xml:space="preserve">receiver will be </w:t>
      </w:r>
      <w:r w:rsidR="001543CC" w:rsidRPr="00E95159" w:rsidDel="00D938A5">
        <w:t>6</w:t>
      </w:r>
      <w:r w:rsidR="0056243B" w:rsidRPr="00E95159">
        <w:t xml:space="preserve"> </w:t>
      </w:r>
      <w:r w:rsidR="001543CC" w:rsidRPr="00E95159" w:rsidDel="00D938A5">
        <w:t xml:space="preserve">dB or more below the </w:t>
      </w:r>
      <w:r w:rsidR="001543CC" w:rsidRPr="00E95159">
        <w:t>thermal</w:t>
      </w:r>
      <w:r w:rsidR="001543CC" w:rsidRPr="00E95159" w:rsidDel="00D938A5">
        <w:t xml:space="preserve"> noise floor at </w:t>
      </w:r>
      <w:r w:rsidR="001543CC" w:rsidRPr="00E95159">
        <w:t>the</w:t>
      </w:r>
      <w:r w:rsidR="0060782C" w:rsidRPr="00E95159">
        <w:t xml:space="preserve"> receiver.</w:t>
      </w:r>
      <w:r w:rsidR="001543CC" w:rsidRPr="00E95159">
        <w:t xml:space="preserve">  </w:t>
      </w:r>
      <w:r w:rsidR="0060782C" w:rsidRPr="00E95159">
        <w:t xml:space="preserve">Whenever this condition is not met the SatPaq </w:t>
      </w:r>
      <w:r w:rsidR="001543CC" w:rsidRPr="00E95159">
        <w:t xml:space="preserve">will </w:t>
      </w:r>
      <w:r w:rsidR="001543CC" w:rsidRPr="00E95159" w:rsidDel="00D938A5">
        <w:t xml:space="preserve">search for another frequency, or use satellite </w:t>
      </w:r>
      <w:r w:rsidR="001543CC" w:rsidRPr="009115C0" w:rsidDel="00D938A5">
        <w:t xml:space="preserve">diversity, to </w:t>
      </w:r>
      <w:r w:rsidR="00BB026A" w:rsidRPr="009115C0">
        <w:t>avoid exceeding</w:t>
      </w:r>
      <w:r w:rsidR="001543CC" w:rsidRPr="009115C0" w:rsidDel="00D938A5">
        <w:t xml:space="preserve"> </w:t>
      </w:r>
      <w:r w:rsidR="0069081E" w:rsidRPr="009115C0">
        <w:t xml:space="preserve">the </w:t>
      </w:r>
      <w:r w:rsidR="00B83FB7" w:rsidRPr="009115C0">
        <w:t>-</w:t>
      </w:r>
      <w:r w:rsidR="001543CC" w:rsidRPr="009115C0" w:rsidDel="00D938A5">
        <w:t xml:space="preserve">6 dB </w:t>
      </w:r>
      <w:r w:rsidR="00B83FB7" w:rsidRPr="00B35B90">
        <w:t>I/N</w:t>
      </w:r>
      <w:r w:rsidR="001543CC" w:rsidRPr="00D27D3B" w:rsidDel="00D938A5">
        <w:t xml:space="preserve"> </w:t>
      </w:r>
      <w:r w:rsidR="0069081E" w:rsidRPr="00D27D3B">
        <w:t xml:space="preserve">threshold </w:t>
      </w:r>
      <w:r w:rsidR="00941B97" w:rsidRPr="00D27D3B">
        <w:t xml:space="preserve">to </w:t>
      </w:r>
      <w:r w:rsidR="00BB026A" w:rsidRPr="00D27D3B">
        <w:t>any</w:t>
      </w:r>
      <w:r w:rsidR="001543CC" w:rsidRPr="00E95159">
        <w:t xml:space="preserve"> </w:t>
      </w:r>
      <w:r w:rsidR="001543CC" w:rsidRPr="00E95159" w:rsidDel="00D938A5">
        <w:t xml:space="preserve">FS </w:t>
      </w:r>
      <w:r w:rsidR="0069081E" w:rsidRPr="00E95159">
        <w:t>receiver</w:t>
      </w:r>
      <w:r w:rsidR="001543CC" w:rsidRPr="00E95159" w:rsidDel="00D938A5">
        <w:t>.</w:t>
      </w:r>
    </w:p>
    <w:p w:rsidR="008D7689" w:rsidRPr="00E95159" w:rsidRDefault="008D7689" w:rsidP="006D4E4D">
      <w:pPr>
        <w:pStyle w:val="ParaNum"/>
      </w:pPr>
      <w:r w:rsidRPr="00E95159">
        <w:t xml:space="preserve">Finally, Higher Ground provides additional assurance regarding interference mitigation.  Specifically, the SatPaq Network Controller </w:t>
      </w:r>
      <w:r w:rsidR="00736D5E" w:rsidRPr="00E95159">
        <w:t xml:space="preserve">will </w:t>
      </w:r>
      <w:r w:rsidRPr="00E95159">
        <w:t>maintain supervisory control of all operations</w:t>
      </w:r>
      <w:r w:rsidR="00736D5E" w:rsidRPr="00E95159">
        <w:t xml:space="preserve"> at all times</w:t>
      </w:r>
      <w:r w:rsidRPr="00E95159">
        <w:t xml:space="preserve">.  Thus, the SatPaq Network Controller can override the frequency selection of the software on the SatPaq application and assign a different frequency or satellite for a SatPaq </w:t>
      </w:r>
      <w:r w:rsidR="00FC3591" w:rsidRPr="00E95159">
        <w:t xml:space="preserve">terminal </w:t>
      </w:r>
      <w:r w:rsidRPr="00E95159">
        <w:t xml:space="preserve">transmission, shut off the entire SatPaq </w:t>
      </w:r>
      <w:r w:rsidR="00FC3591" w:rsidRPr="00E95159">
        <w:t xml:space="preserve">terminal </w:t>
      </w:r>
      <w:r w:rsidRPr="00E95159">
        <w:t>operation</w:t>
      </w:r>
      <w:r w:rsidR="00F40569" w:rsidRPr="00E95159">
        <w:t xml:space="preserve"> by muting the forward path from a satellite necessary for the communication “handshake</w:t>
      </w:r>
      <w:r w:rsidR="00736D5E" w:rsidRPr="00E95159">
        <w:t>,</w:t>
      </w:r>
      <w:r w:rsidR="00F40569" w:rsidRPr="00E95159">
        <w:t>”</w:t>
      </w:r>
      <w:r w:rsidRPr="00E95159">
        <w:t xml:space="preserve"> or direct a specific SatPaq </w:t>
      </w:r>
      <w:r w:rsidR="00FC3591" w:rsidRPr="00E95159">
        <w:t xml:space="preserve">terminal </w:t>
      </w:r>
      <w:r w:rsidRPr="00E95159">
        <w:t>to suspend or delay its transmission.</w:t>
      </w:r>
      <w:r w:rsidRPr="002A6B41">
        <w:rPr>
          <w:rStyle w:val="FootnoteReference"/>
          <w:sz w:val="22"/>
        </w:rPr>
        <w:footnoteReference w:id="46"/>
      </w:r>
    </w:p>
    <w:p w:rsidR="009E631E" w:rsidRPr="00E95159" w:rsidDel="00D938A5" w:rsidRDefault="0050533C" w:rsidP="006D4E4D">
      <w:pPr>
        <w:pStyle w:val="ParaNum"/>
      </w:pPr>
      <w:r w:rsidRPr="00E95159">
        <w:t xml:space="preserve">In support of Higher Ground’s application, </w:t>
      </w:r>
      <w:r w:rsidR="009E631E" w:rsidRPr="00E95159">
        <w:t>Intelsat</w:t>
      </w:r>
      <w:r w:rsidRPr="00E95159">
        <w:t xml:space="preserve"> points out </w:t>
      </w:r>
      <w:r w:rsidR="009E631E" w:rsidRPr="00E95159">
        <w:t xml:space="preserve">that the SatPaq </w:t>
      </w:r>
      <w:r w:rsidR="00FC3591" w:rsidRPr="00E95159">
        <w:t xml:space="preserve">terminal </w:t>
      </w:r>
      <w:r w:rsidR="009E631E" w:rsidRPr="00E95159">
        <w:t>use of spread spectrum techniques wil</w:t>
      </w:r>
      <w:r w:rsidR="00736D5E" w:rsidRPr="00E95159">
        <w:t>l ensure compliance with the Commission</w:t>
      </w:r>
      <w:r w:rsidR="009E631E" w:rsidRPr="00E95159">
        <w:t>’s off-axis power spectral density limits, thus protecting adjacent satellite systems.</w:t>
      </w:r>
      <w:r w:rsidR="009709FE" w:rsidRPr="00E95159">
        <w:rPr>
          <w:rStyle w:val="FootnoteReference"/>
          <w:sz w:val="22"/>
        </w:rPr>
        <w:footnoteReference w:id="47"/>
      </w:r>
      <w:r w:rsidR="009709FE" w:rsidRPr="00E95159">
        <w:t xml:space="preserve"> </w:t>
      </w:r>
      <w:r w:rsidR="009E631E" w:rsidRPr="00E95159">
        <w:t xml:space="preserve"> Intelsat also notes </w:t>
      </w:r>
      <w:r w:rsidR="0069081E" w:rsidRPr="00E95159">
        <w:t>transmissions from</w:t>
      </w:r>
      <w:r w:rsidR="009E631E" w:rsidRPr="00E95159">
        <w:t xml:space="preserve"> its satellites </w:t>
      </w:r>
      <w:r w:rsidR="0069081E" w:rsidRPr="00E95159">
        <w:t>to</w:t>
      </w:r>
      <w:r w:rsidR="009E631E" w:rsidRPr="00E95159">
        <w:t xml:space="preserve"> </w:t>
      </w:r>
      <w:r w:rsidR="0069081E" w:rsidRPr="00E95159">
        <w:t xml:space="preserve">the </w:t>
      </w:r>
      <w:r w:rsidR="009E631E" w:rsidRPr="00E95159">
        <w:t xml:space="preserve">SatPaq </w:t>
      </w:r>
      <w:r w:rsidR="00FC3591" w:rsidRPr="00E95159">
        <w:t xml:space="preserve">terminal </w:t>
      </w:r>
      <w:r w:rsidR="0069081E" w:rsidRPr="00E95159">
        <w:t>will comply</w:t>
      </w:r>
      <w:r w:rsidR="009E631E" w:rsidRPr="00E95159">
        <w:t xml:space="preserve"> with FCC and ITU power flux density limits, thereby protecting </w:t>
      </w:r>
      <w:r w:rsidR="002C2311" w:rsidRPr="00E95159">
        <w:t>FS</w:t>
      </w:r>
      <w:r w:rsidR="00441987" w:rsidRPr="00E95159">
        <w:t xml:space="preserve"> </w:t>
      </w:r>
      <w:r w:rsidR="001F27D8" w:rsidRPr="00E95159">
        <w:t xml:space="preserve">receivers </w:t>
      </w:r>
      <w:r w:rsidR="009E631E" w:rsidRPr="00E95159">
        <w:t>from downlink interference in the 3700-4200 MHz frequency band.</w:t>
      </w:r>
      <w:r w:rsidR="009E631E" w:rsidRPr="00E95159">
        <w:rPr>
          <w:vertAlign w:val="superscript"/>
        </w:rPr>
        <w:footnoteReference w:id="48"/>
      </w:r>
    </w:p>
    <w:p w:rsidR="00EF5706" w:rsidRPr="00DD56F8" w:rsidRDefault="004566A9" w:rsidP="006D4E4D">
      <w:pPr>
        <w:pStyle w:val="ParaNum"/>
      </w:pPr>
      <w:r w:rsidRPr="00E95159">
        <w:t>We find that</w:t>
      </w:r>
      <w:r w:rsidR="00B04290">
        <w:t xml:space="preserve"> Higher Ground has demonstrated that its proposed system should</w:t>
      </w:r>
      <w:r w:rsidR="00D72551" w:rsidRPr="00E95159">
        <w:t xml:space="preserve"> </w:t>
      </w:r>
      <w:r w:rsidR="001274C6" w:rsidRPr="00E95159">
        <w:t>prevent or minimize the risk of harmful interference</w:t>
      </w:r>
      <w:r w:rsidR="00332014" w:rsidRPr="00E95159">
        <w:t xml:space="preserve"> to </w:t>
      </w:r>
      <w:r w:rsidR="002C2311" w:rsidRPr="00E95159">
        <w:t>FS</w:t>
      </w:r>
      <w:r w:rsidR="001F27D8" w:rsidRPr="00E95159">
        <w:t xml:space="preserve"> </w:t>
      </w:r>
      <w:r w:rsidR="00332014" w:rsidRPr="00E95159">
        <w:t>operators in the 5925-6425 MHz frequency ba</w:t>
      </w:r>
      <w:r w:rsidR="001274C6" w:rsidRPr="00E95159">
        <w:t>nd.</w:t>
      </w:r>
      <w:r w:rsidR="00AE468E">
        <w:t xml:space="preserve"> </w:t>
      </w:r>
      <w:r w:rsidR="00941B97" w:rsidRPr="00E95159">
        <w:t xml:space="preserve"> </w:t>
      </w:r>
      <w:r w:rsidR="00B04290">
        <w:t>I</w:t>
      </w:r>
      <w:r w:rsidR="00B04290" w:rsidRPr="00E95159">
        <w:t xml:space="preserve">n designing its proposed system, Higher Ground has </w:t>
      </w:r>
      <w:r w:rsidR="00B04290">
        <w:t xml:space="preserve">incorporated </w:t>
      </w:r>
      <w:r w:rsidR="00EF5706" w:rsidRPr="00E95159">
        <w:t>interference avoidance techniques</w:t>
      </w:r>
      <w:r w:rsidR="008439E4" w:rsidRPr="00E95159">
        <w:t xml:space="preserve">, </w:t>
      </w:r>
      <w:r w:rsidR="00EF5706" w:rsidRPr="00E95159">
        <w:t>includ</w:t>
      </w:r>
      <w:r w:rsidR="008439E4" w:rsidRPr="00E95159">
        <w:t>ing</w:t>
      </w:r>
      <w:r w:rsidR="00EF5706" w:rsidRPr="00E95159">
        <w:t xml:space="preserve"> </w:t>
      </w:r>
      <w:r w:rsidR="0067336D" w:rsidRPr="00E95159">
        <w:t xml:space="preserve">a detailed </w:t>
      </w:r>
      <w:r w:rsidR="00917BDE" w:rsidRPr="00E95159">
        <w:t xml:space="preserve">analysis of potential interference to </w:t>
      </w:r>
      <w:r w:rsidR="002C2311" w:rsidRPr="00E95159">
        <w:t>FS</w:t>
      </w:r>
      <w:r w:rsidR="00F97793" w:rsidRPr="00E95159">
        <w:t xml:space="preserve"> stations</w:t>
      </w:r>
      <w:r w:rsidR="00941B97" w:rsidRPr="00E95159">
        <w:t>,</w:t>
      </w:r>
      <w:r w:rsidR="0067336D" w:rsidRPr="00E95159">
        <w:t xml:space="preserve"> taking into account the characteristics of the SatPaq transmitting station, the </w:t>
      </w:r>
      <w:r w:rsidR="002C2311" w:rsidRPr="00E95159">
        <w:t>FS</w:t>
      </w:r>
      <w:r w:rsidR="0067336D" w:rsidRPr="00E95159">
        <w:t xml:space="preserve"> receiving stations, and the propagation environment between the stations</w:t>
      </w:r>
      <w:r w:rsidR="00941B97" w:rsidRPr="00E95159">
        <w:t>,</w:t>
      </w:r>
      <w:r w:rsidR="00B26812" w:rsidRPr="002A6B41">
        <w:rPr>
          <w:rStyle w:val="FootnoteReference"/>
          <w:sz w:val="22"/>
        </w:rPr>
        <w:footnoteReference w:id="49"/>
      </w:r>
      <w:r w:rsidR="00F97793" w:rsidRPr="00E95159">
        <w:t xml:space="preserve"> frequency agility</w:t>
      </w:r>
      <w:r w:rsidR="00941B97" w:rsidRPr="00E95159">
        <w:t>,</w:t>
      </w:r>
      <w:r w:rsidR="00EF5706" w:rsidRPr="00E95159">
        <w:t xml:space="preserve"> and satellite diversity. </w:t>
      </w:r>
      <w:r w:rsidR="001274C6" w:rsidRPr="00E95159">
        <w:t xml:space="preserve"> </w:t>
      </w:r>
      <w:r w:rsidR="00D72551" w:rsidRPr="00DD56F8">
        <w:t xml:space="preserve">We clarify that, because </w:t>
      </w:r>
      <w:r w:rsidR="005E19C3" w:rsidRPr="00DD56F8">
        <w:t>FS</w:t>
      </w:r>
      <w:r w:rsidR="00D72551" w:rsidRPr="00DD56F8">
        <w:t xml:space="preserve"> stations in the 5925-6425 MHz band are permitted to operate under conditional authority immediately upon the filing of an application,</w:t>
      </w:r>
      <w:r w:rsidR="00224D5B" w:rsidRPr="00DD56F8">
        <w:rPr>
          <w:vertAlign w:val="superscript"/>
        </w:rPr>
        <w:footnoteReference w:id="50"/>
      </w:r>
      <w:r w:rsidR="00224D5B" w:rsidRPr="00DD56F8">
        <w:t xml:space="preserve"> </w:t>
      </w:r>
      <w:r w:rsidR="00D72551" w:rsidRPr="00DD56F8">
        <w:t xml:space="preserve">Higher Ground’s system must protect terrestrial </w:t>
      </w:r>
      <w:r w:rsidR="002C2311" w:rsidRPr="00DD56F8">
        <w:t>FS</w:t>
      </w:r>
      <w:r w:rsidR="00D72551" w:rsidRPr="00DD56F8">
        <w:t xml:space="preserve"> receivers that are operating under conditional authority</w:t>
      </w:r>
      <w:r w:rsidR="00224D5B" w:rsidRPr="00DD56F8">
        <w:t>, in addition to receivers operating under licenses.</w:t>
      </w:r>
    </w:p>
    <w:p w:rsidR="007578E2" w:rsidRPr="00E95159" w:rsidRDefault="0051304D" w:rsidP="006D4E4D">
      <w:pPr>
        <w:pStyle w:val="ParaNum"/>
      </w:pPr>
      <w:r w:rsidRPr="00DD56F8">
        <w:t>W</w:t>
      </w:r>
      <w:r w:rsidR="00772578" w:rsidRPr="00DD56F8">
        <w:t>e are authorizing this system</w:t>
      </w:r>
      <w:r w:rsidR="00772578" w:rsidRPr="00861C14">
        <w:t xml:space="preserve"> with a number of conditions designed to allow the service to rollout in a controlled manner in order to minimize any potential negative impact on </w:t>
      </w:r>
      <w:r w:rsidR="00AB5BA6" w:rsidRPr="009115C0">
        <w:t>primary users</w:t>
      </w:r>
      <w:r w:rsidR="00772578" w:rsidRPr="009115C0">
        <w:t xml:space="preserve"> </w:t>
      </w:r>
      <w:r w:rsidRPr="009115C0">
        <w:t xml:space="preserve">(current and future) </w:t>
      </w:r>
      <w:r w:rsidR="00772578" w:rsidRPr="00B35B90">
        <w:t>in the unlikely event of interference.</w:t>
      </w:r>
      <w:r w:rsidR="007578E2" w:rsidRPr="00E95159">
        <w:t xml:space="preserve"> </w:t>
      </w:r>
      <w:r w:rsidR="007D164F">
        <w:t xml:space="preserve"> </w:t>
      </w:r>
      <w:r w:rsidR="00A6524F" w:rsidRPr="00E95159">
        <w:t>Notably, Higher Ground’s system must accept interference from and avoid causing interference to all current and future users of the band</w:t>
      </w:r>
      <w:r w:rsidR="00C116E6" w:rsidRPr="00E95159">
        <w:t xml:space="preserve"> operating under an existing allocation</w:t>
      </w:r>
      <w:r w:rsidR="00A6524F" w:rsidRPr="00E95159">
        <w:t>.  In addition</w:t>
      </w:r>
      <w:r w:rsidR="007578E2" w:rsidRPr="00E95159">
        <w:t xml:space="preserve">, the SatPaq Network Controller must maintain supervisory control of all operations at all times. </w:t>
      </w:r>
      <w:r w:rsidR="00C876F9" w:rsidRPr="00E95159">
        <w:t xml:space="preserve"> T</w:t>
      </w:r>
      <w:r w:rsidR="007578E2" w:rsidRPr="00E95159">
        <w:t>he SatPaq Network C</w:t>
      </w:r>
      <w:r w:rsidR="00C876F9" w:rsidRPr="00E95159">
        <w:t>ontroller must maintain the ability to</w:t>
      </w:r>
      <w:r w:rsidR="007578E2" w:rsidRPr="00E95159">
        <w:t xml:space="preserve"> override the frequency selection of the software on the SatPaq application and assign a different frequency or satellite for a SatPaq terminal transmission, shut off the entire SatPaq terminal operation by muting the forward path from a satellite necessary for the communication “handshake,” or direct a specific SatPaq terminal to suspend or delay its transmission</w:t>
      </w:r>
      <w:r w:rsidR="00590506" w:rsidRPr="00E95159">
        <w:t>.</w:t>
      </w:r>
      <w:r w:rsidRPr="00E95159">
        <w:t xml:space="preserve">  Finally, we note that we retain the right to add or change allocations</w:t>
      </w:r>
      <w:r w:rsidR="008F4C5D" w:rsidRPr="00E95159">
        <w:t xml:space="preserve"> in the band, and</w:t>
      </w:r>
      <w:r w:rsidRPr="00E95159">
        <w:t xml:space="preserve"> </w:t>
      </w:r>
      <w:r w:rsidR="00126AA4" w:rsidRPr="00E95159">
        <w:t xml:space="preserve">Higher Ground must protect </w:t>
      </w:r>
      <w:r w:rsidR="008F4C5D" w:rsidRPr="00E95159">
        <w:t xml:space="preserve">users operating under these new or modified allocations </w:t>
      </w:r>
      <w:r w:rsidRPr="00E95159">
        <w:t>in the</w:t>
      </w:r>
      <w:r w:rsidR="00126AA4" w:rsidRPr="00E95159">
        <w:t>se</w:t>
      </w:r>
      <w:r w:rsidRPr="00E95159">
        <w:t xml:space="preserve"> band</w:t>
      </w:r>
      <w:r w:rsidR="00126AA4" w:rsidRPr="00E95159">
        <w:t>s.</w:t>
      </w:r>
      <w:r w:rsidRPr="00E95159">
        <w:t xml:space="preserve"> </w:t>
      </w:r>
    </w:p>
    <w:p w:rsidR="00F90ACF" w:rsidRPr="00E95159" w:rsidRDefault="00F90ACF" w:rsidP="006D4E4D">
      <w:pPr>
        <w:pStyle w:val="ParaNum"/>
      </w:pPr>
      <w:r w:rsidRPr="00E95159">
        <w:rPr>
          <w:bCs/>
          <w:i/>
          <w:iCs/>
        </w:rPr>
        <w:t>Adjacent</w:t>
      </w:r>
      <w:r w:rsidR="00941B97" w:rsidRPr="00E95159">
        <w:rPr>
          <w:bCs/>
          <w:i/>
          <w:iCs/>
        </w:rPr>
        <w:t xml:space="preserve"> </w:t>
      </w:r>
      <w:r w:rsidR="00F82ECB">
        <w:rPr>
          <w:bCs/>
          <w:i/>
          <w:iCs/>
        </w:rPr>
        <w:t>C</w:t>
      </w:r>
      <w:r w:rsidRPr="00E95159">
        <w:rPr>
          <w:bCs/>
          <w:i/>
          <w:iCs/>
        </w:rPr>
        <w:t>hannel Interference</w:t>
      </w:r>
      <w:r w:rsidRPr="00E95159">
        <w:rPr>
          <w:bCs/>
          <w:iCs/>
        </w:rPr>
        <w:t xml:space="preserve">.  </w:t>
      </w:r>
      <w:r w:rsidRPr="00E95159">
        <w:t xml:space="preserve">FWCC is concerned that Higher Ground does not offer protection against adjacent channel operations.  FWCC points out that like all receivers, those in the </w:t>
      </w:r>
      <w:r w:rsidR="002C2311" w:rsidRPr="00E95159">
        <w:t>FS</w:t>
      </w:r>
      <w:r w:rsidRPr="00E95159">
        <w:t xml:space="preserve"> are vulnerable to interference sources in adjacent channels, and under some conditions, in second-adjacent channels as well (as where the interfering mobile is close to the victim </w:t>
      </w:r>
      <w:r w:rsidR="002C2311" w:rsidRPr="00E95159">
        <w:t>FS</w:t>
      </w:r>
      <w:r w:rsidR="00942724" w:rsidRPr="00E95159">
        <w:t xml:space="preserve"> </w:t>
      </w:r>
      <w:r w:rsidRPr="00E95159">
        <w:t xml:space="preserve">receiver).  In response, Higher Ground asserts that its SatPaq terminal operations will comply with applicable out-of-band emission limits, including those specified in Section 25.202(f) of the FCC’s rules, which are designed to protect against adjacent-channel interference.  </w:t>
      </w:r>
    </w:p>
    <w:p w:rsidR="00F90ACF" w:rsidRPr="00E95159" w:rsidRDefault="00F90ACF" w:rsidP="006D4E4D">
      <w:pPr>
        <w:pStyle w:val="ParaNum"/>
      </w:pPr>
      <w:r w:rsidRPr="00E95159">
        <w:t xml:space="preserve">We find that, given the low signal strength at which the SatPaq terminals transmit and the small likelihood of having </w:t>
      </w:r>
      <w:r w:rsidR="00BC35BD" w:rsidRPr="00E95159">
        <w:t xml:space="preserve">a SatPaq close </w:t>
      </w:r>
      <w:r w:rsidR="00BB3FCD" w:rsidRPr="00E95159">
        <w:t xml:space="preserve">to </w:t>
      </w:r>
      <w:r w:rsidR="00BC35BD" w:rsidRPr="00E95159">
        <w:t>an</w:t>
      </w:r>
      <w:r w:rsidRPr="00E95159">
        <w:t xml:space="preserve"> FS station</w:t>
      </w:r>
      <w:r w:rsidR="00BC35BD" w:rsidRPr="00E95159">
        <w:t xml:space="preserve"> operating in the adjacent channel</w:t>
      </w:r>
      <w:r w:rsidRPr="00E95159">
        <w:t xml:space="preserve">, the risk of interference </w:t>
      </w:r>
      <w:r w:rsidR="00BC35BD" w:rsidRPr="00E95159">
        <w:t>is</w:t>
      </w:r>
      <w:r w:rsidRPr="00E95159">
        <w:t xml:space="preserve"> minimal.  In any event, Higher Ground is obligated to comply with Section 25.202(f) of the Commission’s rules in order to protect against adjacent-channel interference.  </w:t>
      </w:r>
    </w:p>
    <w:p w:rsidR="003F08B6" w:rsidRPr="00E95159" w:rsidRDefault="00DF5A61" w:rsidP="006D4E4D">
      <w:pPr>
        <w:pStyle w:val="ParaNum"/>
      </w:pPr>
      <w:r w:rsidRPr="00E95159">
        <w:rPr>
          <w:i/>
        </w:rPr>
        <w:t xml:space="preserve">Automated </w:t>
      </w:r>
      <w:r w:rsidR="00F82ECB">
        <w:rPr>
          <w:i/>
        </w:rPr>
        <w:t>F</w:t>
      </w:r>
      <w:r w:rsidRPr="00E95159">
        <w:rPr>
          <w:i/>
        </w:rPr>
        <w:t xml:space="preserve">requency </w:t>
      </w:r>
      <w:r w:rsidR="00F82ECB">
        <w:rPr>
          <w:i/>
        </w:rPr>
        <w:t>C</w:t>
      </w:r>
      <w:r w:rsidRPr="00E95159">
        <w:rPr>
          <w:i/>
        </w:rPr>
        <w:t>oordination</w:t>
      </w:r>
      <w:r w:rsidR="00395E4E" w:rsidRPr="00E95159">
        <w:t>.  FWCC, CenturyLink, and others oppose</w:t>
      </w:r>
      <w:r w:rsidRPr="00E95159">
        <w:t xml:space="preserve"> Higher Ground’s use of an automated frequency coordination analysis system</w:t>
      </w:r>
      <w:r w:rsidR="00395E4E" w:rsidRPr="00E95159">
        <w:t xml:space="preserve"> rather than traditional coordination methods</w:t>
      </w:r>
      <w:r w:rsidRPr="00E95159">
        <w:t>.  FWCC argues</w:t>
      </w:r>
      <w:r w:rsidR="00395E4E" w:rsidRPr="00E95159">
        <w:t xml:space="preserve"> that Higher Ground’s coordination system</w:t>
      </w:r>
      <w:r w:rsidRPr="00E95159">
        <w:t xml:space="preserve"> is wholly unilatera</w:t>
      </w:r>
      <w:r w:rsidR="00395E4E" w:rsidRPr="00E95159">
        <w:t>l,</w:t>
      </w:r>
      <w:r w:rsidR="007B6D00" w:rsidRPr="00E95159">
        <w:t xml:space="preserve"> lacks transparency,</w:t>
      </w:r>
      <w:r w:rsidR="00395E4E" w:rsidRPr="00E95159">
        <w:t xml:space="preserve"> </w:t>
      </w:r>
      <w:r w:rsidR="007B6D00" w:rsidRPr="00E95159">
        <w:t xml:space="preserve">and </w:t>
      </w:r>
      <w:r w:rsidRPr="00E95159">
        <w:t>is not subject to review b</w:t>
      </w:r>
      <w:r w:rsidR="00ED0854" w:rsidRPr="00E95159">
        <w:t>y</w:t>
      </w:r>
      <w:r w:rsidR="007B6D00" w:rsidRPr="00E95159">
        <w:t xml:space="preserve"> independent validation.</w:t>
      </w:r>
      <w:r w:rsidR="007B6D00" w:rsidRPr="002A6B41">
        <w:rPr>
          <w:rStyle w:val="FootnoteReference"/>
          <w:sz w:val="22"/>
        </w:rPr>
        <w:footnoteReference w:id="51"/>
      </w:r>
      <w:r w:rsidR="007B6D00" w:rsidRPr="00E95159">
        <w:t xml:space="preserve">  FWCC notes </w:t>
      </w:r>
      <w:r w:rsidR="00ED0854" w:rsidRPr="00E95159">
        <w:t xml:space="preserve">that </w:t>
      </w:r>
      <w:r w:rsidR="007B6D00" w:rsidRPr="00E95159">
        <w:t>White Space and Citizens Broadband Radio Service’s protection of incumbents involved highly public process</w:t>
      </w:r>
      <w:r w:rsidR="00ED0854" w:rsidRPr="00E95159">
        <w:t>es</w:t>
      </w:r>
      <w:r w:rsidR="007B6D00" w:rsidRPr="00E95159">
        <w:t>, and that Higher Ground’s proposal is unacceptably opaque in comparison.</w:t>
      </w:r>
      <w:r w:rsidR="00343521" w:rsidRPr="002A6B41">
        <w:rPr>
          <w:rStyle w:val="FootnoteReference"/>
          <w:sz w:val="22"/>
        </w:rPr>
        <w:footnoteReference w:id="52"/>
      </w:r>
      <w:r w:rsidR="00A241B5" w:rsidRPr="00E95159">
        <w:t xml:space="preserve">  </w:t>
      </w:r>
      <w:r w:rsidRPr="00E95159">
        <w:t xml:space="preserve">FWCC </w:t>
      </w:r>
      <w:r w:rsidR="00395E4E" w:rsidRPr="00E95159">
        <w:t>also</w:t>
      </w:r>
      <w:r w:rsidRPr="00E95159">
        <w:t xml:space="preserve"> </w:t>
      </w:r>
      <w:r w:rsidR="00395E4E" w:rsidRPr="00E95159">
        <w:t xml:space="preserve">asserts </w:t>
      </w:r>
      <w:r w:rsidRPr="00E95159">
        <w:t xml:space="preserve">that Higher Ground’s presumptions </w:t>
      </w:r>
      <w:r w:rsidR="00395E4E" w:rsidRPr="00E95159">
        <w:t>about</w:t>
      </w:r>
      <w:r w:rsidRPr="00E95159">
        <w:t xml:space="preserve"> FS stations</w:t>
      </w:r>
      <w:r w:rsidR="00395E4E" w:rsidRPr="00E95159">
        <w:t>’ operational parameters are in</w:t>
      </w:r>
      <w:r w:rsidRPr="00E95159">
        <w:t>correct.</w:t>
      </w:r>
      <w:r w:rsidRPr="00E95159">
        <w:rPr>
          <w:rStyle w:val="FootnoteReference"/>
          <w:sz w:val="22"/>
        </w:rPr>
        <w:footnoteReference w:id="53"/>
      </w:r>
      <w:r w:rsidRPr="00E95159">
        <w:t xml:space="preserve">  </w:t>
      </w:r>
      <w:r w:rsidR="00A241B5" w:rsidRPr="00E95159">
        <w:t xml:space="preserve">Specifically, FWCC is concerned </w:t>
      </w:r>
      <w:r w:rsidRPr="00E95159">
        <w:t xml:space="preserve">that the </w:t>
      </w:r>
      <w:r w:rsidR="004F69F3" w:rsidRPr="00E95159">
        <w:t xml:space="preserve">ULS -- the </w:t>
      </w:r>
      <w:r w:rsidR="002C2311" w:rsidRPr="00E95159">
        <w:t>FS</w:t>
      </w:r>
      <w:r w:rsidR="00A241B5" w:rsidRPr="00E95159">
        <w:t xml:space="preserve"> license</w:t>
      </w:r>
      <w:r w:rsidR="004F69F3" w:rsidRPr="00E95159">
        <w:t xml:space="preserve"> database</w:t>
      </w:r>
      <w:r w:rsidRPr="00E95159">
        <w:t xml:space="preserve"> on which Higher Ground propo</w:t>
      </w:r>
      <w:r w:rsidR="00A241B5" w:rsidRPr="00E95159">
        <w:t>ses to rely</w:t>
      </w:r>
      <w:r w:rsidR="004F69F3" w:rsidRPr="00E95159">
        <w:t xml:space="preserve"> --</w:t>
      </w:r>
      <w:r w:rsidR="00A241B5" w:rsidRPr="00E95159">
        <w:t xml:space="preserve"> includes</w:t>
      </w:r>
      <w:r w:rsidRPr="00E95159">
        <w:t xml:space="preserve"> errors, particularly in tower locations.</w:t>
      </w:r>
      <w:r w:rsidRPr="00E95159">
        <w:rPr>
          <w:rStyle w:val="FootnoteReference"/>
          <w:sz w:val="22"/>
        </w:rPr>
        <w:footnoteReference w:id="54"/>
      </w:r>
      <w:r w:rsidRPr="00E95159">
        <w:t xml:space="preserve">  FWCC</w:t>
      </w:r>
      <w:r w:rsidR="00376F6C">
        <w:t>, however,</w:t>
      </w:r>
      <w:r w:rsidRPr="00E95159">
        <w:t xml:space="preserve"> </w:t>
      </w:r>
      <w:r w:rsidR="00067F50" w:rsidRPr="00E95159">
        <w:t xml:space="preserve">acknowledges that </w:t>
      </w:r>
      <w:r w:rsidRPr="00E95159">
        <w:t xml:space="preserve">most of the errors are </w:t>
      </w:r>
      <w:r w:rsidR="00005FE4" w:rsidRPr="00E95159">
        <w:t xml:space="preserve">likely to be </w:t>
      </w:r>
      <w:r w:rsidRPr="00E95159">
        <w:t>small</w:t>
      </w:r>
      <w:r w:rsidR="00067F50" w:rsidRPr="00E95159">
        <w:t xml:space="preserve">, and that the </w:t>
      </w:r>
      <w:r w:rsidR="002C2311" w:rsidRPr="00E95159">
        <w:t>FS</w:t>
      </w:r>
      <w:r w:rsidR="00067F50" w:rsidRPr="00E95159">
        <w:t xml:space="preserve"> </w:t>
      </w:r>
      <w:r w:rsidRPr="00E95159">
        <w:t xml:space="preserve">licensees have </w:t>
      </w:r>
      <w:r w:rsidR="00067F50" w:rsidRPr="00E95159">
        <w:t xml:space="preserve">the </w:t>
      </w:r>
      <w:r w:rsidRPr="00E95159">
        <w:t>responsibility to keep the database accurate.</w:t>
      </w:r>
      <w:r w:rsidRPr="00E95159">
        <w:rPr>
          <w:rStyle w:val="FootnoteReference"/>
          <w:sz w:val="22"/>
        </w:rPr>
        <w:footnoteReference w:id="55"/>
      </w:r>
      <w:r w:rsidR="00067F50" w:rsidRPr="00E95159">
        <w:t xml:space="preserve">  </w:t>
      </w:r>
      <w:r w:rsidR="003F08B6" w:rsidRPr="00E95159">
        <w:t>Finally, FWCC asserts that there is no way for an authorized user to protest interference</w:t>
      </w:r>
      <w:r w:rsidR="00C818FF" w:rsidRPr="00E95159">
        <w:t>.</w:t>
      </w:r>
      <w:r w:rsidR="003F08B6" w:rsidRPr="00E95159">
        <w:rPr>
          <w:rStyle w:val="FootnoteReference"/>
          <w:sz w:val="22"/>
        </w:rPr>
        <w:footnoteReference w:id="56"/>
      </w:r>
    </w:p>
    <w:p w:rsidR="00A241B5" w:rsidRPr="00E95159" w:rsidRDefault="00005FE4" w:rsidP="006D4E4D">
      <w:pPr>
        <w:pStyle w:val="ParaNum"/>
      </w:pPr>
      <w:r w:rsidRPr="00E95159">
        <w:t xml:space="preserve">In response, </w:t>
      </w:r>
      <w:r w:rsidR="00DF5A61" w:rsidRPr="00E95159">
        <w:t xml:space="preserve">Higher Ground </w:t>
      </w:r>
      <w:r w:rsidRPr="00E95159">
        <w:t>notes that the Commission has found that other parties may reasonably rely upon ULS licensing data, even if “attributable to an ‘error in the Commission’s data base.’”</w:t>
      </w:r>
      <w:r w:rsidRPr="002A6B41">
        <w:rPr>
          <w:rStyle w:val="FootnoteReference"/>
          <w:sz w:val="22"/>
        </w:rPr>
        <w:footnoteReference w:id="57"/>
      </w:r>
      <w:r w:rsidRPr="00E95159">
        <w:t xml:space="preserve">  </w:t>
      </w:r>
      <w:r w:rsidR="00344DFC" w:rsidRPr="00E95159">
        <w:t xml:space="preserve">In any event, </w:t>
      </w:r>
      <w:r w:rsidR="00DF5A61" w:rsidRPr="00E95159">
        <w:t>Higher Ground</w:t>
      </w:r>
      <w:r w:rsidR="00344DFC" w:rsidRPr="00E95159">
        <w:t xml:space="preserve"> asserts </w:t>
      </w:r>
      <w:r w:rsidR="00167663" w:rsidRPr="00E95159">
        <w:t xml:space="preserve">that </w:t>
      </w:r>
      <w:r w:rsidR="00344DFC" w:rsidRPr="00E95159">
        <w:t>when</w:t>
      </w:r>
      <w:r w:rsidR="00167663" w:rsidRPr="00E95159">
        <w:t>ever</w:t>
      </w:r>
      <w:r w:rsidR="00344DFC" w:rsidRPr="00E95159">
        <w:t xml:space="preserve"> it</w:t>
      </w:r>
      <w:r w:rsidR="00DF5A61" w:rsidRPr="00E95159">
        <w:t xml:space="preserve"> has found errors of omission in the ULS licensing data, Higher Ground inserts replacement data with a significant safety factor.</w:t>
      </w:r>
      <w:r w:rsidR="00DF5A61" w:rsidRPr="002A6B41">
        <w:rPr>
          <w:rStyle w:val="FootnoteReference"/>
          <w:sz w:val="22"/>
        </w:rPr>
        <w:footnoteReference w:id="58"/>
      </w:r>
      <w:r w:rsidR="00DF5A61" w:rsidRPr="00E95159">
        <w:t xml:space="preserve">  </w:t>
      </w:r>
      <w:r w:rsidR="00A241B5" w:rsidRPr="00E95159">
        <w:t xml:space="preserve">Higher Ground </w:t>
      </w:r>
      <w:r w:rsidR="00F90ACF" w:rsidRPr="00E95159">
        <w:t xml:space="preserve">also notes that it </w:t>
      </w:r>
      <w:r w:rsidR="00A241B5" w:rsidRPr="00E95159">
        <w:t>has thoroughly explained and demonstrated its coordination process</w:t>
      </w:r>
      <w:r w:rsidR="00F90ACF" w:rsidRPr="00E95159">
        <w:t xml:space="preserve"> both to the Commission and interested parties</w:t>
      </w:r>
      <w:r w:rsidR="00A241B5" w:rsidRPr="00E95159">
        <w:t xml:space="preserve">.  The </w:t>
      </w:r>
      <w:r w:rsidR="00F90ACF" w:rsidRPr="00E95159">
        <w:t xml:space="preserve">application and underlying </w:t>
      </w:r>
      <w:r w:rsidR="00A241B5" w:rsidRPr="00E95159">
        <w:t xml:space="preserve">technical information </w:t>
      </w:r>
      <w:r w:rsidR="00F90ACF" w:rsidRPr="00E95159">
        <w:t>have</w:t>
      </w:r>
      <w:r w:rsidR="00A241B5" w:rsidRPr="00E95159">
        <w:t xml:space="preserve"> been on public notice </w:t>
      </w:r>
      <w:r w:rsidR="00F90ACF" w:rsidRPr="00E95159">
        <w:t xml:space="preserve">and available </w:t>
      </w:r>
      <w:r w:rsidR="00A241B5" w:rsidRPr="00E95159">
        <w:t>for comment</w:t>
      </w:r>
      <w:r w:rsidR="003F08B6" w:rsidRPr="00E95159">
        <w:t xml:space="preserve">, and Higher Ground </w:t>
      </w:r>
      <w:r w:rsidR="00DB222A" w:rsidRPr="00E95159">
        <w:t xml:space="preserve">argues that it </w:t>
      </w:r>
      <w:r w:rsidR="003F08B6" w:rsidRPr="00E95159">
        <w:t>has provided sufficient answers and explanations for any issues raised.</w:t>
      </w:r>
      <w:r w:rsidR="00F90ACF" w:rsidRPr="00E95159">
        <w:t xml:space="preserve">  </w:t>
      </w:r>
    </w:p>
    <w:p w:rsidR="00A04262" w:rsidRPr="00E95159" w:rsidRDefault="00A04262" w:rsidP="006D4E4D">
      <w:pPr>
        <w:pStyle w:val="ParaNum"/>
      </w:pPr>
      <w:r w:rsidRPr="00E95159">
        <w:t>We find that Higher Ground’</w:t>
      </w:r>
      <w:r w:rsidR="00F90ACF" w:rsidRPr="00E95159">
        <w:t>s automated</w:t>
      </w:r>
      <w:r w:rsidRPr="00E95159">
        <w:t xml:space="preserve"> coordination process</w:t>
      </w:r>
      <w:r w:rsidR="005762EC" w:rsidRPr="00E95159">
        <w:t>, while unconventional</w:t>
      </w:r>
      <w:r w:rsidR="00772578" w:rsidRPr="00E95159">
        <w:t xml:space="preserve"> and proprietary</w:t>
      </w:r>
      <w:r w:rsidR="002B2D7E" w:rsidRPr="00E95159">
        <w:t>, provides</w:t>
      </w:r>
      <w:r w:rsidRPr="00E95159">
        <w:t xml:space="preserve"> </w:t>
      </w:r>
      <w:r w:rsidR="00772578" w:rsidRPr="00E95159">
        <w:t xml:space="preserve">necessary </w:t>
      </w:r>
      <w:r w:rsidRPr="00E95159">
        <w:t>safeguards against harmful interference to</w:t>
      </w:r>
      <w:r w:rsidR="008F22B0" w:rsidRPr="00E95159">
        <w:t xml:space="preserve"> </w:t>
      </w:r>
      <w:r w:rsidR="00DB222A" w:rsidRPr="00E95159">
        <w:t xml:space="preserve">users in the band.  </w:t>
      </w:r>
      <w:r w:rsidR="00DF5A61" w:rsidRPr="00E95159">
        <w:t>Higher Ground’s interference analysis is a unilateral coordination process that is different from the previously established coordination process</w:t>
      </w:r>
      <w:r w:rsidR="00C70E72">
        <w:t xml:space="preserve"> under Section 25.203(c) of the Commi</w:t>
      </w:r>
      <w:r w:rsidR="00E10721">
        <w:t>s</w:t>
      </w:r>
      <w:r w:rsidR="00C70E72">
        <w:t>sion’s rules</w:t>
      </w:r>
      <w:r w:rsidR="00DF5A61" w:rsidRPr="00E95159">
        <w:t>.</w:t>
      </w:r>
      <w:r w:rsidR="00C70E72">
        <w:rPr>
          <w:rStyle w:val="FootnoteReference"/>
        </w:rPr>
        <w:footnoteReference w:id="59"/>
      </w:r>
      <w:r w:rsidR="00DF5A61" w:rsidRPr="00E95159">
        <w:t xml:space="preserve">  However, the Commission supports new, innovative and increasingly efficient ways of achieving spectrum sharing</w:t>
      </w:r>
      <w:r w:rsidR="00F90ACF" w:rsidRPr="00E95159">
        <w:t xml:space="preserve"> without harmful interference to </w:t>
      </w:r>
      <w:r w:rsidR="00DD7382" w:rsidRPr="00E95159">
        <w:t>other</w:t>
      </w:r>
      <w:r w:rsidR="00F90ACF" w:rsidRPr="00E95159">
        <w:t xml:space="preserve"> users.</w:t>
      </w:r>
      <w:r w:rsidR="00F82ECB" w:rsidRPr="002A6B41">
        <w:rPr>
          <w:rStyle w:val="FootnoteReference"/>
          <w:sz w:val="22"/>
        </w:rPr>
        <w:footnoteReference w:id="60"/>
      </w:r>
      <w:r w:rsidR="00DF5A61" w:rsidRPr="00E95159">
        <w:t xml:space="preserve">  </w:t>
      </w:r>
      <w:r w:rsidR="00343521" w:rsidRPr="00E95159">
        <w:t xml:space="preserve">Although </w:t>
      </w:r>
      <w:r w:rsidR="00DF5A61" w:rsidRPr="00E95159">
        <w:t xml:space="preserve">the </w:t>
      </w:r>
      <w:r w:rsidR="008D7689" w:rsidRPr="00E95159">
        <w:t>details</w:t>
      </w:r>
      <w:r w:rsidR="00343521" w:rsidRPr="00E95159">
        <w:t xml:space="preserve"> of Higher Ground’s</w:t>
      </w:r>
      <w:r w:rsidR="00DF5A61" w:rsidRPr="00E95159">
        <w:t xml:space="preserve"> algorithm</w:t>
      </w:r>
      <w:r w:rsidR="00343521" w:rsidRPr="00E95159">
        <w:t>s</w:t>
      </w:r>
      <w:r w:rsidR="00DF5A61" w:rsidRPr="00E95159">
        <w:t xml:space="preserve"> are proprietary, </w:t>
      </w:r>
      <w:r w:rsidR="00DB222A" w:rsidRPr="00E95159">
        <w:t xml:space="preserve">Higher Ground </w:t>
      </w:r>
      <w:r w:rsidR="00F90ACF" w:rsidRPr="00E95159">
        <w:t>has provided sufficient technical and</w:t>
      </w:r>
      <w:r w:rsidR="00343521" w:rsidRPr="00E95159">
        <w:t xml:space="preserve"> operational parameters </w:t>
      </w:r>
      <w:r w:rsidR="00F90ACF" w:rsidRPr="00E95159">
        <w:t xml:space="preserve">for its automated coordination system </w:t>
      </w:r>
      <w:r w:rsidR="00343521" w:rsidRPr="00E95159">
        <w:t xml:space="preserve">to </w:t>
      </w:r>
      <w:r w:rsidR="00C52A30" w:rsidRPr="00E95159">
        <w:t>support its application.</w:t>
      </w:r>
      <w:r w:rsidR="00F90ACF" w:rsidRPr="00E95159">
        <w:t xml:space="preserve">  For example, Higher Ground’s reliance on </w:t>
      </w:r>
      <w:r w:rsidR="007D1D1C" w:rsidRPr="00E95159">
        <w:t xml:space="preserve">the </w:t>
      </w:r>
      <w:r w:rsidR="00F90ACF" w:rsidRPr="00E95159">
        <w:t xml:space="preserve">ULS to identify </w:t>
      </w:r>
      <w:r w:rsidR="005E19C3" w:rsidRPr="00E95159">
        <w:t xml:space="preserve">FS </w:t>
      </w:r>
      <w:r w:rsidR="00F90ACF" w:rsidRPr="00E95159">
        <w:t xml:space="preserve">stations is reasonable, and Higher Ground </w:t>
      </w:r>
      <w:r w:rsidR="006576D4" w:rsidRPr="00E95159">
        <w:t xml:space="preserve">states that it </w:t>
      </w:r>
      <w:r w:rsidR="00F90ACF" w:rsidRPr="00E95159">
        <w:t>has endeavored to correct any errors that it has identified with conservative assumptions designed to avoid any harmful interference.</w:t>
      </w:r>
      <w:r w:rsidR="00F82ECB">
        <w:rPr>
          <w:rStyle w:val="FootnoteReference"/>
        </w:rPr>
        <w:footnoteReference w:id="61"/>
      </w:r>
    </w:p>
    <w:p w:rsidR="00EF7AE3" w:rsidRPr="00E95159" w:rsidRDefault="00C74439" w:rsidP="006D4E4D">
      <w:pPr>
        <w:pStyle w:val="ParaNum"/>
      </w:pPr>
      <w:r w:rsidRPr="00E95159">
        <w:rPr>
          <w:bCs/>
          <w:i/>
          <w:iCs/>
        </w:rPr>
        <w:t>Attributing Harmful I</w:t>
      </w:r>
      <w:r w:rsidR="00EF7AE3" w:rsidRPr="00E95159">
        <w:rPr>
          <w:bCs/>
          <w:i/>
          <w:iCs/>
        </w:rPr>
        <w:t>nterference</w:t>
      </w:r>
      <w:r w:rsidR="00EF7AE3" w:rsidRPr="00E95159">
        <w:t xml:space="preserve">.  Higher Ground </w:t>
      </w:r>
      <w:r w:rsidR="00C12F27" w:rsidRPr="00E95159">
        <w:t xml:space="preserve">asserts </w:t>
      </w:r>
      <w:r w:rsidR="00EF7AE3" w:rsidRPr="00E95159">
        <w:t xml:space="preserve">that its billing logs will be able to confirm or deny that a </w:t>
      </w:r>
      <w:r w:rsidR="004635CB" w:rsidRPr="00E95159">
        <w:t>SatPaq</w:t>
      </w:r>
      <w:r w:rsidR="00FC3591" w:rsidRPr="00E95159">
        <w:t xml:space="preserve"> terminal</w:t>
      </w:r>
      <w:r w:rsidR="004635CB" w:rsidRPr="00E95159">
        <w:t xml:space="preserve"> </w:t>
      </w:r>
      <w:r w:rsidR="00EF7AE3" w:rsidRPr="00E95159">
        <w:t xml:space="preserve">caused </w:t>
      </w:r>
      <w:r w:rsidR="004635CB" w:rsidRPr="00E95159">
        <w:t xml:space="preserve">a </w:t>
      </w:r>
      <w:r w:rsidR="00EF7AE3" w:rsidRPr="00E95159">
        <w:t>particular interference event.</w:t>
      </w:r>
      <w:r w:rsidR="007656E3" w:rsidRPr="00E95159">
        <w:rPr>
          <w:rStyle w:val="FootnoteReference"/>
          <w:sz w:val="22"/>
        </w:rPr>
        <w:footnoteReference w:id="62"/>
      </w:r>
      <w:r w:rsidR="004635CB" w:rsidRPr="00E95159">
        <w:t xml:space="preserve"> </w:t>
      </w:r>
      <w:r w:rsidR="00EF7AE3" w:rsidRPr="00E95159">
        <w:t xml:space="preserve"> </w:t>
      </w:r>
      <w:r w:rsidR="007656E3" w:rsidRPr="00E95159">
        <w:t>FWCC counters that e</w:t>
      </w:r>
      <w:r w:rsidR="00EF7AE3" w:rsidRPr="00E95159">
        <w:t xml:space="preserve">ven if Higher Ground’s operations were to seriously degrade </w:t>
      </w:r>
      <w:r w:rsidR="002C2311" w:rsidRPr="00E95159">
        <w:t>FS</w:t>
      </w:r>
      <w:r w:rsidR="00EF7AE3" w:rsidRPr="00E95159">
        <w:t xml:space="preserve"> operations, the affected </w:t>
      </w:r>
      <w:r w:rsidR="002C2311" w:rsidRPr="00E95159">
        <w:t>FS</w:t>
      </w:r>
      <w:r w:rsidR="00EF7AE3" w:rsidRPr="00E95159">
        <w:t xml:space="preserve"> operators would have no way to connect the interference to Higher Ground.</w:t>
      </w:r>
      <w:r w:rsidR="007656E3" w:rsidRPr="00E95159">
        <w:rPr>
          <w:rStyle w:val="FootnoteReference"/>
          <w:sz w:val="22"/>
        </w:rPr>
        <w:footnoteReference w:id="63"/>
      </w:r>
      <w:r w:rsidR="00EF7AE3" w:rsidRPr="00E95159">
        <w:t xml:space="preserve"> </w:t>
      </w:r>
      <w:r w:rsidR="007656E3" w:rsidRPr="00E95159">
        <w:t xml:space="preserve"> FWCC states that they </w:t>
      </w:r>
      <w:r w:rsidR="00EF7AE3" w:rsidRPr="00E95159">
        <w:t xml:space="preserve">are sensitive to this problem after </w:t>
      </w:r>
      <w:r w:rsidR="006576D4" w:rsidRPr="00E95159">
        <w:t xml:space="preserve">incidents of </w:t>
      </w:r>
      <w:r w:rsidR="00EF7AE3" w:rsidRPr="00E95159">
        <w:t xml:space="preserve">interference from </w:t>
      </w:r>
      <w:r w:rsidR="00941B97" w:rsidRPr="00E95159">
        <w:t>e</w:t>
      </w:r>
      <w:r w:rsidR="00EF7AE3" w:rsidRPr="00E95159">
        <w:t xml:space="preserve">arth </w:t>
      </w:r>
      <w:r w:rsidR="00941B97" w:rsidRPr="00E95159">
        <w:t>s</w:t>
      </w:r>
      <w:r w:rsidR="00EF7AE3" w:rsidRPr="00E95159">
        <w:t xml:space="preserve">tations on </w:t>
      </w:r>
      <w:r w:rsidR="00941B97" w:rsidRPr="00E95159">
        <w:t>v</w:t>
      </w:r>
      <w:r w:rsidR="00EF7AE3" w:rsidRPr="00E95159">
        <w:t>essels proved very difficult to identify.</w:t>
      </w:r>
      <w:r w:rsidR="007716DC" w:rsidRPr="002A6B41">
        <w:rPr>
          <w:rStyle w:val="FootnoteReference"/>
          <w:sz w:val="22"/>
        </w:rPr>
        <w:footnoteReference w:id="64"/>
      </w:r>
      <w:r w:rsidR="004635CB" w:rsidRPr="00E95159">
        <w:t xml:space="preserve"> </w:t>
      </w:r>
      <w:r w:rsidR="00EF7AE3" w:rsidRPr="00E95159">
        <w:t xml:space="preserve"> Even if interference events were properly attributable retroactive</w:t>
      </w:r>
      <w:r w:rsidR="007656E3" w:rsidRPr="00E95159">
        <w:t>ly, argues FWCC, t</w:t>
      </w:r>
      <w:r w:rsidR="00EF7AE3" w:rsidRPr="00E95159">
        <w:t xml:space="preserve">he damage would </w:t>
      </w:r>
      <w:r w:rsidR="000A6239" w:rsidRPr="00E95159">
        <w:t xml:space="preserve">have </w:t>
      </w:r>
      <w:r w:rsidR="00EF7AE3" w:rsidRPr="00E95159">
        <w:t>be</w:t>
      </w:r>
      <w:r w:rsidR="000A6239" w:rsidRPr="00E95159">
        <w:t>en</w:t>
      </w:r>
      <w:r w:rsidR="00EF7AE3" w:rsidRPr="00E95159">
        <w:t xml:space="preserve"> done and there would be no way for a</w:t>
      </w:r>
      <w:r w:rsidR="00413A17" w:rsidRPr="00E95159">
        <w:t>n</w:t>
      </w:r>
      <w:r w:rsidR="00EF7AE3" w:rsidRPr="00E95159">
        <w:t xml:space="preserve"> </w:t>
      </w:r>
      <w:r w:rsidR="00413A17" w:rsidRPr="00E95159">
        <w:t>FS</w:t>
      </w:r>
      <w:r w:rsidR="00EF7AE3" w:rsidRPr="00E95159">
        <w:t xml:space="preserve"> operator to address the root cause of the problem.</w:t>
      </w:r>
      <w:r w:rsidR="007656E3" w:rsidRPr="00E95159">
        <w:rPr>
          <w:rStyle w:val="FootnoteReference"/>
          <w:sz w:val="22"/>
        </w:rPr>
        <w:footnoteReference w:id="65"/>
      </w:r>
    </w:p>
    <w:p w:rsidR="008D7689" w:rsidRPr="00E95159" w:rsidRDefault="00FF42B8" w:rsidP="006D4E4D">
      <w:pPr>
        <w:pStyle w:val="ParaNum"/>
      </w:pPr>
      <w:r w:rsidRPr="00E95159">
        <w:t xml:space="preserve">CenturyLink is also concerned about the intermittent nature of the SatPaq </w:t>
      </w:r>
      <w:r w:rsidR="00FC3591" w:rsidRPr="00E95159">
        <w:t>terminal</w:t>
      </w:r>
      <w:r w:rsidR="0056243B" w:rsidRPr="00E95159">
        <w:t xml:space="preserve"> transmissions</w:t>
      </w:r>
      <w:r w:rsidRPr="00E95159">
        <w:t>, and thus the difficulty in isolating the source of any interference.</w:t>
      </w:r>
      <w:r w:rsidRPr="00E95159">
        <w:rPr>
          <w:rStyle w:val="FootnoteReference"/>
          <w:sz w:val="22"/>
        </w:rPr>
        <w:footnoteReference w:id="66"/>
      </w:r>
      <w:r w:rsidRPr="00E95159">
        <w:t xml:space="preserve">  </w:t>
      </w:r>
      <w:r w:rsidR="009C1BAB" w:rsidRPr="00E95159">
        <w:t>CenturyLink requests that grant of Higher Ground’s application include a condition that Higher Ground accept responsibility and liability for any operational hardship associated with service degradation and liability for any fines, penalties, or legal complications resulting from service disruption or outage</w:t>
      </w:r>
      <w:r w:rsidR="00454CC4" w:rsidRPr="00E95159">
        <w:t>.</w:t>
      </w:r>
      <w:r w:rsidR="009C1BAB" w:rsidRPr="00E95159">
        <w:rPr>
          <w:rStyle w:val="FootnoteReference"/>
          <w:sz w:val="22"/>
        </w:rPr>
        <w:footnoteReference w:id="67"/>
      </w:r>
      <w:r w:rsidR="009C1BAB" w:rsidRPr="00E95159">
        <w:t xml:space="preserve">  </w:t>
      </w:r>
    </w:p>
    <w:p w:rsidR="00F930CC" w:rsidRPr="00E95159" w:rsidRDefault="0057655C" w:rsidP="006D4E4D">
      <w:pPr>
        <w:pStyle w:val="ParaNum"/>
      </w:pPr>
      <w:r w:rsidRPr="00E95159">
        <w:t xml:space="preserve">In response, Higher Ground points out that SatPaq </w:t>
      </w:r>
      <w:r w:rsidR="00FC3591" w:rsidRPr="00E95159">
        <w:t xml:space="preserve">terminal </w:t>
      </w:r>
      <w:r w:rsidRPr="00E95159">
        <w:t>operations will be network-controlled, and Higher Ground will log all SatPaq</w:t>
      </w:r>
      <w:r w:rsidR="00FC3591" w:rsidRPr="00E95159">
        <w:t xml:space="preserve"> terminal</w:t>
      </w:r>
      <w:r w:rsidRPr="00E95159">
        <w:t xml:space="preserve"> transmissions.</w:t>
      </w:r>
      <w:r w:rsidRPr="002A6B41">
        <w:rPr>
          <w:rStyle w:val="FootnoteReference"/>
          <w:sz w:val="22"/>
        </w:rPr>
        <w:footnoteReference w:id="68"/>
      </w:r>
      <w:r w:rsidRPr="00E95159">
        <w:t xml:space="preserve">  The Higher Ground log will contain each SatPaq</w:t>
      </w:r>
      <w:r w:rsidR="00FC3591" w:rsidRPr="00E95159">
        <w:t xml:space="preserve"> terminal</w:t>
      </w:r>
      <w:r w:rsidRPr="00E95159">
        <w:t xml:space="preserve">’s transmitting location, and the date, time, and duration of each transmission, and thus can be used to identify whether SatPaq </w:t>
      </w:r>
      <w:r w:rsidR="00FC3591" w:rsidRPr="00E95159">
        <w:t xml:space="preserve">terminal </w:t>
      </w:r>
      <w:r w:rsidRPr="00E95159">
        <w:t>operations occurred in the vicinity of any reported interference.</w:t>
      </w:r>
      <w:r w:rsidRPr="002A6B41">
        <w:rPr>
          <w:rStyle w:val="FootnoteReference"/>
          <w:sz w:val="22"/>
        </w:rPr>
        <w:footnoteReference w:id="69"/>
      </w:r>
      <w:r w:rsidRPr="00E95159">
        <w:t xml:space="preserve">  The log </w:t>
      </w:r>
      <w:r w:rsidR="00772578" w:rsidRPr="00E95159">
        <w:t>and all of its details</w:t>
      </w:r>
      <w:r w:rsidRPr="00E95159">
        <w:t xml:space="preserve"> will be made available to the </w:t>
      </w:r>
      <w:r w:rsidR="00DB222A" w:rsidRPr="00E95159">
        <w:t xml:space="preserve">Commission </w:t>
      </w:r>
      <w:r w:rsidRPr="00E95159">
        <w:t>upon request.</w:t>
      </w:r>
      <w:r w:rsidRPr="002A6B41">
        <w:rPr>
          <w:rStyle w:val="FootnoteReference"/>
          <w:sz w:val="22"/>
        </w:rPr>
        <w:footnoteReference w:id="70"/>
      </w:r>
      <w:r w:rsidRPr="00E95159">
        <w:t xml:space="preserve">  </w:t>
      </w:r>
      <w:r w:rsidR="00F82ECB">
        <w:t>Higher Ground notes that t</w:t>
      </w:r>
      <w:r w:rsidR="007B52EB" w:rsidRPr="00E95159">
        <w:t>he Commission supports the use of dynamic coordination frameworks</w:t>
      </w:r>
      <w:r w:rsidR="00B95AF6" w:rsidRPr="00E95159">
        <w:t xml:space="preserve"> for other services</w:t>
      </w:r>
      <w:r w:rsidR="00585506" w:rsidRPr="00E95159">
        <w:t>, such as Citizens Broadband Radio Service,</w:t>
      </w:r>
      <w:r w:rsidR="00B95AF6" w:rsidRPr="00E95159">
        <w:t xml:space="preserve"> to maximize</w:t>
      </w:r>
      <w:r w:rsidR="007B52EB" w:rsidRPr="00E95159">
        <w:t xml:space="preserve"> spectrum’s potential use.  </w:t>
      </w:r>
      <w:r w:rsidR="00585506" w:rsidRPr="00E95159">
        <w:t>The sharing regime in that case involves a three-tiered framework</w:t>
      </w:r>
      <w:r w:rsidR="00BC789A" w:rsidRPr="00E95159">
        <w:t>, prioritizing use across multiple users in commercial and government environments,</w:t>
      </w:r>
      <w:r w:rsidR="00585506" w:rsidRPr="00E95159">
        <w:t xml:space="preserve"> with potentially multiple administrators.</w:t>
      </w:r>
      <w:r w:rsidR="00BC789A" w:rsidRPr="002A6B41">
        <w:rPr>
          <w:rStyle w:val="FootnoteReference"/>
          <w:sz w:val="22"/>
        </w:rPr>
        <w:footnoteReference w:id="71"/>
      </w:r>
      <w:r w:rsidR="00585506" w:rsidRPr="00E95159">
        <w:t xml:space="preserve">  </w:t>
      </w:r>
      <w:r w:rsidR="00BC789A" w:rsidRPr="00E95159">
        <w:t>In contrast</w:t>
      </w:r>
      <w:r w:rsidRPr="00E95159">
        <w:t xml:space="preserve">, </w:t>
      </w:r>
      <w:r w:rsidR="006576D4" w:rsidRPr="00E95159">
        <w:t xml:space="preserve">Higher Ground argues that </w:t>
      </w:r>
      <w:r w:rsidRPr="00E95159">
        <w:t xml:space="preserve">the SatPaq </w:t>
      </w:r>
      <w:r w:rsidR="00FC3591" w:rsidRPr="00E95159">
        <w:t xml:space="preserve">terminal </w:t>
      </w:r>
      <w:r w:rsidRPr="00E95159">
        <w:t xml:space="preserve">interference regime is unlike the framework required for other services, such as </w:t>
      </w:r>
      <w:r w:rsidR="00A6524F" w:rsidRPr="00E95159">
        <w:t>the Citizens Broadband Radio Service</w:t>
      </w:r>
      <w:r w:rsidRPr="00E95159">
        <w:t>, in that it is much simpler to implement using a single database that authorizes and manages a limited number of devices operated within the same network.</w:t>
      </w:r>
      <w:r w:rsidR="00686B00" w:rsidRPr="00E95159">
        <w:t xml:space="preserve">  </w:t>
      </w:r>
    </w:p>
    <w:p w:rsidR="00191B16" w:rsidRPr="00E95159" w:rsidRDefault="00F82ECB" w:rsidP="006D4E4D">
      <w:pPr>
        <w:pStyle w:val="ParaNum"/>
      </w:pPr>
      <w:r>
        <w:t>As previously noted, the Commission supports innovative ways to share spectrum without</w:t>
      </w:r>
      <w:r w:rsidR="00FD568D">
        <w:t xml:space="preserve"> interfering with other users.</w:t>
      </w:r>
      <w:r w:rsidR="00FD568D">
        <w:rPr>
          <w:rStyle w:val="FootnoteReference"/>
        </w:rPr>
        <w:footnoteReference w:id="72"/>
      </w:r>
      <w:r w:rsidR="00FD568D">
        <w:t xml:space="preserve">  In this case, the use of a single database that authorizes and manages the devices within a single network is relatively simple.  Nonetheless, w</w:t>
      </w:r>
      <w:r w:rsidR="00191B16" w:rsidRPr="00E95159">
        <w:t xml:space="preserve">e agree that Higher Ground’s </w:t>
      </w:r>
      <w:r w:rsidR="008F4C5D" w:rsidRPr="00E95159">
        <w:t xml:space="preserve">authorization </w:t>
      </w:r>
      <w:r w:rsidR="00191B16" w:rsidRPr="00E95159">
        <w:t xml:space="preserve">should be conditioned </w:t>
      </w:r>
      <w:r w:rsidR="00F05FA8" w:rsidRPr="00E95159">
        <w:t xml:space="preserve">on the </w:t>
      </w:r>
      <w:r w:rsidR="00191B16" w:rsidRPr="00E95159">
        <w:t>track</w:t>
      </w:r>
      <w:r w:rsidR="00F05FA8" w:rsidRPr="00E95159">
        <w:t xml:space="preserve">ing of </w:t>
      </w:r>
      <w:r w:rsidR="00191B16" w:rsidRPr="00E95159">
        <w:t xml:space="preserve"> SatPaq terminal transmissions</w:t>
      </w:r>
      <w:r w:rsidR="00F05FA8" w:rsidRPr="00E95159">
        <w:t xml:space="preserve"> as described above</w:t>
      </w:r>
      <w:r w:rsidR="00700811" w:rsidRPr="00E95159">
        <w:t xml:space="preserve">, </w:t>
      </w:r>
      <w:r w:rsidR="00337BAF" w:rsidRPr="00E95159">
        <w:t xml:space="preserve">and that </w:t>
      </w:r>
      <w:r w:rsidR="00700811" w:rsidRPr="00E95159">
        <w:t xml:space="preserve">such </w:t>
      </w:r>
      <w:r w:rsidR="00F05FA8" w:rsidRPr="00E95159">
        <w:t xml:space="preserve">tracking </w:t>
      </w:r>
      <w:r w:rsidR="00337BAF" w:rsidRPr="00E95159">
        <w:t xml:space="preserve">requirements, along with </w:t>
      </w:r>
      <w:r w:rsidR="00C23172" w:rsidRPr="00E95159">
        <w:t xml:space="preserve">operational </w:t>
      </w:r>
      <w:r w:rsidR="00F05FA8" w:rsidRPr="00E95159">
        <w:t>requirements</w:t>
      </w:r>
      <w:r w:rsidR="00337BAF" w:rsidRPr="00E95159">
        <w:t xml:space="preserve"> like </w:t>
      </w:r>
      <w:r w:rsidR="00191B16" w:rsidRPr="00E95159">
        <w:t xml:space="preserve">those requested by CenturyLink, are </w:t>
      </w:r>
      <w:r w:rsidR="00F05FA8" w:rsidRPr="00E95159">
        <w:t xml:space="preserve">critical interference management measures </w:t>
      </w:r>
      <w:r w:rsidR="00C23172" w:rsidRPr="00E95159">
        <w:t>for accurately assessing and addressing any interference that may occur</w:t>
      </w:r>
      <w:r w:rsidR="00BF6798" w:rsidRPr="00E95159">
        <w:t>.</w:t>
      </w:r>
      <w:r w:rsidR="00191B16" w:rsidRPr="00E95159">
        <w:t xml:space="preserve">  Specifically, CenturyLink requested that Higher Ground maintain logs of all activity, cease activity in the event of a database outage, provide written notice of changes in interference algorithms, provide a direct point of contact for shutdown requests, and provide a competent and responsive contact to work jointly towards resolution of any harmful interference.</w:t>
      </w:r>
      <w:r w:rsidR="00191B16" w:rsidRPr="00E95159">
        <w:rPr>
          <w:rStyle w:val="FootnoteReference"/>
          <w:sz w:val="22"/>
        </w:rPr>
        <w:footnoteReference w:id="73"/>
      </w:r>
      <w:r w:rsidR="00191B16" w:rsidRPr="00E95159">
        <w:t xml:space="preserve">  We agree that </w:t>
      </w:r>
      <w:r w:rsidR="00BF6798" w:rsidRPr="00E95159">
        <w:t xml:space="preserve">for Higher Ground’s proposed SatPaq terminal operations, </w:t>
      </w:r>
      <w:r w:rsidR="00191B16" w:rsidRPr="00E95159">
        <w:t>these are reasonable conditions for sharing spectrum in this band, and</w:t>
      </w:r>
      <w:r w:rsidR="00BF6798" w:rsidRPr="00E95159">
        <w:t>, accordingly,</w:t>
      </w:r>
      <w:r w:rsidR="00191B16" w:rsidRPr="00E95159">
        <w:t xml:space="preserve"> </w:t>
      </w:r>
      <w:r w:rsidR="00BF6798" w:rsidRPr="00E95159">
        <w:t xml:space="preserve">we conclude that Higher Ground’s application should not be granted without </w:t>
      </w:r>
      <w:r w:rsidR="00191B16" w:rsidRPr="00E95159">
        <w:t>includ</w:t>
      </w:r>
      <w:r w:rsidR="00BF6798" w:rsidRPr="00E95159">
        <w:t>ing</w:t>
      </w:r>
      <w:r w:rsidR="00191B16" w:rsidRPr="00E95159">
        <w:t xml:space="preserve"> </w:t>
      </w:r>
      <w:r w:rsidR="00BF6798" w:rsidRPr="00E95159">
        <w:t xml:space="preserve">those conditions </w:t>
      </w:r>
      <w:r w:rsidR="00191B16" w:rsidRPr="00E95159">
        <w:t>in the license.</w:t>
      </w:r>
    </w:p>
    <w:p w:rsidR="00191B16" w:rsidRPr="00E95159" w:rsidRDefault="00191B16" w:rsidP="006D4E4D">
      <w:pPr>
        <w:pStyle w:val="ParaNum"/>
      </w:pPr>
      <w:r w:rsidRPr="00E95159">
        <w:t xml:space="preserve">We decline, however, to require Higher Ground </w:t>
      </w:r>
      <w:r w:rsidR="006576D4" w:rsidRPr="00E95159">
        <w:t>to</w:t>
      </w:r>
      <w:r w:rsidRPr="00E95159">
        <w:t xml:space="preserve"> accept responsibility and liability for any reported interference.  Such a requirement would be unprecedented and is unnecessary given the conditions placed on </w:t>
      </w:r>
      <w:r w:rsidR="00DE56E5" w:rsidRPr="00E95159">
        <w:t>Higher Ground’s operations</w:t>
      </w:r>
      <w:r w:rsidRPr="00E95159">
        <w:t xml:space="preserve"> and the Commission’s other enforcement tools.</w:t>
      </w:r>
      <w:r w:rsidR="006576D4" w:rsidRPr="00E95159">
        <w:t xml:space="preserve"> </w:t>
      </w:r>
      <w:r w:rsidR="00FA3E79">
        <w:t xml:space="preserve"> </w:t>
      </w:r>
      <w:r w:rsidR="006576D4" w:rsidRPr="00E95159">
        <w:t xml:space="preserve">We do require Higher Ground to comply with requests from the Commission or </w:t>
      </w:r>
      <w:r w:rsidR="002C2311" w:rsidRPr="00E95159">
        <w:t>FS</w:t>
      </w:r>
      <w:r w:rsidR="006576D4" w:rsidRPr="00E95159">
        <w:t xml:space="preserve"> operators for information to investigate or resolve reported interference, and to otherwise cooperate in good faith with such investigations and remedial efforts.</w:t>
      </w:r>
    </w:p>
    <w:p w:rsidR="00C876F9" w:rsidRPr="00E95159" w:rsidRDefault="00721419" w:rsidP="006D4E4D">
      <w:pPr>
        <w:pStyle w:val="ParaNum"/>
      </w:pPr>
      <w:r w:rsidRPr="00E95159">
        <w:rPr>
          <w:bCs/>
          <w:i/>
          <w:iCs/>
        </w:rPr>
        <w:t>Differential</w:t>
      </w:r>
      <w:r w:rsidR="00DB222A" w:rsidRPr="00E95159">
        <w:rPr>
          <w:bCs/>
          <w:i/>
          <w:iCs/>
        </w:rPr>
        <w:t xml:space="preserve"> Fad</w:t>
      </w:r>
      <w:r w:rsidRPr="00E95159">
        <w:rPr>
          <w:bCs/>
          <w:i/>
          <w:iCs/>
        </w:rPr>
        <w:t>ing</w:t>
      </w:r>
      <w:r w:rsidR="00DB222A" w:rsidRPr="00E95159">
        <w:rPr>
          <w:bCs/>
          <w:iCs/>
        </w:rPr>
        <w:t xml:space="preserve">.  </w:t>
      </w:r>
      <w:r w:rsidR="00C876F9" w:rsidRPr="00E95159">
        <w:rPr>
          <w:bCs/>
          <w:iCs/>
        </w:rPr>
        <w:t>F</w:t>
      </w:r>
      <w:r w:rsidRPr="00E95159">
        <w:rPr>
          <w:bCs/>
          <w:iCs/>
        </w:rPr>
        <w:t xml:space="preserve">WCC asserts that differential fading in microwave signals means that </w:t>
      </w:r>
      <w:r w:rsidR="002C2311" w:rsidRPr="00E95159">
        <w:rPr>
          <w:bCs/>
          <w:iCs/>
        </w:rPr>
        <w:t xml:space="preserve">FS </w:t>
      </w:r>
      <w:r w:rsidRPr="00E95159">
        <w:rPr>
          <w:bCs/>
          <w:iCs/>
        </w:rPr>
        <w:t>receivers are more vulnerable to interference by SatPaq terminals</w:t>
      </w:r>
      <w:r w:rsidR="001769F4" w:rsidRPr="00E95159">
        <w:rPr>
          <w:bCs/>
          <w:iCs/>
        </w:rPr>
        <w:t xml:space="preserve"> when the </w:t>
      </w:r>
      <w:r w:rsidR="002C2311" w:rsidRPr="00E95159">
        <w:rPr>
          <w:bCs/>
          <w:iCs/>
        </w:rPr>
        <w:t>FS</w:t>
      </w:r>
      <w:r w:rsidR="001769F4" w:rsidRPr="00E95159">
        <w:rPr>
          <w:bCs/>
          <w:iCs/>
        </w:rPr>
        <w:t xml:space="preserve"> signal is </w:t>
      </w:r>
      <w:r w:rsidRPr="00E95159">
        <w:rPr>
          <w:bCs/>
          <w:iCs/>
        </w:rPr>
        <w:t xml:space="preserve">weakened by atmospheric conditions.  Modern </w:t>
      </w:r>
      <w:r w:rsidR="002C2311" w:rsidRPr="00E95159">
        <w:rPr>
          <w:bCs/>
          <w:iCs/>
        </w:rPr>
        <w:t>FS</w:t>
      </w:r>
      <w:r w:rsidR="001769F4" w:rsidRPr="00E95159">
        <w:rPr>
          <w:bCs/>
          <w:iCs/>
        </w:rPr>
        <w:t xml:space="preserve"> </w:t>
      </w:r>
      <w:r w:rsidRPr="00E95159">
        <w:rPr>
          <w:bCs/>
          <w:iCs/>
        </w:rPr>
        <w:t xml:space="preserve">systems use a “fade margin” to preserve communications during fading events.  </w:t>
      </w:r>
      <w:r w:rsidR="00C876F9" w:rsidRPr="00E95159">
        <w:t>FWCC</w:t>
      </w:r>
      <w:r w:rsidR="00C876F9" w:rsidRPr="00E95159">
        <w:rPr>
          <w:bCs/>
          <w:iCs/>
        </w:rPr>
        <w:t xml:space="preserve"> argues</w:t>
      </w:r>
      <w:r w:rsidRPr="00E95159">
        <w:rPr>
          <w:bCs/>
          <w:iCs/>
        </w:rPr>
        <w:t xml:space="preserve"> that </w:t>
      </w:r>
      <w:r w:rsidR="00260AC3" w:rsidRPr="00E95159">
        <w:rPr>
          <w:bCs/>
          <w:iCs/>
        </w:rPr>
        <w:t>if</w:t>
      </w:r>
      <w:r w:rsidRPr="00E95159">
        <w:rPr>
          <w:bCs/>
          <w:iCs/>
        </w:rPr>
        <w:t xml:space="preserve"> SatPaq </w:t>
      </w:r>
      <w:r w:rsidR="00260AC3" w:rsidRPr="00E95159">
        <w:rPr>
          <w:bCs/>
          <w:iCs/>
        </w:rPr>
        <w:t>transmissions</w:t>
      </w:r>
      <w:r w:rsidRPr="00E95159">
        <w:rPr>
          <w:bCs/>
          <w:iCs/>
        </w:rPr>
        <w:t xml:space="preserve"> near a </w:t>
      </w:r>
      <w:r w:rsidR="001769F4" w:rsidRPr="00E95159">
        <w:rPr>
          <w:bCs/>
          <w:iCs/>
        </w:rPr>
        <w:t xml:space="preserve">receiving </w:t>
      </w:r>
      <w:r w:rsidR="002C2311" w:rsidRPr="00E95159">
        <w:rPr>
          <w:bCs/>
          <w:iCs/>
        </w:rPr>
        <w:t xml:space="preserve">FS </w:t>
      </w:r>
      <w:r w:rsidR="001769F4" w:rsidRPr="00E95159">
        <w:rPr>
          <w:bCs/>
          <w:iCs/>
        </w:rPr>
        <w:t>station</w:t>
      </w:r>
      <w:r w:rsidRPr="00E95159">
        <w:rPr>
          <w:bCs/>
          <w:iCs/>
        </w:rPr>
        <w:t xml:space="preserve"> </w:t>
      </w:r>
      <w:r w:rsidR="00260AC3" w:rsidRPr="00E95159">
        <w:rPr>
          <w:bCs/>
          <w:iCs/>
        </w:rPr>
        <w:t xml:space="preserve">do not fade </w:t>
      </w:r>
      <w:r w:rsidRPr="00E95159">
        <w:rPr>
          <w:bCs/>
          <w:iCs/>
        </w:rPr>
        <w:t xml:space="preserve">during an atmospheric event </w:t>
      </w:r>
      <w:r w:rsidR="00260AC3" w:rsidRPr="00E95159">
        <w:rPr>
          <w:bCs/>
          <w:iCs/>
        </w:rPr>
        <w:t>that affects the FS link</w:t>
      </w:r>
      <w:r w:rsidRPr="00E95159">
        <w:rPr>
          <w:bCs/>
          <w:iCs/>
        </w:rPr>
        <w:t>, the</w:t>
      </w:r>
      <w:r w:rsidR="008F19FE">
        <w:rPr>
          <w:bCs/>
          <w:iCs/>
        </w:rPr>
        <w:t xml:space="preserve"> </w:t>
      </w:r>
      <w:r w:rsidR="002C2311" w:rsidRPr="00E95159">
        <w:rPr>
          <w:bCs/>
          <w:iCs/>
        </w:rPr>
        <w:t xml:space="preserve">FS </w:t>
      </w:r>
      <w:r w:rsidR="001769F4" w:rsidRPr="00E95159">
        <w:rPr>
          <w:bCs/>
          <w:iCs/>
        </w:rPr>
        <w:t xml:space="preserve">station </w:t>
      </w:r>
      <w:r w:rsidR="00260AC3" w:rsidRPr="00E95159">
        <w:rPr>
          <w:bCs/>
          <w:iCs/>
        </w:rPr>
        <w:t xml:space="preserve">received </w:t>
      </w:r>
      <w:r w:rsidR="001769F4" w:rsidRPr="00E95159">
        <w:rPr>
          <w:bCs/>
          <w:iCs/>
        </w:rPr>
        <w:t xml:space="preserve">signal </w:t>
      </w:r>
      <w:r w:rsidR="00260AC3" w:rsidRPr="00E95159">
        <w:rPr>
          <w:bCs/>
          <w:iCs/>
        </w:rPr>
        <w:t xml:space="preserve">will become </w:t>
      </w:r>
      <w:r w:rsidRPr="00E95159">
        <w:rPr>
          <w:bCs/>
          <w:iCs/>
        </w:rPr>
        <w:t>more vulnerable to interference.</w:t>
      </w:r>
      <w:r w:rsidRPr="002A6B41">
        <w:rPr>
          <w:rStyle w:val="FootnoteReference"/>
          <w:bCs/>
          <w:iCs/>
          <w:sz w:val="22"/>
        </w:rPr>
        <w:footnoteReference w:id="74"/>
      </w:r>
      <w:r w:rsidRPr="00E95159">
        <w:rPr>
          <w:bCs/>
          <w:iCs/>
        </w:rPr>
        <w:t xml:space="preserve">  In response, Higher Ground asserts that </w:t>
      </w:r>
      <w:r w:rsidR="00260AC3" w:rsidRPr="00E95159">
        <w:rPr>
          <w:bCs/>
          <w:iCs/>
        </w:rPr>
        <w:t>any</w:t>
      </w:r>
      <w:r w:rsidRPr="00E95159">
        <w:rPr>
          <w:bCs/>
          <w:iCs/>
        </w:rPr>
        <w:t xml:space="preserve"> of 50,000 SatPaqs being close to a </w:t>
      </w:r>
      <w:r w:rsidR="002C2311" w:rsidRPr="00E95159">
        <w:rPr>
          <w:bCs/>
          <w:iCs/>
        </w:rPr>
        <w:t xml:space="preserve">FS </w:t>
      </w:r>
      <w:r w:rsidR="001769F4" w:rsidRPr="00E95159">
        <w:rPr>
          <w:bCs/>
          <w:iCs/>
        </w:rPr>
        <w:t xml:space="preserve">station </w:t>
      </w:r>
      <w:r w:rsidRPr="00E95159">
        <w:rPr>
          <w:bCs/>
          <w:iCs/>
        </w:rPr>
        <w:t xml:space="preserve">receiver and causing such interference is </w:t>
      </w:r>
      <w:r w:rsidR="00772578" w:rsidRPr="00E95159">
        <w:rPr>
          <w:bCs/>
          <w:iCs/>
        </w:rPr>
        <w:t>statistically unlikely</w:t>
      </w:r>
      <w:r w:rsidR="00260AC3" w:rsidRPr="00E95159">
        <w:rPr>
          <w:bCs/>
          <w:iCs/>
        </w:rPr>
        <w:t xml:space="preserve"> to occur</w:t>
      </w:r>
      <w:r w:rsidRPr="00E95159">
        <w:rPr>
          <w:bCs/>
          <w:iCs/>
        </w:rPr>
        <w:t>.</w:t>
      </w:r>
      <w:r w:rsidRPr="002A6B41">
        <w:rPr>
          <w:rStyle w:val="FootnoteReference"/>
          <w:bCs/>
          <w:iCs/>
          <w:sz w:val="22"/>
        </w:rPr>
        <w:footnoteReference w:id="75"/>
      </w:r>
      <w:r w:rsidRPr="00E95159">
        <w:rPr>
          <w:bCs/>
          <w:iCs/>
        </w:rPr>
        <w:t xml:space="preserve"> </w:t>
      </w:r>
      <w:r w:rsidR="0008738B" w:rsidRPr="00E95159">
        <w:rPr>
          <w:bCs/>
          <w:iCs/>
        </w:rPr>
        <w:t xml:space="preserve"> </w:t>
      </w:r>
      <w:r w:rsidR="006576D4" w:rsidRPr="00E95159">
        <w:rPr>
          <w:bCs/>
          <w:iCs/>
        </w:rPr>
        <w:t>Given the safeguards incorporated as conditions to its license, w</w:t>
      </w:r>
      <w:r w:rsidR="00F83910" w:rsidRPr="00E95159">
        <w:rPr>
          <w:bCs/>
          <w:iCs/>
        </w:rPr>
        <w:t xml:space="preserve">e agree with Higher Ground that the likelihood of </w:t>
      </w:r>
      <w:r w:rsidR="00C876F9" w:rsidRPr="00E95159">
        <w:rPr>
          <w:bCs/>
          <w:iCs/>
        </w:rPr>
        <w:t xml:space="preserve">interference from SatPaqs during differential fading is </w:t>
      </w:r>
      <w:r w:rsidR="00260AC3" w:rsidRPr="00E95159">
        <w:rPr>
          <w:bCs/>
          <w:iCs/>
        </w:rPr>
        <w:t xml:space="preserve">very </w:t>
      </w:r>
      <w:r w:rsidR="00C876F9" w:rsidRPr="00E95159">
        <w:rPr>
          <w:bCs/>
          <w:iCs/>
        </w:rPr>
        <w:t>small</w:t>
      </w:r>
      <w:r w:rsidR="0008738B" w:rsidRPr="00E95159">
        <w:rPr>
          <w:bCs/>
          <w:iCs/>
        </w:rPr>
        <w:t>.</w:t>
      </w:r>
    </w:p>
    <w:p w:rsidR="000C6627" w:rsidRPr="00E95159" w:rsidRDefault="003269EC" w:rsidP="006D4E4D">
      <w:pPr>
        <w:pStyle w:val="ParaNum"/>
      </w:pPr>
      <w:r w:rsidRPr="00E95159">
        <w:rPr>
          <w:i/>
        </w:rPr>
        <w:t>Incentives to Avoid Harmful Interference</w:t>
      </w:r>
      <w:r w:rsidRPr="00E95159">
        <w:t>.</w:t>
      </w:r>
      <w:r w:rsidR="00EF7AE3" w:rsidRPr="00E95159">
        <w:t xml:space="preserve">  </w:t>
      </w:r>
      <w:r w:rsidR="0070193E" w:rsidRPr="00E95159">
        <w:t xml:space="preserve">FWCC </w:t>
      </w:r>
      <w:r w:rsidR="00676B92" w:rsidRPr="00E95159">
        <w:t xml:space="preserve">points out </w:t>
      </w:r>
      <w:r w:rsidR="0070193E" w:rsidRPr="00E95159">
        <w:t xml:space="preserve">that </w:t>
      </w:r>
      <w:r w:rsidR="000C6627" w:rsidRPr="00E95159">
        <w:t>Higher Ground’s primary responsibilities are to its customers and shareholders</w:t>
      </w:r>
      <w:r w:rsidRPr="00E95159">
        <w:t>, not to other authorized users in the band</w:t>
      </w:r>
      <w:r w:rsidR="000C6627" w:rsidRPr="00E95159">
        <w:t xml:space="preserve">. </w:t>
      </w:r>
      <w:r w:rsidR="0070193E" w:rsidRPr="00E95159">
        <w:t xml:space="preserve"> As FWCC itself notes, </w:t>
      </w:r>
      <w:r w:rsidR="0080691A" w:rsidRPr="00E95159">
        <w:t xml:space="preserve">however, </w:t>
      </w:r>
      <w:r w:rsidR="0070193E" w:rsidRPr="00E95159">
        <w:t>the tension between profit and adherence to the parameters of a license are inherent for</w:t>
      </w:r>
      <w:r w:rsidR="000C6627" w:rsidRPr="00E95159">
        <w:t xml:space="preserve"> any provider. </w:t>
      </w:r>
      <w:r w:rsidR="0070193E" w:rsidRPr="00E95159">
        <w:t xml:space="preserve"> There is nothing unique about Higher Ground that indicates that it is any more likely to act outside its license w</w:t>
      </w:r>
      <w:r w:rsidR="000C6627" w:rsidRPr="00E95159">
        <w:t xml:space="preserve">hen cases arise in which Higher Ground must block its own communication in order to protect a </w:t>
      </w:r>
      <w:r w:rsidR="002C2311" w:rsidRPr="00E95159">
        <w:t>FS</w:t>
      </w:r>
      <w:r w:rsidR="000C6627" w:rsidRPr="00E95159">
        <w:t xml:space="preserve"> link</w:t>
      </w:r>
      <w:r w:rsidR="0070193E" w:rsidRPr="00E95159">
        <w:t>.</w:t>
      </w:r>
      <w:r w:rsidR="002417A3" w:rsidRPr="00E95159">
        <w:t xml:space="preserve">  Like any license holder, H</w:t>
      </w:r>
      <w:r w:rsidR="00B63B07" w:rsidRPr="00E95159">
        <w:t>igher Ground</w:t>
      </w:r>
      <w:r w:rsidR="002417A3" w:rsidRPr="00E95159">
        <w:t xml:space="preserve"> must comply with all conditions of </w:t>
      </w:r>
      <w:r w:rsidR="001769F4" w:rsidRPr="00E95159">
        <w:t xml:space="preserve">its </w:t>
      </w:r>
      <w:r w:rsidR="002417A3" w:rsidRPr="00E95159">
        <w:t>license or be subject to enforcement</w:t>
      </w:r>
      <w:r w:rsidR="001769F4" w:rsidRPr="00E95159">
        <w:t xml:space="preserve"> action by the Commission</w:t>
      </w:r>
      <w:r w:rsidR="002417A3" w:rsidRPr="00E95159">
        <w:t>.</w:t>
      </w:r>
      <w:r w:rsidR="0070193E" w:rsidRPr="00E95159">
        <w:t xml:space="preserve">  </w:t>
      </w:r>
    </w:p>
    <w:p w:rsidR="00D06EE2" w:rsidRPr="00E95159" w:rsidRDefault="00D06EE2" w:rsidP="00A841FD">
      <w:pPr>
        <w:pStyle w:val="ParaNum"/>
        <w:widowControl/>
      </w:pPr>
      <w:r w:rsidRPr="00E95159">
        <w:rPr>
          <w:i/>
        </w:rPr>
        <w:t xml:space="preserve">Waiver Versus Rulemaking </w:t>
      </w:r>
      <w:r w:rsidR="00DB7E71" w:rsidRPr="00E95159">
        <w:rPr>
          <w:i/>
        </w:rPr>
        <w:t>Analysis</w:t>
      </w:r>
      <w:r w:rsidR="00DB7E71" w:rsidRPr="00E95159">
        <w:t>.</w:t>
      </w:r>
      <w:r w:rsidR="00DB7E71" w:rsidRPr="00E95159">
        <w:rPr>
          <w:i/>
        </w:rPr>
        <w:t xml:space="preserve">  </w:t>
      </w:r>
      <w:r w:rsidRPr="00E95159">
        <w:t xml:space="preserve">FWCC argues that Higher Ground’s application should be considered in the context of a rulemaking proceeding of general applicability.  Higher Ground responds that grant of its application would be consistent with Commission precedent granting similar technical waivers.  </w:t>
      </w:r>
    </w:p>
    <w:p w:rsidR="00DB7E71" w:rsidRPr="00E95159" w:rsidRDefault="008F4C5D" w:rsidP="006D4E4D">
      <w:pPr>
        <w:pStyle w:val="ParaNum"/>
      </w:pPr>
      <w:r w:rsidRPr="00E95159">
        <w:t xml:space="preserve">The rulemaking process is particularly appropriate for establishing a new category of spectrum use that is not tailored for one individual’s operations, while the adjudicative process, like a waiver proceeding, generally functions as a more effective vehicle for addressing more individualized circumstances.  In this case, Higher Ground proposes a specific, unique application of the C-band that does not warrant a rulemaking proceeding of general applicability.  Additionally, Higher Ground has adequately demonstrated an alternative methodology to protect other users of this spectrum, and we condition this grant to minimize further the potential for harmful interference.  </w:t>
      </w:r>
      <w:r w:rsidR="00376F6C">
        <w:t>For these reasons, we have decided to exercise our considerable discretion on the choice of procedural vehicle for responding to Higher Ground’s request by resolving this case through the adjudicative process.</w:t>
      </w:r>
      <w:r w:rsidR="00376F6C">
        <w:rPr>
          <w:rStyle w:val="FootnoteReference"/>
        </w:rPr>
        <w:footnoteReference w:id="76"/>
      </w:r>
    </w:p>
    <w:p w:rsidR="002E5397" w:rsidRPr="00E95159" w:rsidRDefault="00DB7E71" w:rsidP="006D4E4D">
      <w:pPr>
        <w:pStyle w:val="ParaNum"/>
      </w:pPr>
      <w:r w:rsidRPr="00E95159">
        <w:rPr>
          <w:i/>
        </w:rPr>
        <w:t>Waiver Analysis</w:t>
      </w:r>
      <w:r w:rsidRPr="00E95159">
        <w:t>.</w:t>
      </w:r>
      <w:r w:rsidRPr="00E95159">
        <w:rPr>
          <w:i/>
        </w:rPr>
        <w:t xml:space="preserve">  </w:t>
      </w:r>
      <w:r w:rsidR="0027504A" w:rsidRPr="00E95159">
        <w:t xml:space="preserve">Generally, the Commission may </w:t>
      </w:r>
      <w:r w:rsidR="00D40A7A">
        <w:t>waive any rule for good cause.</w:t>
      </w:r>
      <w:r w:rsidR="00D40A7A">
        <w:rPr>
          <w:rStyle w:val="FootnoteReference"/>
        </w:rPr>
        <w:footnoteReference w:id="77"/>
      </w:r>
      <w:r w:rsidR="00D40A7A">
        <w:t xml:space="preserve">  Waiver is appropriate if special circumstances warrant a deviation from the general rule, and the deviation will serve the public interest.</w:t>
      </w:r>
      <w:r w:rsidR="00D40A7A">
        <w:rPr>
          <w:rStyle w:val="FootnoteReference"/>
        </w:rPr>
        <w:footnoteReference w:id="78"/>
      </w:r>
      <w:r w:rsidR="00D40A7A">
        <w:t xml:space="preserve">  </w:t>
      </w:r>
      <w:r w:rsidR="00013E7C" w:rsidRPr="00E95159">
        <w:t xml:space="preserve">FWCC and NSMA </w:t>
      </w:r>
      <w:r w:rsidR="00371F12" w:rsidRPr="00E95159">
        <w:t xml:space="preserve">assert </w:t>
      </w:r>
      <w:r w:rsidR="00013E7C" w:rsidRPr="00E95159">
        <w:t xml:space="preserve">that waiver of spectrum management rules </w:t>
      </w:r>
      <w:r w:rsidR="00A541D0" w:rsidRPr="00E95159">
        <w:t>is inappropriate in this case, and</w:t>
      </w:r>
      <w:r w:rsidR="00DD6D3D">
        <w:t xml:space="preserve"> that</w:t>
      </w:r>
      <w:r w:rsidR="00A541D0" w:rsidRPr="00E95159">
        <w:t xml:space="preserve"> a </w:t>
      </w:r>
      <w:r w:rsidR="00013E7C" w:rsidRPr="00E95159">
        <w:t>full notice and comment rulemaking</w:t>
      </w:r>
      <w:r w:rsidR="00A541D0" w:rsidRPr="00E95159">
        <w:t xml:space="preserve"> is required in order to permit Higher Ground’s proposed services to operate in the C-band</w:t>
      </w:r>
      <w:r w:rsidR="00013E7C" w:rsidRPr="00E95159">
        <w:t>.</w:t>
      </w:r>
      <w:r w:rsidR="009951BF" w:rsidRPr="00E95159">
        <w:rPr>
          <w:rStyle w:val="FootnoteReference"/>
          <w:sz w:val="22"/>
        </w:rPr>
        <w:footnoteReference w:id="79"/>
      </w:r>
      <w:r w:rsidR="00013E7C" w:rsidRPr="00E95159">
        <w:t xml:space="preserve">  </w:t>
      </w:r>
      <w:r w:rsidR="0070746D" w:rsidRPr="00E95159">
        <w:t xml:space="preserve">We find </w:t>
      </w:r>
      <w:r w:rsidR="00D40A7A">
        <w:t xml:space="preserve">good cause for </w:t>
      </w:r>
      <w:r w:rsidR="0070746D" w:rsidRPr="00E95159">
        <w:t xml:space="preserve">waiver of the Table of Frequency Allocations </w:t>
      </w:r>
      <w:r w:rsidR="00BB026A" w:rsidRPr="00E95159">
        <w:t xml:space="preserve">and the applicable coordination rules </w:t>
      </w:r>
      <w:r w:rsidR="0070746D" w:rsidRPr="00E95159">
        <w:t xml:space="preserve">is warranted in this case to the extent necessary for Higher Ground to provide services as specified in its application.  </w:t>
      </w:r>
      <w:r w:rsidR="0027504A" w:rsidRPr="00E95159">
        <w:t xml:space="preserve">The record in the proceeding indicates that there is little risk of harmful interference given the low power transmissions proposed and the </w:t>
      </w:r>
      <w:r w:rsidR="00C67661" w:rsidRPr="00E95159">
        <w:t xml:space="preserve">comprehensive </w:t>
      </w:r>
      <w:r w:rsidR="0027504A" w:rsidRPr="00E95159">
        <w:t>self-coordination safeguards developed by Higher Ground.</w:t>
      </w:r>
      <w:r w:rsidR="0027504A" w:rsidRPr="00E95159">
        <w:rPr>
          <w:vertAlign w:val="superscript"/>
        </w:rPr>
        <w:footnoteReference w:id="80"/>
      </w:r>
      <w:r w:rsidR="0027504A" w:rsidRPr="00E95159">
        <w:t xml:space="preserve"> </w:t>
      </w:r>
      <w:r w:rsidR="0070746D" w:rsidRPr="00E95159">
        <w:t xml:space="preserve"> </w:t>
      </w:r>
      <w:r w:rsidR="00C70E72">
        <w:t xml:space="preserve">Nor do we believe </w:t>
      </w:r>
      <w:r w:rsidR="00D40A7A">
        <w:t xml:space="preserve">that </w:t>
      </w:r>
      <w:r w:rsidR="00310C20">
        <w:t xml:space="preserve">a grant of </w:t>
      </w:r>
      <w:r w:rsidR="00D40A7A">
        <w:t>this waiver will undermine the rule</w:t>
      </w:r>
      <w:r w:rsidR="00310C20">
        <w:t>, given that it is limited to a specific, unique type of operation and, as discussed in detail below, is being authorized under a carefully drawn set of conditions designed to minimize any risk of interference due to operations under the waiver</w:t>
      </w:r>
      <w:r w:rsidR="00D40A7A">
        <w:t>.</w:t>
      </w:r>
    </w:p>
    <w:p w:rsidR="00DB222A" w:rsidRPr="00E95159" w:rsidRDefault="004D7C1F" w:rsidP="006D4E4D">
      <w:pPr>
        <w:pStyle w:val="ParaNum"/>
      </w:pPr>
      <w:r>
        <w:t xml:space="preserve">As indicated above, we have determined that a cautious approach is warranted, considering </w:t>
      </w:r>
      <w:r w:rsidR="00DB222A" w:rsidRPr="00E95159">
        <w:t>th</w:t>
      </w:r>
      <w:r w:rsidR="00C67661" w:rsidRPr="00E95159">
        <w:t xml:space="preserve">at a self-coordination system like </w:t>
      </w:r>
      <w:r w:rsidR="00DB222A" w:rsidRPr="00E95159">
        <w:t>Higher Ground’s</w:t>
      </w:r>
      <w:r w:rsidR="00C67661" w:rsidRPr="00E95159">
        <w:t xml:space="preserve"> does not have a track record of wide-scale, generalized deployment.  Accordingly, we </w:t>
      </w:r>
      <w:r w:rsidR="00DB222A" w:rsidRPr="00E95159">
        <w:t xml:space="preserve">impose specific conditions </w:t>
      </w:r>
      <w:r w:rsidR="00DB222A" w:rsidRPr="00DD56F8">
        <w:t xml:space="preserve">to safeguard against unintended consequences if Higher Ground’s system, for any reason, does not perform as promised, and to provide additional transparency.  First, we condition this grant on a phased roll out of </w:t>
      </w:r>
      <w:r>
        <w:t xml:space="preserve">a maximum </w:t>
      </w:r>
      <w:r w:rsidR="006576D4" w:rsidRPr="00DD56F8">
        <w:t xml:space="preserve">50,000 </w:t>
      </w:r>
      <w:r w:rsidR="00DB222A" w:rsidRPr="00861C14">
        <w:t xml:space="preserve">authorized </w:t>
      </w:r>
      <w:r w:rsidR="00DB222A" w:rsidRPr="009115C0">
        <w:t xml:space="preserve">SatPaq terminals.  Specifically, Higher Ground may deploy up to 5,000 new </w:t>
      </w:r>
      <w:r w:rsidR="007D1D1C" w:rsidRPr="00D27D3B">
        <w:t>terminals</w:t>
      </w:r>
      <w:r w:rsidR="00DB222A" w:rsidRPr="00D27D3B">
        <w:t xml:space="preserve"> each quarter during the first year following authorization</w:t>
      </w:r>
      <w:r w:rsidR="006E7159" w:rsidRPr="00E95159">
        <w:t>.  Thereafter, Higher Ground may deploy additional terminals</w:t>
      </w:r>
      <w:r w:rsidR="001234D0" w:rsidRPr="00E95159">
        <w:t xml:space="preserve"> up to the 50,000 total authorized number</w:t>
      </w:r>
      <w:r w:rsidR="006E7159" w:rsidRPr="00E95159">
        <w:t>, but is require</w:t>
      </w:r>
      <w:r w:rsidR="003B6F37" w:rsidRPr="00E95159">
        <w:t>d to notify the Commission when</w:t>
      </w:r>
      <w:r w:rsidR="001234D0" w:rsidRPr="00E95159">
        <w:t xml:space="preserve"> </w:t>
      </w:r>
      <w:r w:rsidR="003B6F37" w:rsidRPr="00E95159">
        <w:t>it has deployed:  (1) 3</w:t>
      </w:r>
      <w:r w:rsidR="001234D0" w:rsidRPr="00E95159">
        <w:t>0,000</w:t>
      </w:r>
      <w:r w:rsidR="006E7159" w:rsidRPr="00E95159">
        <w:t xml:space="preserve"> terminals</w:t>
      </w:r>
      <w:r w:rsidR="003B6F37" w:rsidRPr="00E95159">
        <w:t>, (2) 40,000 terminals, and (3) 50,000 terminals.</w:t>
      </w:r>
      <w:r w:rsidR="00DB222A" w:rsidRPr="00E95159">
        <w:t xml:space="preserve">  Second, Higher Ground's automated coordination system must log the date, time, location, frequency, and </w:t>
      </w:r>
      <w:r w:rsidR="00D4340E" w:rsidRPr="00E95159">
        <w:t xml:space="preserve">satellite </w:t>
      </w:r>
      <w:r w:rsidR="00DB222A" w:rsidRPr="00E95159">
        <w:t xml:space="preserve">point of communication of each SatPaq terminal transmission.  Third, Higher Ground must make this coordination data available to any FS operator, FSS operator, or the Commission, upon request. </w:t>
      </w:r>
      <w:r w:rsidR="00DB222A" w:rsidRPr="00E95159">
        <w:rPr>
          <w:caps/>
        </w:rPr>
        <w:t xml:space="preserve"> </w:t>
      </w:r>
      <w:r w:rsidR="00240FF1" w:rsidRPr="00E95159">
        <w:t xml:space="preserve">Additionally, as noted above, Higher Ground must cease activity in the event of a database outage, provide written notice of changes in interference algorithms, provide a direct point of contact for shutdown requests, and provide a competent and responsive contact to work jointly towards resolution of any harmful interference.  </w:t>
      </w:r>
      <w:r w:rsidR="00FF2C4D">
        <w:t>T</w:t>
      </w:r>
      <w:r w:rsidR="00DB222A" w:rsidRPr="00E95159">
        <w:t>he Commission may suspend or terminate deployment and operational authority at any time if it finds that the Higher Ground system causes unresolved harmful interference to protected users of the band.</w:t>
      </w:r>
      <w:r w:rsidR="00FF2C4D">
        <w:t xml:space="preserve">  We note that to the extent that Higher Ground expands operations beyond the 50,000 terminals authorized or that we receive additional similar waiver requests, we will consider the possibility of conducting a rulemaking to formally establish a new service.</w:t>
      </w:r>
    </w:p>
    <w:p w:rsidR="00E856F1" w:rsidRDefault="00E856F1" w:rsidP="006D4E4D">
      <w:pPr>
        <w:pStyle w:val="ParaNum"/>
      </w:pPr>
      <w:r w:rsidRPr="00E95159">
        <w:rPr>
          <w:i/>
        </w:rPr>
        <w:t>Section 25.218</w:t>
      </w:r>
      <w:r w:rsidR="0011596F" w:rsidRPr="00E95159">
        <w:rPr>
          <w:i/>
        </w:rPr>
        <w:t>(d)</w:t>
      </w:r>
      <w:r w:rsidRPr="00E95159">
        <w:rPr>
          <w:i/>
        </w:rPr>
        <w:t xml:space="preserve"> </w:t>
      </w:r>
      <w:r w:rsidR="00F82ECB">
        <w:rPr>
          <w:i/>
        </w:rPr>
        <w:t>C</w:t>
      </w:r>
      <w:r w:rsidRPr="00E95159">
        <w:rPr>
          <w:i/>
        </w:rPr>
        <w:t>ompliance.</w:t>
      </w:r>
      <w:r w:rsidRPr="00E95159">
        <w:t xml:space="preserve">  Section 25.218(d) </w:t>
      </w:r>
      <w:r w:rsidR="002E0A1F" w:rsidRPr="00E95159">
        <w:t xml:space="preserve">of the Commission’s rules </w:t>
      </w:r>
      <w:r w:rsidRPr="00E95159">
        <w:t>provides limits on earth station off-axis e.i.r.p. density levels in the plane tangent to and the plane perpendicular to the geostationary arc.</w:t>
      </w:r>
      <w:r w:rsidR="00A5007C" w:rsidRPr="002A6B41">
        <w:rPr>
          <w:rStyle w:val="FootnoteReference"/>
          <w:sz w:val="22"/>
        </w:rPr>
        <w:footnoteReference w:id="81"/>
      </w:r>
      <w:r w:rsidRPr="00E95159">
        <w:t xml:space="preserve">  Based on the antenna gain pattern characteristics of the SatPaq antenna and the transmitted e.i.r.p. density characteristics of the SatPaq terminal transmissions, </w:t>
      </w:r>
      <w:r w:rsidR="0011596F" w:rsidRPr="00E95159">
        <w:t>no more than 100</w:t>
      </w:r>
      <w:r w:rsidRPr="00E95159">
        <w:t xml:space="preserve"> SatPaq terminals </w:t>
      </w:r>
      <w:r w:rsidR="0011596F" w:rsidRPr="00E95159">
        <w:t>should</w:t>
      </w:r>
      <w:r w:rsidRPr="00E95159">
        <w:t xml:space="preserve"> simultaneously transmit on the same frequency using an</w:t>
      </w:r>
      <w:r w:rsidR="0011596F" w:rsidRPr="00E95159">
        <w:t xml:space="preserve"> 8 </w:t>
      </w:r>
      <w:r w:rsidR="00E153C1">
        <w:t>megahertz</w:t>
      </w:r>
      <w:r w:rsidR="00E153C1" w:rsidRPr="00E95159">
        <w:t xml:space="preserve"> </w:t>
      </w:r>
      <w:r w:rsidR="0011596F" w:rsidRPr="00E95159">
        <w:t>bandwidth emission</w:t>
      </w:r>
      <w:r w:rsidRPr="00E95159">
        <w:t xml:space="preserve">, and </w:t>
      </w:r>
      <w:r w:rsidR="0011596F" w:rsidRPr="00E95159">
        <w:t xml:space="preserve">no more than 50 SatPaq terminals should simultaneously transmit on the same frequency using a 4 </w:t>
      </w:r>
      <w:r w:rsidR="00E153C1">
        <w:t>megahertz</w:t>
      </w:r>
      <w:r w:rsidR="00A5007C" w:rsidRPr="00E95159">
        <w:t xml:space="preserve"> </w:t>
      </w:r>
      <w:r w:rsidR="0011596F" w:rsidRPr="00E95159">
        <w:t>bandwidth emission, in order for the aggregate e.i.r.p. density of all concurrently-transmitting co-frequency SatPaq terminals to stay below the Section 25.218(d) limits</w:t>
      </w:r>
      <w:r w:rsidRPr="00E95159">
        <w:t>.</w:t>
      </w:r>
      <w:r w:rsidR="004B5584" w:rsidRPr="002A6B41">
        <w:rPr>
          <w:rStyle w:val="FootnoteReference"/>
          <w:sz w:val="22"/>
        </w:rPr>
        <w:footnoteReference w:id="82"/>
      </w:r>
      <w:r w:rsidRPr="00E95159">
        <w:t xml:space="preserve">  </w:t>
      </w:r>
    </w:p>
    <w:p w:rsidR="00B874AB" w:rsidRPr="00E95159" w:rsidRDefault="00B874AB" w:rsidP="00B874AB">
      <w:pPr>
        <w:pStyle w:val="Heading1"/>
        <w:numPr>
          <w:ilvl w:val="0"/>
          <w:numId w:val="4"/>
        </w:numPr>
        <w:rPr>
          <w:rFonts w:ascii="Times New Roman" w:hAnsi="Times New Roman"/>
        </w:rPr>
      </w:pPr>
      <w:r w:rsidRPr="00E95159">
        <w:rPr>
          <w:rFonts w:ascii="Times New Roman" w:hAnsi="Times New Roman"/>
        </w:rPr>
        <w:t>CONCLUSION AND ORDERING clauseS</w:t>
      </w:r>
    </w:p>
    <w:p w:rsidR="00B874AB" w:rsidRDefault="00B874AB" w:rsidP="006D4E4D">
      <w:pPr>
        <w:pStyle w:val="ParaNum"/>
      </w:pPr>
      <w:r>
        <w:t xml:space="preserve">In </w:t>
      </w:r>
      <w:r w:rsidRPr="00B874AB">
        <w:t xml:space="preserve">sum, we find that Higher Ground’s service will provide </w:t>
      </w:r>
      <w:r w:rsidR="006D4E4D">
        <w:t xml:space="preserve">significant </w:t>
      </w:r>
      <w:r w:rsidRPr="00B874AB">
        <w:t>public interest benefit</w:t>
      </w:r>
      <w:r w:rsidR="006D4E4D">
        <w:t>s</w:t>
      </w:r>
      <w:r w:rsidRPr="00B874AB">
        <w:t xml:space="preserve"> to consumer</w:t>
      </w:r>
      <w:r w:rsidR="006D4E4D">
        <w:t>s</w:t>
      </w:r>
      <w:r w:rsidRPr="00B874AB">
        <w:t xml:space="preserve"> that are not currently served.  Further, we find that Higher Ground </w:t>
      </w:r>
      <w:r w:rsidR="006D4E4D">
        <w:t xml:space="preserve">has committed to following </w:t>
      </w:r>
      <w:r w:rsidRPr="00B874AB">
        <w:t>a</w:t>
      </w:r>
      <w:r w:rsidR="006D4E4D">
        <w:t>n</w:t>
      </w:r>
      <w:r w:rsidRPr="00B874AB">
        <w:t xml:space="preserve"> interference management plan and that </w:t>
      </w:r>
      <w:r w:rsidR="006D4E4D">
        <w:t xml:space="preserve">should prove highly effective, and that </w:t>
      </w:r>
      <w:r w:rsidR="006D4E4D" w:rsidRPr="006D4E4D">
        <w:t>this plan, coupled with the conditions we impose herein, ensure that the waiver granted for Higher Ground’s specific, unique operations will not undermine the Commission’s rules.  Accordingly, good cause has been shown for waiving the rules to the extent described in this Order and Authorization, and</w:t>
      </w:r>
      <w:r w:rsidR="006D4E4D">
        <w:t xml:space="preserve"> </w:t>
      </w:r>
      <w:r w:rsidRPr="00B874AB">
        <w:t>we conclude that grant of Higher Ground’s application for a blanket license to operate up to 50,000 SatPaq terminals operating with three specific satellites in the 5925-6425 MHz (Earth-to-space) and 3700-4200 MHz (space-to-Earth) frequency bands, as conditioned herein, will serve the public interest, convenience, and necessity.</w:t>
      </w:r>
    </w:p>
    <w:p w:rsidR="00E21AC4" w:rsidRPr="00E95159" w:rsidRDefault="006D4E4D" w:rsidP="006D4E4D">
      <w:pPr>
        <w:pStyle w:val="ParaNum"/>
      </w:pPr>
      <w:r>
        <w:t xml:space="preserve">Accordingly, </w:t>
      </w:r>
      <w:r w:rsidRPr="006D4E4D">
        <w:t>IT IS ORDERED that</w:t>
      </w:r>
      <w:r w:rsidR="0096306C">
        <w:t>,</w:t>
      </w:r>
      <w:r w:rsidR="0096306C" w:rsidRPr="0096306C">
        <w:t xml:space="preserve"> pursuant to authority in Sections 0.</w:t>
      </w:r>
      <w:r w:rsidR="00E153C1">
        <w:t>3</w:t>
      </w:r>
      <w:r w:rsidR="0096306C" w:rsidRPr="0096306C">
        <w:t>1, 0.131, 0.241, 0.331, and 1.3 of the Commission's rules, 47 C.F.R. §§ 0.</w:t>
      </w:r>
      <w:r w:rsidR="00E153C1">
        <w:t>3</w:t>
      </w:r>
      <w:r w:rsidR="0096306C" w:rsidRPr="0096306C">
        <w:t>1, 0.51, 0.131, 0.241, 0.261, 0.331, and 1.3, and Sections 4(i), 301, 302, 303(r), 308, 310, and 405 of the Communications Act, as amended, 47 U.S.C. §§ 154(i), 301, 302, 303(r), 308, 309, 310, and  of the Commission’s rules,</w:t>
      </w:r>
      <w:r w:rsidRPr="006D4E4D">
        <w:t xml:space="preserve"> the application of Higher Ground LLC, IBFS File No. SES-LIC-20150616-00357 (E150095) for a blanket license to operate up to 50,000 SatPaq terminals communicating with the Galaxy 3-C (Call Sign S2381) at 95.05° W.L., Galaxy 12 (Call Sign S2422) at 129.0º W.L., and Galaxy 19 (Call Sign S2647) at 97.0° W.L., using the antenna specified in Higher Grounds’ application, is GRANTED</w:t>
      </w:r>
      <w:r>
        <w:t xml:space="preserve">, subject to </w:t>
      </w:r>
      <w:r w:rsidR="00E21AC4" w:rsidRPr="00E95159">
        <w:t xml:space="preserve">the </w:t>
      </w:r>
      <w:r w:rsidR="0096306C">
        <w:t xml:space="preserve">conditions specified in paragraph 40 below, and subject to the </w:t>
      </w:r>
      <w:r w:rsidR="00E21AC4" w:rsidRPr="00E95159">
        <w:t xml:space="preserve">following </w:t>
      </w:r>
      <w:r w:rsidR="00FA3A7A">
        <w:t xml:space="preserve">parameters for </w:t>
      </w:r>
      <w:r w:rsidR="00E21AC4" w:rsidRPr="00E95159">
        <w:t>emissions in the Earth</w:t>
      </w:r>
      <w:r w:rsidR="00A5007C" w:rsidRPr="00E95159">
        <w:t>-</w:t>
      </w:r>
      <w:r w:rsidR="00E21AC4" w:rsidRPr="00E95159">
        <w:t xml:space="preserve">to-space direction:  </w:t>
      </w:r>
    </w:p>
    <w:p w:rsidR="006D4E4D" w:rsidRPr="00E95159" w:rsidRDefault="006D4E4D" w:rsidP="006D4E4D">
      <w:pPr>
        <w:pStyle w:val="ParaNum"/>
        <w:numPr>
          <w:ilvl w:val="0"/>
          <w:numId w:val="0"/>
        </w:numPr>
        <w:ind w:left="720"/>
      </w:pPr>
      <w:r w:rsidRPr="00E95159">
        <w:t>Emission: 8M00G1D</w:t>
      </w:r>
    </w:p>
    <w:p w:rsidR="006D4E4D" w:rsidRPr="00E95159" w:rsidRDefault="006D4E4D" w:rsidP="006D4E4D">
      <w:pPr>
        <w:pStyle w:val="ParaNum"/>
        <w:numPr>
          <w:ilvl w:val="0"/>
          <w:numId w:val="0"/>
        </w:numPr>
        <w:ind w:left="720"/>
      </w:pPr>
      <w:r w:rsidRPr="00E95159">
        <w:t>Max EIRP/Carrier: 9 dBW</w:t>
      </w:r>
    </w:p>
    <w:p w:rsidR="006D4E4D" w:rsidRPr="00E95159" w:rsidRDefault="006D4E4D" w:rsidP="006D4E4D">
      <w:pPr>
        <w:pStyle w:val="ParaNum"/>
        <w:numPr>
          <w:ilvl w:val="0"/>
          <w:numId w:val="0"/>
        </w:numPr>
        <w:ind w:left="720"/>
      </w:pPr>
      <w:r w:rsidRPr="00E95159">
        <w:t>Max EIRP Density/Carrier: -24 dBW/4 kHz</w:t>
      </w:r>
    </w:p>
    <w:p w:rsidR="006D4E4D" w:rsidRPr="00E95159" w:rsidRDefault="006D4E4D" w:rsidP="00A841FD">
      <w:pPr>
        <w:pStyle w:val="ParaNum"/>
        <w:widowControl/>
        <w:numPr>
          <w:ilvl w:val="0"/>
          <w:numId w:val="0"/>
        </w:numPr>
        <w:ind w:left="720"/>
      </w:pPr>
      <w:r w:rsidRPr="00E95159">
        <w:t xml:space="preserve">No more than 100 SatPaq terminals may transmit concurrently within any 8 MHz band, consistent with 47 CFR § 25.218(d).)  </w:t>
      </w:r>
    </w:p>
    <w:p w:rsidR="006D4E4D" w:rsidRPr="00E95159" w:rsidRDefault="006D4E4D" w:rsidP="006D4E4D">
      <w:pPr>
        <w:pStyle w:val="ParaNum"/>
        <w:numPr>
          <w:ilvl w:val="0"/>
          <w:numId w:val="0"/>
        </w:numPr>
        <w:ind w:left="720"/>
        <w:rPr>
          <w:color w:val="44546A"/>
        </w:rPr>
      </w:pPr>
      <w:r w:rsidRPr="00E95159">
        <w:rPr>
          <w:color w:val="44546A"/>
        </w:rPr>
        <w:t>__________________________</w:t>
      </w:r>
    </w:p>
    <w:p w:rsidR="006D4E4D" w:rsidRPr="00E95159" w:rsidRDefault="006D4E4D" w:rsidP="006D4E4D">
      <w:pPr>
        <w:pStyle w:val="ParaNum"/>
        <w:numPr>
          <w:ilvl w:val="0"/>
          <w:numId w:val="0"/>
        </w:numPr>
        <w:ind w:left="720"/>
      </w:pPr>
      <w:r w:rsidRPr="00E95159">
        <w:t>Emission: 4M00G1D</w:t>
      </w:r>
    </w:p>
    <w:p w:rsidR="006D4E4D" w:rsidRPr="00E95159" w:rsidRDefault="006D4E4D" w:rsidP="006D4E4D">
      <w:pPr>
        <w:pStyle w:val="ParaNum"/>
        <w:numPr>
          <w:ilvl w:val="0"/>
          <w:numId w:val="0"/>
        </w:numPr>
        <w:ind w:left="720"/>
      </w:pPr>
      <w:r w:rsidRPr="00E95159">
        <w:t>Max EIRP/Carrier: 9 dBW</w:t>
      </w:r>
    </w:p>
    <w:p w:rsidR="006D4E4D" w:rsidRPr="00E95159" w:rsidRDefault="006D4E4D" w:rsidP="006D4E4D">
      <w:pPr>
        <w:pStyle w:val="ParaNum"/>
        <w:numPr>
          <w:ilvl w:val="0"/>
          <w:numId w:val="0"/>
        </w:numPr>
        <w:ind w:left="720"/>
      </w:pPr>
      <w:r w:rsidRPr="00E95159">
        <w:t>Max EIRP Density/Carrier: -21 dBW/4 kHz</w:t>
      </w:r>
    </w:p>
    <w:p w:rsidR="006D4E4D" w:rsidRPr="00E95159" w:rsidRDefault="006D4E4D" w:rsidP="006D4E4D">
      <w:pPr>
        <w:pStyle w:val="ParaNum"/>
        <w:numPr>
          <w:ilvl w:val="0"/>
          <w:numId w:val="0"/>
        </w:numPr>
        <w:ind w:left="720"/>
      </w:pPr>
      <w:r w:rsidRPr="00E95159">
        <w:t xml:space="preserve">No more than 50 SatPaq terminals may transmit concurrently within any 4 MHz band, consistent with 47 CFR § 25.218(d).  </w:t>
      </w:r>
    </w:p>
    <w:p w:rsidR="00FA3A7A" w:rsidRDefault="00FA3A7A" w:rsidP="006D4E4D">
      <w:pPr>
        <w:pStyle w:val="ParaNum"/>
      </w:pPr>
      <w:r>
        <w:t xml:space="preserve">IT IS FURTHER ORDERED that </w:t>
      </w:r>
      <w:r w:rsidRPr="00FA3A7A">
        <w:t xml:space="preserve">Higher Ground’s authorization </w:t>
      </w:r>
      <w:r>
        <w:t xml:space="preserve">IS CONDITIONED </w:t>
      </w:r>
      <w:r w:rsidRPr="00FA3A7A">
        <w:t>on</w:t>
      </w:r>
      <w:r>
        <w:t xml:space="preserve"> the following requirements:</w:t>
      </w:r>
    </w:p>
    <w:p w:rsidR="006D4E4D" w:rsidRDefault="006D4E4D" w:rsidP="008D4E8D">
      <w:pPr>
        <w:pStyle w:val="ParaNum"/>
        <w:numPr>
          <w:ilvl w:val="0"/>
          <w:numId w:val="14"/>
        </w:numPr>
      </w:pPr>
      <w:r w:rsidRPr="00E95159">
        <w:t xml:space="preserve">Higher Ground may </w:t>
      </w:r>
      <w:r w:rsidR="00FA3A7A">
        <w:t xml:space="preserve">only </w:t>
      </w:r>
      <w:r w:rsidRPr="00E95159">
        <w:t xml:space="preserve">deploy </w:t>
      </w:r>
      <w:r w:rsidR="00FA3A7A">
        <w:t xml:space="preserve">a maximum of </w:t>
      </w:r>
      <w:r w:rsidRPr="00E95159">
        <w:t>5,000 new SatPaq terminals each quarter during the first year following authorization.  Thereafter, Higher Ground may deploy additional terminals up to the 50,000 total authorized number, but is required to notify the Commission when it has deployed:  (1) 30,000 terminals, (2) 40,000 terminals, and (3) 50,000 terminals.</w:t>
      </w:r>
    </w:p>
    <w:p w:rsidR="00FA3A7A" w:rsidRDefault="00FA3A7A" w:rsidP="00FA3A7A">
      <w:pPr>
        <w:pStyle w:val="ParaNum"/>
        <w:numPr>
          <w:ilvl w:val="0"/>
          <w:numId w:val="14"/>
        </w:numPr>
      </w:pPr>
      <w:r w:rsidRPr="00FA3A7A">
        <w:t>Higher Ground operations must not cause harmful interference to any current or future authorized station operating in compliance with the Table of Frequency Allocations in the 3700-4200 MHz (space-to-Earth) and 5925-6425 MHz band (Earth-to-space) bands (</w:t>
      </w:r>
      <w:r w:rsidRPr="00FA3A7A">
        <w:rPr>
          <w:i/>
        </w:rPr>
        <w:t>see</w:t>
      </w:r>
      <w:r w:rsidRPr="00FA3A7A">
        <w:t xml:space="preserve"> 47 CFR § 2.106), and must accept interference caused by current and future authorized stations in these bands.  Higher Ground must immediately cease operation of its SatPaq terminals upon notification of such harmful interference from its operations.</w:t>
      </w:r>
    </w:p>
    <w:p w:rsidR="00FA3A7A" w:rsidRDefault="00FA3A7A" w:rsidP="00FA3A7A">
      <w:pPr>
        <w:pStyle w:val="ParaNum"/>
        <w:numPr>
          <w:ilvl w:val="0"/>
          <w:numId w:val="14"/>
        </w:numPr>
      </w:pPr>
      <w:r w:rsidRPr="00FA3A7A">
        <w:t>Higher Ground</w:t>
      </w:r>
      <w:r w:rsidRPr="00FA3A7A">
        <w:rPr>
          <w:b/>
        </w:rPr>
        <w:t xml:space="preserve"> </w:t>
      </w:r>
      <w:r w:rsidRPr="00FA3A7A">
        <w:t>must maintain a 24/7 point-of-contact with capability to remotely control and shut down SatPaq terminal operations, and remedy any interference problems or terminate operations.</w:t>
      </w:r>
      <w:r w:rsidR="00247926" w:rsidRPr="00247926">
        <w:t xml:space="preserve"> </w:t>
      </w:r>
      <w:r w:rsidR="00247926">
        <w:t xml:space="preserve"> </w:t>
      </w:r>
      <w:r w:rsidR="00247926" w:rsidRPr="00247926">
        <w:t>The Commission may suspend or terminate deployment authority at any time if it finds that the Higher Ground system causes unresolved harmful interference to protected users of the band.</w:t>
      </w:r>
    </w:p>
    <w:p w:rsidR="00247926" w:rsidRDefault="00247926" w:rsidP="00FA3A7A">
      <w:pPr>
        <w:pStyle w:val="ParaNum"/>
        <w:numPr>
          <w:ilvl w:val="0"/>
          <w:numId w:val="14"/>
        </w:numPr>
      </w:pPr>
      <w:r w:rsidRPr="00247926">
        <w:t>Higher Ground must respond promptly to requests for information, coordination and interference resolution by the Commission and other authorized operators in these bands, and must cooperate in good faith with efforts to identify and resolve interference.</w:t>
      </w:r>
    </w:p>
    <w:p w:rsidR="00247926" w:rsidRDefault="00247926" w:rsidP="00FA3A7A">
      <w:pPr>
        <w:pStyle w:val="ParaNum"/>
        <w:numPr>
          <w:ilvl w:val="0"/>
          <w:numId w:val="14"/>
        </w:numPr>
      </w:pPr>
      <w:r w:rsidRPr="00247926">
        <w:t>Higher Ground’s automated coordination system must log the date, time, location, frequency, and satellite point of communication of each SatPaq terminal transmission.  This log of each transmission must be maintained for a period of not less than one year.  Higher Ground must make this coordination data available to any FS operator, FSS operator, or the Commission, upon request.</w:t>
      </w:r>
    </w:p>
    <w:p w:rsidR="00247926" w:rsidRDefault="00247926" w:rsidP="00FA3A7A">
      <w:pPr>
        <w:pStyle w:val="ParaNum"/>
        <w:numPr>
          <w:ilvl w:val="0"/>
          <w:numId w:val="14"/>
        </w:numPr>
      </w:pPr>
      <w:r w:rsidRPr="00247926">
        <w:t>Higher Ground SatPaq terminals must request reauthorization from the automated coordination system upon a change in coordinates of more than 1 second in latitude or longitude.</w:t>
      </w:r>
    </w:p>
    <w:p w:rsidR="00247926" w:rsidRDefault="00247926" w:rsidP="00FA3A7A">
      <w:pPr>
        <w:pStyle w:val="ParaNum"/>
        <w:numPr>
          <w:ilvl w:val="0"/>
          <w:numId w:val="14"/>
        </w:numPr>
      </w:pPr>
      <w:r w:rsidRPr="00247926">
        <w:t>Higher Ground must maintain a log recording all incidents of alleged harmful radio interference.  The log must document the nature of each incident, the parties involved, and the outcome.  The log must be maintained for a five year period after each incident, and must be made available to the Commission upon request.</w:t>
      </w:r>
    </w:p>
    <w:p w:rsidR="00247926" w:rsidRDefault="00247926" w:rsidP="00A841FD">
      <w:pPr>
        <w:pStyle w:val="ParaNum"/>
        <w:widowControl/>
        <w:numPr>
          <w:ilvl w:val="0"/>
          <w:numId w:val="14"/>
        </w:numPr>
      </w:pPr>
      <w:r w:rsidRPr="00247926">
        <w:t>Higher Ground must submit to the Commission an annual report indicating the number of SatPaq terminals actually brought into service under its blanket licensing authority.  The first of these reports is due one year after the date of grant and these reports are required upon deployment of 30,000, 40,000 and 50,000 SatPaqs, or annually until the 50,000 authorized SatPaqs have been deployed.</w:t>
      </w:r>
    </w:p>
    <w:p w:rsidR="00247926" w:rsidRDefault="00247926" w:rsidP="00FA3A7A">
      <w:pPr>
        <w:pStyle w:val="ParaNum"/>
        <w:numPr>
          <w:ilvl w:val="0"/>
          <w:numId w:val="14"/>
        </w:numPr>
      </w:pPr>
      <w:r w:rsidRPr="00247926">
        <w:t>Higher Ground must continue to update daily its Channel Master database of C-band FS</w:t>
      </w:r>
      <w:r w:rsidRPr="00247926" w:rsidDel="0098771C">
        <w:t xml:space="preserve"> </w:t>
      </w:r>
      <w:r w:rsidRPr="00247926">
        <w:t>operations, including the database embedded in the SatPaq terminals, from the Commission’s Universal Licensing System (ULS) database.  In the event of an outage of the ULS database, Higher Ground must update its database promptly once the ULS database is back on-line.  If Higher Ground’s Channel Master database is not updated accordingly, the devices may not transmit except on the non-interfering hailing frequency.</w:t>
      </w:r>
    </w:p>
    <w:p w:rsidR="00247926" w:rsidRDefault="00247926" w:rsidP="00FA3A7A">
      <w:pPr>
        <w:pStyle w:val="ParaNum"/>
        <w:numPr>
          <w:ilvl w:val="0"/>
          <w:numId w:val="14"/>
        </w:numPr>
      </w:pPr>
      <w:r w:rsidRPr="00247926">
        <w:t>Higher Ground must promptly report to the Commission any changes in its Channel Master automated coordination system software algorithm or assumptions that impact the interference threshold or calculated interference level to FS systems.</w:t>
      </w:r>
    </w:p>
    <w:p w:rsidR="00247926" w:rsidRPr="00E95159" w:rsidRDefault="00247926" w:rsidP="00FA3A7A">
      <w:pPr>
        <w:pStyle w:val="ParaNum"/>
        <w:numPr>
          <w:ilvl w:val="0"/>
          <w:numId w:val="14"/>
        </w:numPr>
      </w:pPr>
      <w:r w:rsidRPr="00247926">
        <w:t>Higher Ground’s automated coordination methods must adapt to any changes in configuration to the Commission’s current ULS database or any future applicable database adopted by the Commission.  Higher Ground’s automated coordination methods must also comply with any applicable future automated coordination system best practices and any applicable rules adopted by the Commission.</w:t>
      </w:r>
    </w:p>
    <w:p w:rsidR="00987E64" w:rsidRDefault="0096306C" w:rsidP="006D4E4D">
      <w:pPr>
        <w:pStyle w:val="ParaNum"/>
      </w:pPr>
      <w:r>
        <w:t xml:space="preserve">IT IS FURTHER ORDERED that </w:t>
      </w:r>
      <w:r w:rsidR="006D4E4D" w:rsidRPr="00E95159">
        <w:t>Higher Ground’s request for a waiver of the Table of Frequency Allocations, 47 CFR § 2.106</w:t>
      </w:r>
      <w:r w:rsidR="006D4E4D">
        <w:t>,</w:t>
      </w:r>
      <w:r w:rsidR="006D4E4D" w:rsidRPr="00E95159">
        <w:t xml:space="preserve"> and </w:t>
      </w:r>
      <w:r w:rsidR="006D4E4D">
        <w:t xml:space="preserve">of </w:t>
      </w:r>
      <w:r w:rsidR="006D4E4D" w:rsidRPr="00E95159">
        <w:t>47 CFR § 101.147(a)</w:t>
      </w:r>
      <w:r w:rsidR="006D4E4D">
        <w:t>, Note 6</w:t>
      </w:r>
      <w:r>
        <w:t xml:space="preserve">, and </w:t>
      </w:r>
      <w:r w:rsidRPr="0096306C">
        <w:t>of the applicable coordination rules, 47 CFR §§ 25.130(b), 25.203(c), and 101.103</w:t>
      </w:r>
      <w:r>
        <w:t>,</w:t>
      </w:r>
      <w:r w:rsidR="006D4E4D" w:rsidRPr="00E95159">
        <w:t xml:space="preserve"> IS GRANTED.</w:t>
      </w:r>
    </w:p>
    <w:p w:rsidR="00987E64" w:rsidRDefault="00987E64">
      <w:pPr>
        <w:widowControl/>
      </w:pPr>
      <w:r>
        <w:br w:type="page"/>
      </w:r>
    </w:p>
    <w:p w:rsidR="006D4E4D" w:rsidRPr="00E95159" w:rsidRDefault="006D4E4D" w:rsidP="00987E64">
      <w:pPr>
        <w:pStyle w:val="ParaNum"/>
        <w:numPr>
          <w:ilvl w:val="0"/>
          <w:numId w:val="0"/>
        </w:numPr>
        <w:ind w:left="720"/>
      </w:pPr>
    </w:p>
    <w:p w:rsidR="006D4E4D" w:rsidRPr="00E95159" w:rsidRDefault="00880619" w:rsidP="006D4E4D">
      <w:pPr>
        <w:pStyle w:val="ParaNum"/>
      </w:pPr>
      <w:r>
        <w:t xml:space="preserve">IT IS FURTHER ORDERED that </w:t>
      </w:r>
      <w:r w:rsidR="006D4E4D" w:rsidRPr="00E95159">
        <w:t xml:space="preserve">Higher Ground’s request for a waiver IS GRANTED, subject to the conditions adopted in this </w:t>
      </w:r>
      <w:r>
        <w:t>O</w:t>
      </w:r>
      <w:r w:rsidR="006D4E4D" w:rsidRPr="00E95159">
        <w:t>rder</w:t>
      </w:r>
      <w:r>
        <w:t xml:space="preserve"> and Authorization</w:t>
      </w:r>
      <w:r w:rsidR="006D4E4D" w:rsidRPr="00E95159">
        <w:t>.</w:t>
      </w:r>
    </w:p>
    <w:p w:rsidR="006D4E4D" w:rsidRPr="00E95159" w:rsidRDefault="006D4E4D" w:rsidP="006D4E4D">
      <w:pPr>
        <w:pStyle w:val="ParaNum"/>
      </w:pPr>
      <w:r w:rsidRPr="00E95159">
        <w:t xml:space="preserve">IT IS </w:t>
      </w:r>
      <w:r w:rsidR="0096306C">
        <w:t xml:space="preserve">FURTHER </w:t>
      </w:r>
      <w:r w:rsidRPr="00E95159">
        <w:t xml:space="preserve">ORDERED, </w:t>
      </w:r>
      <w:r w:rsidR="0096306C">
        <w:t xml:space="preserve">that </w:t>
      </w:r>
      <w:r w:rsidRPr="00E95159">
        <w:t>FWCC’s Petition to Deny and CenturyLink’s Comments in Opposition ARE HEREBY DENIED.</w:t>
      </w:r>
    </w:p>
    <w:p w:rsidR="006D4E4D" w:rsidRPr="00E95159" w:rsidRDefault="006D4E4D" w:rsidP="006D4E4D"/>
    <w:p w:rsidR="006D4E4D" w:rsidRPr="00E95159" w:rsidRDefault="006D4E4D" w:rsidP="00A841FD">
      <w:pPr>
        <w:pStyle w:val="ParaNum"/>
        <w:numPr>
          <w:ilvl w:val="0"/>
          <w:numId w:val="0"/>
        </w:numPr>
        <w:rPr>
          <w:b/>
        </w:rPr>
      </w:pPr>
      <w:r w:rsidRPr="00E95159">
        <w:tab/>
      </w:r>
      <w:r w:rsidRPr="00E95159">
        <w:tab/>
      </w:r>
      <w:r w:rsidRPr="00E95159">
        <w:tab/>
      </w:r>
      <w:r w:rsidR="00A841FD">
        <w:tab/>
      </w:r>
      <w:r>
        <w:t>FEDERAL COMMUNICATIONS COMMISSION</w:t>
      </w:r>
    </w:p>
    <w:p w:rsidR="006D4E4D" w:rsidRPr="00E95159" w:rsidRDefault="006D4E4D" w:rsidP="006D4E4D">
      <w:pPr>
        <w:pStyle w:val="ParaNum"/>
        <w:numPr>
          <w:ilvl w:val="0"/>
          <w:numId w:val="0"/>
        </w:numPr>
      </w:pPr>
    </w:p>
    <w:p w:rsidR="006D4E4D" w:rsidRPr="00E95159" w:rsidRDefault="006D4E4D" w:rsidP="006D4E4D">
      <w:pPr>
        <w:pStyle w:val="ParaNum"/>
        <w:numPr>
          <w:ilvl w:val="0"/>
          <w:numId w:val="0"/>
        </w:numPr>
      </w:pPr>
    </w:p>
    <w:p w:rsidR="00A841FD" w:rsidRDefault="006D4E4D" w:rsidP="006D4E4D">
      <w:pPr>
        <w:pStyle w:val="ParaNum"/>
        <w:numPr>
          <w:ilvl w:val="0"/>
          <w:numId w:val="0"/>
        </w:numPr>
        <w:spacing w:after="0"/>
        <w:ind w:firstLine="720"/>
      </w:pPr>
      <w:r w:rsidRPr="00E95159">
        <w:tab/>
      </w:r>
      <w:r w:rsidRPr="00E95159">
        <w:tab/>
      </w:r>
      <w:r w:rsidRPr="00E95159">
        <w:tab/>
      </w:r>
    </w:p>
    <w:p w:rsidR="006D4E4D" w:rsidRPr="00E95159" w:rsidRDefault="00A841FD" w:rsidP="006D4E4D">
      <w:pPr>
        <w:pStyle w:val="ParaNum"/>
        <w:numPr>
          <w:ilvl w:val="0"/>
          <w:numId w:val="0"/>
        </w:numPr>
        <w:spacing w:after="0"/>
        <w:ind w:firstLine="720"/>
      </w:pPr>
      <w:r>
        <w:tab/>
      </w:r>
      <w:r>
        <w:tab/>
      </w:r>
      <w:r>
        <w:tab/>
      </w:r>
      <w:r w:rsidR="006D4E4D" w:rsidRPr="00E95159">
        <w:t>Mindel De La Torre</w:t>
      </w:r>
    </w:p>
    <w:p w:rsidR="006D4E4D" w:rsidRPr="00E95159" w:rsidRDefault="006D4E4D" w:rsidP="006D4E4D">
      <w:pPr>
        <w:pStyle w:val="ParaNum"/>
        <w:numPr>
          <w:ilvl w:val="0"/>
          <w:numId w:val="0"/>
        </w:numPr>
        <w:spacing w:after="0"/>
        <w:ind w:firstLine="720"/>
      </w:pPr>
      <w:r w:rsidRPr="00E95159">
        <w:tab/>
      </w:r>
      <w:r w:rsidRPr="00E95159">
        <w:tab/>
      </w:r>
      <w:r w:rsidRPr="00E95159">
        <w:tab/>
        <w:t>Chief</w:t>
      </w:r>
    </w:p>
    <w:p w:rsidR="006D4E4D" w:rsidRPr="00E95159" w:rsidRDefault="006D4E4D" w:rsidP="006D4E4D">
      <w:pPr>
        <w:pStyle w:val="ParaNum"/>
        <w:numPr>
          <w:ilvl w:val="0"/>
          <w:numId w:val="0"/>
        </w:numPr>
        <w:spacing w:after="0"/>
        <w:ind w:firstLine="720"/>
      </w:pPr>
      <w:r w:rsidRPr="00E95159">
        <w:tab/>
      </w:r>
      <w:r w:rsidRPr="00E95159">
        <w:tab/>
      </w:r>
      <w:r w:rsidRPr="00E95159">
        <w:tab/>
        <w:t>International Bureau</w:t>
      </w:r>
    </w:p>
    <w:p w:rsidR="006D4E4D" w:rsidRPr="00E95159" w:rsidRDefault="006D4E4D" w:rsidP="006D4E4D">
      <w:pPr>
        <w:pStyle w:val="ParaNum"/>
        <w:numPr>
          <w:ilvl w:val="0"/>
          <w:numId w:val="0"/>
        </w:numPr>
        <w:spacing w:after="0"/>
        <w:ind w:firstLine="720"/>
      </w:pPr>
    </w:p>
    <w:p w:rsidR="006D4E4D" w:rsidRPr="00E95159" w:rsidRDefault="006D4E4D" w:rsidP="006D4E4D">
      <w:pPr>
        <w:pStyle w:val="ParaNum"/>
        <w:numPr>
          <w:ilvl w:val="0"/>
          <w:numId w:val="0"/>
        </w:numPr>
        <w:spacing w:after="0"/>
        <w:ind w:firstLine="720"/>
      </w:pPr>
    </w:p>
    <w:p w:rsidR="006D4E4D" w:rsidRPr="00E95159" w:rsidRDefault="006D4E4D" w:rsidP="006D4E4D">
      <w:pPr>
        <w:pStyle w:val="ParaNum"/>
        <w:numPr>
          <w:ilvl w:val="0"/>
          <w:numId w:val="0"/>
        </w:numPr>
        <w:spacing w:after="0"/>
        <w:ind w:firstLine="720"/>
      </w:pPr>
    </w:p>
    <w:p w:rsidR="006D4E4D" w:rsidRPr="00E95159" w:rsidRDefault="006D4E4D" w:rsidP="006D4E4D">
      <w:pPr>
        <w:pStyle w:val="ParaNum"/>
        <w:numPr>
          <w:ilvl w:val="0"/>
          <w:numId w:val="0"/>
        </w:numPr>
        <w:spacing w:after="0"/>
        <w:ind w:firstLine="720"/>
      </w:pPr>
      <w:r w:rsidRPr="00E95159">
        <w:tab/>
      </w:r>
      <w:r w:rsidRPr="00E95159">
        <w:tab/>
      </w:r>
      <w:r w:rsidRPr="00E95159">
        <w:tab/>
        <w:t xml:space="preserve">Julius Knapp </w:t>
      </w:r>
    </w:p>
    <w:p w:rsidR="006D4E4D" w:rsidRPr="00E95159" w:rsidRDefault="006D4E4D" w:rsidP="006D4E4D">
      <w:pPr>
        <w:pStyle w:val="ParaNum"/>
        <w:numPr>
          <w:ilvl w:val="0"/>
          <w:numId w:val="0"/>
        </w:numPr>
        <w:spacing w:after="0"/>
        <w:ind w:firstLine="720"/>
      </w:pPr>
      <w:r w:rsidRPr="00E95159">
        <w:tab/>
      </w:r>
      <w:r w:rsidRPr="00E95159">
        <w:tab/>
      </w:r>
      <w:r w:rsidRPr="00E95159">
        <w:tab/>
        <w:t>Chief</w:t>
      </w:r>
    </w:p>
    <w:p w:rsidR="006D4E4D" w:rsidRPr="00E95159" w:rsidRDefault="006D4E4D" w:rsidP="006D4E4D">
      <w:pPr>
        <w:pStyle w:val="ParaNum"/>
        <w:numPr>
          <w:ilvl w:val="0"/>
          <w:numId w:val="0"/>
        </w:numPr>
        <w:spacing w:after="0"/>
        <w:ind w:firstLine="720"/>
      </w:pPr>
      <w:r w:rsidRPr="00E95159">
        <w:tab/>
      </w:r>
      <w:r w:rsidRPr="00E95159">
        <w:tab/>
      </w:r>
      <w:r w:rsidRPr="00E95159">
        <w:tab/>
        <w:t>Office of Engineering and Technology</w:t>
      </w:r>
    </w:p>
    <w:p w:rsidR="006D4E4D" w:rsidRPr="00E95159" w:rsidRDefault="006D4E4D" w:rsidP="006D4E4D">
      <w:pPr>
        <w:pStyle w:val="ParaNum"/>
        <w:numPr>
          <w:ilvl w:val="0"/>
          <w:numId w:val="0"/>
        </w:numPr>
        <w:spacing w:after="0"/>
        <w:ind w:firstLine="720"/>
      </w:pPr>
    </w:p>
    <w:p w:rsidR="006D4E4D" w:rsidRPr="00E95159" w:rsidRDefault="006D4E4D" w:rsidP="006D4E4D">
      <w:pPr>
        <w:pStyle w:val="ParaNum"/>
        <w:numPr>
          <w:ilvl w:val="0"/>
          <w:numId w:val="0"/>
        </w:numPr>
        <w:spacing w:after="0"/>
        <w:ind w:firstLine="720"/>
      </w:pPr>
    </w:p>
    <w:p w:rsidR="006D4E4D" w:rsidRPr="00E95159" w:rsidRDefault="006D4E4D" w:rsidP="006D4E4D">
      <w:pPr>
        <w:pStyle w:val="ParaNum"/>
        <w:numPr>
          <w:ilvl w:val="0"/>
          <w:numId w:val="0"/>
        </w:numPr>
        <w:spacing w:after="0"/>
        <w:ind w:firstLine="720"/>
      </w:pPr>
    </w:p>
    <w:p w:rsidR="006D4E4D" w:rsidRPr="00E95159" w:rsidRDefault="006D4E4D" w:rsidP="006D4E4D">
      <w:pPr>
        <w:pStyle w:val="ParaNum"/>
        <w:numPr>
          <w:ilvl w:val="0"/>
          <w:numId w:val="0"/>
        </w:numPr>
        <w:spacing w:after="0"/>
        <w:ind w:firstLine="720"/>
      </w:pPr>
      <w:r w:rsidRPr="00E95159">
        <w:tab/>
      </w:r>
      <w:r w:rsidRPr="00E95159">
        <w:tab/>
      </w:r>
      <w:r w:rsidRPr="00E95159">
        <w:tab/>
        <w:t>Jon Wilkins</w:t>
      </w:r>
    </w:p>
    <w:p w:rsidR="006D4E4D" w:rsidRPr="00E95159" w:rsidRDefault="006D4E4D" w:rsidP="006D4E4D">
      <w:pPr>
        <w:pStyle w:val="ParaNum"/>
        <w:numPr>
          <w:ilvl w:val="0"/>
          <w:numId w:val="0"/>
        </w:numPr>
        <w:spacing w:after="0"/>
        <w:ind w:firstLine="720"/>
      </w:pPr>
      <w:r w:rsidRPr="00E95159">
        <w:tab/>
      </w:r>
      <w:r w:rsidRPr="00E95159">
        <w:tab/>
      </w:r>
      <w:r w:rsidRPr="00E95159">
        <w:tab/>
        <w:t>Chief</w:t>
      </w:r>
    </w:p>
    <w:p w:rsidR="006D4E4D" w:rsidRPr="00E95159" w:rsidRDefault="006D4E4D" w:rsidP="006D4E4D">
      <w:pPr>
        <w:pStyle w:val="ParaNum"/>
        <w:numPr>
          <w:ilvl w:val="0"/>
          <w:numId w:val="0"/>
        </w:numPr>
        <w:spacing w:after="0"/>
        <w:ind w:firstLine="720"/>
      </w:pPr>
      <w:r w:rsidRPr="00E95159">
        <w:tab/>
      </w:r>
      <w:r w:rsidRPr="00E95159">
        <w:tab/>
      </w:r>
      <w:r w:rsidRPr="00E95159">
        <w:tab/>
        <w:t>Wireless Telecommunications Bureau</w:t>
      </w:r>
    </w:p>
    <w:sectPr w:rsidR="006D4E4D" w:rsidRPr="00E9515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AA6" w:rsidRDefault="00327AA6">
      <w:r>
        <w:separator/>
      </w:r>
    </w:p>
  </w:endnote>
  <w:endnote w:type="continuationSeparator" w:id="0">
    <w:p w:rsidR="00327AA6" w:rsidRDefault="00327AA6">
      <w:r>
        <w:continuationSeparator/>
      </w:r>
    </w:p>
  </w:endnote>
  <w:endnote w:type="continuationNotice" w:id="1">
    <w:p w:rsidR="00327AA6" w:rsidRDefault="00327A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pitch w:val="variable"/>
    <w:sig w:usb0="00003A87" w:usb1="00000000" w:usb2="00000000" w:usb3="00000000" w:csb0="000000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D09" w:rsidRDefault="00E01D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333" w:rsidRDefault="00F97333" w:rsidP="009161A0">
    <w:pPr>
      <w:pStyle w:val="Footer"/>
      <w:jc w:val="center"/>
    </w:pPr>
    <w:r>
      <w:rPr>
        <w:rStyle w:val="PageNumber"/>
      </w:rPr>
      <w:fldChar w:fldCharType="begin"/>
    </w:r>
    <w:r>
      <w:rPr>
        <w:rStyle w:val="PageNumber"/>
      </w:rPr>
      <w:instrText xml:space="preserve"> PAGE </w:instrText>
    </w:r>
    <w:r>
      <w:rPr>
        <w:rStyle w:val="PageNumber"/>
      </w:rPr>
      <w:fldChar w:fldCharType="separate"/>
    </w:r>
    <w:r w:rsidR="009E75EB">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D09" w:rsidRDefault="00E01D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AA6" w:rsidRDefault="00327AA6">
      <w:pPr>
        <w:rPr>
          <w:sz w:val="20"/>
        </w:rPr>
      </w:pPr>
      <w:r>
        <w:rPr>
          <w:sz w:val="20"/>
        </w:rPr>
        <w:separator/>
      </w:r>
    </w:p>
  </w:footnote>
  <w:footnote w:type="continuationSeparator" w:id="0">
    <w:p w:rsidR="00327AA6" w:rsidRDefault="00327AA6">
      <w:pPr>
        <w:rPr>
          <w:sz w:val="20"/>
        </w:rPr>
      </w:pPr>
      <w:r>
        <w:rPr>
          <w:sz w:val="20"/>
        </w:rPr>
        <w:separator/>
      </w:r>
    </w:p>
    <w:p w:rsidR="00327AA6" w:rsidRDefault="00327AA6">
      <w:pPr>
        <w:rPr>
          <w:sz w:val="20"/>
        </w:rPr>
      </w:pPr>
      <w:r>
        <w:rPr>
          <w:sz w:val="20"/>
        </w:rPr>
        <w:t>(...continued from previous page)</w:t>
      </w:r>
    </w:p>
  </w:footnote>
  <w:footnote w:type="continuationNotice" w:id="1">
    <w:p w:rsidR="00327AA6" w:rsidRDefault="00327AA6">
      <w:pPr>
        <w:jc w:val="right"/>
        <w:rPr>
          <w:sz w:val="20"/>
        </w:rPr>
      </w:pPr>
      <w:r>
        <w:rPr>
          <w:sz w:val="20"/>
        </w:rPr>
        <w:t>(continued....)</w:t>
      </w:r>
    </w:p>
  </w:footnote>
  <w:footnote w:id="2">
    <w:p w:rsidR="00F97333" w:rsidRPr="008F19FE" w:rsidRDefault="00F97333" w:rsidP="00FD568D">
      <w:pPr>
        <w:pStyle w:val="FootnoteText"/>
      </w:pPr>
      <w:r w:rsidRPr="008F19FE">
        <w:rPr>
          <w:rStyle w:val="FootnoteReference"/>
        </w:rPr>
        <w:footnoteRef/>
      </w:r>
      <w:r w:rsidRPr="008F19FE">
        <w:t xml:space="preserve"> Higher Ground Application for a Blanket License to Operate C-band Mobile Earth Terminals, IBFS File No. SES-LIC-20150616-00357 (Application).  We authorize these SatPaqs under Part 25 of the Commission’s rules.  </w:t>
      </w:r>
      <w:r w:rsidRPr="008F19FE">
        <w:rPr>
          <w:i/>
        </w:rPr>
        <w:t xml:space="preserve">See </w:t>
      </w:r>
      <w:r w:rsidRPr="008F19FE">
        <w:t>47 CFR pt. 25.</w:t>
      </w:r>
    </w:p>
  </w:footnote>
  <w:footnote w:id="3">
    <w:p w:rsidR="00F97333" w:rsidRPr="00182C4C" w:rsidRDefault="00F97333" w:rsidP="00FD568D">
      <w:pPr>
        <w:pStyle w:val="FootnoteText"/>
      </w:pPr>
      <w:r w:rsidRPr="008F19FE">
        <w:rPr>
          <w:rStyle w:val="FootnoteReference"/>
        </w:rPr>
        <w:footnoteRef/>
      </w:r>
      <w:r w:rsidRPr="008F19FE">
        <w:t xml:space="preserve"> Fixed Wireless Communications Coalition, Inc. (FWCC) Petition to Deny (filed Sept. 11, 2016) </w:t>
      </w:r>
      <w:r w:rsidRPr="00DD6D3D">
        <w:t>(FWCC Petition to Deny)</w:t>
      </w:r>
      <w:r>
        <w:t xml:space="preserve">.  </w:t>
      </w:r>
    </w:p>
  </w:footnote>
  <w:footnote w:id="4">
    <w:p w:rsidR="00F97333" w:rsidRPr="00DD6D3D" w:rsidRDefault="00F97333" w:rsidP="00C70E72">
      <w:pPr>
        <w:pStyle w:val="FootnoteText"/>
      </w:pPr>
      <w:r w:rsidRPr="008F19FE">
        <w:rPr>
          <w:rStyle w:val="FootnoteReference"/>
        </w:rPr>
        <w:footnoteRef/>
      </w:r>
      <w:r w:rsidRPr="008F19FE">
        <w:t xml:space="preserve"> Comments of CenturyLink in Opposition to Application (CenturyLink Opposition Comments)</w:t>
      </w:r>
      <w:r>
        <w:t xml:space="preserve">; </w:t>
      </w:r>
      <w:r w:rsidRPr="00DD6D3D">
        <w:t xml:space="preserve">Letter from David E. Meyer, President, National Spectrum Management Association (NSMA) (filed Oct. 6, 2015) (NSMA </w:t>
      </w:r>
      <w:r w:rsidRPr="00DD6D3D">
        <w:rPr>
          <w:i/>
          <w:iCs/>
        </w:rPr>
        <w:t>Ex Parte</w:t>
      </w:r>
      <w:r w:rsidRPr="00DD6D3D">
        <w:t>)</w:t>
      </w:r>
      <w:r w:rsidRPr="008F19FE">
        <w:t>.</w:t>
      </w:r>
    </w:p>
  </w:footnote>
  <w:footnote w:id="5">
    <w:p w:rsidR="00F97333" w:rsidRPr="00DD6D3D" w:rsidRDefault="00F97333" w:rsidP="00C565E7">
      <w:pPr>
        <w:pStyle w:val="FootnoteText"/>
      </w:pPr>
      <w:r w:rsidRPr="008F19FE">
        <w:rPr>
          <w:rStyle w:val="FootnoteReference"/>
        </w:rPr>
        <w:footnoteRef/>
      </w:r>
      <w:r w:rsidRPr="008F19FE">
        <w:t xml:space="preserve"> TRWC filed a “Petition to Deny” on October </w:t>
      </w:r>
      <w:r w:rsidR="00B06EAD">
        <w:t>3</w:t>
      </w:r>
      <w:r w:rsidRPr="008F19FE">
        <w:t xml:space="preserve">, 2016, beyond the notice and comment period.  </w:t>
      </w:r>
      <w:r w:rsidRPr="00DD6D3D">
        <w:t xml:space="preserve">As such, the comments of TRWC will be treated as an </w:t>
      </w:r>
      <w:r w:rsidRPr="00DD6D3D">
        <w:rPr>
          <w:i/>
        </w:rPr>
        <w:t>ex parte</w:t>
      </w:r>
      <w:r w:rsidRPr="00DD6D3D">
        <w:t xml:space="preserve"> communication.  Other </w:t>
      </w:r>
      <w:r>
        <w:t xml:space="preserve">pleadings </w:t>
      </w:r>
      <w:r w:rsidRPr="00DD6D3D">
        <w:t>fil</w:t>
      </w:r>
      <w:r>
        <w:t>ed</w:t>
      </w:r>
      <w:r w:rsidRPr="00DD6D3D">
        <w:t xml:space="preserve"> beyond the comment period will similarly be treated as </w:t>
      </w:r>
      <w:r w:rsidRPr="00DD6D3D">
        <w:rPr>
          <w:i/>
        </w:rPr>
        <w:t>ex parte</w:t>
      </w:r>
      <w:r>
        <w:rPr>
          <w:i/>
        </w:rPr>
        <w:t xml:space="preserve"> </w:t>
      </w:r>
      <w:r>
        <w:t>communications</w:t>
      </w:r>
      <w:r w:rsidRPr="00DD6D3D">
        <w:t>.</w:t>
      </w:r>
      <w:r w:rsidR="00DD2EC9">
        <w:t xml:space="preserve"> </w:t>
      </w:r>
      <w:r w:rsidR="00715941">
        <w:t xml:space="preserve"> </w:t>
      </w:r>
      <w:r w:rsidR="00DD2EC9" w:rsidRPr="00DD6D3D">
        <w:rPr>
          <w:i/>
          <w:iCs/>
        </w:rPr>
        <w:t>See infra</w:t>
      </w:r>
      <w:r w:rsidR="00DD2EC9">
        <w:t xml:space="preserve"> n.5</w:t>
      </w:r>
      <w:r w:rsidR="00DD2EC9" w:rsidRPr="00DD6D3D">
        <w:t>.</w:t>
      </w:r>
    </w:p>
  </w:footnote>
  <w:footnote w:id="6">
    <w:p w:rsidR="00F97333" w:rsidRPr="00DD6D3D" w:rsidRDefault="00F97333" w:rsidP="00C565E7">
      <w:pPr>
        <w:pStyle w:val="FootnoteText"/>
      </w:pPr>
      <w:r w:rsidRPr="008F19FE">
        <w:rPr>
          <w:rStyle w:val="FootnoteReference"/>
        </w:rPr>
        <w:footnoteRef/>
      </w:r>
      <w:r w:rsidRPr="008F19FE">
        <w:t xml:space="preserve"> </w:t>
      </w:r>
      <w:r w:rsidRPr="00DD6D3D">
        <w:t xml:space="preserve">Letter from AJ Burton, Director of Federal Regulatory Affairs, Frontier Communications, to Marlene H. Dortch, Secretary, FCC (filed Aug. 22, 2016) (Frontier </w:t>
      </w:r>
      <w:r w:rsidRPr="00DD6D3D">
        <w:rPr>
          <w:i/>
          <w:iCs/>
        </w:rPr>
        <w:t>Ex Parte</w:t>
      </w:r>
      <w:r w:rsidRPr="00DD6D3D">
        <w:t>); Letter from Nebraska Public Power District</w:t>
      </w:r>
      <w:r w:rsidR="002226E7">
        <w:t>,</w:t>
      </w:r>
      <w:r w:rsidR="002226E7" w:rsidRPr="00DD6D3D">
        <w:t xml:space="preserve"> to Marlene H. Dortch, Secretary, FCC</w:t>
      </w:r>
      <w:r w:rsidRPr="00DD6D3D">
        <w:t xml:space="preserve"> (filed Sept. 2, 2016) (Nebraska </w:t>
      </w:r>
      <w:r>
        <w:t xml:space="preserve">PPD </w:t>
      </w:r>
      <w:r w:rsidRPr="00DD6D3D">
        <w:rPr>
          <w:i/>
          <w:iCs/>
        </w:rPr>
        <w:t>Ex Parte</w:t>
      </w:r>
      <w:r w:rsidRPr="00DD6D3D">
        <w:t>); Letter from Vince Krog, State Radio Engineer, Office of Enterprise Technology Services (OETS), State of Hawaii</w:t>
      </w:r>
      <w:r w:rsidR="002226E7" w:rsidRPr="00DD6D3D">
        <w:t xml:space="preserve"> to Marlene H. Dortch, Secretary, FCC</w:t>
      </w:r>
      <w:r w:rsidR="002226E7">
        <w:t xml:space="preserve"> </w:t>
      </w:r>
      <w:r w:rsidRPr="00DD6D3D">
        <w:t xml:space="preserve">(filed July 30, 2016) (State of Hawaii </w:t>
      </w:r>
      <w:r w:rsidRPr="00DD6D3D">
        <w:rPr>
          <w:i/>
          <w:iCs/>
        </w:rPr>
        <w:t>Ex Parte</w:t>
      </w:r>
      <w:r w:rsidRPr="00DD6D3D">
        <w:t xml:space="preserve">); Letter from Brett Kilbourne, Vice President and Deputy General Counsel, Utilities Technology Council (UTC), to Marlene H. Dortch, Secretary, FCC (filed Sept. 6, 2016) (UTC </w:t>
      </w:r>
      <w:r w:rsidRPr="00DD6D3D">
        <w:rPr>
          <w:i/>
          <w:iCs/>
        </w:rPr>
        <w:t>Ex Parte</w:t>
      </w:r>
      <w:r w:rsidRPr="00DD6D3D">
        <w:t>); Letter from Randy Thompson, Communications Administrator, City of Mesa Arizona</w:t>
      </w:r>
      <w:r w:rsidR="002226E7">
        <w:t>,</w:t>
      </w:r>
      <w:r w:rsidR="002226E7" w:rsidRPr="00DD6D3D">
        <w:t xml:space="preserve"> to Marlene H. Dortch, Secretary, FCC</w:t>
      </w:r>
      <w:r w:rsidRPr="00DD6D3D">
        <w:t xml:space="preserve"> (filed Sept. 28, 2016) (City of Mesa </w:t>
      </w:r>
      <w:r w:rsidRPr="00DD6D3D">
        <w:rPr>
          <w:i/>
          <w:iCs/>
        </w:rPr>
        <w:t>Ex Parte</w:t>
      </w:r>
      <w:r w:rsidRPr="00DD6D3D">
        <w:t>); Letter from David A. Felix, Executive Director, Regional Wireless Cooperative</w:t>
      </w:r>
      <w:r w:rsidR="002226E7">
        <w:t>,</w:t>
      </w:r>
      <w:r w:rsidR="002226E7" w:rsidRPr="00DD6D3D">
        <w:t xml:space="preserve"> to Marlene H. Dortch, Secretary, FCC</w:t>
      </w:r>
      <w:r w:rsidR="002226E7">
        <w:t xml:space="preserve"> </w:t>
      </w:r>
      <w:r w:rsidRPr="00DD6D3D">
        <w:t xml:space="preserve">(filed Sept. 27, 2016) (Regional Wireless Cooperative </w:t>
      </w:r>
      <w:r w:rsidRPr="00DD6D3D">
        <w:rPr>
          <w:i/>
          <w:iCs/>
        </w:rPr>
        <w:t>Ex Parte</w:t>
      </w:r>
      <w:r w:rsidRPr="00DD6D3D">
        <w:t>); Letter from Dale Shaw, Executive Director, TOPAZ Regional Wireless Cooperative (TRWC)</w:t>
      </w:r>
      <w:r w:rsidR="002226E7">
        <w:t>,</w:t>
      </w:r>
      <w:r w:rsidR="002226E7" w:rsidRPr="00DD6D3D">
        <w:t xml:space="preserve"> to Marlene H. Dortch, Secretary, FCC</w:t>
      </w:r>
      <w:r w:rsidRPr="00DD6D3D">
        <w:t xml:space="preserve"> (filed Oct. 3, 2016) (TRWC </w:t>
      </w:r>
      <w:r w:rsidRPr="00DD6D3D">
        <w:rPr>
          <w:i/>
          <w:iCs/>
        </w:rPr>
        <w:t>Ex Parte</w:t>
      </w:r>
      <w:r w:rsidRPr="00DD6D3D">
        <w:t>); Letter from Jeffrey L. Sheldon, Attorney</w:t>
      </w:r>
      <w:r w:rsidR="00656EFB">
        <w:t>,</w:t>
      </w:r>
      <w:r w:rsidRPr="00DD6D3D">
        <w:t xml:space="preserve"> Southern Company Services, Inc.</w:t>
      </w:r>
      <w:r w:rsidR="002226E7" w:rsidRPr="00DD6D3D">
        <w:t xml:space="preserve"> to Marlene H. Dortch, Secretary, FCC</w:t>
      </w:r>
      <w:r w:rsidRPr="00DD6D3D">
        <w:t xml:space="preserve"> (filed Sept. 30, 2016) (Southern Company Services, Inc. </w:t>
      </w:r>
      <w:r w:rsidRPr="00DD6D3D">
        <w:rPr>
          <w:i/>
          <w:iCs/>
        </w:rPr>
        <w:t>Ex Parte</w:t>
      </w:r>
      <w:r w:rsidRPr="00DD6D3D">
        <w:t>)</w:t>
      </w:r>
      <w:r w:rsidR="00DB51FB">
        <w:t>;</w:t>
      </w:r>
      <w:r w:rsidR="002226E7">
        <w:t xml:space="preserve"> Letter from Pamela Gist, Counsel to Pioneer Cellular</w:t>
      </w:r>
      <w:r w:rsidR="002226E7" w:rsidRPr="00DD6D3D">
        <w:t>, to Marlene H. Dortch, Secretary, FCC</w:t>
      </w:r>
      <w:r w:rsidR="002226E7">
        <w:t xml:space="preserve"> (filed Oct. 27, 2016)</w:t>
      </w:r>
      <w:r w:rsidR="00B2140D">
        <w:t xml:space="preserve">; Petition to Deny of Cities of Garland, Mesquite, Rowlett, and Sachse, Texas (filed Nov. 17, 2016) (Garland, Mesquite, Rowlett </w:t>
      </w:r>
      <w:r w:rsidR="00B2140D" w:rsidRPr="001F67C4">
        <w:rPr>
          <w:i/>
        </w:rPr>
        <w:t>Ex Parte</w:t>
      </w:r>
      <w:r w:rsidR="00B2140D">
        <w:t xml:space="preserve">); </w:t>
      </w:r>
      <w:r w:rsidR="00656EFB">
        <w:t xml:space="preserve">Letter from Elizabeth R. Sachs, Counsel, Enterprise Wireless Alliance (EWA), </w:t>
      </w:r>
      <w:r w:rsidR="00656EFB" w:rsidRPr="00DD6D3D">
        <w:t xml:space="preserve">to Marlene H. Dortch, Secretary, FCC (filed </w:t>
      </w:r>
      <w:r w:rsidR="00656EFB">
        <w:t>Nov. 22</w:t>
      </w:r>
      <w:r w:rsidR="00656EFB" w:rsidRPr="00DD6D3D">
        <w:t>, 2016) (</w:t>
      </w:r>
      <w:r w:rsidR="00656EFB">
        <w:t>EWA</w:t>
      </w:r>
      <w:r w:rsidR="00656EFB" w:rsidRPr="00DD6D3D">
        <w:t xml:space="preserve"> </w:t>
      </w:r>
      <w:r w:rsidR="00656EFB" w:rsidRPr="00DD6D3D">
        <w:rPr>
          <w:i/>
          <w:iCs/>
        </w:rPr>
        <w:t>Ex Parte</w:t>
      </w:r>
      <w:r w:rsidR="00656EFB" w:rsidRPr="00DD6D3D">
        <w:t>);</w:t>
      </w:r>
      <w:r w:rsidR="00DB51FB">
        <w:t xml:space="preserve">  Letter from</w:t>
      </w:r>
      <w:r w:rsidR="00B2140D">
        <w:t xml:space="preserve"> Michele Farquhar, Counsel to Association of American Railroads,</w:t>
      </w:r>
      <w:r w:rsidR="00B2140D" w:rsidRPr="00B2140D">
        <w:t xml:space="preserve"> </w:t>
      </w:r>
      <w:r w:rsidR="00B2140D" w:rsidRPr="00DD6D3D">
        <w:t xml:space="preserve">to Marlene H. Dortch, Secretary, FCC (filed </w:t>
      </w:r>
      <w:r w:rsidR="00B2140D">
        <w:t>Dec. 22</w:t>
      </w:r>
      <w:r w:rsidR="00B2140D" w:rsidRPr="00DD6D3D">
        <w:t xml:space="preserve">, 2016) </w:t>
      </w:r>
      <w:r w:rsidR="00B2140D">
        <w:t xml:space="preserve">(AAR </w:t>
      </w:r>
      <w:r w:rsidR="00B2140D" w:rsidRPr="00677ADC">
        <w:rPr>
          <w:i/>
        </w:rPr>
        <w:t>Ex Parte</w:t>
      </w:r>
      <w:r w:rsidR="00B2140D">
        <w:t>).</w:t>
      </w:r>
      <w:r w:rsidR="00DB51FB">
        <w:t xml:space="preserve"> </w:t>
      </w:r>
      <w:r w:rsidR="00656EFB">
        <w:t xml:space="preserve"> </w:t>
      </w:r>
      <w:r w:rsidRPr="00DD6D3D">
        <w:t xml:space="preserve">Mimosa Networks, Inc. filed an </w:t>
      </w:r>
      <w:r w:rsidRPr="00DD6D3D">
        <w:rPr>
          <w:i/>
          <w:iCs/>
        </w:rPr>
        <w:t>ex parte</w:t>
      </w:r>
      <w:r w:rsidRPr="00DD6D3D">
        <w:t xml:space="preserve"> letter taking no position on Higher Ground’s application or waiver requests, but asking the Commission to make clear that mobile earth terminals operating in the 3700-4200 MHz band (space-to-</w:t>
      </w:r>
      <w:r>
        <w:t>E</w:t>
      </w:r>
      <w:r w:rsidRPr="00DD6D3D">
        <w:t xml:space="preserve">arth) would be secondary to terrestrial stations operating in this band.  Letter from Robert S. Koppel, Mimosa Networks, Inc., to Marlene H. Dortch, Secretary, FCC (filed Oct. 26, 2016) (Mimosa </w:t>
      </w:r>
      <w:r w:rsidRPr="00DD6D3D">
        <w:rPr>
          <w:i/>
          <w:iCs/>
        </w:rPr>
        <w:t>Ex Parte</w:t>
      </w:r>
      <w:r w:rsidRPr="00DD6D3D">
        <w:t xml:space="preserve">). </w:t>
      </w:r>
      <w:r>
        <w:t xml:space="preserve"> </w:t>
      </w:r>
      <w:r w:rsidRPr="00DD6D3D">
        <w:t xml:space="preserve">As discussed in more detail below, fixed services are primary in this band.  </w:t>
      </w:r>
      <w:r w:rsidRPr="00DD6D3D">
        <w:rPr>
          <w:i/>
          <w:iCs/>
        </w:rPr>
        <w:t>See infra</w:t>
      </w:r>
      <w:r w:rsidRPr="00DD6D3D">
        <w:t xml:space="preserve"> para. 12.</w:t>
      </w:r>
    </w:p>
  </w:footnote>
  <w:footnote w:id="7">
    <w:p w:rsidR="00F97333" w:rsidRPr="00DD6D3D" w:rsidRDefault="00F97333">
      <w:pPr>
        <w:pStyle w:val="FootnoteText"/>
      </w:pPr>
      <w:r w:rsidRPr="008F19FE">
        <w:rPr>
          <w:rStyle w:val="FootnoteReference"/>
        </w:rPr>
        <w:footnoteRef/>
      </w:r>
      <w:r w:rsidRPr="008F19FE">
        <w:t xml:space="preserve"> IBFS File No. SES-LIC-20150616-00357.  </w:t>
      </w:r>
      <w:r w:rsidRPr="00DD6D3D">
        <w:rPr>
          <w:i/>
        </w:rPr>
        <w:t>See also</w:t>
      </w:r>
      <w:r w:rsidRPr="00DD6D3D">
        <w:t xml:space="preserve"> Letter from Adam D. Krinsky, Wilkinson Barker Knauer, LLP, Counsel, Higher Ground LLC, to Paul E. Blais, Chief, Systems Analysis Branch, FCC International Bureau (filed July 30, 2016) (supplementing Higher Ground’s filing).  The application was placed on Public Notice on Aug. 5, 2015.  </w:t>
      </w:r>
      <w:r w:rsidRPr="00DD6D3D">
        <w:rPr>
          <w:i/>
        </w:rPr>
        <w:t>See Satellite Communications Services re: Satellite Radio Applications Accepted for Filing</w:t>
      </w:r>
      <w:r w:rsidRPr="00DD6D3D">
        <w:t xml:space="preserve">, Public Notice, Report No. SES-01771, at 1-2 (Aug. 5, 2015).  The Application was initially dismissed in part as defective insofar as it requested points of communication other than the specific three satellites specified in the application.  </w:t>
      </w:r>
      <w:r w:rsidRPr="00DD6D3D">
        <w:rPr>
          <w:i/>
        </w:rPr>
        <w:t xml:space="preserve">See </w:t>
      </w:r>
      <w:r w:rsidRPr="00DD6D3D">
        <w:t>Letter from Paul E. Blais, Chief, Systems Analysis Branch, FCC International Bureau, to Adam D. Krinsky, Wilkinson Barker Knauer, LLP, Counsel, Higher Ground LLC, 30 FCC Rcd 8158 (July 27, 2015).</w:t>
      </w:r>
    </w:p>
  </w:footnote>
  <w:footnote w:id="8">
    <w:p w:rsidR="00F97333" w:rsidRPr="00DD6D3D" w:rsidRDefault="00F97333">
      <w:pPr>
        <w:pStyle w:val="FootnoteText"/>
      </w:pPr>
      <w:r w:rsidRPr="008F19FE">
        <w:rPr>
          <w:rStyle w:val="FootnoteReference"/>
        </w:rPr>
        <w:footnoteRef/>
      </w:r>
      <w:r w:rsidRPr="008F19FE">
        <w:t xml:space="preserve"> Application at 2.</w:t>
      </w:r>
    </w:p>
  </w:footnote>
  <w:footnote w:id="9">
    <w:p w:rsidR="00F97333" w:rsidRPr="00DD6D3D" w:rsidRDefault="00F97333">
      <w:pPr>
        <w:pStyle w:val="FootnoteText"/>
      </w:pPr>
      <w:r w:rsidRPr="008F19FE">
        <w:rPr>
          <w:rStyle w:val="FootnoteReference"/>
        </w:rPr>
        <w:footnoteRef/>
      </w:r>
      <w:r w:rsidRPr="008F19FE">
        <w:t xml:space="preserve"> </w:t>
      </w:r>
      <w:r w:rsidRPr="00DD6D3D">
        <w:rPr>
          <w:i/>
        </w:rPr>
        <w:t>Id</w:t>
      </w:r>
      <w:r w:rsidRPr="00DD6D3D">
        <w:t xml:space="preserve">.  Higher Ground has been operating on an experimental basis pursuant to an FCC experimental license since 2014.  </w:t>
      </w:r>
      <w:r w:rsidRPr="00DD6D3D">
        <w:rPr>
          <w:i/>
        </w:rPr>
        <w:t>See</w:t>
      </w:r>
      <w:r w:rsidRPr="00DD6D3D">
        <w:t xml:space="preserve"> ELS File Nos. 0443-EX-PL-2014, May 30, 2014, 0124-EX-ML-2015</w:t>
      </w:r>
      <w:r w:rsidR="00A83760">
        <w:t>, June 15, 2015, 0036-EX-ML-2</w:t>
      </w:r>
      <w:r w:rsidRPr="00DD6D3D">
        <w:t>016, Mar. 3, 2016, 0233-EX-RR-2016, May 9, 2016, and 0093-EX-ML-</w:t>
      </w:r>
      <w:r w:rsidR="00A841FD">
        <w:t>2016, June 3, 2016, Call Sign WH</w:t>
      </w:r>
      <w:r w:rsidRPr="00DD6D3D">
        <w:t>2XHP.</w:t>
      </w:r>
    </w:p>
  </w:footnote>
  <w:footnote w:id="10">
    <w:p w:rsidR="00F97333" w:rsidRPr="00DD6D3D" w:rsidRDefault="00F97333">
      <w:pPr>
        <w:pStyle w:val="FootnoteText"/>
      </w:pPr>
      <w:r w:rsidRPr="008F19FE">
        <w:rPr>
          <w:rStyle w:val="FootnoteReference"/>
        </w:rPr>
        <w:footnoteRef/>
      </w:r>
      <w:r w:rsidRPr="008F19FE">
        <w:t xml:space="preserve"> 47 CFR §§ 25.130(b), 25.203(c), and 101.103.</w:t>
      </w:r>
    </w:p>
  </w:footnote>
  <w:footnote w:id="11">
    <w:p w:rsidR="00F97333" w:rsidRPr="00DD6D3D" w:rsidRDefault="00F97333">
      <w:pPr>
        <w:pStyle w:val="FootnoteText"/>
      </w:pPr>
      <w:r w:rsidRPr="008F19FE">
        <w:rPr>
          <w:rStyle w:val="FootnoteReference"/>
        </w:rPr>
        <w:footnoteRef/>
      </w:r>
      <w:r w:rsidRPr="008F19FE">
        <w:t xml:space="preserve"> 47 CFR §§ 2.106 and 101.147(a), Note 6.</w:t>
      </w:r>
    </w:p>
  </w:footnote>
  <w:footnote w:id="12">
    <w:p w:rsidR="00F97333" w:rsidRPr="00DD6D3D" w:rsidRDefault="00F97333">
      <w:pPr>
        <w:pStyle w:val="FootnoteText"/>
      </w:pPr>
      <w:r w:rsidRPr="008F19FE">
        <w:rPr>
          <w:rStyle w:val="FootnoteReference"/>
        </w:rPr>
        <w:footnoteRef/>
      </w:r>
      <w:r w:rsidRPr="008F19FE">
        <w:t xml:space="preserve"> Application at 1.</w:t>
      </w:r>
    </w:p>
  </w:footnote>
  <w:footnote w:id="13">
    <w:p w:rsidR="00F97333" w:rsidRPr="00DD6D3D" w:rsidRDefault="00F97333">
      <w:pPr>
        <w:pStyle w:val="FootnoteText"/>
      </w:pPr>
      <w:r w:rsidRPr="008F19FE">
        <w:rPr>
          <w:rStyle w:val="FootnoteReference"/>
        </w:rPr>
        <w:footnoteRef/>
      </w:r>
      <w:r w:rsidRPr="008F19FE">
        <w:t xml:space="preserve"> The database w</w:t>
      </w:r>
      <w:r w:rsidRPr="00DD6D3D">
        <w:t xml:space="preserve">ill include FS licensees and applicants, including the coordinate locations and orientations of the FS receiving antennas, the frequencies of the FS stations, and their antenna heights, heights above mean sea level, and receiving antenna polarizations.  Letter from Adam D. Krinsky, Wilkinson Barker Knauer, LLP, Counsel, Higher Ground LLC, to Marlene H. Dortch, Secretary, FCC (filed May 23, 2016) (Higher Ground LLC May 23, 2016 </w:t>
      </w:r>
      <w:r w:rsidRPr="00DD6D3D">
        <w:rPr>
          <w:i/>
          <w:iCs/>
        </w:rPr>
        <w:t>Ex Parte</w:t>
      </w:r>
      <w:r w:rsidRPr="00DD6D3D">
        <w:t>).</w:t>
      </w:r>
    </w:p>
  </w:footnote>
  <w:footnote w:id="14">
    <w:p w:rsidR="00F97333" w:rsidRPr="00DD6D3D" w:rsidRDefault="00F97333">
      <w:pPr>
        <w:pStyle w:val="FootnoteText"/>
      </w:pPr>
      <w:r w:rsidRPr="008F19FE">
        <w:rPr>
          <w:rStyle w:val="FootnoteReference"/>
        </w:rPr>
        <w:footnoteRef/>
      </w:r>
      <w:r w:rsidRPr="008F19FE">
        <w:t xml:space="preserve"> Application at 4.</w:t>
      </w:r>
    </w:p>
  </w:footnote>
  <w:footnote w:id="15">
    <w:p w:rsidR="00F97333" w:rsidRPr="00DD6D3D" w:rsidRDefault="00F97333">
      <w:pPr>
        <w:pStyle w:val="FootnoteText"/>
      </w:pPr>
      <w:r w:rsidRPr="008F19FE">
        <w:rPr>
          <w:rStyle w:val="FootnoteReference"/>
        </w:rPr>
        <w:footnoteRef/>
      </w:r>
      <w:r w:rsidRPr="008F19FE">
        <w:t xml:space="preserve"> </w:t>
      </w:r>
      <w:r w:rsidRPr="00DD6D3D">
        <w:rPr>
          <w:i/>
          <w:iCs/>
        </w:rPr>
        <w:t xml:space="preserve">See </w:t>
      </w:r>
      <w:r w:rsidRPr="00DD6D3D">
        <w:rPr>
          <w:iCs/>
        </w:rPr>
        <w:t>Application,</w:t>
      </w:r>
      <w:r w:rsidRPr="00DD6D3D">
        <w:rPr>
          <w:i/>
          <w:iCs/>
        </w:rPr>
        <w:t xml:space="preserve"> </w:t>
      </w:r>
      <w:r w:rsidRPr="00DD6D3D">
        <w:t xml:space="preserve">Technical Appendix at 12 (“The look-up table, or a portion of it, may be off-loaded to the SatPaq, enabling the SatPaq to identify and select a suitable frequency to request transmission with SatPaq Network Control.”).  These dual points of analysis were designed to make SatPaq operations more efficient and enable mobility.  </w:t>
      </w:r>
      <w:r w:rsidRPr="00DD6D3D">
        <w:rPr>
          <w:i/>
        </w:rPr>
        <w:t>Id</w:t>
      </w:r>
      <w:r w:rsidRPr="00DD6D3D">
        <w:t>.</w:t>
      </w:r>
    </w:p>
  </w:footnote>
  <w:footnote w:id="16">
    <w:p w:rsidR="00F97333" w:rsidRPr="00DD6D3D" w:rsidRDefault="00F97333">
      <w:pPr>
        <w:pStyle w:val="FootnoteText"/>
      </w:pPr>
      <w:r w:rsidRPr="008F19FE">
        <w:rPr>
          <w:rStyle w:val="FootnoteReference"/>
        </w:rPr>
        <w:footnoteRef/>
      </w:r>
      <w:r w:rsidRPr="008F19FE">
        <w:t xml:space="preserve"> Higher Ground May 23, 2016 </w:t>
      </w:r>
      <w:r w:rsidRPr="00DD6D3D">
        <w:rPr>
          <w:i/>
        </w:rPr>
        <w:t>Ex Parte</w:t>
      </w:r>
      <w:r w:rsidRPr="00DD6D3D" w:rsidDel="003A379F">
        <w:t xml:space="preserve"> </w:t>
      </w:r>
      <w:r w:rsidRPr="00DD6D3D">
        <w:t xml:space="preserve">at 2-3.  The satellites will constantly broadcast the current Channel Master database version number and information about recent changes.  </w:t>
      </w:r>
      <w:r w:rsidRPr="00DD6D3D">
        <w:rPr>
          <w:i/>
        </w:rPr>
        <w:t>Id</w:t>
      </w:r>
      <w:r w:rsidRPr="00DD6D3D">
        <w:t>. at 2-3.</w:t>
      </w:r>
    </w:p>
  </w:footnote>
  <w:footnote w:id="17">
    <w:p w:rsidR="00F97333" w:rsidRPr="00DD6D3D" w:rsidRDefault="00F97333">
      <w:pPr>
        <w:pStyle w:val="FootnoteText"/>
      </w:pPr>
      <w:r w:rsidRPr="008F19FE">
        <w:rPr>
          <w:rStyle w:val="FootnoteReference"/>
        </w:rPr>
        <w:footnoteRef/>
      </w:r>
      <w:r w:rsidRPr="008F19FE">
        <w:t xml:space="preserve"> </w:t>
      </w:r>
      <w:r w:rsidRPr="00DD6D3D">
        <w:rPr>
          <w:i/>
        </w:rPr>
        <w:t>See Satellite Communications Services re: Satellite Radio Applications Accepted for Filing</w:t>
      </w:r>
      <w:r w:rsidRPr="00DD6D3D">
        <w:t>, Public Notice, Report No. SES-01771 (Aug. 5, 2015).</w:t>
      </w:r>
    </w:p>
  </w:footnote>
  <w:footnote w:id="18">
    <w:p w:rsidR="00F97333" w:rsidRPr="00DD6D3D" w:rsidRDefault="00F97333">
      <w:pPr>
        <w:pStyle w:val="FootnoteText"/>
      </w:pPr>
      <w:r w:rsidRPr="008F19FE">
        <w:rPr>
          <w:rStyle w:val="FootnoteReference"/>
        </w:rPr>
        <w:footnoteRef/>
      </w:r>
      <w:r w:rsidRPr="008F19FE">
        <w:t xml:space="preserve"> </w:t>
      </w:r>
      <w:r>
        <w:rPr>
          <w:i/>
        </w:rPr>
        <w:t xml:space="preserve">See infra </w:t>
      </w:r>
      <w:r>
        <w:t>n.2</w:t>
      </w:r>
      <w:r w:rsidRPr="008F19FE">
        <w:t>.</w:t>
      </w:r>
    </w:p>
  </w:footnote>
  <w:footnote w:id="19">
    <w:p w:rsidR="00F97333" w:rsidRPr="00DD6D3D" w:rsidRDefault="00F97333">
      <w:pPr>
        <w:pStyle w:val="FootnoteText"/>
      </w:pPr>
      <w:r w:rsidRPr="008F19FE">
        <w:rPr>
          <w:rStyle w:val="FootnoteReference"/>
        </w:rPr>
        <w:footnoteRef/>
      </w:r>
      <w:r w:rsidRPr="008F19FE">
        <w:t xml:space="preserve"> </w:t>
      </w:r>
      <w:r w:rsidRPr="00DD6D3D">
        <w:rPr>
          <w:i/>
        </w:rPr>
        <w:t xml:space="preserve">See </w:t>
      </w:r>
      <w:r w:rsidRPr="00C14D4E">
        <w:t>FWCC Petition to Deny</w:t>
      </w:r>
      <w:r>
        <w:t>.</w:t>
      </w:r>
    </w:p>
  </w:footnote>
  <w:footnote w:id="20">
    <w:p w:rsidR="00F97333" w:rsidRPr="00DD6D3D" w:rsidRDefault="00F97333">
      <w:pPr>
        <w:pStyle w:val="FootnoteText"/>
      </w:pPr>
      <w:r w:rsidRPr="008F19FE">
        <w:rPr>
          <w:rStyle w:val="FootnoteReference"/>
        </w:rPr>
        <w:footnoteRef/>
      </w:r>
      <w:r w:rsidRPr="008F19FE">
        <w:t xml:space="preserve"> </w:t>
      </w:r>
      <w:r w:rsidRPr="00DD6D3D">
        <w:rPr>
          <w:i/>
        </w:rPr>
        <w:t>See id</w:t>
      </w:r>
      <w:r w:rsidRPr="00DD6D3D">
        <w:t>. at 1, n.3.</w:t>
      </w:r>
    </w:p>
  </w:footnote>
  <w:footnote w:id="21">
    <w:p w:rsidR="00F97333" w:rsidRPr="00DD6D3D" w:rsidRDefault="00F97333">
      <w:pPr>
        <w:pStyle w:val="FootnoteText"/>
      </w:pPr>
      <w:r w:rsidRPr="008F19FE">
        <w:rPr>
          <w:rStyle w:val="FootnoteReference"/>
        </w:rPr>
        <w:footnoteRef/>
      </w:r>
      <w:r w:rsidRPr="008F19FE">
        <w:t xml:space="preserve"> </w:t>
      </w:r>
      <w:r w:rsidRPr="00DD6D3D">
        <w:rPr>
          <w:i/>
        </w:rPr>
        <w:t>Id</w:t>
      </w:r>
      <w:r w:rsidRPr="00DD6D3D">
        <w:t>. at 4.</w:t>
      </w:r>
    </w:p>
  </w:footnote>
  <w:footnote w:id="22">
    <w:p w:rsidR="00F97333" w:rsidRPr="00DD6D3D" w:rsidRDefault="00F97333">
      <w:pPr>
        <w:pStyle w:val="FootnoteText"/>
      </w:pPr>
      <w:r w:rsidRPr="008F19FE">
        <w:rPr>
          <w:rStyle w:val="FootnoteReference"/>
        </w:rPr>
        <w:footnoteRef/>
      </w:r>
      <w:r w:rsidRPr="008F19FE">
        <w:t xml:space="preserve"> CenturyLink </w:t>
      </w:r>
      <w:r w:rsidRPr="00DD6D3D">
        <w:t>Opposition Comments.</w:t>
      </w:r>
    </w:p>
  </w:footnote>
  <w:footnote w:id="23">
    <w:p w:rsidR="00F97333" w:rsidRPr="00DD6D3D" w:rsidRDefault="00F97333">
      <w:pPr>
        <w:pStyle w:val="FootnoteText"/>
      </w:pPr>
      <w:r w:rsidRPr="008F19FE">
        <w:rPr>
          <w:rStyle w:val="FootnoteReference"/>
        </w:rPr>
        <w:footnoteRef/>
      </w:r>
      <w:r w:rsidRPr="008F19FE">
        <w:t xml:space="preserve"> </w:t>
      </w:r>
      <w:r w:rsidRPr="00DD6D3D">
        <w:rPr>
          <w:i/>
        </w:rPr>
        <w:t xml:space="preserve">See generally </w:t>
      </w:r>
      <w:r w:rsidRPr="00DD6D3D">
        <w:t xml:space="preserve">Nebraska </w:t>
      </w:r>
      <w:r>
        <w:t xml:space="preserve">PPD </w:t>
      </w:r>
      <w:r w:rsidRPr="00DD6D3D">
        <w:rPr>
          <w:i/>
        </w:rPr>
        <w:t>Ex Parte</w:t>
      </w:r>
      <w:r w:rsidRPr="00DD6D3D">
        <w:t xml:space="preserve">; Frontier </w:t>
      </w:r>
      <w:r w:rsidRPr="00DD6D3D">
        <w:rPr>
          <w:i/>
        </w:rPr>
        <w:t>Ex Parte</w:t>
      </w:r>
      <w:r w:rsidRPr="00DD6D3D">
        <w:t xml:space="preserve">; UTC </w:t>
      </w:r>
      <w:r w:rsidRPr="00DD6D3D">
        <w:rPr>
          <w:i/>
        </w:rPr>
        <w:t>Ex Parte</w:t>
      </w:r>
      <w:r w:rsidRPr="00DD6D3D">
        <w:t xml:space="preserve">; State of Hawaii </w:t>
      </w:r>
      <w:r w:rsidRPr="00DD6D3D">
        <w:rPr>
          <w:i/>
        </w:rPr>
        <w:t>Ex Parte</w:t>
      </w:r>
      <w:r w:rsidRPr="00DD6D3D">
        <w:t xml:space="preserve">; NSMA </w:t>
      </w:r>
      <w:r w:rsidRPr="00DD6D3D">
        <w:rPr>
          <w:i/>
        </w:rPr>
        <w:t>Ex Parte</w:t>
      </w:r>
      <w:r w:rsidRPr="00DD6D3D">
        <w:t>.</w:t>
      </w:r>
    </w:p>
  </w:footnote>
  <w:footnote w:id="24">
    <w:p w:rsidR="00F97333" w:rsidRPr="00DD6D3D" w:rsidRDefault="00F97333">
      <w:pPr>
        <w:pStyle w:val="FootnoteText"/>
      </w:pPr>
      <w:r w:rsidRPr="008F19FE">
        <w:rPr>
          <w:rStyle w:val="FootnoteReference"/>
        </w:rPr>
        <w:footnoteRef/>
      </w:r>
      <w:r w:rsidRPr="008F19FE">
        <w:t xml:space="preserve"> </w:t>
      </w:r>
      <w:r w:rsidRPr="00DD6D3D">
        <w:rPr>
          <w:i/>
        </w:rPr>
        <w:t>See, e.g.</w:t>
      </w:r>
      <w:r w:rsidRPr="00DD6D3D">
        <w:t xml:space="preserve">, Frontier </w:t>
      </w:r>
      <w:r w:rsidRPr="00DD6D3D">
        <w:rPr>
          <w:i/>
        </w:rPr>
        <w:t>Ex Parte</w:t>
      </w:r>
      <w:r w:rsidRPr="00DD6D3D">
        <w:t xml:space="preserve"> at 1; Nebraska </w:t>
      </w:r>
      <w:r w:rsidRPr="00DD6D3D">
        <w:rPr>
          <w:i/>
        </w:rPr>
        <w:t>Ex Parte</w:t>
      </w:r>
      <w:r w:rsidRPr="00DD6D3D">
        <w:t xml:space="preserve"> at 1; UTC </w:t>
      </w:r>
      <w:r w:rsidRPr="00DD6D3D">
        <w:rPr>
          <w:i/>
        </w:rPr>
        <w:t xml:space="preserve">Ex Parte </w:t>
      </w:r>
      <w:r w:rsidRPr="00DD6D3D">
        <w:t>at 1.</w:t>
      </w:r>
    </w:p>
  </w:footnote>
  <w:footnote w:id="25">
    <w:p w:rsidR="00F97333" w:rsidRPr="00DD6D3D" w:rsidRDefault="00F97333">
      <w:pPr>
        <w:pStyle w:val="FootnoteText"/>
      </w:pPr>
      <w:r w:rsidRPr="008F19FE">
        <w:rPr>
          <w:rStyle w:val="FootnoteReference"/>
        </w:rPr>
        <w:footnoteRef/>
      </w:r>
      <w:r w:rsidRPr="008F19FE">
        <w:t xml:space="preserve"> </w:t>
      </w:r>
      <w:r w:rsidRPr="00DD6D3D">
        <w:rPr>
          <w:i/>
        </w:rPr>
        <w:t>See, e.g.</w:t>
      </w:r>
      <w:r w:rsidRPr="00DD6D3D">
        <w:t xml:space="preserve">, Frontier </w:t>
      </w:r>
      <w:r w:rsidRPr="00DD6D3D">
        <w:rPr>
          <w:i/>
        </w:rPr>
        <w:t>Ex Parte</w:t>
      </w:r>
      <w:r>
        <w:t>;</w:t>
      </w:r>
      <w:r w:rsidRPr="00DD6D3D">
        <w:t xml:space="preserve"> UTC </w:t>
      </w:r>
      <w:r w:rsidRPr="00DD6D3D">
        <w:rPr>
          <w:i/>
        </w:rPr>
        <w:t>Ex Parte</w:t>
      </w:r>
      <w:r w:rsidRPr="00DD6D3D">
        <w:t xml:space="preserve"> at 5.</w:t>
      </w:r>
    </w:p>
  </w:footnote>
  <w:footnote w:id="26">
    <w:p w:rsidR="00F97333" w:rsidRPr="00DD6D3D" w:rsidRDefault="00F97333">
      <w:pPr>
        <w:pStyle w:val="FootnoteText"/>
      </w:pPr>
      <w:r w:rsidRPr="008F19FE">
        <w:rPr>
          <w:rStyle w:val="FootnoteReference"/>
        </w:rPr>
        <w:footnoteRef/>
      </w:r>
      <w:r w:rsidRPr="008F19FE">
        <w:t xml:space="preserve"> </w:t>
      </w:r>
      <w:r w:rsidRPr="00DD6D3D">
        <w:rPr>
          <w:i/>
        </w:rPr>
        <w:t>See generally</w:t>
      </w:r>
      <w:r w:rsidRPr="00DD6D3D">
        <w:t xml:space="preserve"> Intelsat Comments.</w:t>
      </w:r>
    </w:p>
  </w:footnote>
  <w:footnote w:id="27">
    <w:p w:rsidR="00F97333" w:rsidRPr="00DD6D3D" w:rsidRDefault="00F97333">
      <w:pPr>
        <w:pStyle w:val="FootnoteText"/>
      </w:pPr>
      <w:r w:rsidRPr="008F19FE">
        <w:rPr>
          <w:rStyle w:val="FootnoteReference"/>
        </w:rPr>
        <w:footnoteRef/>
      </w:r>
      <w:r w:rsidRPr="008F19FE">
        <w:t xml:space="preserve"> 47 U.S.C. § 309.</w:t>
      </w:r>
    </w:p>
  </w:footnote>
  <w:footnote w:id="28">
    <w:p w:rsidR="00F97333" w:rsidRPr="00DD6D3D" w:rsidRDefault="00F97333">
      <w:pPr>
        <w:pStyle w:val="FootnoteText"/>
      </w:pPr>
      <w:r w:rsidRPr="008F19FE">
        <w:rPr>
          <w:rStyle w:val="FootnoteReference"/>
        </w:rPr>
        <w:footnoteRef/>
      </w:r>
      <w:r w:rsidRPr="008F19FE">
        <w:t xml:space="preserve"> Application at 1.  </w:t>
      </w:r>
      <w:r w:rsidRPr="00DD6D3D">
        <w:rPr>
          <w:i/>
        </w:rPr>
        <w:t xml:space="preserve">See also </w:t>
      </w:r>
      <w:r w:rsidRPr="00DD6D3D">
        <w:t>Intelsat Comments at 1.</w:t>
      </w:r>
    </w:p>
  </w:footnote>
  <w:footnote w:id="29">
    <w:p w:rsidR="00F97333" w:rsidRPr="00DD6D3D" w:rsidRDefault="00F97333">
      <w:pPr>
        <w:pStyle w:val="FootnoteText"/>
      </w:pPr>
      <w:r w:rsidRPr="008F19FE">
        <w:rPr>
          <w:rStyle w:val="FootnoteReference"/>
        </w:rPr>
        <w:footnoteRef/>
      </w:r>
      <w:r w:rsidRPr="008F19FE">
        <w:t xml:space="preserve"> FCC, </w:t>
      </w:r>
      <w:r w:rsidRPr="00DD6D3D">
        <w:rPr>
          <w:i/>
        </w:rPr>
        <w:t>Connecting America: The National Broadband Plan</w:t>
      </w:r>
      <w:r w:rsidRPr="00DD6D3D">
        <w:t>, at 96 (2010).</w:t>
      </w:r>
    </w:p>
  </w:footnote>
  <w:footnote w:id="30">
    <w:p w:rsidR="00F97333" w:rsidRPr="00DD6D3D" w:rsidRDefault="00F97333">
      <w:pPr>
        <w:pStyle w:val="FootnoteText"/>
      </w:pPr>
      <w:r w:rsidRPr="008F19FE">
        <w:rPr>
          <w:rStyle w:val="FootnoteReference"/>
        </w:rPr>
        <w:footnoteRef/>
      </w:r>
      <w:r w:rsidRPr="008F19FE">
        <w:t xml:space="preserve"> Intelsat Comments at 2.  </w:t>
      </w:r>
      <w:r w:rsidRPr="00DD6D3D">
        <w:t xml:space="preserve">Intelsat also agrees that Higher Ground’s service will promote the more efficient use of C-band satellite spectrum and capacity.  </w:t>
      </w:r>
      <w:r w:rsidRPr="00DD6D3D">
        <w:rPr>
          <w:i/>
        </w:rPr>
        <w:t>Id</w:t>
      </w:r>
      <w:r w:rsidRPr="00DD6D3D">
        <w:t>.</w:t>
      </w:r>
    </w:p>
  </w:footnote>
  <w:footnote w:id="31">
    <w:p w:rsidR="00F97333" w:rsidRPr="00DD6D3D" w:rsidRDefault="00F97333">
      <w:pPr>
        <w:pStyle w:val="FootnoteText"/>
      </w:pPr>
      <w:r w:rsidRPr="008F19FE">
        <w:rPr>
          <w:rStyle w:val="FootnoteReference"/>
        </w:rPr>
        <w:footnoteRef/>
      </w:r>
      <w:r w:rsidRPr="008F19FE">
        <w:t xml:space="preserve"> </w:t>
      </w:r>
      <w:r w:rsidRPr="00DD6D3D">
        <w:rPr>
          <w:i/>
        </w:rPr>
        <w:t xml:space="preserve">See </w:t>
      </w:r>
      <w:r w:rsidRPr="00DD6D3D">
        <w:t xml:space="preserve">FCC, </w:t>
      </w:r>
      <w:r w:rsidRPr="00DD6D3D">
        <w:rPr>
          <w:i/>
        </w:rPr>
        <w:t>Connecting America: The National Broadband Plan</w:t>
      </w:r>
      <w:r w:rsidRPr="00DD6D3D">
        <w:t xml:space="preserve">, at 95.  </w:t>
      </w:r>
      <w:r w:rsidRPr="00DD6D3D">
        <w:rPr>
          <w:i/>
        </w:rPr>
        <w:t xml:space="preserve">See also </w:t>
      </w:r>
      <w:r w:rsidRPr="00DD6D3D">
        <w:t>Intelsat Comments at 1.</w:t>
      </w:r>
    </w:p>
  </w:footnote>
  <w:footnote w:id="32">
    <w:p w:rsidR="00F97333" w:rsidRPr="00DD6D3D" w:rsidRDefault="00F97333">
      <w:pPr>
        <w:pStyle w:val="FootnoteText"/>
      </w:pPr>
      <w:r w:rsidRPr="008F19FE">
        <w:rPr>
          <w:rStyle w:val="FootnoteReference"/>
        </w:rPr>
        <w:footnoteRef/>
      </w:r>
      <w:r w:rsidRPr="008F19FE">
        <w:t xml:space="preserve"> </w:t>
      </w:r>
      <w:r w:rsidRPr="00DD6D3D">
        <w:rPr>
          <w:i/>
          <w:iCs/>
        </w:rPr>
        <w:t>See</w:t>
      </w:r>
      <w:r w:rsidRPr="00DD6D3D">
        <w:rPr>
          <w:i/>
        </w:rPr>
        <w:t xml:space="preserve"> generally Amendment of the Commission’s Rules with Regard to Commercial Operations in the 3550-3650 MHz Band</w:t>
      </w:r>
      <w:r w:rsidRPr="00DD6D3D">
        <w:t xml:space="preserve">, GN Docket No. 12-354, </w:t>
      </w:r>
      <w:r w:rsidRPr="00DD6D3D">
        <w:rPr>
          <w:iCs/>
        </w:rPr>
        <w:t>Report and Order and Second Further Notice of Proposed Rulemaking</w:t>
      </w:r>
      <w:r w:rsidRPr="00DD6D3D">
        <w:t>, 30 FCC Rcd 3959 (2015) (</w:t>
      </w:r>
      <w:r w:rsidRPr="00DD6D3D">
        <w:rPr>
          <w:i/>
          <w:iCs/>
        </w:rPr>
        <w:t>3.5 GHz R&amp;O</w:t>
      </w:r>
      <w:r w:rsidRPr="00DD6D3D">
        <w:t>) (</w:t>
      </w:r>
      <w:r w:rsidRPr="003450AD">
        <w:t>noting</w:t>
      </w:r>
      <w:r w:rsidRPr="00DD6D3D">
        <w:t xml:space="preserve"> the importance of spectrum sharing in all bands).  </w:t>
      </w:r>
    </w:p>
  </w:footnote>
  <w:footnote w:id="33">
    <w:p w:rsidR="00F97333" w:rsidRPr="00DD6D3D" w:rsidRDefault="00F97333">
      <w:pPr>
        <w:pStyle w:val="FootnoteText"/>
      </w:pPr>
      <w:r w:rsidRPr="008F19FE">
        <w:rPr>
          <w:rStyle w:val="FootnoteReference"/>
        </w:rPr>
        <w:footnoteRef/>
      </w:r>
      <w:r w:rsidRPr="008F19FE">
        <w:t xml:space="preserve"> 47 CFR § 2.106.</w:t>
      </w:r>
    </w:p>
  </w:footnote>
  <w:footnote w:id="34">
    <w:p w:rsidR="00F97333" w:rsidRPr="00DD6D3D" w:rsidRDefault="00F97333">
      <w:pPr>
        <w:pStyle w:val="FootnoteText"/>
      </w:pPr>
      <w:r w:rsidRPr="008F19FE">
        <w:rPr>
          <w:rStyle w:val="FootnoteReference"/>
        </w:rPr>
        <w:footnoteRef/>
      </w:r>
      <w:r w:rsidRPr="008F19FE">
        <w:t xml:space="preserve"> FWCC notes </w:t>
      </w:r>
      <w:r w:rsidRPr="00DD6D3D">
        <w:t xml:space="preserve">that an applicant who seeks a waiver to introduce a non-allocated service into an established band has the burden of establishing it will not cause harmful interference to the incumbent.  </w:t>
      </w:r>
      <w:r w:rsidRPr="00DD6D3D">
        <w:rPr>
          <w:i/>
        </w:rPr>
        <w:t xml:space="preserve">See </w:t>
      </w:r>
      <w:r w:rsidRPr="00DD6D3D">
        <w:t xml:space="preserve">Letter from Cheng-yi Liu and Mitchell Lazarus, Counsel to FWCC, to Marlene H. Dortch, Secretary, FCC, at 2, fn. 2 (filed July 29, 2016) (FWCC July 29 </w:t>
      </w:r>
      <w:r w:rsidRPr="00DD6D3D">
        <w:rPr>
          <w:i/>
        </w:rPr>
        <w:t>Ex Parte</w:t>
      </w:r>
      <w:r w:rsidRPr="00DD6D3D">
        <w:t xml:space="preserve">) (citing </w:t>
      </w:r>
      <w:r w:rsidRPr="00DD6D3D">
        <w:rPr>
          <w:i/>
        </w:rPr>
        <w:t>Ms. Laura Stefani</w:t>
      </w:r>
      <w:r w:rsidRPr="00DD6D3D">
        <w:t>, 30 FCC Rcd 137 at 5 (</w:t>
      </w:r>
      <w:r>
        <w:t>WTB</w:t>
      </w:r>
      <w:r w:rsidRPr="00DD6D3D">
        <w:t xml:space="preserve"> 2015) </w:t>
      </w:r>
      <w:r w:rsidRPr="004C3444">
        <w:rPr>
          <w:i/>
        </w:rPr>
        <w:t>rev’d in part on additional factual showings</w:t>
      </w:r>
      <w:r w:rsidRPr="00DD6D3D">
        <w:t>, 30 FCC Rcd. 10164 (</w:t>
      </w:r>
      <w:r>
        <w:t>WTB</w:t>
      </w:r>
      <w:r w:rsidRPr="00DD6D3D">
        <w:t xml:space="preserve"> 2015)).</w:t>
      </w:r>
    </w:p>
  </w:footnote>
  <w:footnote w:id="35">
    <w:p w:rsidR="00F97333" w:rsidRPr="00DD6D3D" w:rsidRDefault="00F97333">
      <w:pPr>
        <w:pStyle w:val="FootnoteText"/>
      </w:pPr>
      <w:r w:rsidRPr="008F19FE">
        <w:rPr>
          <w:rStyle w:val="FootnoteReference"/>
        </w:rPr>
        <w:footnoteRef/>
      </w:r>
      <w:r w:rsidRPr="008F19FE">
        <w:t xml:space="preserve"> </w:t>
      </w:r>
      <w:r w:rsidRPr="00DD6D3D">
        <w:rPr>
          <w:i/>
        </w:rPr>
        <w:t>See, e.g.</w:t>
      </w:r>
      <w:r w:rsidRPr="00DD6D3D">
        <w:t>, CenturyLink Opposition Comments at 5.</w:t>
      </w:r>
    </w:p>
  </w:footnote>
  <w:footnote w:id="36">
    <w:p w:rsidR="00F97333" w:rsidRPr="00DD6D3D" w:rsidRDefault="00F97333">
      <w:pPr>
        <w:pStyle w:val="FootnoteText"/>
      </w:pPr>
      <w:r w:rsidRPr="008F19FE">
        <w:rPr>
          <w:rStyle w:val="FootnoteReference"/>
        </w:rPr>
        <w:footnoteRef/>
      </w:r>
      <w:r w:rsidRPr="008F19FE">
        <w:t xml:space="preserve"> </w:t>
      </w:r>
      <w:r w:rsidRPr="00DD6D3D">
        <w:rPr>
          <w:i/>
        </w:rPr>
        <w:t>Id</w:t>
      </w:r>
      <w:r w:rsidRPr="00DD6D3D">
        <w:t>. at 3.  The State of Hawaii also objects to Higher Ground’s application based on t</w:t>
      </w:r>
      <w:r>
        <w:t xml:space="preserve">he state of Hawaii’s </w:t>
      </w:r>
      <w:r w:rsidRPr="00DD6D3D">
        <w:t xml:space="preserve">use of these frequency bands for public safety purposes.  </w:t>
      </w:r>
      <w:r w:rsidRPr="00DD6D3D">
        <w:rPr>
          <w:i/>
        </w:rPr>
        <w:t xml:space="preserve">See </w:t>
      </w:r>
      <w:r w:rsidRPr="00DD6D3D">
        <w:t xml:space="preserve">State of Hawaii </w:t>
      </w:r>
      <w:r w:rsidRPr="00DD6D3D">
        <w:rPr>
          <w:i/>
        </w:rPr>
        <w:t>Ex Parte</w:t>
      </w:r>
      <w:r w:rsidRPr="00DD6D3D">
        <w:t>.</w:t>
      </w:r>
    </w:p>
  </w:footnote>
  <w:footnote w:id="37">
    <w:p w:rsidR="00F97333" w:rsidRPr="00DD6D3D" w:rsidRDefault="00F97333">
      <w:pPr>
        <w:pStyle w:val="FootnoteText"/>
      </w:pPr>
      <w:r w:rsidRPr="008F19FE">
        <w:rPr>
          <w:rStyle w:val="FootnoteReference"/>
        </w:rPr>
        <w:footnoteRef/>
      </w:r>
      <w:r w:rsidRPr="008F19FE">
        <w:t xml:space="preserve"> Letter from Cheng-yi Liu, Counsel to FWCC, to Marlene H. Dortch, Secretary, FCC, at 4 (filed July 15, 2016) (FWCC July 15 </w:t>
      </w:r>
      <w:r w:rsidRPr="00DD6D3D">
        <w:rPr>
          <w:i/>
        </w:rPr>
        <w:t>Ex Parte</w:t>
      </w:r>
      <w:r w:rsidRPr="00DD6D3D">
        <w:t>).</w:t>
      </w:r>
    </w:p>
  </w:footnote>
  <w:footnote w:id="38">
    <w:p w:rsidR="00F97333" w:rsidRPr="00DD6D3D" w:rsidRDefault="00F97333">
      <w:pPr>
        <w:pStyle w:val="FootnoteText"/>
      </w:pPr>
      <w:r w:rsidRPr="008F19FE">
        <w:rPr>
          <w:rStyle w:val="FootnoteReference"/>
        </w:rPr>
        <w:footnoteRef/>
      </w:r>
      <w:r w:rsidRPr="008F19FE">
        <w:t xml:space="preserve"> Letter from Cheng-yi Liu and Mitchell Lazarus, Counsel to FWCC, to Marlene H. Dortch, Secre</w:t>
      </w:r>
      <w:r w:rsidRPr="00DD6D3D">
        <w:t xml:space="preserve">tary, FCC, at 2 (filed June 8, 2016) (FWCC June 8 </w:t>
      </w:r>
      <w:r w:rsidRPr="00DD6D3D">
        <w:rPr>
          <w:i/>
        </w:rPr>
        <w:t>Ex Parte</w:t>
      </w:r>
      <w:r w:rsidRPr="00DD6D3D">
        <w:t>); CenturyLink Opposition Comments at 1.</w:t>
      </w:r>
    </w:p>
  </w:footnote>
  <w:footnote w:id="39">
    <w:p w:rsidR="00F97333" w:rsidRPr="00DD6D3D" w:rsidRDefault="00F97333">
      <w:pPr>
        <w:pStyle w:val="FootnoteText"/>
      </w:pPr>
      <w:r w:rsidRPr="008F19FE">
        <w:rPr>
          <w:rStyle w:val="FootnoteReference"/>
        </w:rPr>
        <w:footnoteRef/>
      </w:r>
      <w:r w:rsidRPr="008F19FE">
        <w:t xml:space="preserve"> FWCC Petition to Deny at 11.</w:t>
      </w:r>
    </w:p>
  </w:footnote>
  <w:footnote w:id="40">
    <w:p w:rsidR="00F97333" w:rsidRPr="00DD6D3D" w:rsidRDefault="00F97333">
      <w:pPr>
        <w:pStyle w:val="FootnoteText"/>
      </w:pPr>
      <w:r w:rsidRPr="008F19FE">
        <w:rPr>
          <w:rStyle w:val="FootnoteReference"/>
        </w:rPr>
        <w:footnoteRef/>
      </w:r>
      <w:r w:rsidRPr="008F19FE">
        <w:t xml:space="preserve"> CenturyLink Opposition Comments at 4.</w:t>
      </w:r>
    </w:p>
  </w:footnote>
  <w:footnote w:id="41">
    <w:p w:rsidR="00F97333" w:rsidRPr="00DD6D3D" w:rsidRDefault="00F97333">
      <w:pPr>
        <w:pStyle w:val="FootnoteText"/>
      </w:pPr>
      <w:r w:rsidRPr="008F19FE">
        <w:rPr>
          <w:rStyle w:val="FootnoteReference"/>
        </w:rPr>
        <w:footnoteRef/>
      </w:r>
      <w:r w:rsidRPr="008F19FE">
        <w:t xml:space="preserve"> FWCC June 8 </w:t>
      </w:r>
      <w:r w:rsidRPr="00DD6D3D">
        <w:rPr>
          <w:i/>
        </w:rPr>
        <w:t>Ex Parte</w:t>
      </w:r>
      <w:r w:rsidRPr="00DD6D3D">
        <w:t xml:space="preserve"> at 5.</w:t>
      </w:r>
    </w:p>
  </w:footnote>
  <w:footnote w:id="42">
    <w:p w:rsidR="00F97333" w:rsidRPr="00DD6D3D" w:rsidRDefault="00F97333">
      <w:pPr>
        <w:pStyle w:val="FootnoteText"/>
      </w:pPr>
      <w:r w:rsidRPr="008F19FE">
        <w:rPr>
          <w:rStyle w:val="FootnoteReference"/>
        </w:rPr>
        <w:footnoteRef/>
      </w:r>
      <w:r w:rsidRPr="008F19FE">
        <w:t xml:space="preserve"> </w:t>
      </w:r>
      <w:r w:rsidRPr="00DD6D3D">
        <w:rPr>
          <w:i/>
        </w:rPr>
        <w:t>Id</w:t>
      </w:r>
      <w:r w:rsidRPr="00DD6D3D">
        <w:t xml:space="preserve">.  </w:t>
      </w:r>
      <w:r w:rsidRPr="00DD6D3D">
        <w:rPr>
          <w:i/>
        </w:rPr>
        <w:t>See also</w:t>
      </w:r>
      <w:r w:rsidRPr="00DD6D3D">
        <w:t xml:space="preserve"> Tiffany West Smink, Counsel, CenturyLink, to Marlene H. Dortch, Secretary, FCC, at 2 (filed Feb. 1, 2016) (CenturyLink Feb. 1 </w:t>
      </w:r>
      <w:r w:rsidRPr="00DD6D3D">
        <w:rPr>
          <w:i/>
        </w:rPr>
        <w:t>Ex Parte</w:t>
      </w:r>
      <w:r w:rsidRPr="00DD6D3D">
        <w:t>) (discussing the “response cascade” of trouble-shooting and re-routing traffic).</w:t>
      </w:r>
    </w:p>
  </w:footnote>
  <w:footnote w:id="43">
    <w:p w:rsidR="00F97333" w:rsidRPr="00DD6D3D" w:rsidRDefault="00F97333">
      <w:pPr>
        <w:pStyle w:val="FootnoteText"/>
      </w:pPr>
      <w:r w:rsidRPr="008F19FE">
        <w:rPr>
          <w:rStyle w:val="FootnoteReference"/>
        </w:rPr>
        <w:footnoteRef/>
      </w:r>
      <w:r w:rsidRPr="008F19FE">
        <w:t xml:space="preserve"> Higher Ground May 23, 2016 </w:t>
      </w:r>
      <w:r w:rsidRPr="00DD6D3D">
        <w:rPr>
          <w:i/>
        </w:rPr>
        <w:t>Ex Parte</w:t>
      </w:r>
      <w:r w:rsidRPr="00DD6D3D">
        <w:t xml:space="preserve"> at 2.</w:t>
      </w:r>
    </w:p>
  </w:footnote>
  <w:footnote w:id="44">
    <w:p w:rsidR="00F97333" w:rsidRPr="00DD6D3D" w:rsidRDefault="00F97333">
      <w:pPr>
        <w:pStyle w:val="FootnoteText"/>
      </w:pPr>
      <w:r w:rsidRPr="008F19FE">
        <w:rPr>
          <w:rStyle w:val="FootnoteReference"/>
        </w:rPr>
        <w:footnoteRef/>
      </w:r>
      <w:r w:rsidRPr="008F19FE">
        <w:t xml:space="preserve"> Higher Ground has chosen 5927.5</w:t>
      </w:r>
      <w:r w:rsidRPr="00DD6D3D">
        <w:t xml:space="preserve"> MHz as its primary hailing frequency because it is a low-bandwidth, lightly used channel with few active point-to-point links.  </w:t>
      </w:r>
      <w:r w:rsidRPr="00DD6D3D">
        <w:rPr>
          <w:i/>
        </w:rPr>
        <w:t>See</w:t>
      </w:r>
      <w:r w:rsidRPr="00DD6D3D">
        <w:t xml:space="preserve"> Application, Technical Appendix at 14.</w:t>
      </w:r>
    </w:p>
  </w:footnote>
  <w:footnote w:id="45">
    <w:p w:rsidR="00F97333" w:rsidRPr="00DD6D3D" w:rsidRDefault="00F97333">
      <w:pPr>
        <w:pStyle w:val="FootnoteText"/>
      </w:pPr>
      <w:r w:rsidRPr="008F19FE">
        <w:rPr>
          <w:rStyle w:val="FootnoteReference"/>
        </w:rPr>
        <w:footnoteRef/>
      </w:r>
      <w:r w:rsidRPr="008F19FE">
        <w:t xml:space="preserve"> </w:t>
      </w:r>
      <w:r w:rsidRPr="00DD6D3D">
        <w:rPr>
          <w:i/>
        </w:rPr>
        <w:t>Id</w:t>
      </w:r>
      <w:r w:rsidRPr="00DD6D3D">
        <w:t>.</w:t>
      </w:r>
    </w:p>
  </w:footnote>
  <w:footnote w:id="46">
    <w:p w:rsidR="00F97333" w:rsidRPr="00DD6D3D" w:rsidRDefault="00F97333">
      <w:pPr>
        <w:pStyle w:val="FootnoteText"/>
      </w:pPr>
      <w:r w:rsidRPr="008F19FE">
        <w:rPr>
          <w:rStyle w:val="FootnoteReference"/>
        </w:rPr>
        <w:footnoteRef/>
      </w:r>
      <w:r w:rsidRPr="008F19FE">
        <w:t xml:space="preserve"> Higher Ground May 23, 2016 </w:t>
      </w:r>
      <w:r w:rsidRPr="00DD6D3D">
        <w:rPr>
          <w:i/>
        </w:rPr>
        <w:t>Ex Parte</w:t>
      </w:r>
      <w:r w:rsidRPr="00DD6D3D">
        <w:t xml:space="preserve"> at 3.</w:t>
      </w:r>
    </w:p>
  </w:footnote>
  <w:footnote w:id="47">
    <w:p w:rsidR="00F97333" w:rsidRPr="00DD6D3D" w:rsidRDefault="00F97333">
      <w:pPr>
        <w:pStyle w:val="FootnoteText"/>
      </w:pPr>
      <w:r w:rsidRPr="008F19FE">
        <w:rPr>
          <w:rStyle w:val="FootnoteReference"/>
        </w:rPr>
        <w:footnoteRef/>
      </w:r>
      <w:r w:rsidRPr="008F19FE">
        <w:t xml:space="preserve"> Intelsat Comments at 2.</w:t>
      </w:r>
    </w:p>
  </w:footnote>
  <w:footnote w:id="48">
    <w:p w:rsidR="00F97333" w:rsidRPr="00DD6D3D" w:rsidRDefault="00F97333">
      <w:pPr>
        <w:pStyle w:val="FootnoteText"/>
      </w:pPr>
      <w:r w:rsidRPr="008F19FE">
        <w:rPr>
          <w:rStyle w:val="FootnoteReference"/>
        </w:rPr>
        <w:footnoteRef/>
      </w:r>
      <w:r w:rsidRPr="008F19FE">
        <w:t xml:space="preserve"> </w:t>
      </w:r>
      <w:r w:rsidRPr="00DD6D3D">
        <w:rPr>
          <w:i/>
        </w:rPr>
        <w:t>Id</w:t>
      </w:r>
      <w:r w:rsidRPr="00DD6D3D">
        <w:t>.</w:t>
      </w:r>
    </w:p>
  </w:footnote>
  <w:footnote w:id="49">
    <w:p w:rsidR="00F97333" w:rsidRPr="00DD6D3D" w:rsidRDefault="00F97333">
      <w:pPr>
        <w:pStyle w:val="FootnoteText"/>
      </w:pPr>
      <w:r w:rsidRPr="008F19FE">
        <w:rPr>
          <w:rStyle w:val="FootnoteReference"/>
        </w:rPr>
        <w:footnoteRef/>
      </w:r>
      <w:r w:rsidRPr="008F19FE">
        <w:t xml:space="preserve"> </w:t>
      </w:r>
      <w:r w:rsidRPr="00DD6D3D">
        <w:t>Letter from Adam D. Krinsky, Wilkinson Barker Knauer, LLP, Counsel, Higher Ground LLC, to Marlene H. Dortch, Secretary, FCC, Attach. B at 4-5 (filed Dec. 17, 2015).</w:t>
      </w:r>
    </w:p>
  </w:footnote>
  <w:footnote w:id="50">
    <w:p w:rsidR="00F97333" w:rsidRPr="00DD6D3D" w:rsidRDefault="00F97333">
      <w:pPr>
        <w:pStyle w:val="FootnoteText"/>
      </w:pPr>
      <w:r w:rsidRPr="008F19FE">
        <w:rPr>
          <w:rStyle w:val="FootnoteReference"/>
        </w:rPr>
        <w:footnoteRef/>
      </w:r>
      <w:r w:rsidRPr="008F19FE">
        <w:t xml:space="preserve"> 47 C.F.R §101.31(b).</w:t>
      </w:r>
    </w:p>
  </w:footnote>
  <w:footnote w:id="51">
    <w:p w:rsidR="00F97333" w:rsidRPr="00DD6D3D" w:rsidRDefault="00F97333">
      <w:pPr>
        <w:pStyle w:val="FootnoteText"/>
      </w:pPr>
      <w:r w:rsidRPr="008F19FE">
        <w:rPr>
          <w:rStyle w:val="FootnoteReference"/>
        </w:rPr>
        <w:footnoteRef/>
      </w:r>
      <w:r w:rsidRPr="008F19FE">
        <w:t xml:space="preserve"> FWCC June 8 </w:t>
      </w:r>
      <w:r w:rsidRPr="008F19FE">
        <w:rPr>
          <w:i/>
        </w:rPr>
        <w:t>Ex Parte</w:t>
      </w:r>
      <w:r w:rsidRPr="00DD6D3D">
        <w:t xml:space="preserve"> at 5 (noting its concerns regarding Higher Ground’s resistance to providing the algorithm for</w:t>
      </w:r>
      <w:r>
        <w:t>,</w:t>
      </w:r>
      <w:r w:rsidRPr="00DD6D3D">
        <w:t xml:space="preserve"> and notification of changes to</w:t>
      </w:r>
      <w:r>
        <w:t>,</w:t>
      </w:r>
      <w:r w:rsidRPr="00DD6D3D">
        <w:t xml:space="preserve"> its interference calculation model).</w:t>
      </w:r>
    </w:p>
  </w:footnote>
  <w:footnote w:id="52">
    <w:p w:rsidR="00F97333" w:rsidRPr="00DD6D3D" w:rsidRDefault="00F97333">
      <w:pPr>
        <w:pStyle w:val="FootnoteText"/>
      </w:pPr>
      <w:r w:rsidRPr="008F19FE">
        <w:rPr>
          <w:rStyle w:val="FootnoteReference"/>
        </w:rPr>
        <w:footnoteRef/>
      </w:r>
      <w:r w:rsidRPr="008F19FE">
        <w:t xml:space="preserve"> FWCC June 8 </w:t>
      </w:r>
      <w:r w:rsidRPr="008F19FE">
        <w:rPr>
          <w:i/>
        </w:rPr>
        <w:t>Ex Parte</w:t>
      </w:r>
      <w:r w:rsidRPr="00DD6D3D">
        <w:t xml:space="preserve"> at 3-4.</w:t>
      </w:r>
    </w:p>
  </w:footnote>
  <w:footnote w:id="53">
    <w:p w:rsidR="00F97333" w:rsidRPr="00DD6D3D" w:rsidRDefault="00F97333">
      <w:pPr>
        <w:pStyle w:val="FootnoteText"/>
      </w:pPr>
      <w:r w:rsidRPr="008F19FE">
        <w:rPr>
          <w:rStyle w:val="FootnoteReference"/>
        </w:rPr>
        <w:footnoteRef/>
      </w:r>
      <w:r w:rsidRPr="008F19FE">
        <w:t xml:space="preserve"> FWCC Petition to Deny at 8-9; FWCC June 8 </w:t>
      </w:r>
      <w:r w:rsidRPr="008F19FE">
        <w:rPr>
          <w:i/>
        </w:rPr>
        <w:t>Ex Parte</w:t>
      </w:r>
      <w:r w:rsidRPr="00DD6D3D">
        <w:t xml:space="preserve"> at 7-8; FWCC July 15 </w:t>
      </w:r>
      <w:r w:rsidRPr="00DD6D3D">
        <w:rPr>
          <w:i/>
        </w:rPr>
        <w:t>Ex Parte</w:t>
      </w:r>
      <w:r w:rsidRPr="00DD6D3D">
        <w:t xml:space="preserve"> at 11.</w:t>
      </w:r>
    </w:p>
  </w:footnote>
  <w:footnote w:id="54">
    <w:p w:rsidR="00F97333" w:rsidRPr="00DD6D3D" w:rsidRDefault="00F97333">
      <w:pPr>
        <w:pStyle w:val="FootnoteText"/>
      </w:pPr>
      <w:r w:rsidRPr="008F19FE">
        <w:rPr>
          <w:rStyle w:val="FootnoteReference"/>
        </w:rPr>
        <w:footnoteRef/>
      </w:r>
      <w:r w:rsidRPr="008F19FE">
        <w:t xml:space="preserve"> FWCC June 8 </w:t>
      </w:r>
      <w:r w:rsidRPr="008F19FE">
        <w:rPr>
          <w:i/>
        </w:rPr>
        <w:t>Ex Parte</w:t>
      </w:r>
      <w:r w:rsidRPr="00DD6D3D">
        <w:t xml:space="preserve"> at 4.</w:t>
      </w:r>
    </w:p>
  </w:footnote>
  <w:footnote w:id="55">
    <w:p w:rsidR="00F97333" w:rsidRPr="00DD6D3D" w:rsidRDefault="00F97333">
      <w:pPr>
        <w:pStyle w:val="FootnoteText"/>
      </w:pPr>
      <w:r w:rsidRPr="008F19FE">
        <w:rPr>
          <w:rStyle w:val="FootnoteReference"/>
        </w:rPr>
        <w:footnoteRef/>
      </w:r>
      <w:r w:rsidRPr="008F19FE">
        <w:t xml:space="preserve"> </w:t>
      </w:r>
      <w:r w:rsidRPr="008F19FE">
        <w:rPr>
          <w:i/>
        </w:rPr>
        <w:t>Id</w:t>
      </w:r>
      <w:r w:rsidRPr="00DD6D3D">
        <w:t>.</w:t>
      </w:r>
    </w:p>
  </w:footnote>
  <w:footnote w:id="56">
    <w:p w:rsidR="00F97333" w:rsidRPr="00DD6D3D" w:rsidRDefault="00F97333">
      <w:pPr>
        <w:pStyle w:val="FootnoteText"/>
      </w:pPr>
      <w:r w:rsidRPr="008F19FE">
        <w:rPr>
          <w:rStyle w:val="FootnoteReference"/>
        </w:rPr>
        <w:footnoteRef/>
      </w:r>
      <w:r w:rsidRPr="008F19FE">
        <w:t xml:space="preserve"> FWCC June 8 </w:t>
      </w:r>
      <w:r w:rsidRPr="008F19FE">
        <w:rPr>
          <w:i/>
        </w:rPr>
        <w:t>Ex Parte</w:t>
      </w:r>
      <w:r w:rsidRPr="00DD6D3D">
        <w:t xml:space="preserve"> at 2; FWCC July 13 </w:t>
      </w:r>
      <w:r w:rsidRPr="00DD6D3D">
        <w:rPr>
          <w:i/>
        </w:rPr>
        <w:t>Ex Parte</w:t>
      </w:r>
      <w:r w:rsidRPr="00DD6D3D">
        <w:t xml:space="preserve"> at 8, 10; State of Hawaii </w:t>
      </w:r>
      <w:r w:rsidRPr="00DD6D3D">
        <w:rPr>
          <w:i/>
        </w:rPr>
        <w:t>Ex Parte</w:t>
      </w:r>
      <w:r w:rsidRPr="00DD6D3D">
        <w:t>.</w:t>
      </w:r>
    </w:p>
  </w:footnote>
  <w:footnote w:id="57">
    <w:p w:rsidR="00F97333" w:rsidRPr="00DD6D3D" w:rsidRDefault="00F97333">
      <w:pPr>
        <w:pStyle w:val="FootnoteText"/>
      </w:pPr>
      <w:r w:rsidRPr="008F19FE">
        <w:rPr>
          <w:rStyle w:val="FootnoteReference"/>
        </w:rPr>
        <w:footnoteRef/>
      </w:r>
      <w:r w:rsidRPr="008F19FE">
        <w:t xml:space="preserve"> Letter f</w:t>
      </w:r>
      <w:r w:rsidRPr="00DD6D3D">
        <w:t xml:space="preserve">rom Adam D. Krinsky, Wilkinson Barker Knauer, LLP, Counsel, Higher Ground LLC, to Marlene H. Dortch, Secretary, FCC, at 5 (filed July 21, 2016) (Higher Ground July 21 </w:t>
      </w:r>
      <w:r w:rsidRPr="00DD6D3D">
        <w:rPr>
          <w:i/>
          <w:iCs/>
        </w:rPr>
        <w:t>Ex Parte</w:t>
      </w:r>
      <w:r w:rsidRPr="00DD6D3D">
        <w:rPr>
          <w:iCs/>
        </w:rPr>
        <w:t>)</w:t>
      </w:r>
      <w:r w:rsidRPr="00DD6D3D">
        <w:t xml:space="preserve"> (citing </w:t>
      </w:r>
      <w:r w:rsidRPr="00DD6D3D">
        <w:rPr>
          <w:i/>
        </w:rPr>
        <w:t>Liberty Commc’ns., Inc. and Sprint Nextel Corp</w:t>
      </w:r>
      <w:r w:rsidRPr="00DD6D3D">
        <w:t>., 25 FCC Rcd 9197, 9203, paras. 1617 (PSHSB 2010)).</w:t>
      </w:r>
    </w:p>
  </w:footnote>
  <w:footnote w:id="58">
    <w:p w:rsidR="00F97333" w:rsidRPr="00DD6D3D" w:rsidRDefault="00F97333">
      <w:pPr>
        <w:pStyle w:val="FootnoteText"/>
      </w:pPr>
      <w:r w:rsidRPr="008F19FE">
        <w:rPr>
          <w:rStyle w:val="FootnoteReference"/>
        </w:rPr>
        <w:footnoteRef/>
      </w:r>
      <w:r w:rsidRPr="008F19FE">
        <w:t xml:space="preserve"> Higher Ground July 21, 2016</w:t>
      </w:r>
      <w:r w:rsidRPr="00DD6D3D">
        <w:t xml:space="preserve"> </w:t>
      </w:r>
      <w:r w:rsidRPr="00DD6D3D">
        <w:rPr>
          <w:i/>
        </w:rPr>
        <w:t>Ex Parte</w:t>
      </w:r>
      <w:r w:rsidRPr="00DD6D3D">
        <w:t xml:space="preserve"> at 5 (“for example, if antenna height is omitted from the ULS database, Higher Ground submits an overly conservative level of 100 meters for the missing data”).</w:t>
      </w:r>
    </w:p>
  </w:footnote>
  <w:footnote w:id="59">
    <w:p w:rsidR="00F97333" w:rsidRDefault="00F97333">
      <w:pPr>
        <w:pStyle w:val="FootnoteText"/>
      </w:pPr>
      <w:r>
        <w:rPr>
          <w:rStyle w:val="FootnoteReference"/>
        </w:rPr>
        <w:footnoteRef/>
      </w:r>
      <w:r>
        <w:t xml:space="preserve"> 47 CFR 25.203(c).</w:t>
      </w:r>
    </w:p>
  </w:footnote>
  <w:footnote w:id="60">
    <w:p w:rsidR="00F97333" w:rsidRPr="00DD6D3D" w:rsidRDefault="00F97333">
      <w:pPr>
        <w:pStyle w:val="FootnoteText"/>
      </w:pPr>
      <w:r w:rsidRPr="008F19FE">
        <w:rPr>
          <w:rStyle w:val="FootnoteReference"/>
        </w:rPr>
        <w:footnoteRef/>
      </w:r>
      <w:r w:rsidRPr="008F19FE">
        <w:t xml:space="preserve"> </w:t>
      </w:r>
      <w:r w:rsidRPr="008F19FE">
        <w:rPr>
          <w:i/>
          <w:iCs/>
          <w:color w:val="000000"/>
        </w:rPr>
        <w:t>See, e.g.</w:t>
      </w:r>
      <w:r>
        <w:rPr>
          <w:iCs/>
          <w:color w:val="000000"/>
        </w:rPr>
        <w:t>,</w:t>
      </w:r>
      <w:r w:rsidRPr="008F19FE">
        <w:rPr>
          <w:i/>
          <w:color w:val="000000"/>
        </w:rPr>
        <w:t xml:space="preserve"> </w:t>
      </w:r>
      <w:r w:rsidRPr="008F19FE">
        <w:rPr>
          <w:i/>
          <w:iCs/>
        </w:rPr>
        <w:t>3.5 GHz R&amp;O</w:t>
      </w:r>
      <w:r w:rsidRPr="008F19FE">
        <w:t>, 30 FCC Rcd at 3964, para. 13</w:t>
      </w:r>
      <w:r w:rsidRPr="00DD6D3D">
        <w:t>.</w:t>
      </w:r>
    </w:p>
  </w:footnote>
  <w:footnote w:id="61">
    <w:p w:rsidR="00F97333" w:rsidRPr="00F82ECB" w:rsidRDefault="00F97333">
      <w:pPr>
        <w:pStyle w:val="FootnoteText"/>
      </w:pPr>
      <w:r>
        <w:rPr>
          <w:rStyle w:val="FootnoteReference"/>
        </w:rPr>
        <w:footnoteRef/>
      </w:r>
      <w:r>
        <w:t xml:space="preserve"> </w:t>
      </w:r>
      <w:r>
        <w:rPr>
          <w:i/>
        </w:rPr>
        <w:t>Id</w:t>
      </w:r>
      <w:r>
        <w:t>.</w:t>
      </w:r>
    </w:p>
  </w:footnote>
  <w:footnote w:id="62">
    <w:p w:rsidR="00F97333" w:rsidRPr="00DD6D3D" w:rsidRDefault="00F97333">
      <w:pPr>
        <w:pStyle w:val="FootnoteText"/>
      </w:pPr>
      <w:r w:rsidRPr="008F19FE">
        <w:rPr>
          <w:rStyle w:val="FootnoteReference"/>
        </w:rPr>
        <w:footnoteRef/>
      </w:r>
      <w:r w:rsidRPr="008F19FE">
        <w:t xml:space="preserve"> Higher Ground July 21, 2016</w:t>
      </w:r>
      <w:r w:rsidRPr="00DD6D3D">
        <w:t xml:space="preserve"> </w:t>
      </w:r>
      <w:r w:rsidRPr="00DD6D3D">
        <w:rPr>
          <w:i/>
          <w:iCs/>
        </w:rPr>
        <w:t xml:space="preserve">Ex Parte </w:t>
      </w:r>
      <w:r w:rsidRPr="00DD6D3D">
        <w:rPr>
          <w:iCs/>
        </w:rPr>
        <w:t>at 4.</w:t>
      </w:r>
    </w:p>
  </w:footnote>
  <w:footnote w:id="63">
    <w:p w:rsidR="00F97333" w:rsidRPr="00DD6D3D" w:rsidRDefault="00F97333">
      <w:pPr>
        <w:pStyle w:val="FootnoteText"/>
      </w:pPr>
      <w:r w:rsidRPr="008F19FE">
        <w:rPr>
          <w:rStyle w:val="FootnoteReference"/>
        </w:rPr>
        <w:footnoteRef/>
      </w:r>
      <w:r w:rsidRPr="008F19FE">
        <w:t xml:space="preserve"> FWCC July 29 </w:t>
      </w:r>
      <w:r w:rsidRPr="008F19FE">
        <w:rPr>
          <w:i/>
        </w:rPr>
        <w:t>Ex Parte</w:t>
      </w:r>
      <w:r w:rsidRPr="008F19FE">
        <w:t xml:space="preserve"> at 4-5.  </w:t>
      </w:r>
      <w:r w:rsidRPr="008F19FE">
        <w:rPr>
          <w:i/>
        </w:rPr>
        <w:t>See also</w:t>
      </w:r>
      <w:r w:rsidRPr="008F19FE">
        <w:t xml:space="preserve"> State of Hawaii </w:t>
      </w:r>
      <w:r w:rsidRPr="008F19FE">
        <w:rPr>
          <w:i/>
        </w:rPr>
        <w:t xml:space="preserve">Ex Parte </w:t>
      </w:r>
      <w:r w:rsidRPr="008F19FE">
        <w:t>(arguing that there would be no way for a “victim” of interference to predict or avoid interference).</w:t>
      </w:r>
    </w:p>
  </w:footnote>
  <w:footnote w:id="64">
    <w:p w:rsidR="00F97333" w:rsidRPr="008F19FE" w:rsidRDefault="00F97333">
      <w:pPr>
        <w:pStyle w:val="FootnoteText"/>
      </w:pPr>
      <w:r w:rsidRPr="008F19FE">
        <w:rPr>
          <w:rStyle w:val="FootnoteReference"/>
        </w:rPr>
        <w:footnoteRef/>
      </w:r>
      <w:r w:rsidRPr="008F19FE">
        <w:t xml:space="preserve"> FWCC Petition to Deny at 7.</w:t>
      </w:r>
    </w:p>
  </w:footnote>
  <w:footnote w:id="65">
    <w:p w:rsidR="00F97333" w:rsidRPr="008F19FE" w:rsidRDefault="00F97333">
      <w:pPr>
        <w:pStyle w:val="FootnoteText"/>
        <w:rPr>
          <w:i/>
        </w:rPr>
      </w:pPr>
      <w:r w:rsidRPr="008F19FE">
        <w:rPr>
          <w:rStyle w:val="FootnoteReference"/>
        </w:rPr>
        <w:footnoteRef/>
      </w:r>
      <w:r w:rsidRPr="008F19FE">
        <w:t xml:space="preserve"> </w:t>
      </w:r>
      <w:r w:rsidRPr="008F19FE">
        <w:rPr>
          <w:i/>
        </w:rPr>
        <w:t>Id</w:t>
      </w:r>
      <w:r w:rsidRPr="008F19FE">
        <w:t xml:space="preserve">.  </w:t>
      </w:r>
      <w:r w:rsidRPr="008F19FE">
        <w:rPr>
          <w:i/>
        </w:rPr>
        <w:t>See also</w:t>
      </w:r>
      <w:r w:rsidRPr="008F19FE">
        <w:t xml:space="preserve"> State of Hawaii </w:t>
      </w:r>
      <w:r w:rsidRPr="008F19FE">
        <w:rPr>
          <w:i/>
        </w:rPr>
        <w:t>Ex Parte</w:t>
      </w:r>
      <w:r w:rsidRPr="008F19FE">
        <w:t xml:space="preserve"> (asserting that recourse for confirmed interference would be uncertain).</w:t>
      </w:r>
    </w:p>
  </w:footnote>
  <w:footnote w:id="66">
    <w:p w:rsidR="00F97333" w:rsidRPr="00DD6D3D" w:rsidRDefault="00F97333">
      <w:pPr>
        <w:pStyle w:val="FootnoteText"/>
      </w:pPr>
      <w:r w:rsidRPr="008F19FE">
        <w:rPr>
          <w:rStyle w:val="FootnoteReference"/>
        </w:rPr>
        <w:footnoteRef/>
      </w:r>
      <w:r w:rsidRPr="008F19FE">
        <w:t xml:space="preserve"> CenturyLink Opposition Comments at 2-3.  </w:t>
      </w:r>
      <w:r w:rsidRPr="008F19FE">
        <w:rPr>
          <w:i/>
        </w:rPr>
        <w:t xml:space="preserve">See also </w:t>
      </w:r>
      <w:r w:rsidRPr="008F19FE">
        <w:t xml:space="preserve">State of Hawaii </w:t>
      </w:r>
      <w:r w:rsidRPr="008F19FE">
        <w:rPr>
          <w:i/>
        </w:rPr>
        <w:t xml:space="preserve">Ex Parte </w:t>
      </w:r>
      <w:r w:rsidRPr="008F19FE">
        <w:t>(arguing that sporadic interference is hard to identify and ascribe to</w:t>
      </w:r>
      <w:r w:rsidRPr="00DD6D3D">
        <w:t xml:space="preserve"> a mobile device).</w:t>
      </w:r>
    </w:p>
  </w:footnote>
  <w:footnote w:id="67">
    <w:p w:rsidR="00F97333" w:rsidRPr="008F19FE" w:rsidRDefault="00F97333">
      <w:pPr>
        <w:pStyle w:val="FootnoteText"/>
      </w:pPr>
      <w:r w:rsidRPr="008F19FE">
        <w:rPr>
          <w:rStyle w:val="FootnoteReference"/>
        </w:rPr>
        <w:footnoteRef/>
      </w:r>
      <w:r w:rsidRPr="008F19FE">
        <w:t xml:space="preserve"> CenturyLink Feb. 1 </w:t>
      </w:r>
      <w:r w:rsidRPr="008F19FE">
        <w:rPr>
          <w:i/>
        </w:rPr>
        <w:t>Ex Parte</w:t>
      </w:r>
      <w:r w:rsidRPr="008F19FE">
        <w:t xml:space="preserve"> at 5-6.</w:t>
      </w:r>
    </w:p>
  </w:footnote>
  <w:footnote w:id="68">
    <w:p w:rsidR="00F97333" w:rsidRPr="008F19FE" w:rsidRDefault="00F97333">
      <w:pPr>
        <w:pStyle w:val="FootnoteText"/>
      </w:pPr>
      <w:r w:rsidRPr="008F19FE">
        <w:rPr>
          <w:rStyle w:val="FootnoteReference"/>
        </w:rPr>
        <w:footnoteRef/>
      </w:r>
      <w:r w:rsidRPr="008F19FE">
        <w:t xml:space="preserve"> </w:t>
      </w:r>
      <w:r w:rsidRPr="008F19FE">
        <w:rPr>
          <w:i/>
          <w:iCs/>
        </w:rPr>
        <w:t xml:space="preserve">See </w:t>
      </w:r>
      <w:r w:rsidRPr="008F19FE">
        <w:t>Higher Ground July 21</w:t>
      </w:r>
      <w:r>
        <w:t>, 2016</w:t>
      </w:r>
      <w:r w:rsidRPr="008F19FE">
        <w:t xml:space="preserve"> </w:t>
      </w:r>
      <w:r w:rsidRPr="008F19FE">
        <w:rPr>
          <w:i/>
          <w:iCs/>
        </w:rPr>
        <w:t>Ex Parte</w:t>
      </w:r>
      <w:r w:rsidRPr="008F19FE">
        <w:t xml:space="preserve"> at 4.</w:t>
      </w:r>
    </w:p>
  </w:footnote>
  <w:footnote w:id="69">
    <w:p w:rsidR="00F97333" w:rsidRPr="008F19FE" w:rsidRDefault="00F97333">
      <w:pPr>
        <w:pStyle w:val="FootnoteText"/>
      </w:pPr>
      <w:r w:rsidRPr="008F19FE">
        <w:rPr>
          <w:rStyle w:val="FootnoteReference"/>
        </w:rPr>
        <w:footnoteRef/>
      </w:r>
      <w:r w:rsidRPr="008F19FE">
        <w:t xml:space="preserve"> </w:t>
      </w:r>
      <w:r w:rsidRPr="008F19FE">
        <w:rPr>
          <w:i/>
        </w:rPr>
        <w:t>Id</w:t>
      </w:r>
      <w:r w:rsidRPr="008F19FE">
        <w:t>.</w:t>
      </w:r>
    </w:p>
  </w:footnote>
  <w:footnote w:id="70">
    <w:p w:rsidR="00F97333" w:rsidRPr="008F19FE" w:rsidRDefault="00F97333">
      <w:pPr>
        <w:pStyle w:val="FootnoteText"/>
      </w:pPr>
      <w:r w:rsidRPr="008F19FE">
        <w:rPr>
          <w:rStyle w:val="FootnoteReference"/>
        </w:rPr>
        <w:footnoteRef/>
      </w:r>
      <w:r w:rsidRPr="008F19FE">
        <w:t xml:space="preserve"> </w:t>
      </w:r>
      <w:r w:rsidRPr="008F19FE">
        <w:rPr>
          <w:i/>
        </w:rPr>
        <w:t>Id</w:t>
      </w:r>
      <w:r w:rsidRPr="008F19FE">
        <w:t>.</w:t>
      </w:r>
    </w:p>
  </w:footnote>
  <w:footnote w:id="71">
    <w:p w:rsidR="00F97333" w:rsidRPr="008F19FE" w:rsidRDefault="00F97333">
      <w:pPr>
        <w:pStyle w:val="FootnoteText"/>
      </w:pPr>
      <w:r w:rsidRPr="008F19FE">
        <w:rPr>
          <w:rStyle w:val="FootnoteReference"/>
        </w:rPr>
        <w:footnoteRef/>
      </w:r>
      <w:r w:rsidRPr="008F19FE">
        <w:t xml:space="preserve"> </w:t>
      </w:r>
      <w:r>
        <w:rPr>
          <w:i/>
        </w:rPr>
        <w:t>Id</w:t>
      </w:r>
      <w:r w:rsidRPr="008F19FE">
        <w:t>.</w:t>
      </w:r>
    </w:p>
  </w:footnote>
  <w:footnote w:id="72">
    <w:p w:rsidR="00F97333" w:rsidRPr="00FD568D" w:rsidRDefault="00F97333" w:rsidP="00FD568D">
      <w:pPr>
        <w:pStyle w:val="FootnoteText"/>
      </w:pPr>
      <w:r>
        <w:rPr>
          <w:rStyle w:val="FootnoteReference"/>
        </w:rPr>
        <w:footnoteRef/>
      </w:r>
      <w:r>
        <w:t xml:space="preserve"> </w:t>
      </w:r>
      <w:r>
        <w:rPr>
          <w:i/>
        </w:rPr>
        <w:t>Infra</w:t>
      </w:r>
      <w:r>
        <w:t>. para. 25, n.61.</w:t>
      </w:r>
    </w:p>
  </w:footnote>
  <w:footnote w:id="73">
    <w:p w:rsidR="00F97333" w:rsidRPr="008F19FE" w:rsidRDefault="00F97333" w:rsidP="001B2F3C">
      <w:pPr>
        <w:pStyle w:val="FootnoteText"/>
      </w:pPr>
      <w:r w:rsidRPr="008F19FE">
        <w:rPr>
          <w:rStyle w:val="FootnoteReference"/>
        </w:rPr>
        <w:footnoteRef/>
      </w:r>
      <w:r w:rsidRPr="008F19FE">
        <w:t xml:space="preserve"> Letter from Tiffany West Smink, Counsel, CenturyLink, to Marlene H. Dortch, Secretary, FCC, at 3 (filed Mar. 4, 2016) (CenturyLink Mar. 4, 2016 </w:t>
      </w:r>
      <w:r w:rsidRPr="008F19FE">
        <w:rPr>
          <w:i/>
          <w:iCs/>
        </w:rPr>
        <w:t>Ex Parte</w:t>
      </w:r>
      <w:r>
        <w:t>)</w:t>
      </w:r>
      <w:r w:rsidRPr="008F19FE">
        <w:t>.</w:t>
      </w:r>
    </w:p>
  </w:footnote>
  <w:footnote w:id="74">
    <w:p w:rsidR="00F97333" w:rsidRPr="008F19FE" w:rsidRDefault="00F97333" w:rsidP="00C565E7">
      <w:pPr>
        <w:pStyle w:val="FootnoteText"/>
      </w:pPr>
      <w:r w:rsidRPr="008F19FE">
        <w:rPr>
          <w:rStyle w:val="FootnoteReference"/>
        </w:rPr>
        <w:footnoteRef/>
      </w:r>
      <w:r w:rsidRPr="008F19FE">
        <w:t xml:space="preserve"> TWCC June 8 </w:t>
      </w:r>
      <w:r w:rsidRPr="008F19FE">
        <w:rPr>
          <w:i/>
        </w:rPr>
        <w:t>Ex Parte</w:t>
      </w:r>
      <w:r w:rsidRPr="008F19FE">
        <w:t xml:space="preserve"> at 5.</w:t>
      </w:r>
    </w:p>
  </w:footnote>
  <w:footnote w:id="75">
    <w:p w:rsidR="00F97333" w:rsidRPr="008F19FE" w:rsidRDefault="00F97333">
      <w:pPr>
        <w:pStyle w:val="FootnoteText"/>
      </w:pPr>
      <w:r w:rsidRPr="008F19FE">
        <w:rPr>
          <w:rStyle w:val="FootnoteReference"/>
        </w:rPr>
        <w:footnoteRef/>
      </w:r>
      <w:r w:rsidRPr="008F19FE">
        <w:t xml:space="preserve"> Higher Ground July 21</w:t>
      </w:r>
      <w:r>
        <w:t>, 2016</w:t>
      </w:r>
      <w:r w:rsidRPr="008F19FE">
        <w:t xml:space="preserve"> </w:t>
      </w:r>
      <w:r w:rsidRPr="008F19FE">
        <w:rPr>
          <w:i/>
        </w:rPr>
        <w:t>Ex Parte</w:t>
      </w:r>
      <w:r w:rsidRPr="008F19FE">
        <w:t xml:space="preserve"> at 6.</w:t>
      </w:r>
    </w:p>
  </w:footnote>
  <w:footnote w:id="76">
    <w:p w:rsidR="00376F6C" w:rsidRPr="008F5D86" w:rsidRDefault="00376F6C">
      <w:pPr>
        <w:pStyle w:val="FootnoteText"/>
      </w:pPr>
      <w:r>
        <w:rPr>
          <w:rStyle w:val="FootnoteReference"/>
        </w:rPr>
        <w:footnoteRef/>
      </w:r>
      <w:r>
        <w:t xml:space="preserve"> </w:t>
      </w:r>
      <w:r w:rsidR="008F5D86">
        <w:rPr>
          <w:i/>
        </w:rPr>
        <w:t>See, e.g.</w:t>
      </w:r>
      <w:r w:rsidR="008F5D86">
        <w:t xml:space="preserve">, </w:t>
      </w:r>
      <w:r w:rsidR="008F5D86">
        <w:rPr>
          <w:i/>
        </w:rPr>
        <w:t>SEC v. Chenery Corp.</w:t>
      </w:r>
      <w:r w:rsidR="008F5D86">
        <w:t>, 332 U.S. 194, 203 (1947) (stating that “</w:t>
      </w:r>
      <w:r w:rsidR="008F5D86" w:rsidRPr="008F5D86">
        <w:t>the choice made between proceeding by general rule or by individual, ad hoc litigation is one that lies primarily in the informed discretion of the administrative agency</w:t>
      </w:r>
      <w:r w:rsidR="008F5D86">
        <w:t xml:space="preserve">”); </w:t>
      </w:r>
      <w:r w:rsidR="008F5D86">
        <w:rPr>
          <w:i/>
        </w:rPr>
        <w:t>SBC Communications, Inc. v. FCC</w:t>
      </w:r>
      <w:r w:rsidR="008F5D86">
        <w:t>, 138 F.3d 410, 421 (D.C. Cir. 1998) (stating that “</w:t>
      </w:r>
      <w:r w:rsidR="00310C20">
        <w:t xml:space="preserve">[i]nherent in </w:t>
      </w:r>
      <w:r w:rsidR="008F5D86">
        <w:t xml:space="preserve">an agency’s ability to choose adjudication rather than rulemaking </w:t>
      </w:r>
      <w:r w:rsidR="00310C20">
        <w:t xml:space="preserve">. . . </w:t>
      </w:r>
      <w:r w:rsidR="008F5D86">
        <w:t>is the option to make policy choices in small steps, and only as a case obliges it to”)</w:t>
      </w:r>
      <w:r w:rsidR="00310C20">
        <w:t xml:space="preserve"> (citation omitted)</w:t>
      </w:r>
      <w:r w:rsidR="008F5D86">
        <w:t>.</w:t>
      </w:r>
    </w:p>
  </w:footnote>
  <w:footnote w:id="77">
    <w:p w:rsidR="00F97333" w:rsidRDefault="00F97333" w:rsidP="00D40A7A">
      <w:pPr>
        <w:pStyle w:val="FootnoteText"/>
      </w:pPr>
      <w:r>
        <w:rPr>
          <w:rStyle w:val="FootnoteReference"/>
        </w:rPr>
        <w:footnoteRef/>
      </w:r>
      <w:r>
        <w:t xml:space="preserve"> 47 C.F.R. § 1.3.</w:t>
      </w:r>
    </w:p>
  </w:footnote>
  <w:footnote w:id="78">
    <w:p w:rsidR="00F97333" w:rsidRDefault="00F97333" w:rsidP="00D40A7A">
      <w:pPr>
        <w:pStyle w:val="FootnoteText"/>
      </w:pPr>
      <w:r>
        <w:rPr>
          <w:rStyle w:val="FootnoteReference"/>
        </w:rPr>
        <w:footnoteRef/>
      </w:r>
      <w:r>
        <w:t xml:space="preserve"> </w:t>
      </w:r>
      <w:r>
        <w:rPr>
          <w:i/>
        </w:rPr>
        <w:t>See WAIT Radio v. FCC</w:t>
      </w:r>
      <w:r>
        <w:t xml:space="preserve">, 418 F.2d 1153, 1159 (D.C. Cir. 1969); </w:t>
      </w:r>
      <w:r>
        <w:rPr>
          <w:i/>
        </w:rPr>
        <w:t>Northeast Cellular Telephone Co. v. FCC</w:t>
      </w:r>
      <w:r>
        <w:t>, 897 F.2d 1164, 1166 (D.C. Cir. 1990).</w:t>
      </w:r>
    </w:p>
  </w:footnote>
  <w:footnote w:id="79">
    <w:p w:rsidR="00F97333" w:rsidRPr="00DD6D3D" w:rsidRDefault="00F97333">
      <w:pPr>
        <w:pStyle w:val="FootnoteText"/>
      </w:pPr>
      <w:r w:rsidRPr="008F19FE">
        <w:rPr>
          <w:rStyle w:val="FootnoteReference"/>
        </w:rPr>
        <w:footnoteRef/>
      </w:r>
      <w:r w:rsidRPr="008F19FE">
        <w:t xml:space="preserve"> FWCC June 8 </w:t>
      </w:r>
      <w:r w:rsidRPr="008F19FE">
        <w:rPr>
          <w:i/>
        </w:rPr>
        <w:t>Ex Parte</w:t>
      </w:r>
      <w:r w:rsidRPr="008F19FE">
        <w:t xml:space="preserve"> at 6; FWCC July 29 </w:t>
      </w:r>
      <w:r w:rsidRPr="008F19FE">
        <w:rPr>
          <w:i/>
        </w:rPr>
        <w:t>Ex Parte</w:t>
      </w:r>
      <w:r w:rsidRPr="008F19FE">
        <w:t xml:space="preserve"> at 2-3.  CenturyLink also argues that waiver of Note 6 to 47 CFR § 101.147 would </w:t>
      </w:r>
      <w:r w:rsidRPr="00DD6D3D">
        <w:t xml:space="preserve">be necessary to allow mobile services in the FS environment.  </w:t>
      </w:r>
      <w:r w:rsidRPr="00DD6D3D">
        <w:rPr>
          <w:i/>
        </w:rPr>
        <w:t xml:space="preserve">See </w:t>
      </w:r>
      <w:r w:rsidRPr="00DD6D3D">
        <w:t>CenturyLink Opposition Comments at 3.  FWCC states that they have heard from non-members who belatedly learned about the application and would have participated had they known earlier or had a rulemaking proceeding been initiated.</w:t>
      </w:r>
    </w:p>
  </w:footnote>
  <w:footnote w:id="80">
    <w:p w:rsidR="00F97333" w:rsidRPr="00DD6D3D" w:rsidRDefault="00F97333">
      <w:pPr>
        <w:pStyle w:val="FootnoteText"/>
      </w:pPr>
      <w:r w:rsidRPr="008F19FE">
        <w:rPr>
          <w:rStyle w:val="FootnoteReference"/>
        </w:rPr>
        <w:footnoteRef/>
      </w:r>
      <w:r w:rsidRPr="008F19FE">
        <w:t xml:space="preserve"> Higher Ground transmitters operate at a peak power of 9 dBW and a power spectral density of -21 dBW/4 kHz or less, and based on Higher Ground’s self-coordination methods, would not produce any interference level to </w:t>
      </w:r>
      <w:r w:rsidRPr="00DD6D3D">
        <w:t>FS operations in excess of 6 dB below the thermal noise level.</w:t>
      </w:r>
    </w:p>
  </w:footnote>
  <w:footnote w:id="81">
    <w:p w:rsidR="00F97333" w:rsidRPr="00DD6D3D" w:rsidRDefault="00F97333">
      <w:pPr>
        <w:pStyle w:val="FootnoteText"/>
      </w:pPr>
      <w:r w:rsidRPr="008F19FE">
        <w:rPr>
          <w:rStyle w:val="FootnoteReference"/>
        </w:rPr>
        <w:footnoteRef/>
      </w:r>
      <w:r w:rsidRPr="008F19FE">
        <w:t xml:space="preserve"> 47 CFR </w:t>
      </w:r>
      <w:r w:rsidRPr="00DD6D3D">
        <w:t>§ 25.218(d).</w:t>
      </w:r>
    </w:p>
  </w:footnote>
  <w:footnote w:id="82">
    <w:p w:rsidR="00F97333" w:rsidRPr="00DD6D3D" w:rsidRDefault="00F97333">
      <w:pPr>
        <w:pStyle w:val="FootnoteText"/>
      </w:pPr>
      <w:r w:rsidRPr="008F19FE">
        <w:rPr>
          <w:rStyle w:val="FootnoteReference"/>
        </w:rPr>
        <w:footnoteRef/>
      </w:r>
      <w:r w:rsidRPr="008F19FE">
        <w:t xml:space="preserve"> </w:t>
      </w:r>
      <w:r w:rsidRPr="008F19FE">
        <w:rPr>
          <w:i/>
        </w:rPr>
        <w:t>See</w:t>
      </w:r>
      <w:r w:rsidRPr="00DD6D3D">
        <w:t xml:space="preserve"> Application, Technical Appendix at 7-8.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D09" w:rsidRDefault="00E01D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333" w:rsidRDefault="00F97333" w:rsidP="007237D7">
    <w:pPr>
      <w:pStyle w:val="Header"/>
    </w:pPr>
    <w:r>
      <w:tab/>
      <w:t>Federal Communications Commission</w:t>
    </w:r>
    <w:r>
      <w:tab/>
      <w:t xml:space="preserve"> DA </w:t>
    </w:r>
    <w:r w:rsidR="00987E64">
      <w:t>17-80</w:t>
    </w:r>
  </w:p>
  <w:p w:rsidR="00F97333" w:rsidRDefault="00F97333" w:rsidP="007237D7">
    <w:pPr>
      <w:pStyle w:val="Header"/>
    </w:pPr>
    <w:r>
      <w:rPr>
        <w:noProof/>
      </w:rPr>
      <mc:AlternateContent>
        <mc:Choice Requires="wps">
          <w:drawing>
            <wp:anchor distT="0" distB="0" distL="114300" distR="114300" simplePos="0" relativeHeight="251658240" behindDoc="0" locked="0" layoutInCell="0" allowOverlap="1" wp14:anchorId="1D08B54B" wp14:editId="721FC37B">
              <wp:simplePos x="0" y="0"/>
              <wp:positionH relativeFrom="column">
                <wp:posOffset>0</wp:posOffset>
              </wp:positionH>
              <wp:positionV relativeFrom="paragraph">
                <wp:posOffset>22225</wp:posOffset>
              </wp:positionV>
              <wp:extent cx="59436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F1C4E15"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333" w:rsidRPr="007237D7" w:rsidRDefault="00F97333" w:rsidP="007237D7">
    <w:pPr>
      <w:pStyle w:val="Header"/>
    </w:pPr>
    <w:r>
      <w:tab/>
    </w:r>
    <w:r w:rsidRPr="007237D7">
      <w:t>Federal Communications Commission</w:t>
    </w:r>
    <w:r w:rsidRPr="007237D7">
      <w:tab/>
      <w:t xml:space="preserve"> DA 1</w:t>
    </w:r>
    <w:r w:rsidR="00C55F38">
      <w:t>7</w:t>
    </w:r>
    <w:r w:rsidRPr="007237D7">
      <w:t>-</w:t>
    </w:r>
    <w:r w:rsidR="00987E64">
      <w:t>80</w:t>
    </w:r>
    <w:r w:rsidRPr="007237D7">
      <w:t xml:space="preserve"> </w:t>
    </w:r>
  </w:p>
  <w:p w:rsidR="00F97333" w:rsidRDefault="00F97333" w:rsidP="00DD56F8">
    <w:pPr>
      <w:pStyle w:val="Header"/>
      <w:tabs>
        <w:tab w:val="clear" w:pos="4680"/>
      </w:tabs>
    </w:pPr>
    <w:r>
      <w:rPr>
        <w:noProof/>
      </w:rPr>
      <mc:AlternateContent>
        <mc:Choice Requires="wps">
          <w:drawing>
            <wp:anchor distT="0" distB="0" distL="114300" distR="114300" simplePos="0" relativeHeight="251657216" behindDoc="0" locked="0" layoutInCell="0" allowOverlap="1" wp14:anchorId="479B303B" wp14:editId="27962CAA">
              <wp:simplePos x="0" y="0"/>
              <wp:positionH relativeFrom="column">
                <wp:posOffset>0</wp:posOffset>
              </wp:positionH>
              <wp:positionV relativeFrom="paragraph">
                <wp:posOffset>22225</wp:posOffset>
              </wp:positionV>
              <wp:extent cx="59436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AE609F4"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C014134"/>
    <w:multiLevelType w:val="hybridMultilevel"/>
    <w:tmpl w:val="A0B26DFC"/>
    <w:lvl w:ilvl="0" w:tplc="F8F0CBB0">
      <w:start w:val="1"/>
      <w:numFmt w:val="lowerLetter"/>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580792A"/>
    <w:multiLevelType w:val="hybridMultilevel"/>
    <w:tmpl w:val="A27E2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57B5057D"/>
    <w:multiLevelType w:val="hybridMultilevel"/>
    <w:tmpl w:val="857C7F42"/>
    <w:lvl w:ilvl="0" w:tplc="881281A2">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ED5D95"/>
    <w:multiLevelType w:val="hybridMultilevel"/>
    <w:tmpl w:val="462C8AE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7"/>
  </w:num>
  <w:num w:numId="2">
    <w:abstractNumId w:val="10"/>
  </w:num>
  <w:num w:numId="3">
    <w:abstractNumId w:val="3"/>
  </w:num>
  <w:num w:numId="4">
    <w:abstractNumId w:val="8"/>
  </w:num>
  <w:num w:numId="5">
    <w:abstractNumId w:val="9"/>
  </w:num>
  <w:num w:numId="6">
    <w:abstractNumId w:val="1"/>
  </w:num>
  <w:num w:numId="7">
    <w:abstractNumId w:val="6"/>
  </w:num>
  <w:num w:numId="8">
    <w:abstractNumId w:val="2"/>
  </w:num>
  <w:num w:numId="9">
    <w:abstractNumId w:val="0"/>
  </w:num>
  <w:num w:numId="10">
    <w:abstractNumId w:val="10"/>
  </w:num>
  <w:num w:numId="11">
    <w:abstractNumId w:val="10"/>
  </w:num>
  <w:num w:numId="12">
    <w:abstractNumId w:val="10"/>
  </w:num>
  <w:num w:numId="13">
    <w:abstractNumId w:val="5"/>
  </w:num>
  <w:num w:numId="14">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E30"/>
    <w:rsid w:val="000031F8"/>
    <w:rsid w:val="0000349D"/>
    <w:rsid w:val="000049F2"/>
    <w:rsid w:val="00004D8D"/>
    <w:rsid w:val="00005A7B"/>
    <w:rsid w:val="00005C39"/>
    <w:rsid w:val="00005FE4"/>
    <w:rsid w:val="000068B7"/>
    <w:rsid w:val="000103BF"/>
    <w:rsid w:val="00011554"/>
    <w:rsid w:val="0001278D"/>
    <w:rsid w:val="00013E7C"/>
    <w:rsid w:val="00014CE7"/>
    <w:rsid w:val="00014F3C"/>
    <w:rsid w:val="00016E78"/>
    <w:rsid w:val="00022065"/>
    <w:rsid w:val="00022A44"/>
    <w:rsid w:val="0002337B"/>
    <w:rsid w:val="00024F71"/>
    <w:rsid w:val="00026AE7"/>
    <w:rsid w:val="00027B8A"/>
    <w:rsid w:val="0003419E"/>
    <w:rsid w:val="0003603A"/>
    <w:rsid w:val="00042E6E"/>
    <w:rsid w:val="000461DA"/>
    <w:rsid w:val="000469FD"/>
    <w:rsid w:val="00047DAF"/>
    <w:rsid w:val="00050404"/>
    <w:rsid w:val="00053C36"/>
    <w:rsid w:val="000540CE"/>
    <w:rsid w:val="000576B4"/>
    <w:rsid w:val="00061373"/>
    <w:rsid w:val="000617AC"/>
    <w:rsid w:val="00061CBA"/>
    <w:rsid w:val="00062637"/>
    <w:rsid w:val="000672B1"/>
    <w:rsid w:val="00067EAA"/>
    <w:rsid w:val="00067F50"/>
    <w:rsid w:val="00070137"/>
    <w:rsid w:val="000716C2"/>
    <w:rsid w:val="00071995"/>
    <w:rsid w:val="00073D48"/>
    <w:rsid w:val="00074659"/>
    <w:rsid w:val="00074A44"/>
    <w:rsid w:val="000820AF"/>
    <w:rsid w:val="000823BB"/>
    <w:rsid w:val="000826F4"/>
    <w:rsid w:val="00082CE7"/>
    <w:rsid w:val="000832F9"/>
    <w:rsid w:val="00084B8B"/>
    <w:rsid w:val="0008738B"/>
    <w:rsid w:val="00087EA7"/>
    <w:rsid w:val="00087ED3"/>
    <w:rsid w:val="00090311"/>
    <w:rsid w:val="00090C1F"/>
    <w:rsid w:val="00090C56"/>
    <w:rsid w:val="00090DEE"/>
    <w:rsid w:val="00092FAA"/>
    <w:rsid w:val="00096F7C"/>
    <w:rsid w:val="00097ACF"/>
    <w:rsid w:val="000A04F6"/>
    <w:rsid w:val="000A3454"/>
    <w:rsid w:val="000A519A"/>
    <w:rsid w:val="000A6239"/>
    <w:rsid w:val="000A6B54"/>
    <w:rsid w:val="000B0B30"/>
    <w:rsid w:val="000B3F9A"/>
    <w:rsid w:val="000B4302"/>
    <w:rsid w:val="000B4CC7"/>
    <w:rsid w:val="000B7093"/>
    <w:rsid w:val="000C0E6E"/>
    <w:rsid w:val="000C5BFA"/>
    <w:rsid w:val="000C6627"/>
    <w:rsid w:val="000C69A8"/>
    <w:rsid w:val="000C7989"/>
    <w:rsid w:val="000D2764"/>
    <w:rsid w:val="000D365C"/>
    <w:rsid w:val="000D4CAA"/>
    <w:rsid w:val="000D565D"/>
    <w:rsid w:val="000D7E2B"/>
    <w:rsid w:val="000E15F8"/>
    <w:rsid w:val="000E3DD0"/>
    <w:rsid w:val="000E64FE"/>
    <w:rsid w:val="000E650D"/>
    <w:rsid w:val="000E6762"/>
    <w:rsid w:val="000E6DED"/>
    <w:rsid w:val="000F21F9"/>
    <w:rsid w:val="000F2C69"/>
    <w:rsid w:val="000F487C"/>
    <w:rsid w:val="001009E2"/>
    <w:rsid w:val="00102EBB"/>
    <w:rsid w:val="001051B2"/>
    <w:rsid w:val="00105439"/>
    <w:rsid w:val="00106EB5"/>
    <w:rsid w:val="00107A1D"/>
    <w:rsid w:val="00111CAF"/>
    <w:rsid w:val="00112E7F"/>
    <w:rsid w:val="001133CA"/>
    <w:rsid w:val="00113DE2"/>
    <w:rsid w:val="0011596B"/>
    <w:rsid w:val="0011596F"/>
    <w:rsid w:val="00120632"/>
    <w:rsid w:val="00120C6E"/>
    <w:rsid w:val="00120E73"/>
    <w:rsid w:val="001234D0"/>
    <w:rsid w:val="001239B5"/>
    <w:rsid w:val="00124476"/>
    <w:rsid w:val="001253D1"/>
    <w:rsid w:val="00126AA4"/>
    <w:rsid w:val="001274C6"/>
    <w:rsid w:val="001320BC"/>
    <w:rsid w:val="001325C4"/>
    <w:rsid w:val="001338D4"/>
    <w:rsid w:val="00133F6A"/>
    <w:rsid w:val="00134C72"/>
    <w:rsid w:val="00136279"/>
    <w:rsid w:val="00136977"/>
    <w:rsid w:val="0014650A"/>
    <w:rsid w:val="0014698D"/>
    <w:rsid w:val="00150D92"/>
    <w:rsid w:val="001543CC"/>
    <w:rsid w:val="001565A7"/>
    <w:rsid w:val="0015754C"/>
    <w:rsid w:val="00161541"/>
    <w:rsid w:val="001641C5"/>
    <w:rsid w:val="00167663"/>
    <w:rsid w:val="0017176A"/>
    <w:rsid w:val="0017187B"/>
    <w:rsid w:val="001719F2"/>
    <w:rsid w:val="0017361E"/>
    <w:rsid w:val="0017414B"/>
    <w:rsid w:val="00174572"/>
    <w:rsid w:val="00175525"/>
    <w:rsid w:val="001769F4"/>
    <w:rsid w:val="001774D2"/>
    <w:rsid w:val="001806FD"/>
    <w:rsid w:val="00182921"/>
    <w:rsid w:val="00182A88"/>
    <w:rsid w:val="00182C4C"/>
    <w:rsid w:val="00184818"/>
    <w:rsid w:val="0018490D"/>
    <w:rsid w:val="00187DC0"/>
    <w:rsid w:val="00191B16"/>
    <w:rsid w:val="001939ED"/>
    <w:rsid w:val="0019496E"/>
    <w:rsid w:val="00194D24"/>
    <w:rsid w:val="00194E07"/>
    <w:rsid w:val="00195020"/>
    <w:rsid w:val="001956B2"/>
    <w:rsid w:val="00197AEB"/>
    <w:rsid w:val="001A13EA"/>
    <w:rsid w:val="001A3A0F"/>
    <w:rsid w:val="001A4593"/>
    <w:rsid w:val="001A49B6"/>
    <w:rsid w:val="001A4F23"/>
    <w:rsid w:val="001A6C50"/>
    <w:rsid w:val="001B0222"/>
    <w:rsid w:val="001B2F3C"/>
    <w:rsid w:val="001B6A6E"/>
    <w:rsid w:val="001B745D"/>
    <w:rsid w:val="001C04EA"/>
    <w:rsid w:val="001C0AF2"/>
    <w:rsid w:val="001C266A"/>
    <w:rsid w:val="001C3772"/>
    <w:rsid w:val="001C4562"/>
    <w:rsid w:val="001C51DD"/>
    <w:rsid w:val="001C5787"/>
    <w:rsid w:val="001D0760"/>
    <w:rsid w:val="001D1D8D"/>
    <w:rsid w:val="001D3448"/>
    <w:rsid w:val="001D6406"/>
    <w:rsid w:val="001E0050"/>
    <w:rsid w:val="001E0931"/>
    <w:rsid w:val="001E1117"/>
    <w:rsid w:val="001E23B3"/>
    <w:rsid w:val="001E288A"/>
    <w:rsid w:val="001E2CD5"/>
    <w:rsid w:val="001E3FEC"/>
    <w:rsid w:val="001E40D0"/>
    <w:rsid w:val="001E4BDF"/>
    <w:rsid w:val="001E537D"/>
    <w:rsid w:val="001F27D8"/>
    <w:rsid w:val="001F3560"/>
    <w:rsid w:val="001F41AC"/>
    <w:rsid w:val="001F5695"/>
    <w:rsid w:val="001F773B"/>
    <w:rsid w:val="00200746"/>
    <w:rsid w:val="0020566E"/>
    <w:rsid w:val="00206C86"/>
    <w:rsid w:val="002108D8"/>
    <w:rsid w:val="00212870"/>
    <w:rsid w:val="00213F1F"/>
    <w:rsid w:val="002143D0"/>
    <w:rsid w:val="00214B7E"/>
    <w:rsid w:val="00216770"/>
    <w:rsid w:val="0021709C"/>
    <w:rsid w:val="0022151F"/>
    <w:rsid w:val="00222054"/>
    <w:rsid w:val="002226E7"/>
    <w:rsid w:val="00222E8E"/>
    <w:rsid w:val="00223336"/>
    <w:rsid w:val="0022412F"/>
    <w:rsid w:val="00224D5B"/>
    <w:rsid w:val="00225496"/>
    <w:rsid w:val="0023098D"/>
    <w:rsid w:val="002313E9"/>
    <w:rsid w:val="00233D60"/>
    <w:rsid w:val="002340F3"/>
    <w:rsid w:val="00235D3E"/>
    <w:rsid w:val="00240FF1"/>
    <w:rsid w:val="0024160E"/>
    <w:rsid w:val="002417A3"/>
    <w:rsid w:val="00241A77"/>
    <w:rsid w:val="00241AC7"/>
    <w:rsid w:val="00242EFF"/>
    <w:rsid w:val="00244E5D"/>
    <w:rsid w:val="00246B2C"/>
    <w:rsid w:val="00247926"/>
    <w:rsid w:val="0025017E"/>
    <w:rsid w:val="0025119C"/>
    <w:rsid w:val="002539E8"/>
    <w:rsid w:val="00255DF9"/>
    <w:rsid w:val="002568B3"/>
    <w:rsid w:val="0025707A"/>
    <w:rsid w:val="002573CB"/>
    <w:rsid w:val="002605BE"/>
    <w:rsid w:val="00260AC3"/>
    <w:rsid w:val="00262840"/>
    <w:rsid w:val="00264009"/>
    <w:rsid w:val="0026564C"/>
    <w:rsid w:val="00265FDC"/>
    <w:rsid w:val="0026622E"/>
    <w:rsid w:val="0026762D"/>
    <w:rsid w:val="00271462"/>
    <w:rsid w:val="0027504A"/>
    <w:rsid w:val="00276301"/>
    <w:rsid w:val="00276D0D"/>
    <w:rsid w:val="00277873"/>
    <w:rsid w:val="00281993"/>
    <w:rsid w:val="00282B7C"/>
    <w:rsid w:val="002844EF"/>
    <w:rsid w:val="00285E60"/>
    <w:rsid w:val="00287888"/>
    <w:rsid w:val="00287B5B"/>
    <w:rsid w:val="00290252"/>
    <w:rsid w:val="00290C5C"/>
    <w:rsid w:val="00293395"/>
    <w:rsid w:val="00293962"/>
    <w:rsid w:val="00295AB0"/>
    <w:rsid w:val="002A1035"/>
    <w:rsid w:val="002A3711"/>
    <w:rsid w:val="002A4B50"/>
    <w:rsid w:val="002A5E7E"/>
    <w:rsid w:val="002A66B5"/>
    <w:rsid w:val="002A6B41"/>
    <w:rsid w:val="002B2D7E"/>
    <w:rsid w:val="002B4D7A"/>
    <w:rsid w:val="002C0E42"/>
    <w:rsid w:val="002C2311"/>
    <w:rsid w:val="002C3290"/>
    <w:rsid w:val="002C4C2D"/>
    <w:rsid w:val="002C4CBA"/>
    <w:rsid w:val="002C5262"/>
    <w:rsid w:val="002D2715"/>
    <w:rsid w:val="002D302F"/>
    <w:rsid w:val="002D7D26"/>
    <w:rsid w:val="002D7E53"/>
    <w:rsid w:val="002D7F03"/>
    <w:rsid w:val="002E0A1F"/>
    <w:rsid w:val="002E1306"/>
    <w:rsid w:val="002E1B6C"/>
    <w:rsid w:val="002E2ECE"/>
    <w:rsid w:val="002E3336"/>
    <w:rsid w:val="002E4FF5"/>
    <w:rsid w:val="002E5397"/>
    <w:rsid w:val="002E6E25"/>
    <w:rsid w:val="002E735A"/>
    <w:rsid w:val="002E7EC3"/>
    <w:rsid w:val="002F11D7"/>
    <w:rsid w:val="002F267F"/>
    <w:rsid w:val="002F30A2"/>
    <w:rsid w:val="002F5B82"/>
    <w:rsid w:val="002F623F"/>
    <w:rsid w:val="002F63D5"/>
    <w:rsid w:val="002F6610"/>
    <w:rsid w:val="00301557"/>
    <w:rsid w:val="003036CC"/>
    <w:rsid w:val="00304137"/>
    <w:rsid w:val="003043AF"/>
    <w:rsid w:val="00307045"/>
    <w:rsid w:val="00310BB6"/>
    <w:rsid w:val="00310C20"/>
    <w:rsid w:val="00312346"/>
    <w:rsid w:val="003127F0"/>
    <w:rsid w:val="003145BC"/>
    <w:rsid w:val="003165F1"/>
    <w:rsid w:val="00316F37"/>
    <w:rsid w:val="003172B1"/>
    <w:rsid w:val="0031779F"/>
    <w:rsid w:val="003206EA"/>
    <w:rsid w:val="003213F1"/>
    <w:rsid w:val="0032326C"/>
    <w:rsid w:val="003241B2"/>
    <w:rsid w:val="003241C0"/>
    <w:rsid w:val="003243A7"/>
    <w:rsid w:val="00325353"/>
    <w:rsid w:val="00326208"/>
    <w:rsid w:val="003269EC"/>
    <w:rsid w:val="00327AA6"/>
    <w:rsid w:val="00327B57"/>
    <w:rsid w:val="003316CE"/>
    <w:rsid w:val="00332014"/>
    <w:rsid w:val="00332653"/>
    <w:rsid w:val="00332E68"/>
    <w:rsid w:val="003342B6"/>
    <w:rsid w:val="00335189"/>
    <w:rsid w:val="00337BAF"/>
    <w:rsid w:val="0034166C"/>
    <w:rsid w:val="0034273A"/>
    <w:rsid w:val="00342F56"/>
    <w:rsid w:val="00343521"/>
    <w:rsid w:val="00344DFC"/>
    <w:rsid w:val="003450AD"/>
    <w:rsid w:val="003456CF"/>
    <w:rsid w:val="003540EF"/>
    <w:rsid w:val="003570DC"/>
    <w:rsid w:val="00361879"/>
    <w:rsid w:val="003635DC"/>
    <w:rsid w:val="003648AC"/>
    <w:rsid w:val="00371F12"/>
    <w:rsid w:val="00373465"/>
    <w:rsid w:val="00376F6C"/>
    <w:rsid w:val="00377FC4"/>
    <w:rsid w:val="003876A4"/>
    <w:rsid w:val="0038792C"/>
    <w:rsid w:val="00387B32"/>
    <w:rsid w:val="003905A8"/>
    <w:rsid w:val="00392181"/>
    <w:rsid w:val="003930C2"/>
    <w:rsid w:val="003930DB"/>
    <w:rsid w:val="00393D50"/>
    <w:rsid w:val="00393F39"/>
    <w:rsid w:val="003957CB"/>
    <w:rsid w:val="00395E4E"/>
    <w:rsid w:val="00395FE5"/>
    <w:rsid w:val="00396D54"/>
    <w:rsid w:val="003A0504"/>
    <w:rsid w:val="003A09B1"/>
    <w:rsid w:val="003A1152"/>
    <w:rsid w:val="003A1809"/>
    <w:rsid w:val="003A379F"/>
    <w:rsid w:val="003A5EBF"/>
    <w:rsid w:val="003A709B"/>
    <w:rsid w:val="003B223D"/>
    <w:rsid w:val="003B45FD"/>
    <w:rsid w:val="003B6C2C"/>
    <w:rsid w:val="003B6F37"/>
    <w:rsid w:val="003B7F62"/>
    <w:rsid w:val="003C18C5"/>
    <w:rsid w:val="003C40B0"/>
    <w:rsid w:val="003C42D5"/>
    <w:rsid w:val="003C5F48"/>
    <w:rsid w:val="003C646C"/>
    <w:rsid w:val="003D25EC"/>
    <w:rsid w:val="003D5FBC"/>
    <w:rsid w:val="003E0E0B"/>
    <w:rsid w:val="003E134A"/>
    <w:rsid w:val="003E1B6B"/>
    <w:rsid w:val="003E2F88"/>
    <w:rsid w:val="003E3460"/>
    <w:rsid w:val="003E4873"/>
    <w:rsid w:val="003E51F3"/>
    <w:rsid w:val="003E78E2"/>
    <w:rsid w:val="003F08B6"/>
    <w:rsid w:val="003F2EEA"/>
    <w:rsid w:val="003F338A"/>
    <w:rsid w:val="00400361"/>
    <w:rsid w:val="00401027"/>
    <w:rsid w:val="004027E8"/>
    <w:rsid w:val="00403436"/>
    <w:rsid w:val="004066B1"/>
    <w:rsid w:val="00410266"/>
    <w:rsid w:val="00412478"/>
    <w:rsid w:val="00413A17"/>
    <w:rsid w:val="0041529B"/>
    <w:rsid w:val="00416ACB"/>
    <w:rsid w:val="00417B58"/>
    <w:rsid w:val="00420780"/>
    <w:rsid w:val="00420DE2"/>
    <w:rsid w:val="0042572E"/>
    <w:rsid w:val="00431D0F"/>
    <w:rsid w:val="00433D7C"/>
    <w:rsid w:val="0043404D"/>
    <w:rsid w:val="0043420E"/>
    <w:rsid w:val="00434648"/>
    <w:rsid w:val="00434DF5"/>
    <w:rsid w:val="00434FC2"/>
    <w:rsid w:val="004362AD"/>
    <w:rsid w:val="00436357"/>
    <w:rsid w:val="004401D5"/>
    <w:rsid w:val="004402CB"/>
    <w:rsid w:val="004402F2"/>
    <w:rsid w:val="004411E3"/>
    <w:rsid w:val="00441987"/>
    <w:rsid w:val="0044368D"/>
    <w:rsid w:val="00444C25"/>
    <w:rsid w:val="00445243"/>
    <w:rsid w:val="00445D6E"/>
    <w:rsid w:val="0045012E"/>
    <w:rsid w:val="00450978"/>
    <w:rsid w:val="004547EA"/>
    <w:rsid w:val="00454CC4"/>
    <w:rsid w:val="00454E8E"/>
    <w:rsid w:val="00455614"/>
    <w:rsid w:val="00455AA1"/>
    <w:rsid w:val="004566A9"/>
    <w:rsid w:val="00462537"/>
    <w:rsid w:val="00462595"/>
    <w:rsid w:val="004635CB"/>
    <w:rsid w:val="00465494"/>
    <w:rsid w:val="00466E8B"/>
    <w:rsid w:val="00467563"/>
    <w:rsid w:val="004702E5"/>
    <w:rsid w:val="004711AB"/>
    <w:rsid w:val="004720E5"/>
    <w:rsid w:val="004739BD"/>
    <w:rsid w:val="0047494F"/>
    <w:rsid w:val="00474A2E"/>
    <w:rsid w:val="00475922"/>
    <w:rsid w:val="00480641"/>
    <w:rsid w:val="00482B08"/>
    <w:rsid w:val="00483D80"/>
    <w:rsid w:val="0048516F"/>
    <w:rsid w:val="00485320"/>
    <w:rsid w:val="004865F1"/>
    <w:rsid w:val="00494249"/>
    <w:rsid w:val="00494478"/>
    <w:rsid w:val="00497E25"/>
    <w:rsid w:val="00497F92"/>
    <w:rsid w:val="004A257A"/>
    <w:rsid w:val="004A2DF4"/>
    <w:rsid w:val="004A3418"/>
    <w:rsid w:val="004A37CA"/>
    <w:rsid w:val="004A486B"/>
    <w:rsid w:val="004A6419"/>
    <w:rsid w:val="004B17E5"/>
    <w:rsid w:val="004B4B2C"/>
    <w:rsid w:val="004B5584"/>
    <w:rsid w:val="004B5AA3"/>
    <w:rsid w:val="004C0DB6"/>
    <w:rsid w:val="004C3444"/>
    <w:rsid w:val="004C549B"/>
    <w:rsid w:val="004D0BF4"/>
    <w:rsid w:val="004D225E"/>
    <w:rsid w:val="004D39EB"/>
    <w:rsid w:val="004D3CF4"/>
    <w:rsid w:val="004D3E31"/>
    <w:rsid w:val="004D3FA2"/>
    <w:rsid w:val="004D4422"/>
    <w:rsid w:val="004D460D"/>
    <w:rsid w:val="004D4FC5"/>
    <w:rsid w:val="004D7C1F"/>
    <w:rsid w:val="004E3A89"/>
    <w:rsid w:val="004E5EE2"/>
    <w:rsid w:val="004E67E1"/>
    <w:rsid w:val="004E6C1D"/>
    <w:rsid w:val="004E70F1"/>
    <w:rsid w:val="004F10C4"/>
    <w:rsid w:val="004F2A4A"/>
    <w:rsid w:val="004F306B"/>
    <w:rsid w:val="004F47A6"/>
    <w:rsid w:val="004F585F"/>
    <w:rsid w:val="004F5C80"/>
    <w:rsid w:val="004F69F3"/>
    <w:rsid w:val="00502057"/>
    <w:rsid w:val="00503D4C"/>
    <w:rsid w:val="0050533C"/>
    <w:rsid w:val="00505C1D"/>
    <w:rsid w:val="0050600C"/>
    <w:rsid w:val="005062AF"/>
    <w:rsid w:val="00506EA1"/>
    <w:rsid w:val="005071B1"/>
    <w:rsid w:val="00511212"/>
    <w:rsid w:val="0051303F"/>
    <w:rsid w:val="0051304D"/>
    <w:rsid w:val="00513AD2"/>
    <w:rsid w:val="005169B8"/>
    <w:rsid w:val="005173D0"/>
    <w:rsid w:val="00517696"/>
    <w:rsid w:val="00520D62"/>
    <w:rsid w:val="00522A0B"/>
    <w:rsid w:val="005243AE"/>
    <w:rsid w:val="00524766"/>
    <w:rsid w:val="005255B8"/>
    <w:rsid w:val="005262D6"/>
    <w:rsid w:val="00527455"/>
    <w:rsid w:val="00530286"/>
    <w:rsid w:val="00532515"/>
    <w:rsid w:val="00532BB5"/>
    <w:rsid w:val="0054023D"/>
    <w:rsid w:val="00543FA0"/>
    <w:rsid w:val="00552379"/>
    <w:rsid w:val="00554F88"/>
    <w:rsid w:val="005566FC"/>
    <w:rsid w:val="00560969"/>
    <w:rsid w:val="005611C0"/>
    <w:rsid w:val="00561ECB"/>
    <w:rsid w:val="0056243B"/>
    <w:rsid w:val="00563080"/>
    <w:rsid w:val="005656E3"/>
    <w:rsid w:val="0057160C"/>
    <w:rsid w:val="00571E6E"/>
    <w:rsid w:val="00575F54"/>
    <w:rsid w:val="005762EC"/>
    <w:rsid w:val="0057655C"/>
    <w:rsid w:val="00581C11"/>
    <w:rsid w:val="00582488"/>
    <w:rsid w:val="00585506"/>
    <w:rsid w:val="00587E81"/>
    <w:rsid w:val="00590506"/>
    <w:rsid w:val="00590600"/>
    <w:rsid w:val="00592438"/>
    <w:rsid w:val="005955BA"/>
    <w:rsid w:val="00595E0A"/>
    <w:rsid w:val="005A0E2F"/>
    <w:rsid w:val="005A1B6E"/>
    <w:rsid w:val="005A29D1"/>
    <w:rsid w:val="005A6FD1"/>
    <w:rsid w:val="005B04DC"/>
    <w:rsid w:val="005B0554"/>
    <w:rsid w:val="005B0A2C"/>
    <w:rsid w:val="005B1B16"/>
    <w:rsid w:val="005B236B"/>
    <w:rsid w:val="005B3635"/>
    <w:rsid w:val="005B40D2"/>
    <w:rsid w:val="005B4AB4"/>
    <w:rsid w:val="005B7DAB"/>
    <w:rsid w:val="005C1032"/>
    <w:rsid w:val="005C1C63"/>
    <w:rsid w:val="005C22EF"/>
    <w:rsid w:val="005C4BC4"/>
    <w:rsid w:val="005C4C55"/>
    <w:rsid w:val="005C4E90"/>
    <w:rsid w:val="005C64B2"/>
    <w:rsid w:val="005C7359"/>
    <w:rsid w:val="005C7F75"/>
    <w:rsid w:val="005D3DBF"/>
    <w:rsid w:val="005E19C3"/>
    <w:rsid w:val="005E19CD"/>
    <w:rsid w:val="005E31EF"/>
    <w:rsid w:val="005E732F"/>
    <w:rsid w:val="005E73C2"/>
    <w:rsid w:val="005F08C1"/>
    <w:rsid w:val="005F1B8D"/>
    <w:rsid w:val="005F32BF"/>
    <w:rsid w:val="005F3C91"/>
    <w:rsid w:val="005F5E16"/>
    <w:rsid w:val="00603E34"/>
    <w:rsid w:val="0060423E"/>
    <w:rsid w:val="00607274"/>
    <w:rsid w:val="006076B0"/>
    <w:rsid w:val="0060782C"/>
    <w:rsid w:val="00607F60"/>
    <w:rsid w:val="006113F6"/>
    <w:rsid w:val="006124F4"/>
    <w:rsid w:val="006229AA"/>
    <w:rsid w:val="00624C6F"/>
    <w:rsid w:val="006268CD"/>
    <w:rsid w:val="00626EDF"/>
    <w:rsid w:val="00627F97"/>
    <w:rsid w:val="0063030A"/>
    <w:rsid w:val="006304CC"/>
    <w:rsid w:val="0064067B"/>
    <w:rsid w:val="006417EC"/>
    <w:rsid w:val="006429F5"/>
    <w:rsid w:val="00647D12"/>
    <w:rsid w:val="0065096B"/>
    <w:rsid w:val="00652E47"/>
    <w:rsid w:val="006535DB"/>
    <w:rsid w:val="00654E03"/>
    <w:rsid w:val="00655027"/>
    <w:rsid w:val="006565DB"/>
    <w:rsid w:val="00656EFB"/>
    <w:rsid w:val="006576D4"/>
    <w:rsid w:val="006576E4"/>
    <w:rsid w:val="0066174C"/>
    <w:rsid w:val="0066276E"/>
    <w:rsid w:val="00663FE0"/>
    <w:rsid w:val="00665BDF"/>
    <w:rsid w:val="00670114"/>
    <w:rsid w:val="006702E2"/>
    <w:rsid w:val="006707AA"/>
    <w:rsid w:val="00670C13"/>
    <w:rsid w:val="0067336D"/>
    <w:rsid w:val="006749AC"/>
    <w:rsid w:val="00674AEF"/>
    <w:rsid w:val="00676B92"/>
    <w:rsid w:val="00676F2F"/>
    <w:rsid w:val="00677ADC"/>
    <w:rsid w:val="00681716"/>
    <w:rsid w:val="00681CD2"/>
    <w:rsid w:val="006843F2"/>
    <w:rsid w:val="0068440A"/>
    <w:rsid w:val="00684812"/>
    <w:rsid w:val="00686B00"/>
    <w:rsid w:val="00687365"/>
    <w:rsid w:val="00690006"/>
    <w:rsid w:val="0069081E"/>
    <w:rsid w:val="00693C13"/>
    <w:rsid w:val="006A0780"/>
    <w:rsid w:val="006A08DA"/>
    <w:rsid w:val="006A1AC3"/>
    <w:rsid w:val="006A44F1"/>
    <w:rsid w:val="006B0EC4"/>
    <w:rsid w:val="006B11CB"/>
    <w:rsid w:val="006B1B22"/>
    <w:rsid w:val="006B3F54"/>
    <w:rsid w:val="006B604E"/>
    <w:rsid w:val="006B7EFD"/>
    <w:rsid w:val="006C3956"/>
    <w:rsid w:val="006C7F64"/>
    <w:rsid w:val="006D2CBD"/>
    <w:rsid w:val="006D2DA2"/>
    <w:rsid w:val="006D2FF2"/>
    <w:rsid w:val="006D32B1"/>
    <w:rsid w:val="006D4E4D"/>
    <w:rsid w:val="006E126C"/>
    <w:rsid w:val="006E22D5"/>
    <w:rsid w:val="006E6637"/>
    <w:rsid w:val="006E7159"/>
    <w:rsid w:val="006F0DD9"/>
    <w:rsid w:val="006F23C1"/>
    <w:rsid w:val="006F58BA"/>
    <w:rsid w:val="006F5BBB"/>
    <w:rsid w:val="00700663"/>
    <w:rsid w:val="00700811"/>
    <w:rsid w:val="007017BC"/>
    <w:rsid w:val="0070193E"/>
    <w:rsid w:val="007063AD"/>
    <w:rsid w:val="0070746D"/>
    <w:rsid w:val="00707A32"/>
    <w:rsid w:val="00715941"/>
    <w:rsid w:val="00716922"/>
    <w:rsid w:val="00721419"/>
    <w:rsid w:val="007237D7"/>
    <w:rsid w:val="00724279"/>
    <w:rsid w:val="0072533D"/>
    <w:rsid w:val="007259BB"/>
    <w:rsid w:val="007300AC"/>
    <w:rsid w:val="00730BF7"/>
    <w:rsid w:val="00731E29"/>
    <w:rsid w:val="00732770"/>
    <w:rsid w:val="0073680F"/>
    <w:rsid w:val="00736D5E"/>
    <w:rsid w:val="00737442"/>
    <w:rsid w:val="007403FC"/>
    <w:rsid w:val="00740FA1"/>
    <w:rsid w:val="00741218"/>
    <w:rsid w:val="00741D31"/>
    <w:rsid w:val="00742497"/>
    <w:rsid w:val="00742902"/>
    <w:rsid w:val="0074501B"/>
    <w:rsid w:val="00746A85"/>
    <w:rsid w:val="00747433"/>
    <w:rsid w:val="007510D0"/>
    <w:rsid w:val="00752574"/>
    <w:rsid w:val="007553F9"/>
    <w:rsid w:val="007560D2"/>
    <w:rsid w:val="007578E2"/>
    <w:rsid w:val="0076091B"/>
    <w:rsid w:val="0076239C"/>
    <w:rsid w:val="00763E2D"/>
    <w:rsid w:val="00765409"/>
    <w:rsid w:val="007656E3"/>
    <w:rsid w:val="00765F73"/>
    <w:rsid w:val="00770174"/>
    <w:rsid w:val="007716DC"/>
    <w:rsid w:val="00772578"/>
    <w:rsid w:val="00772C15"/>
    <w:rsid w:val="00773CC4"/>
    <w:rsid w:val="00774719"/>
    <w:rsid w:val="00776E0A"/>
    <w:rsid w:val="00784CBC"/>
    <w:rsid w:val="0078690F"/>
    <w:rsid w:val="00787D6B"/>
    <w:rsid w:val="00790C77"/>
    <w:rsid w:val="00791D75"/>
    <w:rsid w:val="00793B54"/>
    <w:rsid w:val="007974A7"/>
    <w:rsid w:val="007975DE"/>
    <w:rsid w:val="007A11BF"/>
    <w:rsid w:val="007A1E4C"/>
    <w:rsid w:val="007A20F9"/>
    <w:rsid w:val="007A2339"/>
    <w:rsid w:val="007A29D7"/>
    <w:rsid w:val="007A363B"/>
    <w:rsid w:val="007A4A11"/>
    <w:rsid w:val="007A50A3"/>
    <w:rsid w:val="007A5958"/>
    <w:rsid w:val="007A7863"/>
    <w:rsid w:val="007A7A33"/>
    <w:rsid w:val="007B12AF"/>
    <w:rsid w:val="007B35DD"/>
    <w:rsid w:val="007B3640"/>
    <w:rsid w:val="007B4A09"/>
    <w:rsid w:val="007B52EB"/>
    <w:rsid w:val="007B6D00"/>
    <w:rsid w:val="007B7EE1"/>
    <w:rsid w:val="007C0569"/>
    <w:rsid w:val="007C0833"/>
    <w:rsid w:val="007C2051"/>
    <w:rsid w:val="007C6584"/>
    <w:rsid w:val="007D0636"/>
    <w:rsid w:val="007D164F"/>
    <w:rsid w:val="007D16DA"/>
    <w:rsid w:val="007D1D1C"/>
    <w:rsid w:val="007D3FF0"/>
    <w:rsid w:val="007D4620"/>
    <w:rsid w:val="007D5666"/>
    <w:rsid w:val="007D6B18"/>
    <w:rsid w:val="007E2973"/>
    <w:rsid w:val="007E46DC"/>
    <w:rsid w:val="007E559D"/>
    <w:rsid w:val="007E7071"/>
    <w:rsid w:val="007F0B3E"/>
    <w:rsid w:val="007F3815"/>
    <w:rsid w:val="007F6868"/>
    <w:rsid w:val="007F7F56"/>
    <w:rsid w:val="00800382"/>
    <w:rsid w:val="0080080D"/>
    <w:rsid w:val="00801DA5"/>
    <w:rsid w:val="00802191"/>
    <w:rsid w:val="008058B6"/>
    <w:rsid w:val="0080691A"/>
    <w:rsid w:val="00807D8A"/>
    <w:rsid w:val="00812B96"/>
    <w:rsid w:val="0081366D"/>
    <w:rsid w:val="00813A46"/>
    <w:rsid w:val="00813AB1"/>
    <w:rsid w:val="00815348"/>
    <w:rsid w:val="00816361"/>
    <w:rsid w:val="008206E7"/>
    <w:rsid w:val="0082156A"/>
    <w:rsid w:val="008218F1"/>
    <w:rsid w:val="008244B8"/>
    <w:rsid w:val="008248FF"/>
    <w:rsid w:val="008261C1"/>
    <w:rsid w:val="00831EF9"/>
    <w:rsid w:val="00841B72"/>
    <w:rsid w:val="008439E4"/>
    <w:rsid w:val="00843F9C"/>
    <w:rsid w:val="00844467"/>
    <w:rsid w:val="008466BD"/>
    <w:rsid w:val="008506C8"/>
    <w:rsid w:val="00851F87"/>
    <w:rsid w:val="00853677"/>
    <w:rsid w:val="0085549F"/>
    <w:rsid w:val="0085680A"/>
    <w:rsid w:val="00861229"/>
    <w:rsid w:val="00861C14"/>
    <w:rsid w:val="00864933"/>
    <w:rsid w:val="00865927"/>
    <w:rsid w:val="008675E3"/>
    <w:rsid w:val="00873C37"/>
    <w:rsid w:val="00874E94"/>
    <w:rsid w:val="00874F04"/>
    <w:rsid w:val="008759E8"/>
    <w:rsid w:val="008767C7"/>
    <w:rsid w:val="00880619"/>
    <w:rsid w:val="00881592"/>
    <w:rsid w:val="008850E3"/>
    <w:rsid w:val="008877FE"/>
    <w:rsid w:val="00890F3F"/>
    <w:rsid w:val="00891D34"/>
    <w:rsid w:val="008927BF"/>
    <w:rsid w:val="00893701"/>
    <w:rsid w:val="00894FA0"/>
    <w:rsid w:val="008967FC"/>
    <w:rsid w:val="008969AB"/>
    <w:rsid w:val="00896E46"/>
    <w:rsid w:val="008973E6"/>
    <w:rsid w:val="008A1F0E"/>
    <w:rsid w:val="008A386F"/>
    <w:rsid w:val="008A6F13"/>
    <w:rsid w:val="008A7E21"/>
    <w:rsid w:val="008B2991"/>
    <w:rsid w:val="008B2AD4"/>
    <w:rsid w:val="008B3250"/>
    <w:rsid w:val="008B43D2"/>
    <w:rsid w:val="008C294D"/>
    <w:rsid w:val="008C2983"/>
    <w:rsid w:val="008C3BA7"/>
    <w:rsid w:val="008C784C"/>
    <w:rsid w:val="008D4E8D"/>
    <w:rsid w:val="008D6702"/>
    <w:rsid w:val="008D6900"/>
    <w:rsid w:val="008D7689"/>
    <w:rsid w:val="008E0A02"/>
    <w:rsid w:val="008E1A14"/>
    <w:rsid w:val="008E1A87"/>
    <w:rsid w:val="008E2D7F"/>
    <w:rsid w:val="008E353D"/>
    <w:rsid w:val="008E3EAC"/>
    <w:rsid w:val="008E448A"/>
    <w:rsid w:val="008E571F"/>
    <w:rsid w:val="008E673E"/>
    <w:rsid w:val="008E6929"/>
    <w:rsid w:val="008E7A98"/>
    <w:rsid w:val="008F02E4"/>
    <w:rsid w:val="008F1747"/>
    <w:rsid w:val="008F19FE"/>
    <w:rsid w:val="008F22B0"/>
    <w:rsid w:val="008F4C5D"/>
    <w:rsid w:val="008F5D86"/>
    <w:rsid w:val="008F658F"/>
    <w:rsid w:val="009020F1"/>
    <w:rsid w:val="00902C7B"/>
    <w:rsid w:val="00903561"/>
    <w:rsid w:val="009037D3"/>
    <w:rsid w:val="00903D98"/>
    <w:rsid w:val="009042EF"/>
    <w:rsid w:val="009115C0"/>
    <w:rsid w:val="00912543"/>
    <w:rsid w:val="00912D87"/>
    <w:rsid w:val="00912E91"/>
    <w:rsid w:val="00912F4E"/>
    <w:rsid w:val="009131F8"/>
    <w:rsid w:val="009161A0"/>
    <w:rsid w:val="00916989"/>
    <w:rsid w:val="00917BDE"/>
    <w:rsid w:val="0092076B"/>
    <w:rsid w:val="00920791"/>
    <w:rsid w:val="009213B6"/>
    <w:rsid w:val="00924BEF"/>
    <w:rsid w:val="0093229F"/>
    <w:rsid w:val="00932427"/>
    <w:rsid w:val="00934FBE"/>
    <w:rsid w:val="0093656B"/>
    <w:rsid w:val="009374CE"/>
    <w:rsid w:val="00941B97"/>
    <w:rsid w:val="00942724"/>
    <w:rsid w:val="009468FB"/>
    <w:rsid w:val="00946F28"/>
    <w:rsid w:val="009529D6"/>
    <w:rsid w:val="00953281"/>
    <w:rsid w:val="009553B6"/>
    <w:rsid w:val="00955CA6"/>
    <w:rsid w:val="009570E2"/>
    <w:rsid w:val="0096043C"/>
    <w:rsid w:val="009607DF"/>
    <w:rsid w:val="0096141D"/>
    <w:rsid w:val="0096306C"/>
    <w:rsid w:val="00964077"/>
    <w:rsid w:val="00965705"/>
    <w:rsid w:val="009709FE"/>
    <w:rsid w:val="00970E69"/>
    <w:rsid w:val="00972040"/>
    <w:rsid w:val="00972779"/>
    <w:rsid w:val="00972B40"/>
    <w:rsid w:val="00976C48"/>
    <w:rsid w:val="00983899"/>
    <w:rsid w:val="0098771C"/>
    <w:rsid w:val="00987E64"/>
    <w:rsid w:val="00990206"/>
    <w:rsid w:val="00990A68"/>
    <w:rsid w:val="0099223A"/>
    <w:rsid w:val="0099234D"/>
    <w:rsid w:val="009939A4"/>
    <w:rsid w:val="00994FD1"/>
    <w:rsid w:val="009951BF"/>
    <w:rsid w:val="009979B1"/>
    <w:rsid w:val="009A02E5"/>
    <w:rsid w:val="009A12AD"/>
    <w:rsid w:val="009A2EAB"/>
    <w:rsid w:val="009A3381"/>
    <w:rsid w:val="009A36B8"/>
    <w:rsid w:val="009A4091"/>
    <w:rsid w:val="009A413A"/>
    <w:rsid w:val="009A62C4"/>
    <w:rsid w:val="009A63E7"/>
    <w:rsid w:val="009A66AA"/>
    <w:rsid w:val="009B071C"/>
    <w:rsid w:val="009B233D"/>
    <w:rsid w:val="009B3884"/>
    <w:rsid w:val="009C1BAB"/>
    <w:rsid w:val="009C2B98"/>
    <w:rsid w:val="009C4005"/>
    <w:rsid w:val="009D09D9"/>
    <w:rsid w:val="009D2C01"/>
    <w:rsid w:val="009D2F7F"/>
    <w:rsid w:val="009D3E13"/>
    <w:rsid w:val="009D503D"/>
    <w:rsid w:val="009D6A50"/>
    <w:rsid w:val="009E1A95"/>
    <w:rsid w:val="009E492E"/>
    <w:rsid w:val="009E50D9"/>
    <w:rsid w:val="009E631E"/>
    <w:rsid w:val="009E6B22"/>
    <w:rsid w:val="009E75EB"/>
    <w:rsid w:val="009F15E7"/>
    <w:rsid w:val="009F1D9A"/>
    <w:rsid w:val="009F2E30"/>
    <w:rsid w:val="009F3756"/>
    <w:rsid w:val="009F4E30"/>
    <w:rsid w:val="009F791A"/>
    <w:rsid w:val="009F7AE8"/>
    <w:rsid w:val="00A0052A"/>
    <w:rsid w:val="00A026B8"/>
    <w:rsid w:val="00A036CB"/>
    <w:rsid w:val="00A04262"/>
    <w:rsid w:val="00A04E4B"/>
    <w:rsid w:val="00A04F0C"/>
    <w:rsid w:val="00A0614A"/>
    <w:rsid w:val="00A06754"/>
    <w:rsid w:val="00A06BA3"/>
    <w:rsid w:val="00A073B0"/>
    <w:rsid w:val="00A07C58"/>
    <w:rsid w:val="00A12D70"/>
    <w:rsid w:val="00A14D54"/>
    <w:rsid w:val="00A157D5"/>
    <w:rsid w:val="00A15DFD"/>
    <w:rsid w:val="00A2040A"/>
    <w:rsid w:val="00A241B5"/>
    <w:rsid w:val="00A241E1"/>
    <w:rsid w:val="00A2704A"/>
    <w:rsid w:val="00A33D9F"/>
    <w:rsid w:val="00A37A08"/>
    <w:rsid w:val="00A37E80"/>
    <w:rsid w:val="00A404E0"/>
    <w:rsid w:val="00A4309D"/>
    <w:rsid w:val="00A43D49"/>
    <w:rsid w:val="00A446E6"/>
    <w:rsid w:val="00A44F65"/>
    <w:rsid w:val="00A5007C"/>
    <w:rsid w:val="00A508BE"/>
    <w:rsid w:val="00A5119C"/>
    <w:rsid w:val="00A51E04"/>
    <w:rsid w:val="00A53C8B"/>
    <w:rsid w:val="00A541D0"/>
    <w:rsid w:val="00A55394"/>
    <w:rsid w:val="00A60AF4"/>
    <w:rsid w:val="00A6266F"/>
    <w:rsid w:val="00A64720"/>
    <w:rsid w:val="00A6524F"/>
    <w:rsid w:val="00A657CE"/>
    <w:rsid w:val="00A67375"/>
    <w:rsid w:val="00A7031E"/>
    <w:rsid w:val="00A70DE2"/>
    <w:rsid w:val="00A75743"/>
    <w:rsid w:val="00A75E29"/>
    <w:rsid w:val="00A7624A"/>
    <w:rsid w:val="00A77286"/>
    <w:rsid w:val="00A813E9"/>
    <w:rsid w:val="00A830A7"/>
    <w:rsid w:val="00A83760"/>
    <w:rsid w:val="00A841FD"/>
    <w:rsid w:val="00A843CA"/>
    <w:rsid w:val="00A92D74"/>
    <w:rsid w:val="00A93140"/>
    <w:rsid w:val="00A94387"/>
    <w:rsid w:val="00A97AEE"/>
    <w:rsid w:val="00AA0857"/>
    <w:rsid w:val="00AA0FEF"/>
    <w:rsid w:val="00AA33AA"/>
    <w:rsid w:val="00AA4D33"/>
    <w:rsid w:val="00AA5490"/>
    <w:rsid w:val="00AA6213"/>
    <w:rsid w:val="00AA65F5"/>
    <w:rsid w:val="00AA768F"/>
    <w:rsid w:val="00AB4096"/>
    <w:rsid w:val="00AB4961"/>
    <w:rsid w:val="00AB5BA6"/>
    <w:rsid w:val="00AB62EE"/>
    <w:rsid w:val="00AC0896"/>
    <w:rsid w:val="00AC0A2F"/>
    <w:rsid w:val="00AC2507"/>
    <w:rsid w:val="00AC5EDF"/>
    <w:rsid w:val="00AD0287"/>
    <w:rsid w:val="00AD2844"/>
    <w:rsid w:val="00AD34B5"/>
    <w:rsid w:val="00AD6B9D"/>
    <w:rsid w:val="00AE14DA"/>
    <w:rsid w:val="00AE1BBE"/>
    <w:rsid w:val="00AE20FE"/>
    <w:rsid w:val="00AE29C9"/>
    <w:rsid w:val="00AE3B68"/>
    <w:rsid w:val="00AE468E"/>
    <w:rsid w:val="00AE5B58"/>
    <w:rsid w:val="00AF0F07"/>
    <w:rsid w:val="00AF47A1"/>
    <w:rsid w:val="00B04290"/>
    <w:rsid w:val="00B042BB"/>
    <w:rsid w:val="00B06EAD"/>
    <w:rsid w:val="00B10113"/>
    <w:rsid w:val="00B17240"/>
    <w:rsid w:val="00B17A48"/>
    <w:rsid w:val="00B20591"/>
    <w:rsid w:val="00B2140D"/>
    <w:rsid w:val="00B23299"/>
    <w:rsid w:val="00B23F14"/>
    <w:rsid w:val="00B26317"/>
    <w:rsid w:val="00B26812"/>
    <w:rsid w:val="00B26C3F"/>
    <w:rsid w:val="00B273B3"/>
    <w:rsid w:val="00B31F19"/>
    <w:rsid w:val="00B35B90"/>
    <w:rsid w:val="00B36FEE"/>
    <w:rsid w:val="00B40517"/>
    <w:rsid w:val="00B538FA"/>
    <w:rsid w:val="00B53B7C"/>
    <w:rsid w:val="00B5406F"/>
    <w:rsid w:val="00B568CB"/>
    <w:rsid w:val="00B60CC0"/>
    <w:rsid w:val="00B63B07"/>
    <w:rsid w:val="00B63EEF"/>
    <w:rsid w:val="00B659C3"/>
    <w:rsid w:val="00B666DC"/>
    <w:rsid w:val="00B750C6"/>
    <w:rsid w:val="00B75108"/>
    <w:rsid w:val="00B77E9E"/>
    <w:rsid w:val="00B80679"/>
    <w:rsid w:val="00B8171D"/>
    <w:rsid w:val="00B8325D"/>
    <w:rsid w:val="00B83A38"/>
    <w:rsid w:val="00B83D50"/>
    <w:rsid w:val="00B83FB7"/>
    <w:rsid w:val="00B83FF6"/>
    <w:rsid w:val="00B874AB"/>
    <w:rsid w:val="00B87A8D"/>
    <w:rsid w:val="00B95AF6"/>
    <w:rsid w:val="00B95DDB"/>
    <w:rsid w:val="00BA383A"/>
    <w:rsid w:val="00BA3CD6"/>
    <w:rsid w:val="00BA7010"/>
    <w:rsid w:val="00BA749A"/>
    <w:rsid w:val="00BB026A"/>
    <w:rsid w:val="00BB06C8"/>
    <w:rsid w:val="00BB2CD8"/>
    <w:rsid w:val="00BB3FCD"/>
    <w:rsid w:val="00BB5B21"/>
    <w:rsid w:val="00BB7E05"/>
    <w:rsid w:val="00BC2164"/>
    <w:rsid w:val="00BC22D7"/>
    <w:rsid w:val="00BC28B1"/>
    <w:rsid w:val="00BC35BD"/>
    <w:rsid w:val="00BC4222"/>
    <w:rsid w:val="00BC682F"/>
    <w:rsid w:val="00BC7207"/>
    <w:rsid w:val="00BC789A"/>
    <w:rsid w:val="00BD6B66"/>
    <w:rsid w:val="00BE09C5"/>
    <w:rsid w:val="00BE25BC"/>
    <w:rsid w:val="00BE6A92"/>
    <w:rsid w:val="00BE7F01"/>
    <w:rsid w:val="00BF4DAE"/>
    <w:rsid w:val="00BF6798"/>
    <w:rsid w:val="00C00777"/>
    <w:rsid w:val="00C04EBE"/>
    <w:rsid w:val="00C04FA1"/>
    <w:rsid w:val="00C05219"/>
    <w:rsid w:val="00C10B59"/>
    <w:rsid w:val="00C11088"/>
    <w:rsid w:val="00C116E6"/>
    <w:rsid w:val="00C12F27"/>
    <w:rsid w:val="00C136A5"/>
    <w:rsid w:val="00C1403F"/>
    <w:rsid w:val="00C14D4E"/>
    <w:rsid w:val="00C14E20"/>
    <w:rsid w:val="00C15901"/>
    <w:rsid w:val="00C162B9"/>
    <w:rsid w:val="00C2147E"/>
    <w:rsid w:val="00C21884"/>
    <w:rsid w:val="00C23172"/>
    <w:rsid w:val="00C238FD"/>
    <w:rsid w:val="00C24922"/>
    <w:rsid w:val="00C25021"/>
    <w:rsid w:val="00C253D2"/>
    <w:rsid w:val="00C256F6"/>
    <w:rsid w:val="00C27B4D"/>
    <w:rsid w:val="00C30C25"/>
    <w:rsid w:val="00C3594B"/>
    <w:rsid w:val="00C37624"/>
    <w:rsid w:val="00C41E1B"/>
    <w:rsid w:val="00C44F17"/>
    <w:rsid w:val="00C453F6"/>
    <w:rsid w:val="00C512C7"/>
    <w:rsid w:val="00C51A20"/>
    <w:rsid w:val="00C51F6F"/>
    <w:rsid w:val="00C52A30"/>
    <w:rsid w:val="00C53481"/>
    <w:rsid w:val="00C54B44"/>
    <w:rsid w:val="00C54B9F"/>
    <w:rsid w:val="00C55F38"/>
    <w:rsid w:val="00C5654C"/>
    <w:rsid w:val="00C565E7"/>
    <w:rsid w:val="00C57B73"/>
    <w:rsid w:val="00C60462"/>
    <w:rsid w:val="00C60FA5"/>
    <w:rsid w:val="00C633AB"/>
    <w:rsid w:val="00C67661"/>
    <w:rsid w:val="00C70E72"/>
    <w:rsid w:val="00C7372C"/>
    <w:rsid w:val="00C74439"/>
    <w:rsid w:val="00C75651"/>
    <w:rsid w:val="00C75ECC"/>
    <w:rsid w:val="00C76F55"/>
    <w:rsid w:val="00C77899"/>
    <w:rsid w:val="00C77C04"/>
    <w:rsid w:val="00C80144"/>
    <w:rsid w:val="00C8096E"/>
    <w:rsid w:val="00C81306"/>
    <w:rsid w:val="00C818FF"/>
    <w:rsid w:val="00C83FF4"/>
    <w:rsid w:val="00C845D4"/>
    <w:rsid w:val="00C876F9"/>
    <w:rsid w:val="00C91B7B"/>
    <w:rsid w:val="00C936E8"/>
    <w:rsid w:val="00C94651"/>
    <w:rsid w:val="00C97D1F"/>
    <w:rsid w:val="00CA0E06"/>
    <w:rsid w:val="00CA12D4"/>
    <w:rsid w:val="00CA1F84"/>
    <w:rsid w:val="00CA419F"/>
    <w:rsid w:val="00CA5A45"/>
    <w:rsid w:val="00CA6471"/>
    <w:rsid w:val="00CA71B9"/>
    <w:rsid w:val="00CA737E"/>
    <w:rsid w:val="00CB26C9"/>
    <w:rsid w:val="00CB2988"/>
    <w:rsid w:val="00CB37B8"/>
    <w:rsid w:val="00CB3980"/>
    <w:rsid w:val="00CC0E5A"/>
    <w:rsid w:val="00CC48A1"/>
    <w:rsid w:val="00CC536E"/>
    <w:rsid w:val="00CD04BD"/>
    <w:rsid w:val="00CD610C"/>
    <w:rsid w:val="00CD73C0"/>
    <w:rsid w:val="00CD74F1"/>
    <w:rsid w:val="00CE3410"/>
    <w:rsid w:val="00CF3B9D"/>
    <w:rsid w:val="00CF6D88"/>
    <w:rsid w:val="00CF6E39"/>
    <w:rsid w:val="00D000FF"/>
    <w:rsid w:val="00D0122C"/>
    <w:rsid w:val="00D02DE3"/>
    <w:rsid w:val="00D0542D"/>
    <w:rsid w:val="00D0627E"/>
    <w:rsid w:val="00D06EE2"/>
    <w:rsid w:val="00D07A2A"/>
    <w:rsid w:val="00D1271F"/>
    <w:rsid w:val="00D16EA3"/>
    <w:rsid w:val="00D20D70"/>
    <w:rsid w:val="00D20E72"/>
    <w:rsid w:val="00D23A2B"/>
    <w:rsid w:val="00D26D7E"/>
    <w:rsid w:val="00D27D3B"/>
    <w:rsid w:val="00D303F6"/>
    <w:rsid w:val="00D3183B"/>
    <w:rsid w:val="00D33565"/>
    <w:rsid w:val="00D35814"/>
    <w:rsid w:val="00D3665C"/>
    <w:rsid w:val="00D4027E"/>
    <w:rsid w:val="00D40A7A"/>
    <w:rsid w:val="00D40BB3"/>
    <w:rsid w:val="00D40D97"/>
    <w:rsid w:val="00D414A0"/>
    <w:rsid w:val="00D4340E"/>
    <w:rsid w:val="00D4454B"/>
    <w:rsid w:val="00D4601B"/>
    <w:rsid w:val="00D46F61"/>
    <w:rsid w:val="00D504C2"/>
    <w:rsid w:val="00D516BB"/>
    <w:rsid w:val="00D53645"/>
    <w:rsid w:val="00D54C98"/>
    <w:rsid w:val="00D55097"/>
    <w:rsid w:val="00D55D1E"/>
    <w:rsid w:val="00D57AAD"/>
    <w:rsid w:val="00D60439"/>
    <w:rsid w:val="00D60C46"/>
    <w:rsid w:val="00D617B6"/>
    <w:rsid w:val="00D667AA"/>
    <w:rsid w:val="00D669EC"/>
    <w:rsid w:val="00D71B03"/>
    <w:rsid w:val="00D722E1"/>
    <w:rsid w:val="00D72551"/>
    <w:rsid w:val="00D7497A"/>
    <w:rsid w:val="00D74F8C"/>
    <w:rsid w:val="00D7569D"/>
    <w:rsid w:val="00D76855"/>
    <w:rsid w:val="00D81091"/>
    <w:rsid w:val="00D85D47"/>
    <w:rsid w:val="00D9245A"/>
    <w:rsid w:val="00D92B37"/>
    <w:rsid w:val="00D938A5"/>
    <w:rsid w:val="00D96FAC"/>
    <w:rsid w:val="00D97559"/>
    <w:rsid w:val="00D97C25"/>
    <w:rsid w:val="00DA1BAA"/>
    <w:rsid w:val="00DA1C85"/>
    <w:rsid w:val="00DA1D76"/>
    <w:rsid w:val="00DA37A9"/>
    <w:rsid w:val="00DA38CE"/>
    <w:rsid w:val="00DA3B23"/>
    <w:rsid w:val="00DA712C"/>
    <w:rsid w:val="00DB1517"/>
    <w:rsid w:val="00DB222A"/>
    <w:rsid w:val="00DB51FB"/>
    <w:rsid w:val="00DB661F"/>
    <w:rsid w:val="00DB76BD"/>
    <w:rsid w:val="00DB77E7"/>
    <w:rsid w:val="00DB7E71"/>
    <w:rsid w:val="00DC3109"/>
    <w:rsid w:val="00DC3921"/>
    <w:rsid w:val="00DC6CF5"/>
    <w:rsid w:val="00DC749A"/>
    <w:rsid w:val="00DD068F"/>
    <w:rsid w:val="00DD0920"/>
    <w:rsid w:val="00DD2EC9"/>
    <w:rsid w:val="00DD32AB"/>
    <w:rsid w:val="00DD56F8"/>
    <w:rsid w:val="00DD570D"/>
    <w:rsid w:val="00DD6D3D"/>
    <w:rsid w:val="00DD7128"/>
    <w:rsid w:val="00DD7382"/>
    <w:rsid w:val="00DE0457"/>
    <w:rsid w:val="00DE2CDE"/>
    <w:rsid w:val="00DE44A2"/>
    <w:rsid w:val="00DE56E5"/>
    <w:rsid w:val="00DE65DA"/>
    <w:rsid w:val="00DE6AD1"/>
    <w:rsid w:val="00DF01B4"/>
    <w:rsid w:val="00DF1278"/>
    <w:rsid w:val="00DF2893"/>
    <w:rsid w:val="00DF2EF3"/>
    <w:rsid w:val="00DF5A61"/>
    <w:rsid w:val="00DF5C98"/>
    <w:rsid w:val="00E01D09"/>
    <w:rsid w:val="00E041F9"/>
    <w:rsid w:val="00E053A7"/>
    <w:rsid w:val="00E05975"/>
    <w:rsid w:val="00E076B5"/>
    <w:rsid w:val="00E10721"/>
    <w:rsid w:val="00E13543"/>
    <w:rsid w:val="00E13E7D"/>
    <w:rsid w:val="00E153C1"/>
    <w:rsid w:val="00E161F2"/>
    <w:rsid w:val="00E21AC4"/>
    <w:rsid w:val="00E224AD"/>
    <w:rsid w:val="00E27288"/>
    <w:rsid w:val="00E30B84"/>
    <w:rsid w:val="00E345B9"/>
    <w:rsid w:val="00E345F4"/>
    <w:rsid w:val="00E366DE"/>
    <w:rsid w:val="00E36EFB"/>
    <w:rsid w:val="00E412AC"/>
    <w:rsid w:val="00E4148C"/>
    <w:rsid w:val="00E45210"/>
    <w:rsid w:val="00E453E3"/>
    <w:rsid w:val="00E45937"/>
    <w:rsid w:val="00E533F6"/>
    <w:rsid w:val="00E53472"/>
    <w:rsid w:val="00E6077E"/>
    <w:rsid w:val="00E60D77"/>
    <w:rsid w:val="00E63BE0"/>
    <w:rsid w:val="00E63F49"/>
    <w:rsid w:val="00E65D0F"/>
    <w:rsid w:val="00E7393E"/>
    <w:rsid w:val="00E75548"/>
    <w:rsid w:val="00E807FF"/>
    <w:rsid w:val="00E8281A"/>
    <w:rsid w:val="00E856F1"/>
    <w:rsid w:val="00E87510"/>
    <w:rsid w:val="00E91595"/>
    <w:rsid w:val="00E93210"/>
    <w:rsid w:val="00E932D5"/>
    <w:rsid w:val="00E94C99"/>
    <w:rsid w:val="00E9500E"/>
    <w:rsid w:val="00E95159"/>
    <w:rsid w:val="00E96892"/>
    <w:rsid w:val="00E971E7"/>
    <w:rsid w:val="00EA5012"/>
    <w:rsid w:val="00EA6CA6"/>
    <w:rsid w:val="00EA7D34"/>
    <w:rsid w:val="00EB2270"/>
    <w:rsid w:val="00EB369C"/>
    <w:rsid w:val="00EB5408"/>
    <w:rsid w:val="00EC0F34"/>
    <w:rsid w:val="00EC0FEC"/>
    <w:rsid w:val="00EC445E"/>
    <w:rsid w:val="00EC6048"/>
    <w:rsid w:val="00EC645A"/>
    <w:rsid w:val="00EC6527"/>
    <w:rsid w:val="00ED071F"/>
    <w:rsid w:val="00ED0854"/>
    <w:rsid w:val="00ED255B"/>
    <w:rsid w:val="00ED30BC"/>
    <w:rsid w:val="00ED55A0"/>
    <w:rsid w:val="00ED57BE"/>
    <w:rsid w:val="00ED60A9"/>
    <w:rsid w:val="00ED63CF"/>
    <w:rsid w:val="00ED7685"/>
    <w:rsid w:val="00EE0059"/>
    <w:rsid w:val="00EE0571"/>
    <w:rsid w:val="00EE0C5B"/>
    <w:rsid w:val="00EE1320"/>
    <w:rsid w:val="00EE17C8"/>
    <w:rsid w:val="00EE1EF0"/>
    <w:rsid w:val="00EE22FE"/>
    <w:rsid w:val="00EE5BA5"/>
    <w:rsid w:val="00EE6BBA"/>
    <w:rsid w:val="00EF0629"/>
    <w:rsid w:val="00EF5706"/>
    <w:rsid w:val="00EF6460"/>
    <w:rsid w:val="00EF7AE3"/>
    <w:rsid w:val="00F00184"/>
    <w:rsid w:val="00F02EF9"/>
    <w:rsid w:val="00F03837"/>
    <w:rsid w:val="00F05ED4"/>
    <w:rsid w:val="00F05FA8"/>
    <w:rsid w:val="00F11236"/>
    <w:rsid w:val="00F116BB"/>
    <w:rsid w:val="00F11D64"/>
    <w:rsid w:val="00F12809"/>
    <w:rsid w:val="00F15371"/>
    <w:rsid w:val="00F15F68"/>
    <w:rsid w:val="00F200D5"/>
    <w:rsid w:val="00F22FCC"/>
    <w:rsid w:val="00F26BEA"/>
    <w:rsid w:val="00F314AE"/>
    <w:rsid w:val="00F3358F"/>
    <w:rsid w:val="00F34241"/>
    <w:rsid w:val="00F34759"/>
    <w:rsid w:val="00F3620D"/>
    <w:rsid w:val="00F37F65"/>
    <w:rsid w:val="00F40328"/>
    <w:rsid w:val="00F40569"/>
    <w:rsid w:val="00F430D7"/>
    <w:rsid w:val="00F437A9"/>
    <w:rsid w:val="00F43914"/>
    <w:rsid w:val="00F43CC2"/>
    <w:rsid w:val="00F4563E"/>
    <w:rsid w:val="00F50E4B"/>
    <w:rsid w:val="00F519C5"/>
    <w:rsid w:val="00F51EF3"/>
    <w:rsid w:val="00F54234"/>
    <w:rsid w:val="00F549FF"/>
    <w:rsid w:val="00F555A5"/>
    <w:rsid w:val="00F568DB"/>
    <w:rsid w:val="00F56C69"/>
    <w:rsid w:val="00F612F5"/>
    <w:rsid w:val="00F62E03"/>
    <w:rsid w:val="00F64797"/>
    <w:rsid w:val="00F746E4"/>
    <w:rsid w:val="00F74930"/>
    <w:rsid w:val="00F74951"/>
    <w:rsid w:val="00F771B4"/>
    <w:rsid w:val="00F77EC1"/>
    <w:rsid w:val="00F82ECB"/>
    <w:rsid w:val="00F83297"/>
    <w:rsid w:val="00F83910"/>
    <w:rsid w:val="00F846F0"/>
    <w:rsid w:val="00F84D0E"/>
    <w:rsid w:val="00F852F6"/>
    <w:rsid w:val="00F85485"/>
    <w:rsid w:val="00F85B71"/>
    <w:rsid w:val="00F85DB5"/>
    <w:rsid w:val="00F85FD5"/>
    <w:rsid w:val="00F87F49"/>
    <w:rsid w:val="00F90ACF"/>
    <w:rsid w:val="00F9164E"/>
    <w:rsid w:val="00F928A7"/>
    <w:rsid w:val="00F930CC"/>
    <w:rsid w:val="00F9335C"/>
    <w:rsid w:val="00F9349A"/>
    <w:rsid w:val="00F97333"/>
    <w:rsid w:val="00F97793"/>
    <w:rsid w:val="00F97B4C"/>
    <w:rsid w:val="00FA09B2"/>
    <w:rsid w:val="00FA13FE"/>
    <w:rsid w:val="00FA1C47"/>
    <w:rsid w:val="00FA3A7A"/>
    <w:rsid w:val="00FA3E79"/>
    <w:rsid w:val="00FA4923"/>
    <w:rsid w:val="00FA6558"/>
    <w:rsid w:val="00FA6A53"/>
    <w:rsid w:val="00FB32D4"/>
    <w:rsid w:val="00FB37BE"/>
    <w:rsid w:val="00FB4602"/>
    <w:rsid w:val="00FC1FA7"/>
    <w:rsid w:val="00FC3591"/>
    <w:rsid w:val="00FC4AF8"/>
    <w:rsid w:val="00FC521A"/>
    <w:rsid w:val="00FC6DB7"/>
    <w:rsid w:val="00FC7798"/>
    <w:rsid w:val="00FD0AEB"/>
    <w:rsid w:val="00FD1325"/>
    <w:rsid w:val="00FD14F5"/>
    <w:rsid w:val="00FD2CDA"/>
    <w:rsid w:val="00FD372F"/>
    <w:rsid w:val="00FD499B"/>
    <w:rsid w:val="00FD4D05"/>
    <w:rsid w:val="00FD568D"/>
    <w:rsid w:val="00FD7FE0"/>
    <w:rsid w:val="00FE276F"/>
    <w:rsid w:val="00FE4871"/>
    <w:rsid w:val="00FF2942"/>
    <w:rsid w:val="00FF2C4D"/>
    <w:rsid w:val="00FF3CAE"/>
    <w:rsid w:val="00FF42B8"/>
    <w:rsid w:val="00FF5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75EB"/>
    <w:pPr>
      <w:widowControl w:val="0"/>
    </w:pPr>
    <w:rPr>
      <w:snapToGrid w:val="0"/>
      <w:kern w:val="28"/>
      <w:sz w:val="22"/>
    </w:rPr>
  </w:style>
  <w:style w:type="paragraph" w:styleId="Heading1">
    <w:name w:val="heading 1"/>
    <w:basedOn w:val="Normal"/>
    <w:next w:val="ParaNum"/>
    <w:link w:val="Heading1Char"/>
    <w:qFormat/>
    <w:rsid w:val="009E75EB"/>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9E75EB"/>
    <w:pPr>
      <w:keepNext/>
      <w:numPr>
        <w:ilvl w:val="1"/>
        <w:numId w:val="3"/>
      </w:numPr>
      <w:spacing w:after="120"/>
      <w:outlineLvl w:val="1"/>
    </w:pPr>
    <w:rPr>
      <w:b/>
    </w:rPr>
  </w:style>
  <w:style w:type="paragraph" w:styleId="Heading3">
    <w:name w:val="heading 3"/>
    <w:basedOn w:val="Normal"/>
    <w:next w:val="ParaNum"/>
    <w:qFormat/>
    <w:rsid w:val="009E75EB"/>
    <w:pPr>
      <w:keepNext/>
      <w:numPr>
        <w:ilvl w:val="2"/>
        <w:numId w:val="3"/>
      </w:numPr>
      <w:tabs>
        <w:tab w:val="left" w:pos="2160"/>
      </w:tabs>
      <w:spacing w:after="120"/>
      <w:outlineLvl w:val="2"/>
    </w:pPr>
    <w:rPr>
      <w:b/>
    </w:rPr>
  </w:style>
  <w:style w:type="paragraph" w:styleId="Heading4">
    <w:name w:val="heading 4"/>
    <w:basedOn w:val="Normal"/>
    <w:next w:val="ParaNum"/>
    <w:qFormat/>
    <w:rsid w:val="009E75EB"/>
    <w:pPr>
      <w:keepNext/>
      <w:numPr>
        <w:ilvl w:val="3"/>
        <w:numId w:val="3"/>
      </w:numPr>
      <w:tabs>
        <w:tab w:val="left" w:pos="2880"/>
      </w:tabs>
      <w:spacing w:after="120"/>
      <w:outlineLvl w:val="3"/>
    </w:pPr>
    <w:rPr>
      <w:b/>
    </w:rPr>
  </w:style>
  <w:style w:type="paragraph" w:styleId="Heading5">
    <w:name w:val="heading 5"/>
    <w:basedOn w:val="Normal"/>
    <w:next w:val="ParaNum"/>
    <w:qFormat/>
    <w:rsid w:val="009E75EB"/>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9E75EB"/>
    <w:pPr>
      <w:numPr>
        <w:ilvl w:val="5"/>
        <w:numId w:val="3"/>
      </w:numPr>
      <w:tabs>
        <w:tab w:val="left" w:pos="4320"/>
      </w:tabs>
      <w:spacing w:after="120"/>
      <w:outlineLvl w:val="5"/>
    </w:pPr>
    <w:rPr>
      <w:b/>
    </w:rPr>
  </w:style>
  <w:style w:type="paragraph" w:styleId="Heading7">
    <w:name w:val="heading 7"/>
    <w:basedOn w:val="Normal"/>
    <w:next w:val="ParaNum"/>
    <w:qFormat/>
    <w:rsid w:val="009E75EB"/>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9E75EB"/>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9E75EB"/>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E75E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E75EB"/>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rsid w:val="009E75EB"/>
    <w:pPr>
      <w:numPr>
        <w:numId w:val="2"/>
      </w:numPr>
      <w:tabs>
        <w:tab w:val="clear" w:pos="1080"/>
        <w:tab w:val="num" w:pos="1440"/>
      </w:tabs>
      <w:spacing w:after="120"/>
    </w:pPr>
  </w:style>
  <w:style w:type="paragraph" w:styleId="FootnoteText">
    <w:name w:val="footnote text"/>
    <w:aliases w:val="Footnote Text Char1,Footnote Text Char Char,Footnote Text Char1 Char2 Char,Footnote Text Char1 Char Char Char1 Char,Footnote Text Char Char Char Char,Footnote Text Char1 Char1 Char Char,ALTS FOOTNOTE Char Char,fn Char Char,ALTS FOOTNOTE,fn"/>
    <w:link w:val="FootnoteTextChar"/>
    <w:rsid w:val="009E75EB"/>
    <w:pPr>
      <w:spacing w:after="120"/>
    </w:pPr>
  </w:style>
  <w:style w:type="paragraph" w:customStyle="1" w:styleId="Bullet">
    <w:name w:val="Bullet"/>
    <w:basedOn w:val="Normal"/>
    <w:rsid w:val="009E75EB"/>
    <w:pPr>
      <w:tabs>
        <w:tab w:val="left" w:pos="2160"/>
      </w:tabs>
      <w:spacing w:after="220"/>
      <w:ind w:left="2160" w:hanging="720"/>
    </w:pPr>
  </w:style>
  <w:style w:type="paragraph" w:styleId="BlockText">
    <w:name w:val="Block Text"/>
    <w:basedOn w:val="Normal"/>
    <w:rsid w:val="009E75EB"/>
    <w:pPr>
      <w:spacing w:after="240"/>
      <w:ind w:left="1440" w:right="1440"/>
    </w:pPr>
  </w:style>
  <w:style w:type="paragraph" w:customStyle="1" w:styleId="TableFormat">
    <w:name w:val="TableFormat"/>
    <w:basedOn w:val="Bullet"/>
    <w:rsid w:val="009E75EB"/>
    <w:pPr>
      <w:tabs>
        <w:tab w:val="clear" w:pos="2160"/>
        <w:tab w:val="left" w:pos="5040"/>
      </w:tabs>
      <w:ind w:left="5040" w:hanging="3600"/>
    </w:pPr>
  </w:style>
  <w:style w:type="character" w:styleId="FootnoteReference">
    <w:name w:val="footnote reference"/>
    <w:aliases w:val="(NECG) Footnote Reference,o,fr,Style 3,Appel note de bas de p,Style 12,Style 124,Style 13,FR,Style 6,Style 17,Footnote Reference/"/>
    <w:rsid w:val="009E75EB"/>
    <w:rPr>
      <w:rFonts w:ascii="Times New Roman" w:hAnsi="Times New Roman"/>
      <w:dstrike w:val="0"/>
      <w:color w:val="auto"/>
      <w:sz w:val="20"/>
      <w:vertAlign w:val="superscript"/>
    </w:rPr>
  </w:style>
  <w:style w:type="paragraph" w:styleId="Header">
    <w:name w:val="header"/>
    <w:basedOn w:val="Normal"/>
    <w:autoRedefine/>
    <w:rsid w:val="009E75EB"/>
    <w:pPr>
      <w:tabs>
        <w:tab w:val="center" w:pos="4680"/>
        <w:tab w:val="right" w:pos="9360"/>
      </w:tabs>
    </w:pPr>
    <w:rPr>
      <w:b/>
    </w:rPr>
  </w:style>
  <w:style w:type="paragraph" w:styleId="Footer">
    <w:name w:val="footer"/>
    <w:basedOn w:val="Normal"/>
    <w:rsid w:val="009E75EB"/>
    <w:pPr>
      <w:tabs>
        <w:tab w:val="center" w:pos="4320"/>
        <w:tab w:val="right" w:pos="8640"/>
      </w:tabs>
    </w:pPr>
  </w:style>
  <w:style w:type="paragraph" w:styleId="TOC2">
    <w:name w:val="toc 2"/>
    <w:basedOn w:val="Normal"/>
    <w:next w:val="Normal"/>
    <w:semiHidden/>
    <w:rsid w:val="009E75EB"/>
    <w:pPr>
      <w:tabs>
        <w:tab w:val="left" w:pos="720"/>
        <w:tab w:val="right" w:leader="dot" w:pos="9360"/>
      </w:tabs>
      <w:suppressAutoHyphens/>
      <w:ind w:left="720" w:right="720" w:hanging="360"/>
    </w:pPr>
    <w:rPr>
      <w:noProof/>
    </w:rPr>
  </w:style>
  <w:style w:type="paragraph" w:customStyle="1" w:styleId="NumberedList">
    <w:name w:val="Numbered List"/>
    <w:basedOn w:val="Normal"/>
    <w:pPr>
      <w:numPr>
        <w:numId w:val="1"/>
      </w:numPr>
      <w:tabs>
        <w:tab w:val="clear" w:pos="1080"/>
      </w:tabs>
      <w:spacing w:after="220"/>
      <w:ind w:firstLine="0"/>
    </w:pPr>
  </w:style>
  <w:style w:type="paragraph" w:styleId="TOC1">
    <w:name w:val="toc 1"/>
    <w:basedOn w:val="Normal"/>
    <w:next w:val="Normal"/>
    <w:semiHidden/>
    <w:rsid w:val="009E75EB"/>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9E75E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E75E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E75E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E75E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E75E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E75E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E75EB"/>
    <w:pPr>
      <w:tabs>
        <w:tab w:val="left" w:pos="3240"/>
        <w:tab w:val="right" w:leader="dot" w:pos="9360"/>
      </w:tabs>
      <w:suppressAutoHyphens/>
      <w:ind w:left="3240" w:hanging="360"/>
    </w:pPr>
    <w:rPr>
      <w:noProof/>
    </w:rPr>
  </w:style>
  <w:style w:type="character" w:styleId="PageNumber">
    <w:name w:val="page number"/>
    <w:basedOn w:val="DefaultParagraphFont"/>
    <w:rsid w:val="009E75EB"/>
  </w:style>
  <w:style w:type="paragraph" w:styleId="Title">
    <w:name w:val="Title"/>
    <w:basedOn w:val="Normal"/>
    <w:qFormat/>
    <w:pPr>
      <w:jc w:val="center"/>
    </w:pPr>
    <w:rPr>
      <w:b/>
    </w:rPr>
  </w:style>
  <w:style w:type="paragraph" w:styleId="BodyText">
    <w:name w:val="Body Text"/>
    <w:basedOn w:val="Normal"/>
    <w:pPr>
      <w:spacing w:after="120"/>
    </w:pPr>
    <w:rPr>
      <w:sz w:val="24"/>
      <w:szCs w:val="24"/>
    </w:rPr>
  </w:style>
  <w:style w:type="character" w:styleId="EndnoteReference">
    <w:name w:val="endnote reference"/>
    <w:semiHidden/>
    <w:rsid w:val="009E75EB"/>
    <w:rPr>
      <w:vertAlign w:val="superscript"/>
    </w:rPr>
  </w:style>
  <w:style w:type="character" w:customStyle="1" w:styleId="ParaNumChar">
    <w:name w:val="ParaNum Char"/>
    <w:link w:val="ParaNum"/>
    <w:rPr>
      <w:snapToGrid w:val="0"/>
      <w:kern w:val="28"/>
      <w:sz w:val="22"/>
    </w:rPr>
  </w:style>
  <w:style w:type="paragraph" w:styleId="BalloonText">
    <w:name w:val="Balloon Text"/>
    <w:basedOn w:val="Normal"/>
    <w:semiHidden/>
    <w:rPr>
      <w:rFonts w:ascii="Tahoma" w:hAnsi="Tahoma" w:cs="Tahoma"/>
      <w:sz w:val="16"/>
      <w:szCs w:val="16"/>
    </w:rPr>
  </w:style>
  <w:style w:type="character" w:styleId="Hyperlink">
    <w:name w:val="Hyperlink"/>
    <w:rsid w:val="009E75EB"/>
    <w:rPr>
      <w:color w:val="0000FF"/>
      <w:u w:val="single"/>
    </w:rPr>
  </w:style>
  <w:style w:type="character" w:customStyle="1" w:styleId="FootnoteTextChar">
    <w:name w:val="Footnote Text Char"/>
    <w:aliases w:val="Footnote Text Char1 Char,Footnote Text Char Char Char,Footnote Text Char1 Char2 Char Char,Footnote Text Char1 Char Char Char1 Char Char,Footnote Text Char Char Char Char Char,Footnote Text Char1 Char1 Char Char Char,fn Char Char Char"/>
    <w:link w:val="FootnoteText"/>
  </w:style>
  <w:style w:type="paragraph" w:customStyle="1" w:styleId="ColorfulShading-Accent11">
    <w:name w:val="Colorful Shading - Accent 11"/>
    <w:hidden/>
    <w:uiPriority w:val="99"/>
    <w:semiHidden/>
    <w:rPr>
      <w:sz w:val="22"/>
    </w:rPr>
  </w:style>
  <w:style w:type="paragraph" w:styleId="EndnoteText">
    <w:name w:val="endnote text"/>
    <w:basedOn w:val="Normal"/>
    <w:link w:val="EndnoteTextChar"/>
    <w:rsid w:val="009E75EB"/>
    <w:rPr>
      <w:sz w:val="20"/>
    </w:rPr>
  </w:style>
  <w:style w:type="character" w:customStyle="1" w:styleId="EndnoteTextChar">
    <w:name w:val="Endnote Text Char"/>
    <w:link w:val="EndnoteText"/>
    <w:rPr>
      <w:snapToGrid w:val="0"/>
      <w:kern w:val="28"/>
    </w:rPr>
  </w:style>
  <w:style w:type="paragraph" w:styleId="TOAHeading">
    <w:name w:val="toa heading"/>
    <w:basedOn w:val="Normal"/>
    <w:next w:val="Normal"/>
    <w:rsid w:val="009E75EB"/>
    <w:pPr>
      <w:tabs>
        <w:tab w:val="right" w:pos="9360"/>
      </w:tabs>
      <w:suppressAutoHyphens/>
    </w:pPr>
  </w:style>
  <w:style w:type="character" w:customStyle="1" w:styleId="EquationCaption">
    <w:name w:val="_Equation Caption"/>
    <w:rsid w:val="009E75EB"/>
  </w:style>
  <w:style w:type="paragraph" w:customStyle="1" w:styleId="Paratitle">
    <w:name w:val="Para title"/>
    <w:basedOn w:val="Normal"/>
    <w:rsid w:val="009E75EB"/>
    <w:pPr>
      <w:tabs>
        <w:tab w:val="center" w:pos="9270"/>
      </w:tabs>
      <w:spacing w:after="240"/>
    </w:pPr>
    <w:rPr>
      <w:spacing w:val="-2"/>
    </w:rPr>
  </w:style>
  <w:style w:type="paragraph" w:customStyle="1" w:styleId="TOCTitle">
    <w:name w:val="TOC Title"/>
    <w:basedOn w:val="Normal"/>
    <w:rsid w:val="009E75E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E75EB"/>
    <w:pPr>
      <w:jc w:val="center"/>
    </w:pPr>
    <w:rPr>
      <w:rFonts w:ascii="Times New Roman Bold" w:hAnsi="Times New Roman Bold"/>
      <w:b/>
      <w:bCs/>
      <w:caps/>
      <w:szCs w:val="22"/>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rPr>
  </w:style>
  <w:style w:type="character" w:customStyle="1" w:styleId="CommentTextChar">
    <w:name w:val="Comment Text Char"/>
    <w:link w:val="CommentText"/>
    <w:uiPriority w:val="99"/>
    <w:rPr>
      <w:snapToGrid w:val="0"/>
      <w:kern w:val="28"/>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snapToGrid w:val="0"/>
      <w:kern w:val="28"/>
    </w:rPr>
  </w:style>
  <w:style w:type="paragraph" w:customStyle="1" w:styleId="ColorfulList-Accent11">
    <w:name w:val="Colorful List - Accent 11"/>
    <w:basedOn w:val="Normal"/>
    <w:uiPriority w:val="34"/>
    <w:qFormat/>
    <w:rsid w:val="003930C2"/>
    <w:pPr>
      <w:ind w:left="720"/>
    </w:pPr>
    <w:rPr>
      <w:rFonts w:eastAsia="Calibri"/>
      <w:snapToGrid/>
    </w:rPr>
  </w:style>
  <w:style w:type="character" w:styleId="Emphasis">
    <w:name w:val="Emphasis"/>
    <w:uiPriority w:val="20"/>
    <w:qFormat/>
    <w:rsid w:val="00393F39"/>
    <w:rPr>
      <w:i/>
      <w:iCs/>
    </w:rPr>
  </w:style>
  <w:style w:type="character" w:customStyle="1" w:styleId="costarpage">
    <w:name w:val="co_starpage"/>
    <w:rsid w:val="00120E73"/>
  </w:style>
  <w:style w:type="paragraph" w:styleId="DocumentMap">
    <w:name w:val="Document Map"/>
    <w:basedOn w:val="Normal"/>
    <w:link w:val="DocumentMapChar"/>
    <w:rsid w:val="008675E3"/>
    <w:rPr>
      <w:rFonts w:ascii="Lucida Grande" w:hAnsi="Lucida Grande"/>
      <w:sz w:val="24"/>
      <w:szCs w:val="24"/>
    </w:rPr>
  </w:style>
  <w:style w:type="character" w:customStyle="1" w:styleId="DocumentMapChar">
    <w:name w:val="Document Map Char"/>
    <w:link w:val="DocumentMap"/>
    <w:rsid w:val="008675E3"/>
    <w:rPr>
      <w:rFonts w:ascii="Lucida Grande" w:hAnsi="Lucida Grande"/>
      <w:snapToGrid w:val="0"/>
      <w:kern w:val="28"/>
      <w:sz w:val="24"/>
      <w:szCs w:val="24"/>
    </w:rPr>
  </w:style>
  <w:style w:type="paragraph" w:customStyle="1" w:styleId="Default">
    <w:name w:val="Default"/>
    <w:rsid w:val="00DB661F"/>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235D3E"/>
    <w:rPr>
      <w:snapToGrid w:val="0"/>
      <w:kern w:val="28"/>
      <w:sz w:val="22"/>
    </w:rPr>
  </w:style>
  <w:style w:type="paragraph" w:styleId="ListParagraph">
    <w:name w:val="List Paragraph"/>
    <w:basedOn w:val="Normal"/>
    <w:uiPriority w:val="34"/>
    <w:qFormat/>
    <w:rsid w:val="00E21AC4"/>
    <w:pPr>
      <w:spacing w:after="200" w:line="276" w:lineRule="auto"/>
      <w:ind w:left="720"/>
      <w:contextualSpacing/>
    </w:pPr>
    <w:rPr>
      <w:snapToGrid/>
    </w:rPr>
  </w:style>
  <w:style w:type="character" w:customStyle="1" w:styleId="cosearchterm">
    <w:name w:val="co_searchterm"/>
    <w:basedOn w:val="DefaultParagraphFont"/>
    <w:rsid w:val="00AE5B58"/>
  </w:style>
  <w:style w:type="character" w:styleId="FollowedHyperlink">
    <w:name w:val="FollowedHyperlink"/>
    <w:basedOn w:val="DefaultParagraphFont"/>
    <w:rsid w:val="00DE44A2"/>
    <w:rPr>
      <w:color w:val="954F72" w:themeColor="followedHyperlink"/>
      <w:u w:val="single"/>
    </w:rPr>
  </w:style>
  <w:style w:type="character" w:customStyle="1" w:styleId="Heading1Char">
    <w:name w:val="Heading 1 Char"/>
    <w:basedOn w:val="DefaultParagraphFont"/>
    <w:link w:val="Heading1"/>
    <w:rsid w:val="00B874AB"/>
    <w:rPr>
      <w:rFonts w:ascii="Times New Roman Bold" w:hAnsi="Times New Roman Bold"/>
      <w:b/>
      <w:caps/>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75EB"/>
    <w:pPr>
      <w:widowControl w:val="0"/>
    </w:pPr>
    <w:rPr>
      <w:snapToGrid w:val="0"/>
      <w:kern w:val="28"/>
      <w:sz w:val="22"/>
    </w:rPr>
  </w:style>
  <w:style w:type="paragraph" w:styleId="Heading1">
    <w:name w:val="heading 1"/>
    <w:basedOn w:val="Normal"/>
    <w:next w:val="ParaNum"/>
    <w:link w:val="Heading1Char"/>
    <w:qFormat/>
    <w:rsid w:val="009E75EB"/>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9E75EB"/>
    <w:pPr>
      <w:keepNext/>
      <w:numPr>
        <w:ilvl w:val="1"/>
        <w:numId w:val="3"/>
      </w:numPr>
      <w:spacing w:after="120"/>
      <w:outlineLvl w:val="1"/>
    </w:pPr>
    <w:rPr>
      <w:b/>
    </w:rPr>
  </w:style>
  <w:style w:type="paragraph" w:styleId="Heading3">
    <w:name w:val="heading 3"/>
    <w:basedOn w:val="Normal"/>
    <w:next w:val="ParaNum"/>
    <w:qFormat/>
    <w:rsid w:val="009E75EB"/>
    <w:pPr>
      <w:keepNext/>
      <w:numPr>
        <w:ilvl w:val="2"/>
        <w:numId w:val="3"/>
      </w:numPr>
      <w:tabs>
        <w:tab w:val="left" w:pos="2160"/>
      </w:tabs>
      <w:spacing w:after="120"/>
      <w:outlineLvl w:val="2"/>
    </w:pPr>
    <w:rPr>
      <w:b/>
    </w:rPr>
  </w:style>
  <w:style w:type="paragraph" w:styleId="Heading4">
    <w:name w:val="heading 4"/>
    <w:basedOn w:val="Normal"/>
    <w:next w:val="ParaNum"/>
    <w:qFormat/>
    <w:rsid w:val="009E75EB"/>
    <w:pPr>
      <w:keepNext/>
      <w:numPr>
        <w:ilvl w:val="3"/>
        <w:numId w:val="3"/>
      </w:numPr>
      <w:tabs>
        <w:tab w:val="left" w:pos="2880"/>
      </w:tabs>
      <w:spacing w:after="120"/>
      <w:outlineLvl w:val="3"/>
    </w:pPr>
    <w:rPr>
      <w:b/>
    </w:rPr>
  </w:style>
  <w:style w:type="paragraph" w:styleId="Heading5">
    <w:name w:val="heading 5"/>
    <w:basedOn w:val="Normal"/>
    <w:next w:val="ParaNum"/>
    <w:qFormat/>
    <w:rsid w:val="009E75EB"/>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9E75EB"/>
    <w:pPr>
      <w:numPr>
        <w:ilvl w:val="5"/>
        <w:numId w:val="3"/>
      </w:numPr>
      <w:tabs>
        <w:tab w:val="left" w:pos="4320"/>
      </w:tabs>
      <w:spacing w:after="120"/>
      <w:outlineLvl w:val="5"/>
    </w:pPr>
    <w:rPr>
      <w:b/>
    </w:rPr>
  </w:style>
  <w:style w:type="paragraph" w:styleId="Heading7">
    <w:name w:val="heading 7"/>
    <w:basedOn w:val="Normal"/>
    <w:next w:val="ParaNum"/>
    <w:qFormat/>
    <w:rsid w:val="009E75EB"/>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9E75EB"/>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9E75EB"/>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E75E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E75EB"/>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rsid w:val="009E75EB"/>
    <w:pPr>
      <w:numPr>
        <w:numId w:val="2"/>
      </w:numPr>
      <w:tabs>
        <w:tab w:val="clear" w:pos="1080"/>
        <w:tab w:val="num" w:pos="1440"/>
      </w:tabs>
      <w:spacing w:after="120"/>
    </w:pPr>
  </w:style>
  <w:style w:type="paragraph" w:styleId="FootnoteText">
    <w:name w:val="footnote text"/>
    <w:aliases w:val="Footnote Text Char1,Footnote Text Char Char,Footnote Text Char1 Char2 Char,Footnote Text Char1 Char Char Char1 Char,Footnote Text Char Char Char Char,Footnote Text Char1 Char1 Char Char,ALTS FOOTNOTE Char Char,fn Char Char,ALTS FOOTNOTE,fn"/>
    <w:link w:val="FootnoteTextChar"/>
    <w:rsid w:val="009E75EB"/>
    <w:pPr>
      <w:spacing w:after="120"/>
    </w:pPr>
  </w:style>
  <w:style w:type="paragraph" w:customStyle="1" w:styleId="Bullet">
    <w:name w:val="Bullet"/>
    <w:basedOn w:val="Normal"/>
    <w:rsid w:val="009E75EB"/>
    <w:pPr>
      <w:tabs>
        <w:tab w:val="left" w:pos="2160"/>
      </w:tabs>
      <w:spacing w:after="220"/>
      <w:ind w:left="2160" w:hanging="720"/>
    </w:pPr>
  </w:style>
  <w:style w:type="paragraph" w:styleId="BlockText">
    <w:name w:val="Block Text"/>
    <w:basedOn w:val="Normal"/>
    <w:rsid w:val="009E75EB"/>
    <w:pPr>
      <w:spacing w:after="240"/>
      <w:ind w:left="1440" w:right="1440"/>
    </w:pPr>
  </w:style>
  <w:style w:type="paragraph" w:customStyle="1" w:styleId="TableFormat">
    <w:name w:val="TableFormat"/>
    <w:basedOn w:val="Bullet"/>
    <w:rsid w:val="009E75EB"/>
    <w:pPr>
      <w:tabs>
        <w:tab w:val="clear" w:pos="2160"/>
        <w:tab w:val="left" w:pos="5040"/>
      </w:tabs>
      <w:ind w:left="5040" w:hanging="3600"/>
    </w:pPr>
  </w:style>
  <w:style w:type="character" w:styleId="FootnoteReference">
    <w:name w:val="footnote reference"/>
    <w:aliases w:val="(NECG) Footnote Reference,o,fr,Style 3,Appel note de bas de p,Style 12,Style 124,Style 13,FR,Style 6,Style 17,Footnote Reference/"/>
    <w:rsid w:val="009E75EB"/>
    <w:rPr>
      <w:rFonts w:ascii="Times New Roman" w:hAnsi="Times New Roman"/>
      <w:dstrike w:val="0"/>
      <w:color w:val="auto"/>
      <w:sz w:val="20"/>
      <w:vertAlign w:val="superscript"/>
    </w:rPr>
  </w:style>
  <w:style w:type="paragraph" w:styleId="Header">
    <w:name w:val="header"/>
    <w:basedOn w:val="Normal"/>
    <w:autoRedefine/>
    <w:rsid w:val="009E75EB"/>
    <w:pPr>
      <w:tabs>
        <w:tab w:val="center" w:pos="4680"/>
        <w:tab w:val="right" w:pos="9360"/>
      </w:tabs>
    </w:pPr>
    <w:rPr>
      <w:b/>
    </w:rPr>
  </w:style>
  <w:style w:type="paragraph" w:styleId="Footer">
    <w:name w:val="footer"/>
    <w:basedOn w:val="Normal"/>
    <w:rsid w:val="009E75EB"/>
    <w:pPr>
      <w:tabs>
        <w:tab w:val="center" w:pos="4320"/>
        <w:tab w:val="right" w:pos="8640"/>
      </w:tabs>
    </w:pPr>
  </w:style>
  <w:style w:type="paragraph" w:styleId="TOC2">
    <w:name w:val="toc 2"/>
    <w:basedOn w:val="Normal"/>
    <w:next w:val="Normal"/>
    <w:semiHidden/>
    <w:rsid w:val="009E75EB"/>
    <w:pPr>
      <w:tabs>
        <w:tab w:val="left" w:pos="720"/>
        <w:tab w:val="right" w:leader="dot" w:pos="9360"/>
      </w:tabs>
      <w:suppressAutoHyphens/>
      <w:ind w:left="720" w:right="720" w:hanging="360"/>
    </w:pPr>
    <w:rPr>
      <w:noProof/>
    </w:rPr>
  </w:style>
  <w:style w:type="paragraph" w:customStyle="1" w:styleId="NumberedList">
    <w:name w:val="Numbered List"/>
    <w:basedOn w:val="Normal"/>
    <w:pPr>
      <w:numPr>
        <w:numId w:val="1"/>
      </w:numPr>
      <w:tabs>
        <w:tab w:val="clear" w:pos="1080"/>
      </w:tabs>
      <w:spacing w:after="220"/>
      <w:ind w:firstLine="0"/>
    </w:pPr>
  </w:style>
  <w:style w:type="paragraph" w:styleId="TOC1">
    <w:name w:val="toc 1"/>
    <w:basedOn w:val="Normal"/>
    <w:next w:val="Normal"/>
    <w:semiHidden/>
    <w:rsid w:val="009E75EB"/>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9E75E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E75E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E75E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E75E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E75E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E75E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E75EB"/>
    <w:pPr>
      <w:tabs>
        <w:tab w:val="left" w:pos="3240"/>
        <w:tab w:val="right" w:leader="dot" w:pos="9360"/>
      </w:tabs>
      <w:suppressAutoHyphens/>
      <w:ind w:left="3240" w:hanging="360"/>
    </w:pPr>
    <w:rPr>
      <w:noProof/>
    </w:rPr>
  </w:style>
  <w:style w:type="character" w:styleId="PageNumber">
    <w:name w:val="page number"/>
    <w:basedOn w:val="DefaultParagraphFont"/>
    <w:rsid w:val="009E75EB"/>
  </w:style>
  <w:style w:type="paragraph" w:styleId="Title">
    <w:name w:val="Title"/>
    <w:basedOn w:val="Normal"/>
    <w:qFormat/>
    <w:pPr>
      <w:jc w:val="center"/>
    </w:pPr>
    <w:rPr>
      <w:b/>
    </w:rPr>
  </w:style>
  <w:style w:type="paragraph" w:styleId="BodyText">
    <w:name w:val="Body Text"/>
    <w:basedOn w:val="Normal"/>
    <w:pPr>
      <w:spacing w:after="120"/>
    </w:pPr>
    <w:rPr>
      <w:sz w:val="24"/>
      <w:szCs w:val="24"/>
    </w:rPr>
  </w:style>
  <w:style w:type="character" w:styleId="EndnoteReference">
    <w:name w:val="endnote reference"/>
    <w:semiHidden/>
    <w:rsid w:val="009E75EB"/>
    <w:rPr>
      <w:vertAlign w:val="superscript"/>
    </w:rPr>
  </w:style>
  <w:style w:type="character" w:customStyle="1" w:styleId="ParaNumChar">
    <w:name w:val="ParaNum Char"/>
    <w:link w:val="ParaNum"/>
    <w:rPr>
      <w:snapToGrid w:val="0"/>
      <w:kern w:val="28"/>
      <w:sz w:val="22"/>
    </w:rPr>
  </w:style>
  <w:style w:type="paragraph" w:styleId="BalloonText">
    <w:name w:val="Balloon Text"/>
    <w:basedOn w:val="Normal"/>
    <w:semiHidden/>
    <w:rPr>
      <w:rFonts w:ascii="Tahoma" w:hAnsi="Tahoma" w:cs="Tahoma"/>
      <w:sz w:val="16"/>
      <w:szCs w:val="16"/>
    </w:rPr>
  </w:style>
  <w:style w:type="character" w:styleId="Hyperlink">
    <w:name w:val="Hyperlink"/>
    <w:rsid w:val="009E75EB"/>
    <w:rPr>
      <w:color w:val="0000FF"/>
      <w:u w:val="single"/>
    </w:rPr>
  </w:style>
  <w:style w:type="character" w:customStyle="1" w:styleId="FootnoteTextChar">
    <w:name w:val="Footnote Text Char"/>
    <w:aliases w:val="Footnote Text Char1 Char,Footnote Text Char Char Char,Footnote Text Char1 Char2 Char Char,Footnote Text Char1 Char Char Char1 Char Char,Footnote Text Char Char Char Char Char,Footnote Text Char1 Char1 Char Char Char,fn Char Char Char"/>
    <w:link w:val="FootnoteText"/>
  </w:style>
  <w:style w:type="paragraph" w:customStyle="1" w:styleId="ColorfulShading-Accent11">
    <w:name w:val="Colorful Shading - Accent 11"/>
    <w:hidden/>
    <w:uiPriority w:val="99"/>
    <w:semiHidden/>
    <w:rPr>
      <w:sz w:val="22"/>
    </w:rPr>
  </w:style>
  <w:style w:type="paragraph" w:styleId="EndnoteText">
    <w:name w:val="endnote text"/>
    <w:basedOn w:val="Normal"/>
    <w:link w:val="EndnoteTextChar"/>
    <w:rsid w:val="009E75EB"/>
    <w:rPr>
      <w:sz w:val="20"/>
    </w:rPr>
  </w:style>
  <w:style w:type="character" w:customStyle="1" w:styleId="EndnoteTextChar">
    <w:name w:val="Endnote Text Char"/>
    <w:link w:val="EndnoteText"/>
    <w:rPr>
      <w:snapToGrid w:val="0"/>
      <w:kern w:val="28"/>
    </w:rPr>
  </w:style>
  <w:style w:type="paragraph" w:styleId="TOAHeading">
    <w:name w:val="toa heading"/>
    <w:basedOn w:val="Normal"/>
    <w:next w:val="Normal"/>
    <w:rsid w:val="009E75EB"/>
    <w:pPr>
      <w:tabs>
        <w:tab w:val="right" w:pos="9360"/>
      </w:tabs>
      <w:suppressAutoHyphens/>
    </w:pPr>
  </w:style>
  <w:style w:type="character" w:customStyle="1" w:styleId="EquationCaption">
    <w:name w:val="_Equation Caption"/>
    <w:rsid w:val="009E75EB"/>
  </w:style>
  <w:style w:type="paragraph" w:customStyle="1" w:styleId="Paratitle">
    <w:name w:val="Para title"/>
    <w:basedOn w:val="Normal"/>
    <w:rsid w:val="009E75EB"/>
    <w:pPr>
      <w:tabs>
        <w:tab w:val="center" w:pos="9270"/>
      </w:tabs>
      <w:spacing w:after="240"/>
    </w:pPr>
    <w:rPr>
      <w:spacing w:val="-2"/>
    </w:rPr>
  </w:style>
  <w:style w:type="paragraph" w:customStyle="1" w:styleId="TOCTitle">
    <w:name w:val="TOC Title"/>
    <w:basedOn w:val="Normal"/>
    <w:rsid w:val="009E75E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E75EB"/>
    <w:pPr>
      <w:jc w:val="center"/>
    </w:pPr>
    <w:rPr>
      <w:rFonts w:ascii="Times New Roman Bold" w:hAnsi="Times New Roman Bold"/>
      <w:b/>
      <w:bCs/>
      <w:caps/>
      <w:szCs w:val="22"/>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rPr>
  </w:style>
  <w:style w:type="character" w:customStyle="1" w:styleId="CommentTextChar">
    <w:name w:val="Comment Text Char"/>
    <w:link w:val="CommentText"/>
    <w:uiPriority w:val="99"/>
    <w:rPr>
      <w:snapToGrid w:val="0"/>
      <w:kern w:val="28"/>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snapToGrid w:val="0"/>
      <w:kern w:val="28"/>
    </w:rPr>
  </w:style>
  <w:style w:type="paragraph" w:customStyle="1" w:styleId="ColorfulList-Accent11">
    <w:name w:val="Colorful List - Accent 11"/>
    <w:basedOn w:val="Normal"/>
    <w:uiPriority w:val="34"/>
    <w:qFormat/>
    <w:rsid w:val="003930C2"/>
    <w:pPr>
      <w:ind w:left="720"/>
    </w:pPr>
    <w:rPr>
      <w:rFonts w:eastAsia="Calibri"/>
      <w:snapToGrid/>
    </w:rPr>
  </w:style>
  <w:style w:type="character" w:styleId="Emphasis">
    <w:name w:val="Emphasis"/>
    <w:uiPriority w:val="20"/>
    <w:qFormat/>
    <w:rsid w:val="00393F39"/>
    <w:rPr>
      <w:i/>
      <w:iCs/>
    </w:rPr>
  </w:style>
  <w:style w:type="character" w:customStyle="1" w:styleId="costarpage">
    <w:name w:val="co_starpage"/>
    <w:rsid w:val="00120E73"/>
  </w:style>
  <w:style w:type="paragraph" w:styleId="DocumentMap">
    <w:name w:val="Document Map"/>
    <w:basedOn w:val="Normal"/>
    <w:link w:val="DocumentMapChar"/>
    <w:rsid w:val="008675E3"/>
    <w:rPr>
      <w:rFonts w:ascii="Lucida Grande" w:hAnsi="Lucida Grande"/>
      <w:sz w:val="24"/>
      <w:szCs w:val="24"/>
    </w:rPr>
  </w:style>
  <w:style w:type="character" w:customStyle="1" w:styleId="DocumentMapChar">
    <w:name w:val="Document Map Char"/>
    <w:link w:val="DocumentMap"/>
    <w:rsid w:val="008675E3"/>
    <w:rPr>
      <w:rFonts w:ascii="Lucida Grande" w:hAnsi="Lucida Grande"/>
      <w:snapToGrid w:val="0"/>
      <w:kern w:val="28"/>
      <w:sz w:val="24"/>
      <w:szCs w:val="24"/>
    </w:rPr>
  </w:style>
  <w:style w:type="paragraph" w:customStyle="1" w:styleId="Default">
    <w:name w:val="Default"/>
    <w:rsid w:val="00DB661F"/>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235D3E"/>
    <w:rPr>
      <w:snapToGrid w:val="0"/>
      <w:kern w:val="28"/>
      <w:sz w:val="22"/>
    </w:rPr>
  </w:style>
  <w:style w:type="paragraph" w:styleId="ListParagraph">
    <w:name w:val="List Paragraph"/>
    <w:basedOn w:val="Normal"/>
    <w:uiPriority w:val="34"/>
    <w:qFormat/>
    <w:rsid w:val="00E21AC4"/>
    <w:pPr>
      <w:spacing w:after="200" w:line="276" w:lineRule="auto"/>
      <w:ind w:left="720"/>
      <w:contextualSpacing/>
    </w:pPr>
    <w:rPr>
      <w:snapToGrid/>
    </w:rPr>
  </w:style>
  <w:style w:type="character" w:customStyle="1" w:styleId="cosearchterm">
    <w:name w:val="co_searchterm"/>
    <w:basedOn w:val="DefaultParagraphFont"/>
    <w:rsid w:val="00AE5B58"/>
  </w:style>
  <w:style w:type="character" w:styleId="FollowedHyperlink">
    <w:name w:val="FollowedHyperlink"/>
    <w:basedOn w:val="DefaultParagraphFont"/>
    <w:rsid w:val="00DE44A2"/>
    <w:rPr>
      <w:color w:val="954F72" w:themeColor="followedHyperlink"/>
      <w:u w:val="single"/>
    </w:rPr>
  </w:style>
  <w:style w:type="character" w:customStyle="1" w:styleId="Heading1Char">
    <w:name w:val="Heading 1 Char"/>
    <w:basedOn w:val="DefaultParagraphFont"/>
    <w:link w:val="Heading1"/>
    <w:rsid w:val="00B874AB"/>
    <w:rPr>
      <w:rFonts w:ascii="Times New Roman Bold" w:hAnsi="Times New Roman Bold"/>
      <w:b/>
      <w:caps/>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04698">
      <w:bodyDiv w:val="1"/>
      <w:marLeft w:val="0"/>
      <w:marRight w:val="0"/>
      <w:marTop w:val="0"/>
      <w:marBottom w:val="0"/>
      <w:divBdr>
        <w:top w:val="none" w:sz="0" w:space="0" w:color="auto"/>
        <w:left w:val="none" w:sz="0" w:space="0" w:color="auto"/>
        <w:bottom w:val="none" w:sz="0" w:space="0" w:color="auto"/>
        <w:right w:val="none" w:sz="0" w:space="0" w:color="auto"/>
      </w:divBdr>
    </w:div>
    <w:div w:id="367069749">
      <w:bodyDiv w:val="1"/>
      <w:marLeft w:val="0"/>
      <w:marRight w:val="0"/>
      <w:marTop w:val="0"/>
      <w:marBottom w:val="0"/>
      <w:divBdr>
        <w:top w:val="none" w:sz="0" w:space="0" w:color="auto"/>
        <w:left w:val="none" w:sz="0" w:space="0" w:color="auto"/>
        <w:bottom w:val="none" w:sz="0" w:space="0" w:color="auto"/>
        <w:right w:val="none" w:sz="0" w:space="0" w:color="auto"/>
      </w:divBdr>
    </w:div>
    <w:div w:id="407773833">
      <w:bodyDiv w:val="1"/>
      <w:marLeft w:val="0"/>
      <w:marRight w:val="0"/>
      <w:marTop w:val="0"/>
      <w:marBottom w:val="0"/>
      <w:divBdr>
        <w:top w:val="none" w:sz="0" w:space="0" w:color="auto"/>
        <w:left w:val="none" w:sz="0" w:space="0" w:color="auto"/>
        <w:bottom w:val="none" w:sz="0" w:space="0" w:color="auto"/>
        <w:right w:val="none" w:sz="0" w:space="0" w:color="auto"/>
      </w:divBdr>
      <w:divsChild>
        <w:div w:id="44987978">
          <w:marLeft w:val="0"/>
          <w:marRight w:val="0"/>
          <w:marTop w:val="0"/>
          <w:marBottom w:val="0"/>
          <w:divBdr>
            <w:top w:val="none" w:sz="0" w:space="0" w:color="auto"/>
            <w:left w:val="none" w:sz="0" w:space="0" w:color="auto"/>
            <w:bottom w:val="none" w:sz="0" w:space="0" w:color="auto"/>
            <w:right w:val="none" w:sz="0" w:space="0" w:color="auto"/>
          </w:divBdr>
        </w:div>
      </w:divsChild>
    </w:div>
    <w:div w:id="524635110">
      <w:bodyDiv w:val="1"/>
      <w:marLeft w:val="0"/>
      <w:marRight w:val="0"/>
      <w:marTop w:val="0"/>
      <w:marBottom w:val="0"/>
      <w:divBdr>
        <w:top w:val="none" w:sz="0" w:space="0" w:color="auto"/>
        <w:left w:val="none" w:sz="0" w:space="0" w:color="auto"/>
        <w:bottom w:val="none" w:sz="0" w:space="0" w:color="auto"/>
        <w:right w:val="none" w:sz="0" w:space="0" w:color="auto"/>
      </w:divBdr>
    </w:div>
    <w:div w:id="530650128">
      <w:bodyDiv w:val="1"/>
      <w:marLeft w:val="0"/>
      <w:marRight w:val="0"/>
      <w:marTop w:val="0"/>
      <w:marBottom w:val="0"/>
      <w:divBdr>
        <w:top w:val="none" w:sz="0" w:space="0" w:color="auto"/>
        <w:left w:val="none" w:sz="0" w:space="0" w:color="auto"/>
        <w:bottom w:val="none" w:sz="0" w:space="0" w:color="auto"/>
        <w:right w:val="none" w:sz="0" w:space="0" w:color="auto"/>
      </w:divBdr>
      <w:divsChild>
        <w:div w:id="1137990670">
          <w:marLeft w:val="0"/>
          <w:marRight w:val="0"/>
          <w:marTop w:val="0"/>
          <w:marBottom w:val="0"/>
          <w:divBdr>
            <w:top w:val="none" w:sz="0" w:space="0" w:color="auto"/>
            <w:left w:val="none" w:sz="0" w:space="0" w:color="auto"/>
            <w:bottom w:val="none" w:sz="0" w:space="0" w:color="auto"/>
            <w:right w:val="none" w:sz="0" w:space="0" w:color="auto"/>
          </w:divBdr>
          <w:divsChild>
            <w:div w:id="123747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41214">
      <w:bodyDiv w:val="1"/>
      <w:marLeft w:val="0"/>
      <w:marRight w:val="0"/>
      <w:marTop w:val="0"/>
      <w:marBottom w:val="0"/>
      <w:divBdr>
        <w:top w:val="none" w:sz="0" w:space="0" w:color="auto"/>
        <w:left w:val="none" w:sz="0" w:space="0" w:color="auto"/>
        <w:bottom w:val="none" w:sz="0" w:space="0" w:color="auto"/>
        <w:right w:val="none" w:sz="0" w:space="0" w:color="auto"/>
      </w:divBdr>
    </w:div>
    <w:div w:id="877083644">
      <w:bodyDiv w:val="1"/>
      <w:marLeft w:val="0"/>
      <w:marRight w:val="0"/>
      <w:marTop w:val="0"/>
      <w:marBottom w:val="0"/>
      <w:divBdr>
        <w:top w:val="none" w:sz="0" w:space="0" w:color="auto"/>
        <w:left w:val="none" w:sz="0" w:space="0" w:color="auto"/>
        <w:bottom w:val="none" w:sz="0" w:space="0" w:color="auto"/>
        <w:right w:val="none" w:sz="0" w:space="0" w:color="auto"/>
      </w:divBdr>
    </w:div>
    <w:div w:id="958753983">
      <w:bodyDiv w:val="1"/>
      <w:marLeft w:val="0"/>
      <w:marRight w:val="0"/>
      <w:marTop w:val="0"/>
      <w:marBottom w:val="0"/>
      <w:divBdr>
        <w:top w:val="none" w:sz="0" w:space="0" w:color="auto"/>
        <w:left w:val="none" w:sz="0" w:space="0" w:color="auto"/>
        <w:bottom w:val="none" w:sz="0" w:space="0" w:color="auto"/>
        <w:right w:val="none" w:sz="0" w:space="0" w:color="auto"/>
      </w:divBdr>
    </w:div>
    <w:div w:id="962226459">
      <w:bodyDiv w:val="1"/>
      <w:marLeft w:val="0"/>
      <w:marRight w:val="0"/>
      <w:marTop w:val="0"/>
      <w:marBottom w:val="0"/>
      <w:divBdr>
        <w:top w:val="none" w:sz="0" w:space="0" w:color="auto"/>
        <w:left w:val="none" w:sz="0" w:space="0" w:color="auto"/>
        <w:bottom w:val="none" w:sz="0" w:space="0" w:color="auto"/>
        <w:right w:val="none" w:sz="0" w:space="0" w:color="auto"/>
      </w:divBdr>
    </w:div>
    <w:div w:id="1114907426">
      <w:bodyDiv w:val="1"/>
      <w:marLeft w:val="0"/>
      <w:marRight w:val="0"/>
      <w:marTop w:val="0"/>
      <w:marBottom w:val="0"/>
      <w:divBdr>
        <w:top w:val="none" w:sz="0" w:space="0" w:color="auto"/>
        <w:left w:val="none" w:sz="0" w:space="0" w:color="auto"/>
        <w:bottom w:val="none" w:sz="0" w:space="0" w:color="auto"/>
        <w:right w:val="none" w:sz="0" w:space="0" w:color="auto"/>
      </w:divBdr>
      <w:divsChild>
        <w:div w:id="1811170524">
          <w:marLeft w:val="0"/>
          <w:marRight w:val="0"/>
          <w:marTop w:val="0"/>
          <w:marBottom w:val="0"/>
          <w:divBdr>
            <w:top w:val="none" w:sz="0" w:space="0" w:color="auto"/>
            <w:left w:val="none" w:sz="0" w:space="0" w:color="auto"/>
            <w:bottom w:val="none" w:sz="0" w:space="0" w:color="auto"/>
            <w:right w:val="none" w:sz="0" w:space="0" w:color="auto"/>
          </w:divBdr>
        </w:div>
      </w:divsChild>
    </w:div>
    <w:div w:id="1127745776">
      <w:bodyDiv w:val="1"/>
      <w:marLeft w:val="0"/>
      <w:marRight w:val="0"/>
      <w:marTop w:val="0"/>
      <w:marBottom w:val="0"/>
      <w:divBdr>
        <w:top w:val="none" w:sz="0" w:space="0" w:color="auto"/>
        <w:left w:val="none" w:sz="0" w:space="0" w:color="auto"/>
        <w:bottom w:val="none" w:sz="0" w:space="0" w:color="auto"/>
        <w:right w:val="none" w:sz="0" w:space="0" w:color="auto"/>
      </w:divBdr>
    </w:div>
    <w:div w:id="1191190020">
      <w:bodyDiv w:val="1"/>
      <w:marLeft w:val="0"/>
      <w:marRight w:val="0"/>
      <w:marTop w:val="0"/>
      <w:marBottom w:val="0"/>
      <w:divBdr>
        <w:top w:val="none" w:sz="0" w:space="0" w:color="auto"/>
        <w:left w:val="none" w:sz="0" w:space="0" w:color="auto"/>
        <w:bottom w:val="none" w:sz="0" w:space="0" w:color="auto"/>
        <w:right w:val="none" w:sz="0" w:space="0" w:color="auto"/>
      </w:divBdr>
      <w:divsChild>
        <w:div w:id="537936872">
          <w:marLeft w:val="0"/>
          <w:marRight w:val="0"/>
          <w:marTop w:val="0"/>
          <w:marBottom w:val="0"/>
          <w:divBdr>
            <w:top w:val="none" w:sz="0" w:space="0" w:color="auto"/>
            <w:left w:val="none" w:sz="0" w:space="0" w:color="auto"/>
            <w:bottom w:val="none" w:sz="0" w:space="0" w:color="auto"/>
            <w:right w:val="none" w:sz="0" w:space="0" w:color="auto"/>
          </w:divBdr>
        </w:div>
      </w:divsChild>
    </w:div>
    <w:div w:id="1427848493">
      <w:bodyDiv w:val="1"/>
      <w:marLeft w:val="0"/>
      <w:marRight w:val="0"/>
      <w:marTop w:val="0"/>
      <w:marBottom w:val="0"/>
      <w:divBdr>
        <w:top w:val="none" w:sz="0" w:space="0" w:color="auto"/>
        <w:left w:val="none" w:sz="0" w:space="0" w:color="auto"/>
        <w:bottom w:val="none" w:sz="0" w:space="0" w:color="auto"/>
        <w:right w:val="none" w:sz="0" w:space="0" w:color="auto"/>
      </w:divBdr>
    </w:div>
    <w:div w:id="1470131154">
      <w:bodyDiv w:val="1"/>
      <w:marLeft w:val="0"/>
      <w:marRight w:val="0"/>
      <w:marTop w:val="0"/>
      <w:marBottom w:val="0"/>
      <w:divBdr>
        <w:top w:val="none" w:sz="0" w:space="0" w:color="auto"/>
        <w:left w:val="none" w:sz="0" w:space="0" w:color="auto"/>
        <w:bottom w:val="none" w:sz="0" w:space="0" w:color="auto"/>
        <w:right w:val="none" w:sz="0" w:space="0" w:color="auto"/>
      </w:divBdr>
    </w:div>
    <w:div w:id="1491209229">
      <w:bodyDiv w:val="1"/>
      <w:marLeft w:val="0"/>
      <w:marRight w:val="0"/>
      <w:marTop w:val="0"/>
      <w:marBottom w:val="0"/>
      <w:divBdr>
        <w:top w:val="none" w:sz="0" w:space="0" w:color="auto"/>
        <w:left w:val="none" w:sz="0" w:space="0" w:color="auto"/>
        <w:bottom w:val="none" w:sz="0" w:space="0" w:color="auto"/>
        <w:right w:val="none" w:sz="0" w:space="0" w:color="auto"/>
      </w:divBdr>
    </w:div>
    <w:div w:id="1501237866">
      <w:bodyDiv w:val="1"/>
      <w:marLeft w:val="0"/>
      <w:marRight w:val="0"/>
      <w:marTop w:val="0"/>
      <w:marBottom w:val="0"/>
      <w:divBdr>
        <w:top w:val="none" w:sz="0" w:space="0" w:color="auto"/>
        <w:left w:val="none" w:sz="0" w:space="0" w:color="auto"/>
        <w:bottom w:val="none" w:sz="0" w:space="0" w:color="auto"/>
        <w:right w:val="none" w:sz="0" w:space="0" w:color="auto"/>
      </w:divBdr>
    </w:div>
    <w:div w:id="1515801413">
      <w:bodyDiv w:val="1"/>
      <w:marLeft w:val="0"/>
      <w:marRight w:val="0"/>
      <w:marTop w:val="0"/>
      <w:marBottom w:val="0"/>
      <w:divBdr>
        <w:top w:val="none" w:sz="0" w:space="0" w:color="auto"/>
        <w:left w:val="none" w:sz="0" w:space="0" w:color="auto"/>
        <w:bottom w:val="none" w:sz="0" w:space="0" w:color="auto"/>
        <w:right w:val="none" w:sz="0" w:space="0" w:color="auto"/>
      </w:divBdr>
    </w:div>
    <w:div w:id="1547135927">
      <w:bodyDiv w:val="1"/>
      <w:marLeft w:val="0"/>
      <w:marRight w:val="0"/>
      <w:marTop w:val="0"/>
      <w:marBottom w:val="0"/>
      <w:divBdr>
        <w:top w:val="none" w:sz="0" w:space="0" w:color="auto"/>
        <w:left w:val="none" w:sz="0" w:space="0" w:color="auto"/>
        <w:bottom w:val="none" w:sz="0" w:space="0" w:color="auto"/>
        <w:right w:val="none" w:sz="0" w:space="0" w:color="auto"/>
      </w:divBdr>
      <w:divsChild>
        <w:div w:id="1765295618">
          <w:marLeft w:val="0"/>
          <w:marRight w:val="0"/>
          <w:marTop w:val="0"/>
          <w:marBottom w:val="0"/>
          <w:divBdr>
            <w:top w:val="none" w:sz="0" w:space="0" w:color="auto"/>
            <w:left w:val="none" w:sz="0" w:space="0" w:color="auto"/>
            <w:bottom w:val="none" w:sz="0" w:space="0" w:color="auto"/>
            <w:right w:val="none" w:sz="0" w:space="0" w:color="auto"/>
          </w:divBdr>
        </w:div>
      </w:divsChild>
    </w:div>
    <w:div w:id="1552880643">
      <w:bodyDiv w:val="1"/>
      <w:marLeft w:val="0"/>
      <w:marRight w:val="0"/>
      <w:marTop w:val="0"/>
      <w:marBottom w:val="0"/>
      <w:divBdr>
        <w:top w:val="none" w:sz="0" w:space="0" w:color="auto"/>
        <w:left w:val="none" w:sz="0" w:space="0" w:color="auto"/>
        <w:bottom w:val="none" w:sz="0" w:space="0" w:color="auto"/>
        <w:right w:val="none" w:sz="0" w:space="0" w:color="auto"/>
      </w:divBdr>
    </w:div>
    <w:div w:id="1673340869">
      <w:bodyDiv w:val="1"/>
      <w:marLeft w:val="0"/>
      <w:marRight w:val="0"/>
      <w:marTop w:val="0"/>
      <w:marBottom w:val="0"/>
      <w:divBdr>
        <w:top w:val="none" w:sz="0" w:space="0" w:color="auto"/>
        <w:left w:val="none" w:sz="0" w:space="0" w:color="auto"/>
        <w:bottom w:val="none" w:sz="0" w:space="0" w:color="auto"/>
        <w:right w:val="none" w:sz="0" w:space="0" w:color="auto"/>
      </w:divBdr>
      <w:divsChild>
        <w:div w:id="1047877974">
          <w:marLeft w:val="0"/>
          <w:marRight w:val="0"/>
          <w:marTop w:val="0"/>
          <w:marBottom w:val="0"/>
          <w:divBdr>
            <w:top w:val="none" w:sz="0" w:space="0" w:color="auto"/>
            <w:left w:val="none" w:sz="0" w:space="0" w:color="auto"/>
            <w:bottom w:val="none" w:sz="0" w:space="0" w:color="auto"/>
            <w:right w:val="none" w:sz="0" w:space="0" w:color="auto"/>
          </w:divBdr>
          <w:divsChild>
            <w:div w:id="55670834">
              <w:marLeft w:val="0"/>
              <w:marRight w:val="0"/>
              <w:marTop w:val="0"/>
              <w:marBottom w:val="0"/>
              <w:divBdr>
                <w:top w:val="none" w:sz="0" w:space="0" w:color="auto"/>
                <w:left w:val="none" w:sz="0" w:space="0" w:color="auto"/>
                <w:bottom w:val="none" w:sz="0" w:space="0" w:color="auto"/>
                <w:right w:val="none" w:sz="0" w:space="0" w:color="auto"/>
              </w:divBdr>
              <w:divsChild>
                <w:div w:id="16324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354805">
      <w:bodyDiv w:val="1"/>
      <w:marLeft w:val="0"/>
      <w:marRight w:val="0"/>
      <w:marTop w:val="0"/>
      <w:marBottom w:val="0"/>
      <w:divBdr>
        <w:top w:val="none" w:sz="0" w:space="0" w:color="auto"/>
        <w:left w:val="none" w:sz="0" w:space="0" w:color="auto"/>
        <w:bottom w:val="none" w:sz="0" w:space="0" w:color="auto"/>
        <w:right w:val="none" w:sz="0" w:space="0" w:color="auto"/>
      </w:divBdr>
    </w:div>
    <w:div w:id="1831290266">
      <w:bodyDiv w:val="1"/>
      <w:marLeft w:val="0"/>
      <w:marRight w:val="0"/>
      <w:marTop w:val="0"/>
      <w:marBottom w:val="0"/>
      <w:divBdr>
        <w:top w:val="none" w:sz="0" w:space="0" w:color="auto"/>
        <w:left w:val="none" w:sz="0" w:space="0" w:color="auto"/>
        <w:bottom w:val="none" w:sz="0" w:space="0" w:color="auto"/>
        <w:right w:val="none" w:sz="0" w:space="0" w:color="auto"/>
      </w:divBdr>
    </w:div>
    <w:div w:id="1842626505">
      <w:bodyDiv w:val="1"/>
      <w:marLeft w:val="0"/>
      <w:marRight w:val="0"/>
      <w:marTop w:val="0"/>
      <w:marBottom w:val="0"/>
      <w:divBdr>
        <w:top w:val="none" w:sz="0" w:space="0" w:color="auto"/>
        <w:left w:val="none" w:sz="0" w:space="0" w:color="auto"/>
        <w:bottom w:val="none" w:sz="0" w:space="0" w:color="auto"/>
        <w:right w:val="none" w:sz="0" w:space="0" w:color="auto"/>
      </w:divBdr>
    </w:div>
    <w:div w:id="1912959553">
      <w:bodyDiv w:val="1"/>
      <w:marLeft w:val="0"/>
      <w:marRight w:val="0"/>
      <w:marTop w:val="0"/>
      <w:marBottom w:val="0"/>
      <w:divBdr>
        <w:top w:val="none" w:sz="0" w:space="0" w:color="auto"/>
        <w:left w:val="none" w:sz="0" w:space="0" w:color="auto"/>
        <w:bottom w:val="none" w:sz="0" w:space="0" w:color="auto"/>
        <w:right w:val="none" w:sz="0" w:space="0" w:color="auto"/>
      </w:divBdr>
      <w:divsChild>
        <w:div w:id="118620333">
          <w:marLeft w:val="0"/>
          <w:marRight w:val="0"/>
          <w:marTop w:val="0"/>
          <w:marBottom w:val="0"/>
          <w:divBdr>
            <w:top w:val="none" w:sz="0" w:space="0" w:color="auto"/>
            <w:left w:val="none" w:sz="0" w:space="0" w:color="auto"/>
            <w:bottom w:val="none" w:sz="0" w:space="0" w:color="auto"/>
            <w:right w:val="none" w:sz="0" w:space="0" w:color="auto"/>
          </w:divBdr>
          <w:divsChild>
            <w:div w:id="329725141">
              <w:marLeft w:val="0"/>
              <w:marRight w:val="0"/>
              <w:marTop w:val="0"/>
              <w:marBottom w:val="0"/>
              <w:divBdr>
                <w:top w:val="none" w:sz="0" w:space="0" w:color="auto"/>
                <w:left w:val="none" w:sz="0" w:space="0" w:color="auto"/>
                <w:bottom w:val="none" w:sz="0" w:space="0" w:color="auto"/>
                <w:right w:val="none" w:sz="0" w:space="0" w:color="auto"/>
              </w:divBdr>
            </w:div>
            <w:div w:id="1538422739">
              <w:marLeft w:val="0"/>
              <w:marRight w:val="0"/>
              <w:marTop w:val="0"/>
              <w:marBottom w:val="0"/>
              <w:divBdr>
                <w:top w:val="none" w:sz="0" w:space="0" w:color="auto"/>
                <w:left w:val="none" w:sz="0" w:space="0" w:color="auto"/>
                <w:bottom w:val="none" w:sz="0" w:space="0" w:color="auto"/>
                <w:right w:val="none" w:sz="0" w:space="0" w:color="auto"/>
              </w:divBdr>
              <w:divsChild>
                <w:div w:id="363135202">
                  <w:marLeft w:val="0"/>
                  <w:marRight w:val="0"/>
                  <w:marTop w:val="0"/>
                  <w:marBottom w:val="0"/>
                  <w:divBdr>
                    <w:top w:val="none" w:sz="0" w:space="0" w:color="auto"/>
                    <w:left w:val="none" w:sz="0" w:space="0" w:color="auto"/>
                    <w:bottom w:val="none" w:sz="0" w:space="0" w:color="auto"/>
                    <w:right w:val="none" w:sz="0" w:space="0" w:color="auto"/>
                  </w:divBdr>
                  <w:divsChild>
                    <w:div w:id="172275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286887">
          <w:marLeft w:val="0"/>
          <w:marRight w:val="0"/>
          <w:marTop w:val="0"/>
          <w:marBottom w:val="0"/>
          <w:divBdr>
            <w:top w:val="none" w:sz="0" w:space="0" w:color="auto"/>
            <w:left w:val="none" w:sz="0" w:space="0" w:color="auto"/>
            <w:bottom w:val="none" w:sz="0" w:space="0" w:color="auto"/>
            <w:right w:val="none" w:sz="0" w:space="0" w:color="auto"/>
          </w:divBdr>
          <w:divsChild>
            <w:div w:id="524055474">
              <w:marLeft w:val="0"/>
              <w:marRight w:val="0"/>
              <w:marTop w:val="0"/>
              <w:marBottom w:val="0"/>
              <w:divBdr>
                <w:top w:val="none" w:sz="0" w:space="0" w:color="auto"/>
                <w:left w:val="none" w:sz="0" w:space="0" w:color="auto"/>
                <w:bottom w:val="none" w:sz="0" w:space="0" w:color="auto"/>
                <w:right w:val="none" w:sz="0" w:space="0" w:color="auto"/>
              </w:divBdr>
              <w:divsChild>
                <w:div w:id="352807634">
                  <w:marLeft w:val="0"/>
                  <w:marRight w:val="0"/>
                  <w:marTop w:val="0"/>
                  <w:marBottom w:val="0"/>
                  <w:divBdr>
                    <w:top w:val="none" w:sz="0" w:space="0" w:color="auto"/>
                    <w:left w:val="none" w:sz="0" w:space="0" w:color="auto"/>
                    <w:bottom w:val="none" w:sz="0" w:space="0" w:color="auto"/>
                    <w:right w:val="none" w:sz="0" w:space="0" w:color="auto"/>
                  </w:divBdr>
                  <w:divsChild>
                    <w:div w:id="189099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474841">
              <w:marLeft w:val="0"/>
              <w:marRight w:val="0"/>
              <w:marTop w:val="0"/>
              <w:marBottom w:val="0"/>
              <w:divBdr>
                <w:top w:val="none" w:sz="0" w:space="0" w:color="auto"/>
                <w:left w:val="none" w:sz="0" w:space="0" w:color="auto"/>
                <w:bottom w:val="none" w:sz="0" w:space="0" w:color="auto"/>
                <w:right w:val="none" w:sz="0" w:space="0" w:color="auto"/>
              </w:divBdr>
            </w:div>
          </w:divsChild>
        </w:div>
        <w:div w:id="1629971310">
          <w:marLeft w:val="0"/>
          <w:marRight w:val="0"/>
          <w:marTop w:val="0"/>
          <w:marBottom w:val="0"/>
          <w:divBdr>
            <w:top w:val="none" w:sz="0" w:space="0" w:color="auto"/>
            <w:left w:val="none" w:sz="0" w:space="0" w:color="auto"/>
            <w:bottom w:val="none" w:sz="0" w:space="0" w:color="auto"/>
            <w:right w:val="none" w:sz="0" w:space="0" w:color="auto"/>
          </w:divBdr>
          <w:divsChild>
            <w:div w:id="658533056">
              <w:marLeft w:val="0"/>
              <w:marRight w:val="0"/>
              <w:marTop w:val="0"/>
              <w:marBottom w:val="0"/>
              <w:divBdr>
                <w:top w:val="none" w:sz="0" w:space="0" w:color="auto"/>
                <w:left w:val="none" w:sz="0" w:space="0" w:color="auto"/>
                <w:bottom w:val="none" w:sz="0" w:space="0" w:color="auto"/>
                <w:right w:val="none" w:sz="0" w:space="0" w:color="auto"/>
              </w:divBdr>
              <w:divsChild>
                <w:div w:id="573465941">
                  <w:marLeft w:val="0"/>
                  <w:marRight w:val="0"/>
                  <w:marTop w:val="0"/>
                  <w:marBottom w:val="0"/>
                  <w:divBdr>
                    <w:top w:val="none" w:sz="0" w:space="0" w:color="auto"/>
                    <w:left w:val="none" w:sz="0" w:space="0" w:color="auto"/>
                    <w:bottom w:val="none" w:sz="0" w:space="0" w:color="auto"/>
                    <w:right w:val="none" w:sz="0" w:space="0" w:color="auto"/>
                  </w:divBdr>
                  <w:divsChild>
                    <w:div w:id="61579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618577">
      <w:bodyDiv w:val="1"/>
      <w:marLeft w:val="0"/>
      <w:marRight w:val="0"/>
      <w:marTop w:val="0"/>
      <w:marBottom w:val="0"/>
      <w:divBdr>
        <w:top w:val="none" w:sz="0" w:space="0" w:color="auto"/>
        <w:left w:val="none" w:sz="0" w:space="0" w:color="auto"/>
        <w:bottom w:val="none" w:sz="0" w:space="0" w:color="auto"/>
        <w:right w:val="none" w:sz="0" w:space="0" w:color="auto"/>
      </w:divBdr>
    </w:div>
    <w:div w:id="2065174726">
      <w:bodyDiv w:val="1"/>
      <w:marLeft w:val="0"/>
      <w:marRight w:val="0"/>
      <w:marTop w:val="0"/>
      <w:marBottom w:val="0"/>
      <w:divBdr>
        <w:top w:val="none" w:sz="0" w:space="0" w:color="auto"/>
        <w:left w:val="none" w:sz="0" w:space="0" w:color="auto"/>
        <w:bottom w:val="none" w:sz="0" w:space="0" w:color="auto"/>
        <w:right w:val="none" w:sz="0" w:space="0" w:color="auto"/>
      </w:divBdr>
      <w:divsChild>
        <w:div w:id="576675473">
          <w:marLeft w:val="0"/>
          <w:marRight w:val="0"/>
          <w:marTop w:val="0"/>
          <w:marBottom w:val="0"/>
          <w:divBdr>
            <w:top w:val="none" w:sz="0" w:space="0" w:color="auto"/>
            <w:left w:val="none" w:sz="0" w:space="0" w:color="auto"/>
            <w:bottom w:val="none" w:sz="0" w:space="0" w:color="auto"/>
            <w:right w:val="none" w:sz="0" w:space="0" w:color="auto"/>
          </w:divBdr>
          <w:divsChild>
            <w:div w:id="1452244334">
              <w:marLeft w:val="0"/>
              <w:marRight w:val="0"/>
              <w:marTop w:val="0"/>
              <w:marBottom w:val="0"/>
              <w:divBdr>
                <w:top w:val="none" w:sz="0" w:space="0" w:color="auto"/>
                <w:left w:val="none" w:sz="0" w:space="0" w:color="auto"/>
                <w:bottom w:val="none" w:sz="0" w:space="0" w:color="auto"/>
                <w:right w:val="none" w:sz="0" w:space="0" w:color="auto"/>
              </w:divBdr>
              <w:divsChild>
                <w:div w:id="2069306913">
                  <w:marLeft w:val="0"/>
                  <w:marRight w:val="0"/>
                  <w:marTop w:val="0"/>
                  <w:marBottom w:val="0"/>
                  <w:divBdr>
                    <w:top w:val="none" w:sz="0" w:space="0" w:color="auto"/>
                    <w:left w:val="none" w:sz="0" w:space="0" w:color="auto"/>
                    <w:bottom w:val="none" w:sz="0" w:space="0" w:color="auto"/>
                    <w:right w:val="none" w:sz="0" w:space="0" w:color="auto"/>
                  </w:divBdr>
                  <w:divsChild>
                    <w:div w:id="105488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259590">
              <w:marLeft w:val="0"/>
              <w:marRight w:val="0"/>
              <w:marTop w:val="0"/>
              <w:marBottom w:val="0"/>
              <w:divBdr>
                <w:top w:val="none" w:sz="0" w:space="0" w:color="auto"/>
                <w:left w:val="none" w:sz="0" w:space="0" w:color="auto"/>
                <w:bottom w:val="none" w:sz="0" w:space="0" w:color="auto"/>
                <w:right w:val="none" w:sz="0" w:space="0" w:color="auto"/>
              </w:divBdr>
            </w:div>
          </w:divsChild>
        </w:div>
        <w:div w:id="681013652">
          <w:marLeft w:val="0"/>
          <w:marRight w:val="0"/>
          <w:marTop w:val="0"/>
          <w:marBottom w:val="0"/>
          <w:divBdr>
            <w:top w:val="none" w:sz="0" w:space="0" w:color="auto"/>
            <w:left w:val="none" w:sz="0" w:space="0" w:color="auto"/>
            <w:bottom w:val="none" w:sz="0" w:space="0" w:color="auto"/>
            <w:right w:val="none" w:sz="0" w:space="0" w:color="auto"/>
          </w:divBdr>
          <w:divsChild>
            <w:div w:id="2013411760">
              <w:marLeft w:val="0"/>
              <w:marRight w:val="0"/>
              <w:marTop w:val="0"/>
              <w:marBottom w:val="0"/>
              <w:divBdr>
                <w:top w:val="none" w:sz="0" w:space="0" w:color="auto"/>
                <w:left w:val="none" w:sz="0" w:space="0" w:color="auto"/>
                <w:bottom w:val="none" w:sz="0" w:space="0" w:color="auto"/>
                <w:right w:val="none" w:sz="0" w:space="0" w:color="auto"/>
              </w:divBdr>
              <w:divsChild>
                <w:div w:id="2005352609">
                  <w:marLeft w:val="0"/>
                  <w:marRight w:val="0"/>
                  <w:marTop w:val="0"/>
                  <w:marBottom w:val="0"/>
                  <w:divBdr>
                    <w:top w:val="none" w:sz="0" w:space="0" w:color="auto"/>
                    <w:left w:val="none" w:sz="0" w:space="0" w:color="auto"/>
                    <w:bottom w:val="none" w:sz="0" w:space="0" w:color="auto"/>
                    <w:right w:val="none" w:sz="0" w:space="0" w:color="auto"/>
                  </w:divBdr>
                  <w:divsChild>
                    <w:div w:id="27040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078683">
          <w:marLeft w:val="0"/>
          <w:marRight w:val="0"/>
          <w:marTop w:val="0"/>
          <w:marBottom w:val="0"/>
          <w:divBdr>
            <w:top w:val="none" w:sz="0" w:space="0" w:color="auto"/>
            <w:left w:val="none" w:sz="0" w:space="0" w:color="auto"/>
            <w:bottom w:val="none" w:sz="0" w:space="0" w:color="auto"/>
            <w:right w:val="none" w:sz="0" w:space="0" w:color="auto"/>
          </w:divBdr>
          <w:divsChild>
            <w:div w:id="1206066264">
              <w:marLeft w:val="0"/>
              <w:marRight w:val="0"/>
              <w:marTop w:val="0"/>
              <w:marBottom w:val="0"/>
              <w:divBdr>
                <w:top w:val="none" w:sz="0" w:space="0" w:color="auto"/>
                <w:left w:val="none" w:sz="0" w:space="0" w:color="auto"/>
                <w:bottom w:val="none" w:sz="0" w:space="0" w:color="auto"/>
                <w:right w:val="none" w:sz="0" w:space="0" w:color="auto"/>
              </w:divBdr>
              <w:divsChild>
                <w:div w:id="1716658320">
                  <w:marLeft w:val="0"/>
                  <w:marRight w:val="0"/>
                  <w:marTop w:val="0"/>
                  <w:marBottom w:val="0"/>
                  <w:divBdr>
                    <w:top w:val="none" w:sz="0" w:space="0" w:color="auto"/>
                    <w:left w:val="none" w:sz="0" w:space="0" w:color="auto"/>
                    <w:bottom w:val="none" w:sz="0" w:space="0" w:color="auto"/>
                    <w:right w:val="none" w:sz="0" w:space="0" w:color="auto"/>
                  </w:divBdr>
                  <w:divsChild>
                    <w:div w:id="136297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45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0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5958</Words>
  <Characters>34173</Characters>
  <Application>Microsoft Office Word</Application>
  <DocSecurity>0</DocSecurity>
  <Lines>490</Lines>
  <Paragraphs>96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40268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2013-02-01T21:27:00Z</cp:lastPrinted>
  <dcterms:created xsi:type="dcterms:W3CDTF">2017-01-18T22:17:00Z</dcterms:created>
  <dcterms:modified xsi:type="dcterms:W3CDTF">2017-01-18T22:17:00Z</dcterms:modified>
  <cp:category> </cp:category>
  <cp:contentStatus> </cp:contentStatus>
</cp:coreProperties>
</file>