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43F60" w14:textId="445E3869" w:rsidR="004C2EE3" w:rsidRPr="002602D1" w:rsidRDefault="00741296" w:rsidP="00741296">
      <w:pPr>
        <w:pStyle w:val="StyleBoldCentered"/>
      </w:pPr>
      <w:bookmarkStart w:id="0" w:name="_GoBack"/>
      <w:bookmarkEnd w:id="0"/>
      <w:r w:rsidRPr="002602D1">
        <w:rPr>
          <w:caps w:val="0"/>
        </w:rPr>
        <w:t xml:space="preserve">Before </w:t>
      </w:r>
      <w:r w:rsidR="004C2EE3" w:rsidRPr="00741296">
        <w:rPr>
          <w:rFonts w:ascii="Times New Roman" w:hAnsi="Times New Roman"/>
          <w:caps w:val="0"/>
        </w:rPr>
        <w:t>the</w:t>
      </w:r>
    </w:p>
    <w:p w14:paraId="0140117B" w14:textId="77777777" w:rsidR="00921803" w:rsidRPr="002602D1" w:rsidRDefault="00921803" w:rsidP="00921803">
      <w:pPr>
        <w:pStyle w:val="StyleBoldCentered"/>
        <w:rPr>
          <w:rFonts w:ascii="Times New Roman" w:hAnsi="Times New Roman"/>
        </w:rPr>
      </w:pPr>
      <w:r w:rsidRPr="002602D1">
        <w:rPr>
          <w:rFonts w:ascii="Times New Roman" w:hAnsi="Times New Roman"/>
        </w:rPr>
        <w:t>F</w:t>
      </w:r>
      <w:r w:rsidRPr="002602D1">
        <w:rPr>
          <w:rFonts w:ascii="Times New Roman" w:hAnsi="Times New Roman"/>
          <w:caps w:val="0"/>
        </w:rPr>
        <w:t>ederal Communications Commission</w:t>
      </w:r>
    </w:p>
    <w:p w14:paraId="11EB59BA" w14:textId="77777777" w:rsidR="004C2EE3" w:rsidRPr="002602D1" w:rsidRDefault="00810B6F" w:rsidP="00096D8C">
      <w:pPr>
        <w:pStyle w:val="StyleBoldCentered"/>
        <w:rPr>
          <w:rFonts w:ascii="Times New Roman" w:hAnsi="Times New Roman"/>
        </w:rPr>
      </w:pPr>
      <w:r w:rsidRPr="002602D1">
        <w:rPr>
          <w:rFonts w:ascii="Times New Roman" w:hAnsi="Times New Roman"/>
          <w:caps w:val="0"/>
        </w:rPr>
        <w:t>Washington, D.C. 20554</w:t>
      </w:r>
    </w:p>
    <w:p w14:paraId="0CDDF756" w14:textId="77777777" w:rsidR="004C2EE3" w:rsidRDefault="004C2EE3" w:rsidP="0070224F"/>
    <w:p w14:paraId="3A665727"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1DA5BCF" w14:textId="77777777">
        <w:tc>
          <w:tcPr>
            <w:tcW w:w="4698" w:type="dxa"/>
          </w:tcPr>
          <w:p w14:paraId="032A3825" w14:textId="77777777" w:rsidR="004C2EE3" w:rsidRDefault="004C2EE3">
            <w:pPr>
              <w:tabs>
                <w:tab w:val="center" w:pos="4680"/>
              </w:tabs>
              <w:suppressAutoHyphens/>
              <w:rPr>
                <w:spacing w:val="-2"/>
              </w:rPr>
            </w:pPr>
            <w:r>
              <w:rPr>
                <w:spacing w:val="-2"/>
              </w:rPr>
              <w:t>In the Matter of</w:t>
            </w:r>
          </w:p>
          <w:p w14:paraId="05B88B75" w14:textId="77777777" w:rsidR="004C2EE3" w:rsidRDefault="004C2EE3">
            <w:pPr>
              <w:tabs>
                <w:tab w:val="center" w:pos="4680"/>
              </w:tabs>
              <w:suppressAutoHyphens/>
              <w:rPr>
                <w:spacing w:val="-2"/>
              </w:rPr>
            </w:pPr>
          </w:p>
          <w:p w14:paraId="55F1AC8D" w14:textId="77777777" w:rsidR="004C2EE3" w:rsidRDefault="00C813D7" w:rsidP="007115F7">
            <w:pPr>
              <w:tabs>
                <w:tab w:val="center" w:pos="4680"/>
              </w:tabs>
              <w:suppressAutoHyphens/>
              <w:rPr>
                <w:spacing w:val="-2"/>
              </w:rPr>
            </w:pPr>
            <w:r>
              <w:rPr>
                <w:spacing w:val="-2"/>
              </w:rPr>
              <w:t>Promoting Diversification in the Broadcasting Services</w:t>
            </w:r>
          </w:p>
          <w:p w14:paraId="400308D7" w14:textId="77777777" w:rsidR="003C099A" w:rsidRDefault="003C099A" w:rsidP="007115F7">
            <w:pPr>
              <w:tabs>
                <w:tab w:val="center" w:pos="4680"/>
              </w:tabs>
              <w:suppressAutoHyphens/>
              <w:rPr>
                <w:spacing w:val="-2"/>
              </w:rPr>
            </w:pPr>
          </w:p>
          <w:p w14:paraId="13CABAD6" w14:textId="5AF26977" w:rsidR="003C099A" w:rsidRPr="007115F7" w:rsidRDefault="003C099A" w:rsidP="007115F7">
            <w:pPr>
              <w:tabs>
                <w:tab w:val="center" w:pos="4680"/>
              </w:tabs>
              <w:suppressAutoHyphens/>
              <w:rPr>
                <w:spacing w:val="-2"/>
              </w:rPr>
            </w:pPr>
          </w:p>
        </w:tc>
        <w:tc>
          <w:tcPr>
            <w:tcW w:w="630" w:type="dxa"/>
          </w:tcPr>
          <w:p w14:paraId="636E581B" w14:textId="77777777" w:rsidR="004C2EE3" w:rsidRDefault="004C2EE3">
            <w:pPr>
              <w:tabs>
                <w:tab w:val="center" w:pos="4680"/>
              </w:tabs>
              <w:suppressAutoHyphens/>
              <w:rPr>
                <w:b/>
                <w:spacing w:val="-2"/>
              </w:rPr>
            </w:pPr>
            <w:r>
              <w:rPr>
                <w:b/>
                <w:spacing w:val="-2"/>
              </w:rPr>
              <w:t>)</w:t>
            </w:r>
          </w:p>
          <w:p w14:paraId="1B36F37E" w14:textId="77777777" w:rsidR="004C2EE3" w:rsidRDefault="004C2EE3">
            <w:pPr>
              <w:tabs>
                <w:tab w:val="center" w:pos="4680"/>
              </w:tabs>
              <w:suppressAutoHyphens/>
              <w:rPr>
                <w:b/>
                <w:spacing w:val="-2"/>
              </w:rPr>
            </w:pPr>
            <w:r>
              <w:rPr>
                <w:b/>
                <w:spacing w:val="-2"/>
              </w:rPr>
              <w:t>)</w:t>
            </w:r>
          </w:p>
          <w:p w14:paraId="2627E551" w14:textId="77777777" w:rsidR="004C2EE3" w:rsidRDefault="004C2EE3">
            <w:pPr>
              <w:tabs>
                <w:tab w:val="center" w:pos="4680"/>
              </w:tabs>
              <w:suppressAutoHyphens/>
              <w:rPr>
                <w:b/>
                <w:spacing w:val="-2"/>
              </w:rPr>
            </w:pPr>
            <w:r>
              <w:rPr>
                <w:b/>
                <w:spacing w:val="-2"/>
              </w:rPr>
              <w:t>)</w:t>
            </w:r>
          </w:p>
          <w:p w14:paraId="62DFF28D" w14:textId="77777777" w:rsidR="004C2EE3" w:rsidRDefault="004C2EE3">
            <w:pPr>
              <w:tabs>
                <w:tab w:val="center" w:pos="4680"/>
              </w:tabs>
              <w:suppressAutoHyphens/>
              <w:rPr>
                <w:b/>
                <w:spacing w:val="-2"/>
              </w:rPr>
            </w:pPr>
            <w:r>
              <w:rPr>
                <w:b/>
                <w:spacing w:val="-2"/>
              </w:rPr>
              <w:t>)</w:t>
            </w:r>
          </w:p>
          <w:p w14:paraId="210A01E5" w14:textId="77777777" w:rsidR="003C099A" w:rsidRDefault="003C099A">
            <w:pPr>
              <w:tabs>
                <w:tab w:val="center" w:pos="4680"/>
              </w:tabs>
              <w:suppressAutoHyphens/>
              <w:rPr>
                <w:b/>
                <w:spacing w:val="-2"/>
              </w:rPr>
            </w:pPr>
            <w:r>
              <w:rPr>
                <w:b/>
                <w:spacing w:val="-2"/>
              </w:rPr>
              <w:t>)</w:t>
            </w:r>
          </w:p>
          <w:p w14:paraId="63952546" w14:textId="15C8E3E0" w:rsidR="003C099A" w:rsidRPr="00F310F2" w:rsidRDefault="003C099A">
            <w:pPr>
              <w:tabs>
                <w:tab w:val="center" w:pos="4680"/>
              </w:tabs>
              <w:suppressAutoHyphens/>
              <w:rPr>
                <w:b/>
                <w:spacing w:val="-2"/>
              </w:rPr>
            </w:pPr>
          </w:p>
        </w:tc>
        <w:tc>
          <w:tcPr>
            <w:tcW w:w="4248" w:type="dxa"/>
          </w:tcPr>
          <w:p w14:paraId="6BC3C7E4" w14:textId="77777777" w:rsidR="004C2EE3" w:rsidRDefault="004C2EE3">
            <w:pPr>
              <w:tabs>
                <w:tab w:val="center" w:pos="4680"/>
              </w:tabs>
              <w:suppressAutoHyphens/>
              <w:rPr>
                <w:spacing w:val="-2"/>
              </w:rPr>
            </w:pPr>
          </w:p>
          <w:p w14:paraId="50D87162" w14:textId="77777777" w:rsidR="004C2EE3" w:rsidRDefault="004C2EE3">
            <w:pPr>
              <w:pStyle w:val="TOAHeading"/>
              <w:tabs>
                <w:tab w:val="clear" w:pos="9360"/>
                <w:tab w:val="center" w:pos="4680"/>
              </w:tabs>
              <w:rPr>
                <w:spacing w:val="-2"/>
              </w:rPr>
            </w:pPr>
          </w:p>
          <w:p w14:paraId="4E8FD00B" w14:textId="77777777" w:rsidR="004C2EE3" w:rsidRDefault="00C813D7">
            <w:pPr>
              <w:tabs>
                <w:tab w:val="center" w:pos="4680"/>
              </w:tabs>
              <w:suppressAutoHyphens/>
              <w:rPr>
                <w:spacing w:val="-2"/>
              </w:rPr>
            </w:pPr>
            <w:r>
              <w:rPr>
                <w:spacing w:val="-2"/>
              </w:rPr>
              <w:t>MB Docket No. 07-294</w:t>
            </w:r>
          </w:p>
          <w:p w14:paraId="20EDC01E" w14:textId="77777777" w:rsidR="003C099A" w:rsidRDefault="003C099A">
            <w:pPr>
              <w:tabs>
                <w:tab w:val="center" w:pos="4680"/>
              </w:tabs>
              <w:suppressAutoHyphens/>
              <w:rPr>
                <w:spacing w:val="-2"/>
              </w:rPr>
            </w:pPr>
          </w:p>
          <w:p w14:paraId="17541DA3" w14:textId="77777777" w:rsidR="003C099A" w:rsidRDefault="003C099A">
            <w:pPr>
              <w:tabs>
                <w:tab w:val="center" w:pos="4680"/>
              </w:tabs>
              <w:suppressAutoHyphens/>
              <w:rPr>
                <w:spacing w:val="-2"/>
              </w:rPr>
            </w:pPr>
          </w:p>
          <w:p w14:paraId="1A82AAAD" w14:textId="07DD9777" w:rsidR="003C099A" w:rsidRDefault="003C099A">
            <w:pPr>
              <w:tabs>
                <w:tab w:val="center" w:pos="4680"/>
              </w:tabs>
              <w:suppressAutoHyphens/>
              <w:rPr>
                <w:spacing w:val="-2"/>
              </w:rPr>
            </w:pPr>
          </w:p>
        </w:tc>
      </w:tr>
    </w:tbl>
    <w:p w14:paraId="5100C713" w14:textId="77777777" w:rsidR="004C2EE3" w:rsidRDefault="004C2EE3" w:rsidP="0070224F"/>
    <w:p w14:paraId="25E20A8E" w14:textId="77777777" w:rsidR="00841AB1" w:rsidRPr="002602D1" w:rsidRDefault="00C813D7" w:rsidP="00F021FA">
      <w:pPr>
        <w:pStyle w:val="StyleBoldCentered"/>
        <w:rPr>
          <w:rFonts w:ascii="Times New Roman" w:hAnsi="Times New Roman"/>
        </w:rPr>
      </w:pPr>
      <w:r w:rsidRPr="002602D1">
        <w:rPr>
          <w:rFonts w:ascii="Times New Roman" w:hAnsi="Times New Roman"/>
        </w:rPr>
        <w:t>ORDER</w:t>
      </w:r>
    </w:p>
    <w:p w14:paraId="6BBBBD94" w14:textId="77777777" w:rsidR="004C2EE3" w:rsidRPr="002602D1" w:rsidRDefault="004C2EE3">
      <w:pPr>
        <w:tabs>
          <w:tab w:val="left" w:pos="-720"/>
        </w:tabs>
        <w:suppressAutoHyphens/>
        <w:spacing w:line="227" w:lineRule="auto"/>
        <w:rPr>
          <w:spacing w:val="-2"/>
        </w:rPr>
      </w:pPr>
    </w:p>
    <w:p w14:paraId="1C64C85C" w14:textId="7CE98F48" w:rsidR="004C2EE3" w:rsidRDefault="004C2EE3" w:rsidP="00133F79">
      <w:pPr>
        <w:tabs>
          <w:tab w:val="left" w:pos="720"/>
          <w:tab w:val="right" w:pos="9360"/>
        </w:tabs>
        <w:suppressAutoHyphens/>
        <w:spacing w:line="227" w:lineRule="auto"/>
        <w:rPr>
          <w:spacing w:val="-2"/>
        </w:rPr>
      </w:pPr>
      <w:r w:rsidRPr="002602D1">
        <w:rPr>
          <w:b/>
          <w:spacing w:val="-2"/>
        </w:rPr>
        <w:t>Adopted</w:t>
      </w:r>
      <w:r w:rsidRPr="00DC27E7">
        <w:rPr>
          <w:b/>
          <w:spacing w:val="-2"/>
        </w:rPr>
        <w:t xml:space="preserve">:  </w:t>
      </w:r>
      <w:r w:rsidR="0005089E" w:rsidRPr="00DC27E7">
        <w:rPr>
          <w:b/>
          <w:spacing w:val="-2"/>
        </w:rPr>
        <w:t>September 1</w:t>
      </w:r>
      <w:r w:rsidR="00AC2A38" w:rsidRPr="00DC27E7">
        <w:rPr>
          <w:b/>
          <w:spacing w:val="-2"/>
        </w:rPr>
        <w:t xml:space="preserve">, </w:t>
      </w:r>
      <w:r w:rsidR="00A37895" w:rsidRPr="00DC27E7">
        <w:rPr>
          <w:b/>
          <w:spacing w:val="-2"/>
        </w:rPr>
        <w:t>2017</w:t>
      </w:r>
      <w:r w:rsidRPr="00DC27E7">
        <w:rPr>
          <w:b/>
          <w:spacing w:val="-2"/>
        </w:rPr>
        <w:tab/>
      </w:r>
      <w:r w:rsidR="00822CE0" w:rsidRPr="00DC27E7">
        <w:rPr>
          <w:b/>
          <w:spacing w:val="-2"/>
        </w:rPr>
        <w:t>Released</w:t>
      </w:r>
      <w:r w:rsidRPr="00DC27E7">
        <w:rPr>
          <w:b/>
          <w:spacing w:val="-2"/>
        </w:rPr>
        <w:t>:</w:t>
      </w:r>
      <w:r w:rsidR="00822CE0" w:rsidRPr="00DC27E7">
        <w:rPr>
          <w:b/>
          <w:spacing w:val="-2"/>
        </w:rPr>
        <w:t xml:space="preserve"> </w:t>
      </w:r>
      <w:r w:rsidRPr="00DC27E7">
        <w:rPr>
          <w:b/>
          <w:spacing w:val="-2"/>
        </w:rPr>
        <w:t xml:space="preserve"> </w:t>
      </w:r>
      <w:r w:rsidR="0005089E" w:rsidRPr="00DC27E7">
        <w:rPr>
          <w:b/>
          <w:spacing w:val="-2"/>
        </w:rPr>
        <w:t>September 1</w:t>
      </w:r>
      <w:r w:rsidR="00A37895" w:rsidRPr="00DC27E7">
        <w:rPr>
          <w:b/>
          <w:spacing w:val="-2"/>
        </w:rPr>
        <w:t>, 2017</w:t>
      </w:r>
    </w:p>
    <w:p w14:paraId="616732FB" w14:textId="77777777" w:rsidR="00822CE0" w:rsidRDefault="00822CE0"/>
    <w:p w14:paraId="4F1BC4EA" w14:textId="77777777" w:rsidR="004C2EE3" w:rsidRPr="00023361" w:rsidRDefault="004C2EE3">
      <w:pPr>
        <w:rPr>
          <w:spacing w:val="-2"/>
          <w:szCs w:val="22"/>
        </w:rPr>
      </w:pPr>
      <w:r w:rsidRPr="00023361">
        <w:rPr>
          <w:szCs w:val="22"/>
        </w:rPr>
        <w:t xml:space="preserve">By </w:t>
      </w:r>
      <w:r w:rsidR="004E4A22" w:rsidRPr="00023361">
        <w:rPr>
          <w:szCs w:val="22"/>
        </w:rPr>
        <w:t>the</w:t>
      </w:r>
      <w:r w:rsidR="002A2D2E" w:rsidRPr="00023361">
        <w:rPr>
          <w:szCs w:val="22"/>
        </w:rPr>
        <w:t xml:space="preserve"> </w:t>
      </w:r>
      <w:r w:rsidR="00C813D7" w:rsidRPr="00023361">
        <w:rPr>
          <w:spacing w:val="-2"/>
          <w:szCs w:val="22"/>
        </w:rPr>
        <w:t>Chief, Media Bureau</w:t>
      </w:r>
      <w:r w:rsidRPr="00023361">
        <w:rPr>
          <w:spacing w:val="-2"/>
          <w:szCs w:val="22"/>
        </w:rPr>
        <w:t>:</w:t>
      </w:r>
    </w:p>
    <w:p w14:paraId="775E16E7" w14:textId="77777777" w:rsidR="00822CE0" w:rsidRPr="00023361" w:rsidRDefault="00822CE0">
      <w:pPr>
        <w:rPr>
          <w:spacing w:val="-2"/>
          <w:szCs w:val="22"/>
        </w:rPr>
      </w:pPr>
    </w:p>
    <w:p w14:paraId="654BABFD" w14:textId="6A54DF9F" w:rsidR="00147652" w:rsidRPr="00012523" w:rsidRDefault="00147652" w:rsidP="00F430FE">
      <w:pPr>
        <w:pStyle w:val="ParaNum"/>
      </w:pPr>
      <w:r>
        <w:t>By this Order, the Media Bureau (Bureau)</w:t>
      </w:r>
      <w:r w:rsidR="003B6146">
        <w:t>, on its own motion,</w:t>
      </w:r>
      <w:r>
        <w:t xml:space="preserve"> </w:t>
      </w:r>
      <w:r w:rsidR="00D07728">
        <w:t xml:space="preserve">postpones </w:t>
      </w:r>
      <w:r w:rsidR="00741296">
        <w:t xml:space="preserve">the </w:t>
      </w:r>
      <w:r w:rsidR="00CC7CC9">
        <w:t xml:space="preserve">opening of the </w:t>
      </w:r>
      <w:r w:rsidR="00741296">
        <w:t xml:space="preserve">2017 biennial filing window </w:t>
      </w:r>
      <w:r w:rsidR="00D07728">
        <w:t xml:space="preserve">for the submission of broadcast ownership reports on </w:t>
      </w:r>
      <w:r w:rsidR="00741296">
        <w:t xml:space="preserve">FCC Forms 323 and 323-E </w:t>
      </w:r>
      <w:r w:rsidR="00CC7CC9">
        <w:t>until December 1, 2017</w:t>
      </w:r>
      <w:r w:rsidR="00B64D1C">
        <w:t>,</w:t>
      </w:r>
      <w:r w:rsidR="00CC7CC9">
        <w:t xml:space="preserve"> </w:t>
      </w:r>
      <w:r w:rsidR="00741296">
        <w:t xml:space="preserve">and </w:t>
      </w:r>
      <w:r>
        <w:t xml:space="preserve">extends </w:t>
      </w:r>
      <w:r w:rsidR="00A74448">
        <w:t xml:space="preserve">the filing deadline </w:t>
      </w:r>
      <w:r w:rsidR="00A74448" w:rsidRPr="00012523">
        <w:t>to</w:t>
      </w:r>
      <w:r w:rsidR="003E553F" w:rsidRPr="00012523">
        <w:t xml:space="preserve"> </w:t>
      </w:r>
      <w:r w:rsidRPr="00012523">
        <w:t>March</w:t>
      </w:r>
      <w:r w:rsidR="00012523" w:rsidRPr="00012523">
        <w:t xml:space="preserve"> </w:t>
      </w:r>
      <w:r w:rsidR="00D07728">
        <w:t>2</w:t>
      </w:r>
      <w:r w:rsidR="00012523" w:rsidRPr="00012523">
        <w:t>, 2018</w:t>
      </w:r>
      <w:r w:rsidRPr="00012523">
        <w:t>.</w:t>
      </w:r>
    </w:p>
    <w:p w14:paraId="48D490B8" w14:textId="025CFCFD" w:rsidR="00E571BF" w:rsidRDefault="00E571BF" w:rsidP="00F430FE">
      <w:pPr>
        <w:pStyle w:val="ParaNum"/>
      </w:pPr>
      <w:r>
        <w:t>Pursuant to the Commission’s rules, licensees of commercial AM, FM, TV, Class A, and Low Power Television (LPTV) stations and entities with attributable interests in such stations are required to file biennial ownership reports on Form 323 in all odd-numbered years.</w:t>
      </w:r>
      <w:r>
        <w:rPr>
          <w:rStyle w:val="FootnoteReference"/>
          <w:szCs w:val="22"/>
        </w:rPr>
        <w:footnoteReference w:id="2"/>
      </w:r>
      <w:r>
        <w:t xml:space="preserve">  Previously, licensees of noncommercial educational (NCE) broadcast stations and entities with attributable interests in NCE stations were required to submit biennial ownership reports on Form 323-E in accordance with a schedule of rolling filing deadlines tied to </w:t>
      </w:r>
      <w:r w:rsidR="00E54AB3">
        <w:t>each</w:t>
      </w:r>
      <w:r>
        <w:t xml:space="preserve"> station’s renewal anniversary date.</w:t>
      </w:r>
      <w:r>
        <w:rPr>
          <w:rStyle w:val="FootnoteReference"/>
          <w:szCs w:val="22"/>
        </w:rPr>
        <w:footnoteReference w:id="3"/>
      </w:r>
      <w:r>
        <w:t xml:space="preserve">  In January 2016, the Commission revised Form 323-E to require that NCE stations file biennial ownership reports by December 1 in all </w:t>
      </w:r>
      <w:r w:rsidR="00E54AB3">
        <w:t>odd</w:t>
      </w:r>
      <w:r>
        <w:t xml:space="preserve">-numbered years and that such reports provide information that is current as of October 1 of the year in which the ownership report is filed, consistent with the filing </w:t>
      </w:r>
      <w:r w:rsidR="00E54AB3">
        <w:t>obligations applicable to</w:t>
      </w:r>
      <w:r>
        <w:t xml:space="preserve"> commercial stations.</w:t>
      </w:r>
      <w:r w:rsidR="00D34329">
        <w:rPr>
          <w:rStyle w:val="FootnoteReference"/>
          <w:szCs w:val="22"/>
        </w:rPr>
        <w:footnoteReference w:id="4"/>
      </w:r>
      <w:r>
        <w:t xml:space="preserve">  </w:t>
      </w:r>
      <w:r w:rsidR="003B6146">
        <w:t>T</w:t>
      </w:r>
      <w:r>
        <w:t>he Commission also adopted other</w:t>
      </w:r>
      <w:r w:rsidR="003B6146">
        <w:t xml:space="preserve"> significant</w:t>
      </w:r>
      <w:r>
        <w:t xml:space="preserve"> revisions to Forms 323 and 323-E that streamline</w:t>
      </w:r>
      <w:r w:rsidR="009F613B">
        <w:t>d</w:t>
      </w:r>
      <w:r>
        <w:t xml:space="preserve"> the reporting requirements</w:t>
      </w:r>
      <w:r w:rsidR="009F613B">
        <w:t xml:space="preserve">, reduced the </w:t>
      </w:r>
      <w:r w:rsidR="00BF6C8D">
        <w:t xml:space="preserve">filing </w:t>
      </w:r>
      <w:r w:rsidR="009F613B">
        <w:t>burden on licensees,</w:t>
      </w:r>
      <w:r>
        <w:t xml:space="preserve"> and improve</w:t>
      </w:r>
      <w:r w:rsidR="009F613B">
        <w:t>d</w:t>
      </w:r>
      <w:r>
        <w:t xml:space="preserve"> the comprehensiveness and reliability of the data collected on the forms.</w:t>
      </w:r>
      <w:r w:rsidR="00D34329">
        <w:rPr>
          <w:rStyle w:val="FootnoteReference"/>
          <w:szCs w:val="22"/>
        </w:rPr>
        <w:footnoteReference w:id="5"/>
      </w:r>
      <w:r>
        <w:t xml:space="preserve">  </w:t>
      </w:r>
    </w:p>
    <w:p w14:paraId="0BE3EC3E" w14:textId="4A5A4422" w:rsidR="00924F3C" w:rsidRPr="00FC26CF" w:rsidRDefault="00D32067" w:rsidP="00F430FE">
      <w:pPr>
        <w:pStyle w:val="ParaNum"/>
      </w:pPr>
      <w:r>
        <w:lastRenderedPageBreak/>
        <w:t>On our own motion, we hereby</w:t>
      </w:r>
      <w:r w:rsidR="00741296">
        <w:t xml:space="preserve"> </w:t>
      </w:r>
      <w:r w:rsidR="00AE25DD">
        <w:t xml:space="preserve">postpone </w:t>
      </w:r>
      <w:r w:rsidR="00741296">
        <w:t>the</w:t>
      </w:r>
      <w:r w:rsidR="006E6FD5">
        <w:t xml:space="preserve"> opening of the</w:t>
      </w:r>
      <w:r w:rsidR="00741296">
        <w:t xml:space="preserve"> 2017 biennial filing window </w:t>
      </w:r>
      <w:r w:rsidR="006E6FD5">
        <w:t xml:space="preserve">to </w:t>
      </w:r>
      <w:r w:rsidR="00C04A03">
        <w:t>December 1, 2017</w:t>
      </w:r>
      <w:r w:rsidR="00B64D1C">
        <w:t>,</w:t>
      </w:r>
      <w:r w:rsidR="00C04A03">
        <w:t xml:space="preserve"> </w:t>
      </w:r>
      <w:r w:rsidR="00741296">
        <w:t>and</w:t>
      </w:r>
      <w:r>
        <w:t xml:space="preserve"> extend </w:t>
      </w:r>
      <w:r w:rsidR="00C04A03">
        <w:t xml:space="preserve">the </w:t>
      </w:r>
      <w:r w:rsidR="00A74448">
        <w:t>filing deadline</w:t>
      </w:r>
      <w:r>
        <w:t xml:space="preserve"> </w:t>
      </w:r>
      <w:r w:rsidR="00D81750" w:rsidRPr="00012523">
        <w:t>to</w:t>
      </w:r>
      <w:r w:rsidRPr="00012523">
        <w:t xml:space="preserve"> </w:t>
      </w:r>
      <w:r w:rsidR="00012523" w:rsidRPr="00012523">
        <w:t xml:space="preserve">March </w:t>
      </w:r>
      <w:r w:rsidR="00AE25DD">
        <w:t>2</w:t>
      </w:r>
      <w:r w:rsidR="00012523" w:rsidRPr="00012523">
        <w:t>, 2018</w:t>
      </w:r>
      <w:r w:rsidRPr="00012523">
        <w:t>.</w:t>
      </w:r>
      <w:r w:rsidR="00A25DFC" w:rsidRPr="00012523">
        <w:rPr>
          <w:rStyle w:val="FootnoteReference"/>
          <w:szCs w:val="22"/>
        </w:rPr>
        <w:footnoteReference w:id="6"/>
      </w:r>
      <w:r w:rsidRPr="00012523">
        <w:t xml:space="preserve">  </w:t>
      </w:r>
      <w:r w:rsidR="00D15E75">
        <w:t>We are postponing the start</w:t>
      </w:r>
      <w:r w:rsidR="005B2E27">
        <w:t xml:space="preserve"> of the filing window </w:t>
      </w:r>
      <w:r w:rsidR="00D15E75">
        <w:t xml:space="preserve">to </w:t>
      </w:r>
      <w:r w:rsidR="007542DD">
        <w:t xml:space="preserve">provide sufficient time to properly </w:t>
      </w:r>
      <w:r w:rsidR="005B2E27">
        <w:t>implement</w:t>
      </w:r>
      <w:r w:rsidR="007542DD">
        <w:t xml:space="preserve"> </w:t>
      </w:r>
      <w:r w:rsidR="00D81750">
        <w:t xml:space="preserve">the electronic versions of </w:t>
      </w:r>
      <w:r w:rsidR="005B2E27">
        <w:t xml:space="preserve">the </w:t>
      </w:r>
      <w:r w:rsidR="00D81750">
        <w:t>revised Forms 323 and 323-E</w:t>
      </w:r>
      <w:r w:rsidR="00FB5A3F">
        <w:t xml:space="preserve"> </w:t>
      </w:r>
      <w:r w:rsidR="007542DD">
        <w:t>in the Licensing and Management System (LMS)</w:t>
      </w:r>
      <w:r w:rsidR="00D15E75">
        <w:t>.</w:t>
      </w:r>
      <w:r w:rsidR="005B2E27">
        <w:t xml:space="preserve">  </w:t>
      </w:r>
      <w:r w:rsidR="00D15E75">
        <w:t>Furthermore, given the intervening holidays, extending the window will</w:t>
      </w:r>
      <w:r w:rsidR="005B2E27">
        <w:t xml:space="preserve"> </w:t>
      </w:r>
      <w:r w:rsidR="00D15E75">
        <w:t>ensure that</w:t>
      </w:r>
      <w:r w:rsidR="005B2E27">
        <w:t xml:space="preserve"> filers </w:t>
      </w:r>
      <w:r w:rsidR="00D15E75">
        <w:t xml:space="preserve">have sufficient time </w:t>
      </w:r>
      <w:r w:rsidR="005B2E27">
        <w:t>to complete</w:t>
      </w:r>
      <w:r w:rsidR="00D15E75">
        <w:t xml:space="preserve"> and submit</w:t>
      </w:r>
      <w:r w:rsidR="005B2E27">
        <w:t xml:space="preserve"> the</w:t>
      </w:r>
      <w:r w:rsidR="00D15E75">
        <w:t>ir</w:t>
      </w:r>
      <w:r w:rsidR="005B2E27">
        <w:t xml:space="preserve"> reports</w:t>
      </w:r>
      <w:r w:rsidR="007542DD">
        <w:t>.</w:t>
      </w:r>
      <w:r w:rsidR="00FB5A3F">
        <w:t xml:space="preserve">  </w:t>
      </w:r>
      <w:r w:rsidR="00A74448">
        <w:t>Filers are encouraged to complete and submit their Form 323 and Form 323-E filings as early as possible</w:t>
      </w:r>
      <w:r w:rsidR="005B2E27">
        <w:t xml:space="preserve"> during the window</w:t>
      </w:r>
      <w:r w:rsidR="00A74448">
        <w:t xml:space="preserve"> and well in advance of the extended deadline.</w:t>
      </w:r>
      <w:r w:rsidR="007918D2">
        <w:rPr>
          <w:rStyle w:val="FootnoteReference"/>
          <w:szCs w:val="22"/>
        </w:rPr>
        <w:footnoteReference w:id="7"/>
      </w:r>
      <w:r w:rsidR="00A74448">
        <w:t xml:space="preserve">  As stated above, this extension applies only to the 2017 biennial filing.</w:t>
      </w:r>
      <w:r w:rsidR="005F75A8">
        <w:rPr>
          <w:rStyle w:val="FootnoteReference"/>
          <w:szCs w:val="22"/>
        </w:rPr>
        <w:footnoteReference w:id="8"/>
      </w:r>
      <w:r w:rsidR="00C04A03">
        <w:t xml:space="preserve">  </w:t>
      </w:r>
      <w:r w:rsidR="00C04A03" w:rsidRPr="00FC26CF">
        <w:rPr>
          <w:b/>
        </w:rPr>
        <w:t xml:space="preserve">Note:  This </w:t>
      </w:r>
      <w:r w:rsidR="004C4307" w:rsidRPr="00FC26CF">
        <w:rPr>
          <w:b/>
        </w:rPr>
        <w:t>O</w:t>
      </w:r>
      <w:r w:rsidR="00C04A03" w:rsidRPr="00FC26CF">
        <w:rPr>
          <w:b/>
        </w:rPr>
        <w:t xml:space="preserve">rder </w:t>
      </w:r>
      <w:r w:rsidR="00B64D1C" w:rsidRPr="00FC26CF">
        <w:rPr>
          <w:b/>
        </w:rPr>
        <w:t xml:space="preserve">only </w:t>
      </w:r>
      <w:r w:rsidR="00C04A03" w:rsidRPr="00FC26CF">
        <w:rPr>
          <w:b/>
        </w:rPr>
        <w:t xml:space="preserve">impacts the </w:t>
      </w:r>
      <w:r w:rsidR="005B2E27" w:rsidRPr="00FC26CF">
        <w:rPr>
          <w:b/>
        </w:rPr>
        <w:t xml:space="preserve">timing and duration </w:t>
      </w:r>
      <w:r w:rsidR="00C04A03" w:rsidRPr="00FC26CF">
        <w:rPr>
          <w:b/>
        </w:rPr>
        <w:t xml:space="preserve">of the </w:t>
      </w:r>
      <w:r w:rsidR="00C26DF0" w:rsidRPr="00FC26CF">
        <w:rPr>
          <w:b/>
        </w:rPr>
        <w:t xml:space="preserve">2017 </w:t>
      </w:r>
      <w:r w:rsidR="00C04A03" w:rsidRPr="00FC26CF">
        <w:rPr>
          <w:b/>
        </w:rPr>
        <w:t>biennial ownership report filing window</w:t>
      </w:r>
      <w:r w:rsidR="005B2E27" w:rsidRPr="00FC26CF">
        <w:rPr>
          <w:b/>
        </w:rPr>
        <w:t>, not the “as-of” date</w:t>
      </w:r>
      <w:r w:rsidR="00723725" w:rsidRPr="00FC26CF">
        <w:rPr>
          <w:b/>
        </w:rPr>
        <w:t xml:space="preserve"> of the data contained on the </w:t>
      </w:r>
      <w:r w:rsidR="00791E69" w:rsidRPr="00FC26CF">
        <w:rPr>
          <w:b/>
        </w:rPr>
        <w:t>reports.  Information contained on the reports will continue to be required to be current as of October 1, 2017</w:t>
      </w:r>
      <w:r w:rsidR="00F430FE">
        <w:rPr>
          <w:b/>
        </w:rPr>
        <w:t>.</w:t>
      </w:r>
      <w:r w:rsidR="00C04A03" w:rsidRPr="00FC26CF">
        <w:rPr>
          <w:rStyle w:val="FootnoteReference"/>
          <w:b/>
          <w:szCs w:val="22"/>
        </w:rPr>
        <w:footnoteReference w:id="9"/>
      </w:r>
    </w:p>
    <w:p w14:paraId="743FACDE" w14:textId="343520FF" w:rsidR="003541D0" w:rsidRPr="00023361" w:rsidRDefault="003541D0" w:rsidP="00F430FE">
      <w:pPr>
        <w:pStyle w:val="ParaNum"/>
      </w:pPr>
      <w:r w:rsidRPr="00023361">
        <w:t>Filers seeking advice on how to complete the form</w:t>
      </w:r>
      <w:r w:rsidR="00CB00E9">
        <w:t>s</w:t>
      </w:r>
      <w:r w:rsidRPr="00023361">
        <w:t xml:space="preserve"> should consult the </w:t>
      </w:r>
      <w:r w:rsidR="00CB00E9">
        <w:t>draft forms and instructions</w:t>
      </w:r>
      <w:r w:rsidRPr="00023361">
        <w:t xml:space="preserve"> </w:t>
      </w:r>
      <w:r w:rsidR="00CB00E9">
        <w:t xml:space="preserve">in Appendices D </w:t>
      </w:r>
      <w:r w:rsidR="00293348">
        <w:t>and</w:t>
      </w:r>
      <w:r w:rsidR="00CB00E9">
        <w:t xml:space="preserve"> E of the </w:t>
      </w:r>
      <w:r w:rsidR="00CB00E9">
        <w:rPr>
          <w:i/>
        </w:rPr>
        <w:t>323 and 323-E Order</w:t>
      </w:r>
      <w:r w:rsidR="00CB00E9">
        <w:t>.</w:t>
      </w:r>
      <w:r w:rsidR="00955E65">
        <w:rPr>
          <w:rStyle w:val="FootnoteReference"/>
        </w:rPr>
        <w:footnoteReference w:id="10"/>
      </w:r>
      <w:r w:rsidR="00CB00E9">
        <w:t xml:space="preserve">  In </w:t>
      </w:r>
      <w:r w:rsidR="005B2E27">
        <w:t xml:space="preserve">addition, in </w:t>
      </w:r>
      <w:r w:rsidR="00CB00E9">
        <w:t>order to ease the transition to the use of the revised forms, the Bureau plans to update its Form 323 website</w:t>
      </w:r>
      <w:r w:rsidR="00DD119E">
        <w:t xml:space="preserve">, </w:t>
      </w:r>
      <w:hyperlink r:id="rId8" w:history="1">
        <w:r w:rsidR="00142768">
          <w:rPr>
            <w:rStyle w:val="Hyperlink"/>
            <w:szCs w:val="22"/>
          </w:rPr>
          <w:t>https://www.fcc.gov/media/ownership-report-commercial-broadcast-station-form-323</w:t>
        </w:r>
      </w:hyperlink>
      <w:r w:rsidR="00DD119E">
        <w:rPr>
          <w:szCs w:val="22"/>
        </w:rPr>
        <w:t xml:space="preserve">, </w:t>
      </w:r>
      <w:r w:rsidR="00CB00E9">
        <w:t xml:space="preserve">to reflect the revised filing requirements for Forms 323 and 323-E once the forms are available in LMS.  </w:t>
      </w:r>
      <w:r w:rsidR="00DD119E">
        <w:t>Filers are encouraged to review the website and check for updates</w:t>
      </w:r>
      <w:r w:rsidRPr="00023361">
        <w:t>.  For additional advice on completing Form</w:t>
      </w:r>
      <w:r w:rsidR="00DD119E">
        <w:t>s</w:t>
      </w:r>
      <w:r w:rsidRPr="00023361">
        <w:t xml:space="preserve"> 323</w:t>
      </w:r>
      <w:r w:rsidR="00DD119E">
        <w:t xml:space="preserve"> and 323-E</w:t>
      </w:r>
      <w:r w:rsidRPr="00023361">
        <w:t xml:space="preserve">, please contact the Bureau via e-mail at </w:t>
      </w:r>
      <w:hyperlink r:id="rId9" w:history="1">
        <w:r w:rsidRPr="00023361">
          <w:rPr>
            <w:rStyle w:val="Hyperlink"/>
            <w:szCs w:val="22"/>
          </w:rPr>
          <w:t>Form323@fcc.gov</w:t>
        </w:r>
      </w:hyperlink>
      <w:r w:rsidRPr="00023361">
        <w:t>.</w:t>
      </w:r>
    </w:p>
    <w:p w14:paraId="029295DC" w14:textId="33F87BF5" w:rsidR="00C813D7" w:rsidRPr="00023361" w:rsidRDefault="00C813D7" w:rsidP="00F430FE">
      <w:pPr>
        <w:pStyle w:val="ParaNum"/>
      </w:pPr>
      <w:bookmarkStart w:id="1" w:name="_Ref183339322"/>
      <w:r w:rsidRPr="00023361">
        <w:t>Accordingly, IT IS ORDERED, that pursuant to authority under Sections 4(i) and 303(r) of the Communications Act of 1934, as amended, 47 U.S.C. §§ 154 and 303(r)</w:t>
      </w:r>
      <w:r w:rsidR="00CE4BA3">
        <w:t>,</w:t>
      </w:r>
      <w:r w:rsidRPr="00023361">
        <w:t xml:space="preserve"> and pursuant to authority delegated to the Media Bureau </w:t>
      </w:r>
      <w:r w:rsidR="00CF1421">
        <w:t>in</w:t>
      </w:r>
      <w:r w:rsidRPr="00023361">
        <w:t xml:space="preserve"> Sections 0.204 and 0.283 of the Commission’s rules, 47 C.F.R. §§ 0.204, 0.283, the </w:t>
      </w:r>
      <w:r w:rsidR="00A32A4D">
        <w:t xml:space="preserve">2017 biennial </w:t>
      </w:r>
      <w:r w:rsidRPr="00023361">
        <w:t>filing</w:t>
      </w:r>
      <w:r w:rsidR="00A32A4D">
        <w:t xml:space="preserve"> window IS POSTPONED and the filing</w:t>
      </w:r>
      <w:r w:rsidRPr="00023361">
        <w:t xml:space="preserve"> deadline </w:t>
      </w:r>
      <w:r w:rsidR="00A32A4D">
        <w:t xml:space="preserve">IS EXTENDED </w:t>
      </w:r>
      <w:r w:rsidRPr="00023361">
        <w:t xml:space="preserve">as described above, </w:t>
      </w:r>
      <w:r w:rsidRPr="00023361">
        <w:rPr>
          <w:i/>
        </w:rPr>
        <w:t>sua sponte</w:t>
      </w:r>
      <w:r w:rsidRPr="00023361">
        <w:t xml:space="preserve">. </w:t>
      </w:r>
    </w:p>
    <w:p w14:paraId="4C8BDB02" w14:textId="2B1D1F42" w:rsidR="00C813D7" w:rsidRPr="00023361" w:rsidRDefault="00C813D7" w:rsidP="00F45933">
      <w:pPr>
        <w:pStyle w:val="ParaNum"/>
        <w:widowControl/>
      </w:pPr>
      <w:r w:rsidRPr="00023361">
        <w:lastRenderedPageBreak/>
        <w:t xml:space="preserve">For further information, please contact </w:t>
      </w:r>
      <w:r w:rsidR="004C4307">
        <w:t>Christopher Clark</w:t>
      </w:r>
      <w:r w:rsidR="004C4307" w:rsidRPr="00023361">
        <w:t xml:space="preserve">, </w:t>
      </w:r>
      <w:r w:rsidRPr="00023361">
        <w:t>Industry Analysis Division at 202-418-</w:t>
      </w:r>
      <w:r w:rsidR="004C4307">
        <w:t>2609</w:t>
      </w:r>
      <w:r w:rsidRPr="00023361">
        <w:t xml:space="preserve">.  </w:t>
      </w:r>
      <w:bookmarkEnd w:id="1"/>
    </w:p>
    <w:p w14:paraId="2C5DBD83" w14:textId="77777777" w:rsidR="002C00E8" w:rsidRPr="00023361" w:rsidRDefault="00C813D7" w:rsidP="00920C44">
      <w:pPr>
        <w:keepNext/>
        <w:keepLines/>
        <w:tabs>
          <w:tab w:val="left" w:pos="1440"/>
        </w:tabs>
        <w:ind w:left="2880" w:firstLine="720"/>
        <w:rPr>
          <w:caps/>
          <w:szCs w:val="22"/>
        </w:rPr>
      </w:pPr>
      <w:r w:rsidRPr="00023361">
        <w:rPr>
          <w:caps/>
          <w:szCs w:val="22"/>
        </w:rPr>
        <w:t>Federal Communications Commission</w:t>
      </w:r>
    </w:p>
    <w:p w14:paraId="233C16A5" w14:textId="77777777" w:rsidR="00C813D7" w:rsidRPr="00023361" w:rsidRDefault="00C813D7" w:rsidP="00920C44">
      <w:pPr>
        <w:keepNext/>
        <w:keepLines/>
        <w:tabs>
          <w:tab w:val="left" w:pos="1440"/>
        </w:tabs>
        <w:ind w:left="2880" w:firstLine="720"/>
        <w:rPr>
          <w:szCs w:val="22"/>
        </w:rPr>
      </w:pPr>
    </w:p>
    <w:p w14:paraId="533D796E" w14:textId="77777777" w:rsidR="00C813D7" w:rsidRPr="00023361" w:rsidRDefault="00C813D7" w:rsidP="00920C44">
      <w:pPr>
        <w:keepNext/>
        <w:keepLines/>
        <w:tabs>
          <w:tab w:val="left" w:pos="1440"/>
        </w:tabs>
        <w:ind w:left="2880" w:firstLine="720"/>
        <w:rPr>
          <w:szCs w:val="22"/>
        </w:rPr>
      </w:pPr>
    </w:p>
    <w:p w14:paraId="7868415B" w14:textId="1DC1D92D" w:rsidR="00C813D7" w:rsidRPr="00023361" w:rsidRDefault="00276D45" w:rsidP="00920C44">
      <w:pPr>
        <w:keepNext/>
        <w:keepLines/>
        <w:tabs>
          <w:tab w:val="left" w:pos="1440"/>
        </w:tabs>
        <w:ind w:left="2880" w:firstLine="720"/>
        <w:rPr>
          <w:szCs w:val="22"/>
        </w:rPr>
      </w:pPr>
      <w:r>
        <w:rPr>
          <w:szCs w:val="22"/>
        </w:rPr>
        <w:t>Michelle M. Carey</w:t>
      </w:r>
    </w:p>
    <w:p w14:paraId="08C30A2D" w14:textId="77777777" w:rsidR="00920C44" w:rsidRDefault="00920C44" w:rsidP="00920C44">
      <w:pPr>
        <w:keepNext/>
        <w:keepLines/>
        <w:tabs>
          <w:tab w:val="left" w:pos="1440"/>
        </w:tabs>
        <w:ind w:left="2880" w:firstLine="720"/>
        <w:rPr>
          <w:szCs w:val="22"/>
        </w:rPr>
      </w:pPr>
      <w:r>
        <w:rPr>
          <w:szCs w:val="22"/>
        </w:rPr>
        <w:t>Chief</w:t>
      </w:r>
    </w:p>
    <w:p w14:paraId="52A03C70" w14:textId="4DCE91FA" w:rsidR="00C813D7" w:rsidRPr="00023361" w:rsidRDefault="00C813D7" w:rsidP="00920C44">
      <w:pPr>
        <w:keepNext/>
        <w:keepLines/>
        <w:tabs>
          <w:tab w:val="left" w:pos="1440"/>
        </w:tabs>
        <w:ind w:left="2880" w:firstLine="720"/>
        <w:rPr>
          <w:szCs w:val="22"/>
        </w:rPr>
      </w:pPr>
      <w:r w:rsidRPr="00023361">
        <w:rPr>
          <w:szCs w:val="22"/>
        </w:rPr>
        <w:t>Media Bureau</w:t>
      </w:r>
    </w:p>
    <w:sectPr w:rsidR="00C813D7" w:rsidRPr="00023361"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C987D" w14:textId="77777777" w:rsidR="007824C3" w:rsidRDefault="007824C3">
      <w:pPr>
        <w:spacing w:line="20" w:lineRule="exact"/>
      </w:pPr>
    </w:p>
  </w:endnote>
  <w:endnote w:type="continuationSeparator" w:id="0">
    <w:p w14:paraId="2F356051" w14:textId="77777777" w:rsidR="007824C3" w:rsidRDefault="007824C3">
      <w:r>
        <w:t xml:space="preserve"> </w:t>
      </w:r>
    </w:p>
  </w:endnote>
  <w:endnote w:type="continuationNotice" w:id="1">
    <w:p w14:paraId="3D179E33" w14:textId="77777777" w:rsidR="007824C3" w:rsidRDefault="007824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9E8B" w14:textId="77777777" w:rsidR="00D32067" w:rsidRDefault="00D32067" w:rsidP="0055614C">
    <w:pPr>
      <w:pStyle w:val="Footer"/>
      <w:framePr w:wrap="around" w:vAnchor="text" w:hAnchor="margin" w:xAlign="center" w:y="1"/>
    </w:pPr>
    <w:r>
      <w:fldChar w:fldCharType="begin"/>
    </w:r>
    <w:r>
      <w:instrText xml:space="preserve">PAGE  </w:instrText>
    </w:r>
    <w:r>
      <w:fldChar w:fldCharType="end"/>
    </w:r>
  </w:p>
  <w:p w14:paraId="6CD41921" w14:textId="77777777" w:rsidR="00D32067" w:rsidRDefault="00D32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7B8D" w14:textId="270CA663" w:rsidR="00D32067" w:rsidRDefault="00D32067" w:rsidP="0055614C">
    <w:pPr>
      <w:pStyle w:val="Footer"/>
      <w:framePr w:wrap="around" w:vAnchor="text" w:hAnchor="margin" w:xAlign="center" w:y="1"/>
    </w:pPr>
    <w:r>
      <w:fldChar w:fldCharType="begin"/>
    </w:r>
    <w:r>
      <w:instrText xml:space="preserve">PAGE  </w:instrText>
    </w:r>
    <w:r>
      <w:fldChar w:fldCharType="separate"/>
    </w:r>
    <w:r w:rsidR="006C5F3D">
      <w:rPr>
        <w:noProof/>
      </w:rPr>
      <w:t>2</w:t>
    </w:r>
    <w:r>
      <w:fldChar w:fldCharType="end"/>
    </w:r>
  </w:p>
  <w:p w14:paraId="44309E00" w14:textId="77777777" w:rsidR="00D32067" w:rsidRDefault="00D3206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2359" w14:textId="77777777" w:rsidR="00D32067" w:rsidRDefault="00D3206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9DC19" w14:textId="77777777" w:rsidR="007824C3" w:rsidRDefault="007824C3">
      <w:r>
        <w:separator/>
      </w:r>
    </w:p>
  </w:footnote>
  <w:footnote w:type="continuationSeparator" w:id="0">
    <w:p w14:paraId="5873B6BC" w14:textId="77777777" w:rsidR="007824C3" w:rsidRDefault="007824C3" w:rsidP="00C721AC">
      <w:pPr>
        <w:spacing w:before="120"/>
        <w:rPr>
          <w:sz w:val="20"/>
        </w:rPr>
      </w:pPr>
      <w:r>
        <w:rPr>
          <w:sz w:val="20"/>
        </w:rPr>
        <w:t xml:space="preserve">(Continued from previous page)  </w:t>
      </w:r>
      <w:r>
        <w:rPr>
          <w:sz w:val="20"/>
        </w:rPr>
        <w:separator/>
      </w:r>
    </w:p>
  </w:footnote>
  <w:footnote w:type="continuationNotice" w:id="1">
    <w:p w14:paraId="3A180442" w14:textId="77777777" w:rsidR="007824C3" w:rsidRDefault="007824C3" w:rsidP="00C721AC">
      <w:pPr>
        <w:jc w:val="right"/>
        <w:rPr>
          <w:sz w:val="20"/>
        </w:rPr>
      </w:pPr>
    </w:p>
  </w:footnote>
  <w:footnote w:id="2">
    <w:p w14:paraId="1DC0AF0C" w14:textId="77777777" w:rsidR="00D32067" w:rsidRDefault="00D32067" w:rsidP="00E571BF">
      <w:pPr>
        <w:pStyle w:val="FootnoteText"/>
      </w:pPr>
      <w:r>
        <w:rPr>
          <w:rStyle w:val="FootnoteReference"/>
        </w:rPr>
        <w:footnoteRef/>
      </w:r>
      <w:r>
        <w:t xml:space="preserve"> 47 CFR §§ 73.3615(a), 73.6026, 74.797.</w:t>
      </w:r>
    </w:p>
  </w:footnote>
  <w:footnote w:id="3">
    <w:p w14:paraId="04082ECA" w14:textId="22530B82" w:rsidR="00D32067" w:rsidRPr="0047493C" w:rsidRDefault="00D32067" w:rsidP="00E571BF">
      <w:pPr>
        <w:pStyle w:val="FootnoteText"/>
        <w:rPr>
          <w:i/>
        </w:rPr>
      </w:pPr>
      <w:r>
        <w:rPr>
          <w:rStyle w:val="FootnoteReference"/>
        </w:rPr>
        <w:footnoteRef/>
      </w:r>
      <w:r>
        <w:t xml:space="preserve"> </w:t>
      </w:r>
      <w:r>
        <w:rPr>
          <w:i/>
        </w:rPr>
        <w:t>See Promoting Diversification in the Broadcasting Services</w:t>
      </w:r>
      <w:r>
        <w:t xml:space="preserve">, </w:t>
      </w:r>
      <w:r w:rsidR="00D34329">
        <w:t xml:space="preserve">Order, </w:t>
      </w:r>
      <w:r>
        <w:t>31 FCC Rcd 13263 (MB 2016)</w:t>
      </w:r>
      <w:r w:rsidR="005F75A8">
        <w:t xml:space="preserve"> (</w:t>
      </w:r>
      <w:r w:rsidR="005F75A8">
        <w:rPr>
          <w:i/>
        </w:rPr>
        <w:t>323-E Suspension Order</w:t>
      </w:r>
      <w:r w:rsidR="005F75A8">
        <w:t>)</w:t>
      </w:r>
      <w:r>
        <w:t xml:space="preserve">.  On December 20, 2016, the Bureau suspended the biennial filing requirement for NCE licensees and entities that would otherwise be required to file biennial ownership reports on Form 323-E between December 20, 2016, and December 1, 2017.  </w:t>
      </w:r>
      <w:r>
        <w:rPr>
          <w:i/>
        </w:rPr>
        <w:t>Id.</w:t>
      </w:r>
    </w:p>
  </w:footnote>
  <w:footnote w:id="4">
    <w:p w14:paraId="33A4AAD3" w14:textId="77D595FF" w:rsidR="00D34329" w:rsidRPr="00D34329" w:rsidRDefault="00D34329">
      <w:pPr>
        <w:pStyle w:val="FootnoteText"/>
      </w:pPr>
      <w:r>
        <w:rPr>
          <w:rStyle w:val="FootnoteReference"/>
        </w:rPr>
        <w:footnoteRef/>
      </w:r>
      <w:r>
        <w:t xml:space="preserve"> </w:t>
      </w:r>
      <w:r>
        <w:rPr>
          <w:i/>
        </w:rPr>
        <w:t>Promoting Diversification in the Broadcasting Services</w:t>
      </w:r>
      <w:r>
        <w:t>, Report and Order, Second Report and Order, and Order on Reconsideration, 31 FCC Rcd 398, 432-33, paras. 64-67 (2016) (</w:t>
      </w:r>
      <w:r>
        <w:rPr>
          <w:i/>
        </w:rPr>
        <w:t>323 and 323-E Order</w:t>
      </w:r>
      <w:r>
        <w:t>).</w:t>
      </w:r>
    </w:p>
  </w:footnote>
  <w:footnote w:id="5">
    <w:p w14:paraId="57C7C2AB" w14:textId="37AADD75" w:rsidR="00D34329" w:rsidRPr="000021A1" w:rsidRDefault="00D34329" w:rsidP="000021A1">
      <w:pPr>
        <w:pStyle w:val="FootnoteText"/>
      </w:pPr>
      <w:r>
        <w:rPr>
          <w:rStyle w:val="FootnoteReference"/>
        </w:rPr>
        <w:footnoteRef/>
      </w:r>
      <w:r>
        <w:t xml:space="preserve"> </w:t>
      </w:r>
      <w:r>
        <w:rPr>
          <w:i/>
        </w:rPr>
        <w:t>See generally 323 and 323-E Order</w:t>
      </w:r>
      <w:r>
        <w:t>.</w:t>
      </w:r>
      <w:r w:rsidR="000021A1">
        <w:t xml:space="preserve">  The Commission released drafts of the revised forms in Appendices D and E of the </w:t>
      </w:r>
      <w:r w:rsidR="000021A1">
        <w:rPr>
          <w:i/>
        </w:rPr>
        <w:t>323 and 323-E Order</w:t>
      </w:r>
      <w:r w:rsidR="009F613B">
        <w:t xml:space="preserve">; the revised forms </w:t>
      </w:r>
      <w:r w:rsidR="009F613B" w:rsidRPr="009F613B">
        <w:t>have</w:t>
      </w:r>
      <w:r w:rsidR="009F613B">
        <w:t xml:space="preserve"> been approved by </w:t>
      </w:r>
      <w:r w:rsidR="000021A1">
        <w:t>OMB</w:t>
      </w:r>
      <w:r w:rsidR="009F613B">
        <w:t>.</w:t>
      </w:r>
      <w:r w:rsidR="000021A1">
        <w:t xml:space="preserve"> </w:t>
      </w:r>
      <w:r w:rsidR="009F613B">
        <w:t xml:space="preserve"> </w:t>
      </w:r>
      <w:r w:rsidR="000021A1">
        <w:rPr>
          <w:i/>
        </w:rPr>
        <w:t xml:space="preserve">See </w:t>
      </w:r>
      <w:r w:rsidR="000021A1">
        <w:t xml:space="preserve">Office of Management and Budget, Notice of Office of Management and Budget Action, ICR Reference No. 201609-3060-005, OMB Control No. 3060-0010 (Nov. 25, 2016), </w:t>
      </w:r>
      <w:hyperlink r:id="rId1" w:history="1">
        <w:r w:rsidR="000021A1" w:rsidRPr="00DF2156">
          <w:rPr>
            <w:rStyle w:val="Hyperlink"/>
          </w:rPr>
          <w:t>https://www.reginfo.gov/public/do/PRAViewICR?ref_nbr=201609-3060-005#</w:t>
        </w:r>
      </w:hyperlink>
      <w:r w:rsidR="000021A1">
        <w:t xml:space="preserve"> (select the “Retrieve Notice of Action (NOA)” hyperlink); Office of Management and Budget, Notice of Office of Management and Budget Action, ICR Reference No. 201705-3060-013, OMB Control No. 3060-0084 (May 31, 2017),</w:t>
      </w:r>
      <w:r w:rsidR="000021A1" w:rsidRPr="000021A1">
        <w:t xml:space="preserve"> </w:t>
      </w:r>
      <w:hyperlink r:id="rId2" w:history="1">
        <w:r w:rsidR="000021A1" w:rsidRPr="00DF2156">
          <w:rPr>
            <w:rStyle w:val="Hyperlink"/>
          </w:rPr>
          <w:t>https://www.reginfo.gov/public/do/PRAViewICR?ref_nbr=201705-3060-013#</w:t>
        </w:r>
      </w:hyperlink>
      <w:r w:rsidR="000021A1">
        <w:t xml:space="preserve"> (select the “Retrieve Notice of Action (NOA)” hyperlink).</w:t>
      </w:r>
      <w:r w:rsidR="00AE25DD">
        <w:t xml:space="preserve">  The effective date of the new forms—and the associated rule sections—will be announced by a subsequent public notice once the form is online.</w:t>
      </w:r>
    </w:p>
  </w:footnote>
  <w:footnote w:id="6">
    <w:p w14:paraId="1BD885A4" w14:textId="7749D40C" w:rsidR="00A25DFC" w:rsidRPr="00A25DFC" w:rsidRDefault="00A25DFC">
      <w:pPr>
        <w:pStyle w:val="FootnoteText"/>
      </w:pPr>
      <w:r>
        <w:rPr>
          <w:rStyle w:val="FootnoteReference"/>
        </w:rPr>
        <w:footnoteRef/>
      </w:r>
      <w:r>
        <w:t xml:space="preserve"> On July 19, 2017, the National Association of Broadcasters (NAB) filed a letter </w:t>
      </w:r>
      <w:r w:rsidR="006E6FD5">
        <w:t>suggesting</w:t>
      </w:r>
      <w:r w:rsidR="005C66D0">
        <w:t xml:space="preserve"> </w:t>
      </w:r>
      <w:r>
        <w:t xml:space="preserve">that the Bureau </w:t>
      </w:r>
      <w:r w:rsidR="00C05252">
        <w:t xml:space="preserve">suspend </w:t>
      </w:r>
      <w:r>
        <w:t>the December 1, 2017, biennial filing</w:t>
      </w:r>
      <w:r w:rsidR="00C05252">
        <w:t xml:space="preserve"> deadline</w:t>
      </w:r>
      <w:r w:rsidR="00606E99">
        <w:t>, potentially</w:t>
      </w:r>
      <w:r w:rsidR="005B2E27">
        <w:t xml:space="preserve"> indefinitely</w:t>
      </w:r>
      <w:r>
        <w:t>.</w:t>
      </w:r>
      <w:r w:rsidR="00A44C72">
        <w:t xml:space="preserve">  Letter from Rick Kaplan, General Counsel and Executive Vice President, Legal and Regulatory Affairs, NAB, to Michelle Carey, Chief, Media Bureau, FCC, MB Docket No. 07-194 et al. (filed July 19, 2017)</w:t>
      </w:r>
      <w:r w:rsidR="0053766C">
        <w:t xml:space="preserve"> (NAB Letter)</w:t>
      </w:r>
      <w:r w:rsidR="00A44C72">
        <w:t>.</w:t>
      </w:r>
      <w:r>
        <w:t xml:space="preserve">  </w:t>
      </w:r>
      <w:r w:rsidR="00C05252">
        <w:t>As discussed above,</w:t>
      </w:r>
      <w:r>
        <w:t xml:space="preserve"> we are </w:t>
      </w:r>
      <w:r w:rsidR="00606E99">
        <w:t xml:space="preserve">postponing the filing window and </w:t>
      </w:r>
      <w:r>
        <w:t xml:space="preserve">extending the </w:t>
      </w:r>
      <w:r w:rsidR="00C05252">
        <w:t xml:space="preserve">filing </w:t>
      </w:r>
      <w:r>
        <w:t xml:space="preserve">deadline </w:t>
      </w:r>
      <w:r>
        <w:rPr>
          <w:i/>
        </w:rPr>
        <w:t>sua sponte</w:t>
      </w:r>
      <w:r w:rsidR="00C05252">
        <w:t xml:space="preserve">.  </w:t>
      </w:r>
      <w:r w:rsidR="00C26DF0">
        <w:t xml:space="preserve">The extension of time we grant today addresses </w:t>
      </w:r>
      <w:r w:rsidR="005C66D0">
        <w:t>NAB’s primary concern</w:t>
      </w:r>
      <w:r w:rsidR="00187F52">
        <w:t>s</w:t>
      </w:r>
      <w:r w:rsidR="005C66D0">
        <w:t xml:space="preserve"> </w:t>
      </w:r>
      <w:r w:rsidR="00187F52">
        <w:t xml:space="preserve">that </w:t>
      </w:r>
      <w:r w:rsidR="005C66D0">
        <w:t>the rollout of the revised forms in LMS</w:t>
      </w:r>
      <w:r w:rsidR="00187F52">
        <w:t xml:space="preserve"> go</w:t>
      </w:r>
      <w:r w:rsidR="00F45933">
        <w:t>es</w:t>
      </w:r>
      <w:r w:rsidR="00187F52">
        <w:t xml:space="preserve"> smoothly and </w:t>
      </w:r>
      <w:r w:rsidR="00CE6B8C">
        <w:t xml:space="preserve">that broadcasters </w:t>
      </w:r>
      <w:r w:rsidR="00187F52">
        <w:t xml:space="preserve">have sufficient time </w:t>
      </w:r>
      <w:r w:rsidR="00CE6B8C">
        <w:t xml:space="preserve">to </w:t>
      </w:r>
      <w:r w:rsidR="00187F52">
        <w:t>familiarize themselves with</w:t>
      </w:r>
      <w:r w:rsidR="00CE6B8C">
        <w:t xml:space="preserve"> </w:t>
      </w:r>
      <w:r w:rsidR="00187F52">
        <w:t xml:space="preserve">and test </w:t>
      </w:r>
      <w:r w:rsidR="00CE6B8C">
        <w:t>the new forms</w:t>
      </w:r>
      <w:r w:rsidR="00187F52">
        <w:t xml:space="preserve">. </w:t>
      </w:r>
      <w:r w:rsidR="00F45933">
        <w:t xml:space="preserve"> </w:t>
      </w:r>
      <w:r w:rsidR="00187F52">
        <w:t>Thus, our action today</w:t>
      </w:r>
      <w:r w:rsidR="00C26DF0">
        <w:t xml:space="preserve"> </w:t>
      </w:r>
      <w:r w:rsidR="00D63A45">
        <w:t xml:space="preserve">essentially implements NAB’s </w:t>
      </w:r>
      <w:r w:rsidR="006E6FD5">
        <w:t>suggestion</w:t>
      </w:r>
      <w:r w:rsidR="00D63A45">
        <w:t xml:space="preserve"> that we postpone the 2017 biennial filing window </w:t>
      </w:r>
      <w:r w:rsidR="000745CD">
        <w:t xml:space="preserve">to ensure the successful </w:t>
      </w:r>
      <w:r w:rsidR="00D63A45">
        <w:t xml:space="preserve">implementation of the </w:t>
      </w:r>
      <w:r w:rsidR="000745CD">
        <w:t xml:space="preserve">revised </w:t>
      </w:r>
      <w:r w:rsidR="00D63A45">
        <w:t>forms</w:t>
      </w:r>
      <w:r w:rsidR="00C26DF0">
        <w:t xml:space="preserve">.  </w:t>
      </w:r>
      <w:r w:rsidR="0053766C">
        <w:t>We</w:t>
      </w:r>
      <w:r w:rsidR="00C26DF0">
        <w:t xml:space="preserve"> </w:t>
      </w:r>
      <w:r w:rsidR="00180FA4">
        <w:t>see no reason</w:t>
      </w:r>
      <w:r w:rsidR="000745CD">
        <w:t xml:space="preserve"> or justification, however,</w:t>
      </w:r>
      <w:r w:rsidR="006E6FD5">
        <w:t xml:space="preserve"> to</w:t>
      </w:r>
      <w:r w:rsidR="00C26DF0">
        <w:t xml:space="preserve"> hold the filing of </w:t>
      </w:r>
      <w:r w:rsidR="0053766C">
        <w:t>Forms</w:t>
      </w:r>
      <w:r w:rsidR="00C26DF0">
        <w:t xml:space="preserve"> 323 and 323-E in abeyance indefinitely </w:t>
      </w:r>
      <w:r w:rsidR="000745CD">
        <w:t xml:space="preserve">pending consideration of </w:t>
      </w:r>
      <w:r w:rsidR="00665F46">
        <w:t xml:space="preserve">the </w:t>
      </w:r>
      <w:r w:rsidR="000745CD">
        <w:t>recent suggestions</w:t>
      </w:r>
      <w:r w:rsidR="00665F46">
        <w:t>, made by NAB and others,</w:t>
      </w:r>
      <w:r w:rsidR="000745CD">
        <w:t xml:space="preserve"> that the Commission </w:t>
      </w:r>
      <w:r w:rsidR="00C26DF0">
        <w:t>radically overhaul the broadcast ownership reporting rules.</w:t>
      </w:r>
      <w:r w:rsidR="0053766C">
        <w:t xml:space="preserve">  </w:t>
      </w:r>
      <w:r w:rsidR="0053766C">
        <w:rPr>
          <w:i/>
        </w:rPr>
        <w:t xml:space="preserve">See </w:t>
      </w:r>
      <w:r w:rsidR="0053766C">
        <w:t>NAB Letter.</w:t>
      </w:r>
      <w:r w:rsidR="00791E69">
        <w:t xml:space="preserve"> </w:t>
      </w:r>
      <w:r w:rsidR="00606E99">
        <w:t xml:space="preserve">  </w:t>
      </w:r>
    </w:p>
  </w:footnote>
  <w:footnote w:id="7">
    <w:p w14:paraId="20FD6D9D" w14:textId="3B359C25" w:rsidR="007918D2" w:rsidRDefault="007918D2">
      <w:pPr>
        <w:pStyle w:val="FootnoteText"/>
      </w:pPr>
      <w:r>
        <w:rPr>
          <w:rStyle w:val="FootnoteReference"/>
        </w:rPr>
        <w:footnoteRef/>
      </w:r>
      <w:r>
        <w:t xml:space="preserve"> The Commission’s rules require that biennial ownership reports on Forms 323 and 323-E provide all information required by, and comply with all requirements set forth in, the version of Form 2100, Schedule 323 and Form 2100, Schedule 323-E that is current on October 1 of the year in which the ownership report is filed.  47 CFR § 73.3615(a), (d).  We will deem the LMS versions of Forms 323 and 323-E as the current versions required by the rule.</w:t>
      </w:r>
    </w:p>
  </w:footnote>
  <w:footnote w:id="8">
    <w:p w14:paraId="0C263F21" w14:textId="04D133C7" w:rsidR="005F75A8" w:rsidRPr="005F75A8" w:rsidRDefault="005F75A8">
      <w:pPr>
        <w:pStyle w:val="FootnoteText"/>
      </w:pPr>
      <w:r>
        <w:rPr>
          <w:rStyle w:val="FootnoteReference"/>
        </w:rPr>
        <w:footnoteRef/>
      </w:r>
      <w:r>
        <w:t xml:space="preserve"> As discussed above, the Bureau previously suspended the biennial filing requirement for NCE licensees and entities that would otherwise be required to file biennial ownership reports on Form 323-E between December 20, 2016, and December 1, 2017.  Because we are delaying the filing deadline for the revised Form 323-E, we hereby suspend the </w:t>
      </w:r>
      <w:r w:rsidR="00CE6B8C">
        <w:t xml:space="preserve">existing </w:t>
      </w:r>
      <w:r>
        <w:t xml:space="preserve">biennial filing requirement for NCE licensees and entities that would otherwise be required to file biennial ownership reports on Form 323-E on December 1, 2017, and </w:t>
      </w:r>
      <w:r w:rsidR="00C26DF0">
        <w:t>February 1</w:t>
      </w:r>
      <w:r>
        <w:t xml:space="preserve">, 2018.  </w:t>
      </w:r>
      <w:r>
        <w:rPr>
          <w:i/>
        </w:rPr>
        <w:t>See 323-E Suspension Order</w:t>
      </w:r>
      <w:r>
        <w:t>, 31 FCC Rcd 13263.</w:t>
      </w:r>
    </w:p>
  </w:footnote>
  <w:footnote w:id="9">
    <w:p w14:paraId="5185872D" w14:textId="77777777" w:rsidR="00C04A03" w:rsidRDefault="00C04A03" w:rsidP="00C04A03">
      <w:pPr>
        <w:pStyle w:val="FootnoteText"/>
      </w:pPr>
      <w:r>
        <w:rPr>
          <w:rStyle w:val="FootnoteReference"/>
        </w:rPr>
        <w:footnoteRef/>
      </w:r>
      <w:r>
        <w:t xml:space="preserve"> Thus, in cases where a broadcast station is assigned or transferred after October 1, 2017, a biennial ownership report for the station must be filed by the individual or entity that held the station’s license on October 1, 2017, as well as any entity that held an attributable interest in the station’s licensee on October 1, 2017, even if they no longer own the station at the time the biennial ownership report is filed.    </w:t>
      </w:r>
    </w:p>
  </w:footnote>
  <w:footnote w:id="10">
    <w:p w14:paraId="432E0101" w14:textId="0DE22E52" w:rsidR="00955E65" w:rsidRPr="00955E65" w:rsidRDefault="00955E65">
      <w:pPr>
        <w:pStyle w:val="FootnoteText"/>
      </w:pPr>
      <w:r>
        <w:rPr>
          <w:rStyle w:val="FootnoteReference"/>
        </w:rPr>
        <w:footnoteRef/>
      </w:r>
      <w:r>
        <w:t xml:space="preserve"> </w:t>
      </w:r>
      <w:r>
        <w:rPr>
          <w:i/>
        </w:rPr>
        <w:t>323 and 323-E Order</w:t>
      </w:r>
      <w:r w:rsidR="000021A1">
        <w:t>, Appendices D &amp;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22E2" w14:textId="77777777" w:rsidR="006C37B5" w:rsidRDefault="006C3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3BAC" w14:textId="6E34BB52" w:rsidR="00D32067" w:rsidRDefault="00D32067" w:rsidP="00810B6F">
    <w:pPr>
      <w:pStyle w:val="Header"/>
      <w:rPr>
        <w:b w:val="0"/>
      </w:rPr>
    </w:pPr>
    <w:r>
      <w:tab/>
      <w:t>Federal Communications Commission</w:t>
    </w:r>
    <w:r>
      <w:tab/>
    </w:r>
    <w:r w:rsidR="00142768" w:rsidRPr="00B949F8">
      <w:t>DA 17-</w:t>
    </w:r>
    <w:r w:rsidR="0005089E" w:rsidRPr="00B949F8">
      <w:rPr>
        <w:spacing w:val="-2"/>
      </w:rPr>
      <w:t>813</w:t>
    </w:r>
  </w:p>
  <w:p w14:paraId="39A6FCF7" w14:textId="77777777" w:rsidR="00D32067" w:rsidRDefault="00D3206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9902FF8" wp14:editId="0B8D1CE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5F9B51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6437482" w14:textId="77777777" w:rsidR="00D32067" w:rsidRDefault="00D3206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F4B0B" w14:textId="69472892" w:rsidR="00D32067" w:rsidRDefault="00D32067" w:rsidP="00810B6F">
    <w:pPr>
      <w:pStyle w:val="Header"/>
      <w:rPr>
        <w:b w:val="0"/>
      </w:rPr>
    </w:pPr>
    <w:r>
      <w:rPr>
        <w:noProof/>
      </w:rPr>
      <mc:AlternateContent>
        <mc:Choice Requires="wps">
          <w:drawing>
            <wp:anchor distT="0" distB="0" distL="114300" distR="114300" simplePos="0" relativeHeight="251658240" behindDoc="1" locked="0" layoutInCell="0" allowOverlap="1" wp14:anchorId="3F9B9626" wp14:editId="4EDC18C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49DACF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w:t>
    </w:r>
    <w:r w:rsidR="0005089E">
      <w:rPr>
        <w:spacing w:val="-2"/>
      </w:rPr>
      <w:t>813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6DEEAC5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F8723DB"/>
    <w:multiLevelType w:val="hybridMultilevel"/>
    <w:tmpl w:val="C046B992"/>
    <w:lvl w:ilvl="0" w:tplc="109A1F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DE"/>
    <w:rsid w:val="000021A1"/>
    <w:rsid w:val="00004966"/>
    <w:rsid w:val="00007FD7"/>
    <w:rsid w:val="00012523"/>
    <w:rsid w:val="00012EC9"/>
    <w:rsid w:val="00016EEF"/>
    <w:rsid w:val="00023361"/>
    <w:rsid w:val="00034DC6"/>
    <w:rsid w:val="00036039"/>
    <w:rsid w:val="000373F7"/>
    <w:rsid w:val="00037F90"/>
    <w:rsid w:val="00042220"/>
    <w:rsid w:val="00042951"/>
    <w:rsid w:val="000506FB"/>
    <w:rsid w:val="0005089E"/>
    <w:rsid w:val="000745CD"/>
    <w:rsid w:val="00075C19"/>
    <w:rsid w:val="000875BF"/>
    <w:rsid w:val="00090C7A"/>
    <w:rsid w:val="00096D8C"/>
    <w:rsid w:val="000A5776"/>
    <w:rsid w:val="000B58CB"/>
    <w:rsid w:val="000C0B65"/>
    <w:rsid w:val="000D72B7"/>
    <w:rsid w:val="000E05FE"/>
    <w:rsid w:val="000E3D42"/>
    <w:rsid w:val="00104FB3"/>
    <w:rsid w:val="001221A6"/>
    <w:rsid w:val="00122BD5"/>
    <w:rsid w:val="00124343"/>
    <w:rsid w:val="00133F79"/>
    <w:rsid w:val="00142768"/>
    <w:rsid w:val="00147652"/>
    <w:rsid w:val="00147CC5"/>
    <w:rsid w:val="00154396"/>
    <w:rsid w:val="00161378"/>
    <w:rsid w:val="0017362D"/>
    <w:rsid w:val="00180FA4"/>
    <w:rsid w:val="00181112"/>
    <w:rsid w:val="00186654"/>
    <w:rsid w:val="00187F52"/>
    <w:rsid w:val="00194A66"/>
    <w:rsid w:val="001B5726"/>
    <w:rsid w:val="001C077F"/>
    <w:rsid w:val="001C2EE4"/>
    <w:rsid w:val="001C5C34"/>
    <w:rsid w:val="001D6BCF"/>
    <w:rsid w:val="001E01CA"/>
    <w:rsid w:val="001E433F"/>
    <w:rsid w:val="001E51E6"/>
    <w:rsid w:val="00201C24"/>
    <w:rsid w:val="00212E6A"/>
    <w:rsid w:val="00233154"/>
    <w:rsid w:val="00250666"/>
    <w:rsid w:val="002558D4"/>
    <w:rsid w:val="002602D1"/>
    <w:rsid w:val="002716F1"/>
    <w:rsid w:val="00275CF5"/>
    <w:rsid w:val="00276D45"/>
    <w:rsid w:val="002827CE"/>
    <w:rsid w:val="0028301F"/>
    <w:rsid w:val="00285017"/>
    <w:rsid w:val="00293348"/>
    <w:rsid w:val="002A2D2E"/>
    <w:rsid w:val="002A599E"/>
    <w:rsid w:val="002A60B5"/>
    <w:rsid w:val="002C00E8"/>
    <w:rsid w:val="002D5B5D"/>
    <w:rsid w:val="002D6DEC"/>
    <w:rsid w:val="002E7E59"/>
    <w:rsid w:val="00307B97"/>
    <w:rsid w:val="00311082"/>
    <w:rsid w:val="003134B7"/>
    <w:rsid w:val="003171F9"/>
    <w:rsid w:val="00322D26"/>
    <w:rsid w:val="0033054A"/>
    <w:rsid w:val="00337F89"/>
    <w:rsid w:val="00343749"/>
    <w:rsid w:val="00352F1B"/>
    <w:rsid w:val="003541D0"/>
    <w:rsid w:val="003660ED"/>
    <w:rsid w:val="00371A30"/>
    <w:rsid w:val="00380D09"/>
    <w:rsid w:val="003B0550"/>
    <w:rsid w:val="003B6146"/>
    <w:rsid w:val="003B694F"/>
    <w:rsid w:val="003C099A"/>
    <w:rsid w:val="003E525C"/>
    <w:rsid w:val="003E553F"/>
    <w:rsid w:val="003F171C"/>
    <w:rsid w:val="00412FC5"/>
    <w:rsid w:val="00422276"/>
    <w:rsid w:val="004242F1"/>
    <w:rsid w:val="00445A00"/>
    <w:rsid w:val="00451B0F"/>
    <w:rsid w:val="004571DE"/>
    <w:rsid w:val="004620EA"/>
    <w:rsid w:val="00464459"/>
    <w:rsid w:val="00470888"/>
    <w:rsid w:val="0047493C"/>
    <w:rsid w:val="004949A0"/>
    <w:rsid w:val="00495E6F"/>
    <w:rsid w:val="004B007D"/>
    <w:rsid w:val="004C2528"/>
    <w:rsid w:val="004C2EE3"/>
    <w:rsid w:val="004C4307"/>
    <w:rsid w:val="004C70BA"/>
    <w:rsid w:val="004E4A22"/>
    <w:rsid w:val="004F0633"/>
    <w:rsid w:val="00505886"/>
    <w:rsid w:val="00511968"/>
    <w:rsid w:val="005317E7"/>
    <w:rsid w:val="0053766C"/>
    <w:rsid w:val="00543763"/>
    <w:rsid w:val="00555802"/>
    <w:rsid w:val="0055614C"/>
    <w:rsid w:val="00571566"/>
    <w:rsid w:val="005756A9"/>
    <w:rsid w:val="00590E3F"/>
    <w:rsid w:val="0059378C"/>
    <w:rsid w:val="00595EDE"/>
    <w:rsid w:val="005A2D86"/>
    <w:rsid w:val="005B2E27"/>
    <w:rsid w:val="005C66D0"/>
    <w:rsid w:val="005D0816"/>
    <w:rsid w:val="005E14C2"/>
    <w:rsid w:val="005E388E"/>
    <w:rsid w:val="005F520C"/>
    <w:rsid w:val="005F75A8"/>
    <w:rsid w:val="00606E99"/>
    <w:rsid w:val="00607BA5"/>
    <w:rsid w:val="0061180A"/>
    <w:rsid w:val="00626EB6"/>
    <w:rsid w:val="00652B3D"/>
    <w:rsid w:val="00653D80"/>
    <w:rsid w:val="00655D03"/>
    <w:rsid w:val="0066333E"/>
    <w:rsid w:val="00665F46"/>
    <w:rsid w:val="00670FD5"/>
    <w:rsid w:val="00683388"/>
    <w:rsid w:val="00683F84"/>
    <w:rsid w:val="0069196A"/>
    <w:rsid w:val="006A6A81"/>
    <w:rsid w:val="006B0088"/>
    <w:rsid w:val="006C37B5"/>
    <w:rsid w:val="006C5F3D"/>
    <w:rsid w:val="006D4745"/>
    <w:rsid w:val="006E4FEF"/>
    <w:rsid w:val="006E6FD5"/>
    <w:rsid w:val="006F169A"/>
    <w:rsid w:val="006F7393"/>
    <w:rsid w:val="0070224F"/>
    <w:rsid w:val="00703E00"/>
    <w:rsid w:val="007115F7"/>
    <w:rsid w:val="00723725"/>
    <w:rsid w:val="00733CE8"/>
    <w:rsid w:val="007363A4"/>
    <w:rsid w:val="00741296"/>
    <w:rsid w:val="007456AA"/>
    <w:rsid w:val="00746A9A"/>
    <w:rsid w:val="00752799"/>
    <w:rsid w:val="007542DD"/>
    <w:rsid w:val="00766A7B"/>
    <w:rsid w:val="0076722F"/>
    <w:rsid w:val="0077766B"/>
    <w:rsid w:val="007824C3"/>
    <w:rsid w:val="00785689"/>
    <w:rsid w:val="007918D2"/>
    <w:rsid w:val="00791E69"/>
    <w:rsid w:val="0079754B"/>
    <w:rsid w:val="007A1E6D"/>
    <w:rsid w:val="007B0EB2"/>
    <w:rsid w:val="007B6C86"/>
    <w:rsid w:val="008042E3"/>
    <w:rsid w:val="00810B6F"/>
    <w:rsid w:val="008150FB"/>
    <w:rsid w:val="0081741F"/>
    <w:rsid w:val="00822CE0"/>
    <w:rsid w:val="00824893"/>
    <w:rsid w:val="00841AB1"/>
    <w:rsid w:val="0084683B"/>
    <w:rsid w:val="00862015"/>
    <w:rsid w:val="0086513D"/>
    <w:rsid w:val="00873E29"/>
    <w:rsid w:val="00894A2D"/>
    <w:rsid w:val="008B46EE"/>
    <w:rsid w:val="008B534F"/>
    <w:rsid w:val="008B7285"/>
    <w:rsid w:val="008C68F1"/>
    <w:rsid w:val="008F3745"/>
    <w:rsid w:val="0090478E"/>
    <w:rsid w:val="00920C44"/>
    <w:rsid w:val="00921803"/>
    <w:rsid w:val="00924F3C"/>
    <w:rsid w:val="00926503"/>
    <w:rsid w:val="00955E65"/>
    <w:rsid w:val="0096147D"/>
    <w:rsid w:val="009726D8"/>
    <w:rsid w:val="00973B9F"/>
    <w:rsid w:val="0098495A"/>
    <w:rsid w:val="009A3A28"/>
    <w:rsid w:val="009B290A"/>
    <w:rsid w:val="009D59CC"/>
    <w:rsid w:val="009F613B"/>
    <w:rsid w:val="009F76DB"/>
    <w:rsid w:val="00A17211"/>
    <w:rsid w:val="00A25DFC"/>
    <w:rsid w:val="00A32A4D"/>
    <w:rsid w:val="00A32C3B"/>
    <w:rsid w:val="00A37895"/>
    <w:rsid w:val="00A37BBA"/>
    <w:rsid w:val="00A44C72"/>
    <w:rsid w:val="00A45F4F"/>
    <w:rsid w:val="00A600A9"/>
    <w:rsid w:val="00A6479E"/>
    <w:rsid w:val="00A74448"/>
    <w:rsid w:val="00A86FB3"/>
    <w:rsid w:val="00A97169"/>
    <w:rsid w:val="00AA55B7"/>
    <w:rsid w:val="00AA5B9E"/>
    <w:rsid w:val="00AB2407"/>
    <w:rsid w:val="00AB3425"/>
    <w:rsid w:val="00AB53DF"/>
    <w:rsid w:val="00AC2A38"/>
    <w:rsid w:val="00AD3C02"/>
    <w:rsid w:val="00AD4F66"/>
    <w:rsid w:val="00AE25DD"/>
    <w:rsid w:val="00B040CD"/>
    <w:rsid w:val="00B07E5C"/>
    <w:rsid w:val="00B11079"/>
    <w:rsid w:val="00B64D1C"/>
    <w:rsid w:val="00B772E9"/>
    <w:rsid w:val="00B77DC8"/>
    <w:rsid w:val="00B811F7"/>
    <w:rsid w:val="00B94874"/>
    <w:rsid w:val="00B949F8"/>
    <w:rsid w:val="00B95950"/>
    <w:rsid w:val="00BA5DC6"/>
    <w:rsid w:val="00BA6196"/>
    <w:rsid w:val="00BB050F"/>
    <w:rsid w:val="00BB3B0B"/>
    <w:rsid w:val="00BB6FF7"/>
    <w:rsid w:val="00BC04CF"/>
    <w:rsid w:val="00BC5C40"/>
    <w:rsid w:val="00BC6D8C"/>
    <w:rsid w:val="00BF6C8D"/>
    <w:rsid w:val="00C02EA4"/>
    <w:rsid w:val="00C03643"/>
    <w:rsid w:val="00C04A03"/>
    <w:rsid w:val="00C05252"/>
    <w:rsid w:val="00C128B2"/>
    <w:rsid w:val="00C26DF0"/>
    <w:rsid w:val="00C34006"/>
    <w:rsid w:val="00C426B1"/>
    <w:rsid w:val="00C66160"/>
    <w:rsid w:val="00C721AC"/>
    <w:rsid w:val="00C813D7"/>
    <w:rsid w:val="00C90D6A"/>
    <w:rsid w:val="00C94A99"/>
    <w:rsid w:val="00CA247E"/>
    <w:rsid w:val="00CB009B"/>
    <w:rsid w:val="00CB00E9"/>
    <w:rsid w:val="00CC72B6"/>
    <w:rsid w:val="00CC7CC9"/>
    <w:rsid w:val="00CD3A58"/>
    <w:rsid w:val="00CD46C2"/>
    <w:rsid w:val="00CE4BA3"/>
    <w:rsid w:val="00CE6B8C"/>
    <w:rsid w:val="00CF1421"/>
    <w:rsid w:val="00D0218D"/>
    <w:rsid w:val="00D07728"/>
    <w:rsid w:val="00D142F4"/>
    <w:rsid w:val="00D15E75"/>
    <w:rsid w:val="00D25FB5"/>
    <w:rsid w:val="00D32067"/>
    <w:rsid w:val="00D34329"/>
    <w:rsid w:val="00D36099"/>
    <w:rsid w:val="00D44223"/>
    <w:rsid w:val="00D514DF"/>
    <w:rsid w:val="00D63A45"/>
    <w:rsid w:val="00D734CC"/>
    <w:rsid w:val="00D81750"/>
    <w:rsid w:val="00D85CE2"/>
    <w:rsid w:val="00D90B7D"/>
    <w:rsid w:val="00DA2529"/>
    <w:rsid w:val="00DA28C4"/>
    <w:rsid w:val="00DB130A"/>
    <w:rsid w:val="00DB2EBB"/>
    <w:rsid w:val="00DB5F7E"/>
    <w:rsid w:val="00DC10A1"/>
    <w:rsid w:val="00DC27E7"/>
    <w:rsid w:val="00DC655F"/>
    <w:rsid w:val="00DD0B59"/>
    <w:rsid w:val="00DD119E"/>
    <w:rsid w:val="00DD14E5"/>
    <w:rsid w:val="00DD7EBD"/>
    <w:rsid w:val="00DF62B6"/>
    <w:rsid w:val="00DF729D"/>
    <w:rsid w:val="00E0176D"/>
    <w:rsid w:val="00E07225"/>
    <w:rsid w:val="00E27883"/>
    <w:rsid w:val="00E43BFB"/>
    <w:rsid w:val="00E5409F"/>
    <w:rsid w:val="00E54AB3"/>
    <w:rsid w:val="00E567C0"/>
    <w:rsid w:val="00E571BF"/>
    <w:rsid w:val="00E7438C"/>
    <w:rsid w:val="00EB59C3"/>
    <w:rsid w:val="00EC1382"/>
    <w:rsid w:val="00EE6488"/>
    <w:rsid w:val="00F021FA"/>
    <w:rsid w:val="00F179BF"/>
    <w:rsid w:val="00F22B60"/>
    <w:rsid w:val="00F310F2"/>
    <w:rsid w:val="00F3329B"/>
    <w:rsid w:val="00F430FE"/>
    <w:rsid w:val="00F45933"/>
    <w:rsid w:val="00F62E97"/>
    <w:rsid w:val="00F64209"/>
    <w:rsid w:val="00F809F7"/>
    <w:rsid w:val="00F92060"/>
    <w:rsid w:val="00F92E48"/>
    <w:rsid w:val="00F93BF5"/>
    <w:rsid w:val="00FA4423"/>
    <w:rsid w:val="00FB5A3F"/>
    <w:rsid w:val="00FC26CF"/>
    <w:rsid w:val="00FD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3F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F3D"/>
    <w:pPr>
      <w:widowControl w:val="0"/>
    </w:pPr>
    <w:rPr>
      <w:snapToGrid w:val="0"/>
      <w:kern w:val="28"/>
      <w:sz w:val="22"/>
    </w:rPr>
  </w:style>
  <w:style w:type="paragraph" w:styleId="Heading1">
    <w:name w:val="heading 1"/>
    <w:basedOn w:val="Normal"/>
    <w:next w:val="ParaNum"/>
    <w:qFormat/>
    <w:rsid w:val="006C5F3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C5F3D"/>
    <w:pPr>
      <w:keepNext/>
      <w:numPr>
        <w:ilvl w:val="1"/>
        <w:numId w:val="3"/>
      </w:numPr>
      <w:spacing w:after="120"/>
      <w:outlineLvl w:val="1"/>
    </w:pPr>
    <w:rPr>
      <w:b/>
    </w:rPr>
  </w:style>
  <w:style w:type="paragraph" w:styleId="Heading3">
    <w:name w:val="heading 3"/>
    <w:basedOn w:val="Normal"/>
    <w:next w:val="ParaNum"/>
    <w:qFormat/>
    <w:rsid w:val="006C5F3D"/>
    <w:pPr>
      <w:keepNext/>
      <w:numPr>
        <w:ilvl w:val="2"/>
        <w:numId w:val="3"/>
      </w:numPr>
      <w:tabs>
        <w:tab w:val="left" w:pos="2160"/>
      </w:tabs>
      <w:spacing w:after="120"/>
      <w:outlineLvl w:val="2"/>
    </w:pPr>
    <w:rPr>
      <w:b/>
    </w:rPr>
  </w:style>
  <w:style w:type="paragraph" w:styleId="Heading4">
    <w:name w:val="heading 4"/>
    <w:basedOn w:val="Normal"/>
    <w:next w:val="ParaNum"/>
    <w:qFormat/>
    <w:rsid w:val="006C5F3D"/>
    <w:pPr>
      <w:keepNext/>
      <w:numPr>
        <w:ilvl w:val="3"/>
        <w:numId w:val="3"/>
      </w:numPr>
      <w:tabs>
        <w:tab w:val="left" w:pos="2880"/>
      </w:tabs>
      <w:spacing w:after="120"/>
      <w:outlineLvl w:val="3"/>
    </w:pPr>
    <w:rPr>
      <w:b/>
    </w:rPr>
  </w:style>
  <w:style w:type="paragraph" w:styleId="Heading5">
    <w:name w:val="heading 5"/>
    <w:basedOn w:val="Normal"/>
    <w:next w:val="ParaNum"/>
    <w:qFormat/>
    <w:rsid w:val="006C5F3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C5F3D"/>
    <w:pPr>
      <w:numPr>
        <w:ilvl w:val="5"/>
        <w:numId w:val="3"/>
      </w:numPr>
      <w:tabs>
        <w:tab w:val="left" w:pos="4320"/>
      </w:tabs>
      <w:spacing w:after="120"/>
      <w:outlineLvl w:val="5"/>
    </w:pPr>
    <w:rPr>
      <w:b/>
    </w:rPr>
  </w:style>
  <w:style w:type="paragraph" w:styleId="Heading7">
    <w:name w:val="heading 7"/>
    <w:basedOn w:val="Normal"/>
    <w:next w:val="ParaNum"/>
    <w:qFormat/>
    <w:rsid w:val="006C5F3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5F3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C5F3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C5F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5F3D"/>
  </w:style>
  <w:style w:type="paragraph" w:customStyle="1" w:styleId="ParaNum">
    <w:name w:val="ParaNum"/>
    <w:basedOn w:val="Normal"/>
    <w:rsid w:val="006C5F3D"/>
    <w:pPr>
      <w:numPr>
        <w:numId w:val="2"/>
      </w:numPr>
      <w:tabs>
        <w:tab w:val="clear" w:pos="1080"/>
        <w:tab w:val="num" w:pos="1440"/>
      </w:tabs>
      <w:spacing w:after="120"/>
    </w:pPr>
  </w:style>
  <w:style w:type="paragraph" w:styleId="EndnoteText">
    <w:name w:val="endnote text"/>
    <w:basedOn w:val="Normal"/>
    <w:semiHidden/>
    <w:rsid w:val="006C5F3D"/>
    <w:rPr>
      <w:sz w:val="20"/>
    </w:rPr>
  </w:style>
  <w:style w:type="character" w:styleId="EndnoteReference">
    <w:name w:val="endnote reference"/>
    <w:semiHidden/>
    <w:rsid w:val="006C5F3D"/>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Footnote Text Char1 Char"/>
    <w:link w:val="FootnoteTextChar2"/>
    <w:rsid w:val="006C5F3D"/>
    <w:pPr>
      <w:spacing w:after="120"/>
    </w:pPr>
  </w:style>
  <w:style w:type="character" w:styleId="FootnoteReference">
    <w:name w:val="footnote reference"/>
    <w:aliases w:val="Style 12,(NECG) Footnote Reference,o,fr,Style 3,Appel note de bas de p"/>
    <w:rsid w:val="006C5F3D"/>
    <w:rPr>
      <w:rFonts w:ascii="Times New Roman" w:hAnsi="Times New Roman"/>
      <w:dstrike w:val="0"/>
      <w:color w:val="auto"/>
      <w:sz w:val="20"/>
      <w:vertAlign w:val="superscript"/>
    </w:rPr>
  </w:style>
  <w:style w:type="paragraph" w:styleId="TOC1">
    <w:name w:val="toc 1"/>
    <w:basedOn w:val="Normal"/>
    <w:next w:val="Normal"/>
    <w:semiHidden/>
    <w:rsid w:val="006C5F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5F3D"/>
    <w:pPr>
      <w:tabs>
        <w:tab w:val="left" w:pos="720"/>
        <w:tab w:val="right" w:leader="dot" w:pos="9360"/>
      </w:tabs>
      <w:suppressAutoHyphens/>
      <w:ind w:left="720" w:right="720" w:hanging="360"/>
    </w:pPr>
    <w:rPr>
      <w:noProof/>
    </w:rPr>
  </w:style>
  <w:style w:type="paragraph" w:styleId="TOC3">
    <w:name w:val="toc 3"/>
    <w:basedOn w:val="Normal"/>
    <w:next w:val="Normal"/>
    <w:semiHidden/>
    <w:rsid w:val="006C5F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5F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5F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5F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5F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5F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5F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5F3D"/>
    <w:pPr>
      <w:tabs>
        <w:tab w:val="right" w:pos="9360"/>
      </w:tabs>
      <w:suppressAutoHyphens/>
    </w:pPr>
  </w:style>
  <w:style w:type="character" w:customStyle="1" w:styleId="EquationCaption">
    <w:name w:val="_Equation Caption"/>
    <w:rsid w:val="006C5F3D"/>
  </w:style>
  <w:style w:type="paragraph" w:styleId="Header">
    <w:name w:val="header"/>
    <w:basedOn w:val="Normal"/>
    <w:autoRedefine/>
    <w:rsid w:val="006C5F3D"/>
    <w:pPr>
      <w:tabs>
        <w:tab w:val="center" w:pos="4680"/>
        <w:tab w:val="right" w:pos="9360"/>
      </w:tabs>
    </w:pPr>
    <w:rPr>
      <w:b/>
    </w:rPr>
  </w:style>
  <w:style w:type="paragraph" w:styleId="Footer">
    <w:name w:val="footer"/>
    <w:basedOn w:val="Normal"/>
    <w:rsid w:val="006C5F3D"/>
    <w:pPr>
      <w:tabs>
        <w:tab w:val="center" w:pos="4320"/>
        <w:tab w:val="right" w:pos="8640"/>
      </w:tabs>
    </w:pPr>
  </w:style>
  <w:style w:type="character" w:styleId="PageNumber">
    <w:name w:val="page number"/>
    <w:basedOn w:val="DefaultParagraphFont"/>
    <w:rsid w:val="006C5F3D"/>
  </w:style>
  <w:style w:type="paragraph" w:styleId="BlockText">
    <w:name w:val="Block Text"/>
    <w:basedOn w:val="Normal"/>
    <w:rsid w:val="006C5F3D"/>
    <w:pPr>
      <w:spacing w:after="240"/>
      <w:ind w:left="1440" w:right="1440"/>
    </w:pPr>
  </w:style>
  <w:style w:type="paragraph" w:customStyle="1" w:styleId="Paratitle">
    <w:name w:val="Para title"/>
    <w:basedOn w:val="Normal"/>
    <w:rsid w:val="006C5F3D"/>
    <w:pPr>
      <w:tabs>
        <w:tab w:val="center" w:pos="9270"/>
      </w:tabs>
      <w:spacing w:after="240"/>
    </w:pPr>
    <w:rPr>
      <w:spacing w:val="-2"/>
    </w:rPr>
  </w:style>
  <w:style w:type="paragraph" w:customStyle="1" w:styleId="Bullet">
    <w:name w:val="Bullet"/>
    <w:basedOn w:val="Normal"/>
    <w:rsid w:val="006C5F3D"/>
    <w:pPr>
      <w:tabs>
        <w:tab w:val="left" w:pos="2160"/>
      </w:tabs>
      <w:spacing w:after="220"/>
      <w:ind w:left="2160" w:hanging="720"/>
    </w:pPr>
  </w:style>
  <w:style w:type="paragraph" w:customStyle="1" w:styleId="TableFormat">
    <w:name w:val="TableFormat"/>
    <w:basedOn w:val="Bullet"/>
    <w:rsid w:val="006C5F3D"/>
    <w:pPr>
      <w:tabs>
        <w:tab w:val="clear" w:pos="2160"/>
        <w:tab w:val="left" w:pos="5040"/>
      </w:tabs>
      <w:ind w:left="5040" w:hanging="3600"/>
    </w:pPr>
  </w:style>
  <w:style w:type="paragraph" w:customStyle="1" w:styleId="TOCTitle">
    <w:name w:val="TOC Title"/>
    <w:basedOn w:val="Normal"/>
    <w:rsid w:val="006C5F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5F3D"/>
    <w:pPr>
      <w:jc w:val="center"/>
    </w:pPr>
    <w:rPr>
      <w:rFonts w:ascii="Times New Roman Bold" w:hAnsi="Times New Roman Bold"/>
      <w:b/>
      <w:bCs/>
      <w:caps/>
      <w:szCs w:val="22"/>
    </w:rPr>
  </w:style>
  <w:style w:type="character" w:styleId="Hyperlink">
    <w:name w:val="Hyperlink"/>
    <w:rsid w:val="006C5F3D"/>
    <w:rPr>
      <w:color w:val="0000FF"/>
      <w:u w:val="single"/>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C813D7"/>
  </w:style>
  <w:style w:type="character" w:styleId="FollowedHyperlink">
    <w:name w:val="FollowedHyperlink"/>
    <w:basedOn w:val="DefaultParagraphFont"/>
    <w:rsid w:val="00A86FB3"/>
    <w:rPr>
      <w:color w:val="954F72" w:themeColor="followedHyperlink"/>
      <w:u w:val="single"/>
    </w:rPr>
  </w:style>
  <w:style w:type="character" w:customStyle="1" w:styleId="Mention1">
    <w:name w:val="Mention1"/>
    <w:basedOn w:val="DefaultParagraphFont"/>
    <w:uiPriority w:val="99"/>
    <w:semiHidden/>
    <w:unhideWhenUsed/>
    <w:rsid w:val="00DD119E"/>
    <w:rPr>
      <w:color w:val="2B579A"/>
      <w:shd w:val="clear" w:color="auto" w:fill="E6E6E6"/>
    </w:rPr>
  </w:style>
  <w:style w:type="character" w:styleId="CommentReference">
    <w:name w:val="annotation reference"/>
    <w:basedOn w:val="DefaultParagraphFont"/>
    <w:rsid w:val="00CC7CC9"/>
    <w:rPr>
      <w:sz w:val="16"/>
      <w:szCs w:val="16"/>
    </w:rPr>
  </w:style>
  <w:style w:type="paragraph" w:styleId="CommentText">
    <w:name w:val="annotation text"/>
    <w:basedOn w:val="Normal"/>
    <w:link w:val="CommentTextChar"/>
    <w:rsid w:val="00CC7CC9"/>
    <w:rPr>
      <w:sz w:val="20"/>
    </w:rPr>
  </w:style>
  <w:style w:type="character" w:customStyle="1" w:styleId="CommentTextChar">
    <w:name w:val="Comment Text Char"/>
    <w:basedOn w:val="DefaultParagraphFont"/>
    <w:link w:val="CommentText"/>
    <w:rsid w:val="00CC7CC9"/>
    <w:rPr>
      <w:snapToGrid w:val="0"/>
      <w:kern w:val="28"/>
    </w:rPr>
  </w:style>
  <w:style w:type="paragraph" w:styleId="CommentSubject">
    <w:name w:val="annotation subject"/>
    <w:basedOn w:val="CommentText"/>
    <w:next w:val="CommentText"/>
    <w:link w:val="CommentSubjectChar"/>
    <w:rsid w:val="00CC7CC9"/>
    <w:rPr>
      <w:b/>
      <w:bCs/>
    </w:rPr>
  </w:style>
  <w:style w:type="character" w:customStyle="1" w:styleId="CommentSubjectChar">
    <w:name w:val="Comment Subject Char"/>
    <w:basedOn w:val="CommentTextChar"/>
    <w:link w:val="CommentSubject"/>
    <w:rsid w:val="00CC7CC9"/>
    <w:rPr>
      <w:b/>
      <w:bCs/>
      <w:snapToGrid w:val="0"/>
      <w:kern w:val="28"/>
    </w:rPr>
  </w:style>
  <w:style w:type="paragraph" w:styleId="BalloonText">
    <w:name w:val="Balloon Text"/>
    <w:basedOn w:val="Normal"/>
    <w:link w:val="BalloonTextChar"/>
    <w:rsid w:val="00CC7CC9"/>
    <w:rPr>
      <w:rFonts w:ascii="Segoe UI" w:hAnsi="Segoe UI" w:cs="Segoe UI"/>
      <w:sz w:val="18"/>
      <w:szCs w:val="18"/>
    </w:rPr>
  </w:style>
  <w:style w:type="character" w:customStyle="1" w:styleId="BalloonTextChar">
    <w:name w:val="Balloon Text Char"/>
    <w:basedOn w:val="DefaultParagraphFont"/>
    <w:link w:val="BalloonText"/>
    <w:rsid w:val="00CC7CC9"/>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F3D"/>
    <w:pPr>
      <w:widowControl w:val="0"/>
    </w:pPr>
    <w:rPr>
      <w:snapToGrid w:val="0"/>
      <w:kern w:val="28"/>
      <w:sz w:val="22"/>
    </w:rPr>
  </w:style>
  <w:style w:type="paragraph" w:styleId="Heading1">
    <w:name w:val="heading 1"/>
    <w:basedOn w:val="Normal"/>
    <w:next w:val="ParaNum"/>
    <w:qFormat/>
    <w:rsid w:val="006C5F3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C5F3D"/>
    <w:pPr>
      <w:keepNext/>
      <w:numPr>
        <w:ilvl w:val="1"/>
        <w:numId w:val="3"/>
      </w:numPr>
      <w:spacing w:after="120"/>
      <w:outlineLvl w:val="1"/>
    </w:pPr>
    <w:rPr>
      <w:b/>
    </w:rPr>
  </w:style>
  <w:style w:type="paragraph" w:styleId="Heading3">
    <w:name w:val="heading 3"/>
    <w:basedOn w:val="Normal"/>
    <w:next w:val="ParaNum"/>
    <w:qFormat/>
    <w:rsid w:val="006C5F3D"/>
    <w:pPr>
      <w:keepNext/>
      <w:numPr>
        <w:ilvl w:val="2"/>
        <w:numId w:val="3"/>
      </w:numPr>
      <w:tabs>
        <w:tab w:val="left" w:pos="2160"/>
      </w:tabs>
      <w:spacing w:after="120"/>
      <w:outlineLvl w:val="2"/>
    </w:pPr>
    <w:rPr>
      <w:b/>
    </w:rPr>
  </w:style>
  <w:style w:type="paragraph" w:styleId="Heading4">
    <w:name w:val="heading 4"/>
    <w:basedOn w:val="Normal"/>
    <w:next w:val="ParaNum"/>
    <w:qFormat/>
    <w:rsid w:val="006C5F3D"/>
    <w:pPr>
      <w:keepNext/>
      <w:numPr>
        <w:ilvl w:val="3"/>
        <w:numId w:val="3"/>
      </w:numPr>
      <w:tabs>
        <w:tab w:val="left" w:pos="2880"/>
      </w:tabs>
      <w:spacing w:after="120"/>
      <w:outlineLvl w:val="3"/>
    </w:pPr>
    <w:rPr>
      <w:b/>
    </w:rPr>
  </w:style>
  <w:style w:type="paragraph" w:styleId="Heading5">
    <w:name w:val="heading 5"/>
    <w:basedOn w:val="Normal"/>
    <w:next w:val="ParaNum"/>
    <w:qFormat/>
    <w:rsid w:val="006C5F3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C5F3D"/>
    <w:pPr>
      <w:numPr>
        <w:ilvl w:val="5"/>
        <w:numId w:val="3"/>
      </w:numPr>
      <w:tabs>
        <w:tab w:val="left" w:pos="4320"/>
      </w:tabs>
      <w:spacing w:after="120"/>
      <w:outlineLvl w:val="5"/>
    </w:pPr>
    <w:rPr>
      <w:b/>
    </w:rPr>
  </w:style>
  <w:style w:type="paragraph" w:styleId="Heading7">
    <w:name w:val="heading 7"/>
    <w:basedOn w:val="Normal"/>
    <w:next w:val="ParaNum"/>
    <w:qFormat/>
    <w:rsid w:val="006C5F3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5F3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C5F3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C5F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5F3D"/>
  </w:style>
  <w:style w:type="paragraph" w:customStyle="1" w:styleId="ParaNum">
    <w:name w:val="ParaNum"/>
    <w:basedOn w:val="Normal"/>
    <w:rsid w:val="006C5F3D"/>
    <w:pPr>
      <w:numPr>
        <w:numId w:val="2"/>
      </w:numPr>
      <w:tabs>
        <w:tab w:val="clear" w:pos="1080"/>
        <w:tab w:val="num" w:pos="1440"/>
      </w:tabs>
      <w:spacing w:after="120"/>
    </w:pPr>
  </w:style>
  <w:style w:type="paragraph" w:styleId="EndnoteText">
    <w:name w:val="endnote text"/>
    <w:basedOn w:val="Normal"/>
    <w:semiHidden/>
    <w:rsid w:val="006C5F3D"/>
    <w:rPr>
      <w:sz w:val="20"/>
    </w:rPr>
  </w:style>
  <w:style w:type="character" w:styleId="EndnoteReference">
    <w:name w:val="endnote reference"/>
    <w:semiHidden/>
    <w:rsid w:val="006C5F3D"/>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Footnote Text Char1 Char"/>
    <w:link w:val="FootnoteTextChar2"/>
    <w:rsid w:val="006C5F3D"/>
    <w:pPr>
      <w:spacing w:after="120"/>
    </w:pPr>
  </w:style>
  <w:style w:type="character" w:styleId="FootnoteReference">
    <w:name w:val="footnote reference"/>
    <w:aliases w:val="Style 12,(NECG) Footnote Reference,o,fr,Style 3,Appel note de bas de p"/>
    <w:rsid w:val="006C5F3D"/>
    <w:rPr>
      <w:rFonts w:ascii="Times New Roman" w:hAnsi="Times New Roman"/>
      <w:dstrike w:val="0"/>
      <w:color w:val="auto"/>
      <w:sz w:val="20"/>
      <w:vertAlign w:val="superscript"/>
    </w:rPr>
  </w:style>
  <w:style w:type="paragraph" w:styleId="TOC1">
    <w:name w:val="toc 1"/>
    <w:basedOn w:val="Normal"/>
    <w:next w:val="Normal"/>
    <w:semiHidden/>
    <w:rsid w:val="006C5F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5F3D"/>
    <w:pPr>
      <w:tabs>
        <w:tab w:val="left" w:pos="720"/>
        <w:tab w:val="right" w:leader="dot" w:pos="9360"/>
      </w:tabs>
      <w:suppressAutoHyphens/>
      <w:ind w:left="720" w:right="720" w:hanging="360"/>
    </w:pPr>
    <w:rPr>
      <w:noProof/>
    </w:rPr>
  </w:style>
  <w:style w:type="paragraph" w:styleId="TOC3">
    <w:name w:val="toc 3"/>
    <w:basedOn w:val="Normal"/>
    <w:next w:val="Normal"/>
    <w:semiHidden/>
    <w:rsid w:val="006C5F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5F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5F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5F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5F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5F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5F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5F3D"/>
    <w:pPr>
      <w:tabs>
        <w:tab w:val="right" w:pos="9360"/>
      </w:tabs>
      <w:suppressAutoHyphens/>
    </w:pPr>
  </w:style>
  <w:style w:type="character" w:customStyle="1" w:styleId="EquationCaption">
    <w:name w:val="_Equation Caption"/>
    <w:rsid w:val="006C5F3D"/>
  </w:style>
  <w:style w:type="paragraph" w:styleId="Header">
    <w:name w:val="header"/>
    <w:basedOn w:val="Normal"/>
    <w:autoRedefine/>
    <w:rsid w:val="006C5F3D"/>
    <w:pPr>
      <w:tabs>
        <w:tab w:val="center" w:pos="4680"/>
        <w:tab w:val="right" w:pos="9360"/>
      </w:tabs>
    </w:pPr>
    <w:rPr>
      <w:b/>
    </w:rPr>
  </w:style>
  <w:style w:type="paragraph" w:styleId="Footer">
    <w:name w:val="footer"/>
    <w:basedOn w:val="Normal"/>
    <w:rsid w:val="006C5F3D"/>
    <w:pPr>
      <w:tabs>
        <w:tab w:val="center" w:pos="4320"/>
        <w:tab w:val="right" w:pos="8640"/>
      </w:tabs>
    </w:pPr>
  </w:style>
  <w:style w:type="character" w:styleId="PageNumber">
    <w:name w:val="page number"/>
    <w:basedOn w:val="DefaultParagraphFont"/>
    <w:rsid w:val="006C5F3D"/>
  </w:style>
  <w:style w:type="paragraph" w:styleId="BlockText">
    <w:name w:val="Block Text"/>
    <w:basedOn w:val="Normal"/>
    <w:rsid w:val="006C5F3D"/>
    <w:pPr>
      <w:spacing w:after="240"/>
      <w:ind w:left="1440" w:right="1440"/>
    </w:pPr>
  </w:style>
  <w:style w:type="paragraph" w:customStyle="1" w:styleId="Paratitle">
    <w:name w:val="Para title"/>
    <w:basedOn w:val="Normal"/>
    <w:rsid w:val="006C5F3D"/>
    <w:pPr>
      <w:tabs>
        <w:tab w:val="center" w:pos="9270"/>
      </w:tabs>
      <w:spacing w:after="240"/>
    </w:pPr>
    <w:rPr>
      <w:spacing w:val="-2"/>
    </w:rPr>
  </w:style>
  <w:style w:type="paragraph" w:customStyle="1" w:styleId="Bullet">
    <w:name w:val="Bullet"/>
    <w:basedOn w:val="Normal"/>
    <w:rsid w:val="006C5F3D"/>
    <w:pPr>
      <w:tabs>
        <w:tab w:val="left" w:pos="2160"/>
      </w:tabs>
      <w:spacing w:after="220"/>
      <w:ind w:left="2160" w:hanging="720"/>
    </w:pPr>
  </w:style>
  <w:style w:type="paragraph" w:customStyle="1" w:styleId="TableFormat">
    <w:name w:val="TableFormat"/>
    <w:basedOn w:val="Bullet"/>
    <w:rsid w:val="006C5F3D"/>
    <w:pPr>
      <w:tabs>
        <w:tab w:val="clear" w:pos="2160"/>
        <w:tab w:val="left" w:pos="5040"/>
      </w:tabs>
      <w:ind w:left="5040" w:hanging="3600"/>
    </w:pPr>
  </w:style>
  <w:style w:type="paragraph" w:customStyle="1" w:styleId="TOCTitle">
    <w:name w:val="TOC Title"/>
    <w:basedOn w:val="Normal"/>
    <w:rsid w:val="006C5F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5F3D"/>
    <w:pPr>
      <w:jc w:val="center"/>
    </w:pPr>
    <w:rPr>
      <w:rFonts w:ascii="Times New Roman Bold" w:hAnsi="Times New Roman Bold"/>
      <w:b/>
      <w:bCs/>
      <w:caps/>
      <w:szCs w:val="22"/>
    </w:rPr>
  </w:style>
  <w:style w:type="character" w:styleId="Hyperlink">
    <w:name w:val="Hyperlink"/>
    <w:rsid w:val="006C5F3D"/>
    <w:rPr>
      <w:color w:val="0000FF"/>
      <w:u w:val="single"/>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C813D7"/>
  </w:style>
  <w:style w:type="character" w:styleId="FollowedHyperlink">
    <w:name w:val="FollowedHyperlink"/>
    <w:basedOn w:val="DefaultParagraphFont"/>
    <w:rsid w:val="00A86FB3"/>
    <w:rPr>
      <w:color w:val="954F72" w:themeColor="followedHyperlink"/>
      <w:u w:val="single"/>
    </w:rPr>
  </w:style>
  <w:style w:type="character" w:customStyle="1" w:styleId="Mention1">
    <w:name w:val="Mention1"/>
    <w:basedOn w:val="DefaultParagraphFont"/>
    <w:uiPriority w:val="99"/>
    <w:semiHidden/>
    <w:unhideWhenUsed/>
    <w:rsid w:val="00DD119E"/>
    <w:rPr>
      <w:color w:val="2B579A"/>
      <w:shd w:val="clear" w:color="auto" w:fill="E6E6E6"/>
    </w:rPr>
  </w:style>
  <w:style w:type="character" w:styleId="CommentReference">
    <w:name w:val="annotation reference"/>
    <w:basedOn w:val="DefaultParagraphFont"/>
    <w:rsid w:val="00CC7CC9"/>
    <w:rPr>
      <w:sz w:val="16"/>
      <w:szCs w:val="16"/>
    </w:rPr>
  </w:style>
  <w:style w:type="paragraph" w:styleId="CommentText">
    <w:name w:val="annotation text"/>
    <w:basedOn w:val="Normal"/>
    <w:link w:val="CommentTextChar"/>
    <w:rsid w:val="00CC7CC9"/>
    <w:rPr>
      <w:sz w:val="20"/>
    </w:rPr>
  </w:style>
  <w:style w:type="character" w:customStyle="1" w:styleId="CommentTextChar">
    <w:name w:val="Comment Text Char"/>
    <w:basedOn w:val="DefaultParagraphFont"/>
    <w:link w:val="CommentText"/>
    <w:rsid w:val="00CC7CC9"/>
    <w:rPr>
      <w:snapToGrid w:val="0"/>
      <w:kern w:val="28"/>
    </w:rPr>
  </w:style>
  <w:style w:type="paragraph" w:styleId="CommentSubject">
    <w:name w:val="annotation subject"/>
    <w:basedOn w:val="CommentText"/>
    <w:next w:val="CommentText"/>
    <w:link w:val="CommentSubjectChar"/>
    <w:rsid w:val="00CC7CC9"/>
    <w:rPr>
      <w:b/>
      <w:bCs/>
    </w:rPr>
  </w:style>
  <w:style w:type="character" w:customStyle="1" w:styleId="CommentSubjectChar">
    <w:name w:val="Comment Subject Char"/>
    <w:basedOn w:val="CommentTextChar"/>
    <w:link w:val="CommentSubject"/>
    <w:rsid w:val="00CC7CC9"/>
    <w:rPr>
      <w:b/>
      <w:bCs/>
      <w:snapToGrid w:val="0"/>
      <w:kern w:val="28"/>
    </w:rPr>
  </w:style>
  <w:style w:type="paragraph" w:styleId="BalloonText">
    <w:name w:val="Balloon Text"/>
    <w:basedOn w:val="Normal"/>
    <w:link w:val="BalloonTextChar"/>
    <w:rsid w:val="00CC7CC9"/>
    <w:rPr>
      <w:rFonts w:ascii="Segoe UI" w:hAnsi="Segoe UI" w:cs="Segoe UI"/>
      <w:sz w:val="18"/>
      <w:szCs w:val="18"/>
    </w:rPr>
  </w:style>
  <w:style w:type="character" w:customStyle="1" w:styleId="BalloonTextChar">
    <w:name w:val="Balloon Text Char"/>
    <w:basedOn w:val="DefaultParagraphFont"/>
    <w:link w:val="BalloonText"/>
    <w:rsid w:val="00CC7CC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media/ownership-report-commercial-broadcast-station-form-32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323@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reginfo.gov/public/do/PRAViewICR?ref_nbr=201705-3060-013" TargetMode="External"/><Relationship Id="rId1" Type="http://schemas.openxmlformats.org/officeDocument/2006/relationships/hyperlink" Target="https://www.reginfo.gov/public/do/PRAViewICR?ref_nbr=201609-3060-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624</Words>
  <Characters>3355</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2017-09-01T17:44:00Z</dcterms:created>
  <dcterms:modified xsi:type="dcterms:W3CDTF">2017-09-01T17:44:00Z</dcterms:modified>
  <cp:category> </cp:category>
  <cp:contentStatus> </cp:contentStatus>
</cp:coreProperties>
</file>