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39B46"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7C8A73D" w14:textId="77777777" w:rsidR="00921803" w:rsidRDefault="00921803" w:rsidP="00921803">
      <w:pPr>
        <w:pStyle w:val="StyleBoldCentered"/>
      </w:pPr>
      <w:r>
        <w:t>F</w:t>
      </w:r>
      <w:r>
        <w:rPr>
          <w:caps w:val="0"/>
        </w:rPr>
        <w:t>ederal Communications Commission</w:t>
      </w:r>
    </w:p>
    <w:p w14:paraId="67C4D50E" w14:textId="77777777" w:rsidR="004C2EE3" w:rsidRDefault="00810B6F" w:rsidP="00096D8C">
      <w:pPr>
        <w:pStyle w:val="StyleBoldCentered"/>
      </w:pPr>
      <w:r>
        <w:rPr>
          <w:caps w:val="0"/>
        </w:rPr>
        <w:t>Washington, D.C. 20554</w:t>
      </w:r>
    </w:p>
    <w:p w14:paraId="052E6AB5" w14:textId="77777777" w:rsidR="004C2EE3" w:rsidRDefault="004C2EE3" w:rsidP="0070224F"/>
    <w:p w14:paraId="60C05574"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17E589D5" w14:textId="77777777">
        <w:tc>
          <w:tcPr>
            <w:tcW w:w="4698" w:type="dxa"/>
          </w:tcPr>
          <w:p w14:paraId="4D9B29B8" w14:textId="77777777" w:rsidR="004C2EE3" w:rsidRDefault="004C2EE3">
            <w:pPr>
              <w:tabs>
                <w:tab w:val="center" w:pos="4680"/>
              </w:tabs>
              <w:suppressAutoHyphens/>
              <w:rPr>
                <w:spacing w:val="-2"/>
              </w:rPr>
            </w:pPr>
            <w:r>
              <w:rPr>
                <w:spacing w:val="-2"/>
              </w:rPr>
              <w:t>In the Matter of</w:t>
            </w:r>
          </w:p>
          <w:p w14:paraId="549C44DE" w14:textId="77777777" w:rsidR="004C2EE3" w:rsidRDefault="004C2EE3">
            <w:pPr>
              <w:tabs>
                <w:tab w:val="center" w:pos="4680"/>
              </w:tabs>
              <w:suppressAutoHyphens/>
              <w:rPr>
                <w:spacing w:val="-2"/>
              </w:rPr>
            </w:pPr>
          </w:p>
          <w:p w14:paraId="0A0AEE5D" w14:textId="77777777" w:rsidR="004C2EE3" w:rsidRPr="007115F7" w:rsidRDefault="00EA7EC4" w:rsidP="007115F7">
            <w:pPr>
              <w:tabs>
                <w:tab w:val="center" w:pos="4680"/>
              </w:tabs>
              <w:suppressAutoHyphens/>
              <w:rPr>
                <w:spacing w:val="-2"/>
              </w:rPr>
            </w:pPr>
            <w:r>
              <w:rPr>
                <w:spacing w:val="-2"/>
              </w:rPr>
              <w:t>Wireless Emergency Alerts</w:t>
            </w:r>
          </w:p>
        </w:tc>
        <w:tc>
          <w:tcPr>
            <w:tcW w:w="630" w:type="dxa"/>
          </w:tcPr>
          <w:p w14:paraId="606726F9" w14:textId="77777777" w:rsidR="004C2EE3" w:rsidRDefault="004C2EE3">
            <w:pPr>
              <w:tabs>
                <w:tab w:val="center" w:pos="4680"/>
              </w:tabs>
              <w:suppressAutoHyphens/>
              <w:rPr>
                <w:b/>
                <w:spacing w:val="-2"/>
              </w:rPr>
            </w:pPr>
            <w:r>
              <w:rPr>
                <w:b/>
                <w:spacing w:val="-2"/>
              </w:rPr>
              <w:t>)</w:t>
            </w:r>
          </w:p>
          <w:p w14:paraId="704EF958" w14:textId="77777777" w:rsidR="004C2EE3" w:rsidRDefault="004C2EE3">
            <w:pPr>
              <w:tabs>
                <w:tab w:val="center" w:pos="4680"/>
              </w:tabs>
              <w:suppressAutoHyphens/>
              <w:rPr>
                <w:b/>
                <w:spacing w:val="-2"/>
              </w:rPr>
            </w:pPr>
            <w:r>
              <w:rPr>
                <w:b/>
                <w:spacing w:val="-2"/>
              </w:rPr>
              <w:t>)</w:t>
            </w:r>
          </w:p>
          <w:p w14:paraId="20C08B79" w14:textId="77777777" w:rsidR="004C2EE3" w:rsidRDefault="004C2EE3">
            <w:pPr>
              <w:tabs>
                <w:tab w:val="center" w:pos="4680"/>
              </w:tabs>
              <w:suppressAutoHyphens/>
              <w:rPr>
                <w:b/>
                <w:spacing w:val="-2"/>
              </w:rPr>
            </w:pPr>
            <w:r>
              <w:rPr>
                <w:b/>
                <w:spacing w:val="-2"/>
              </w:rPr>
              <w:t>)</w:t>
            </w:r>
          </w:p>
          <w:p w14:paraId="15B36705" w14:textId="77777777" w:rsidR="004C2EE3" w:rsidRPr="00EA7EC4" w:rsidRDefault="004C2EE3">
            <w:pPr>
              <w:tabs>
                <w:tab w:val="center" w:pos="4680"/>
              </w:tabs>
              <w:suppressAutoHyphens/>
              <w:rPr>
                <w:b/>
                <w:spacing w:val="-2"/>
              </w:rPr>
            </w:pPr>
            <w:r>
              <w:rPr>
                <w:b/>
                <w:spacing w:val="-2"/>
              </w:rPr>
              <w:t>)</w:t>
            </w:r>
          </w:p>
        </w:tc>
        <w:tc>
          <w:tcPr>
            <w:tcW w:w="4248" w:type="dxa"/>
          </w:tcPr>
          <w:p w14:paraId="1E83D7ED" w14:textId="77777777" w:rsidR="004C2EE3" w:rsidRDefault="004C2EE3">
            <w:pPr>
              <w:tabs>
                <w:tab w:val="center" w:pos="4680"/>
              </w:tabs>
              <w:suppressAutoHyphens/>
              <w:rPr>
                <w:spacing w:val="-2"/>
              </w:rPr>
            </w:pPr>
          </w:p>
          <w:p w14:paraId="42FF5FE9" w14:textId="77777777" w:rsidR="004C2EE3" w:rsidRDefault="004C2EE3">
            <w:pPr>
              <w:pStyle w:val="TOAHeading"/>
              <w:tabs>
                <w:tab w:val="clear" w:pos="9360"/>
                <w:tab w:val="center" w:pos="4680"/>
              </w:tabs>
              <w:rPr>
                <w:spacing w:val="-2"/>
              </w:rPr>
            </w:pPr>
          </w:p>
          <w:p w14:paraId="5A0F4C0E" w14:textId="77777777" w:rsidR="004C2EE3" w:rsidRDefault="00EA7EC4">
            <w:pPr>
              <w:tabs>
                <w:tab w:val="center" w:pos="4680"/>
              </w:tabs>
              <w:suppressAutoHyphens/>
              <w:rPr>
                <w:spacing w:val="-2"/>
              </w:rPr>
            </w:pPr>
            <w:r>
              <w:rPr>
                <w:spacing w:val="-2"/>
              </w:rPr>
              <w:t>PS Docket No. 15-91</w:t>
            </w:r>
          </w:p>
        </w:tc>
      </w:tr>
    </w:tbl>
    <w:p w14:paraId="5BE57490" w14:textId="77777777" w:rsidR="004C2EE3" w:rsidRDefault="004C2EE3" w:rsidP="0070224F"/>
    <w:p w14:paraId="0CB59D65" w14:textId="77777777" w:rsidR="00841AB1" w:rsidRDefault="00EA7EC4" w:rsidP="00F021FA">
      <w:pPr>
        <w:pStyle w:val="StyleBoldCentered"/>
      </w:pPr>
      <w:r>
        <w:t>ORDER</w:t>
      </w:r>
      <w:r w:rsidR="008F153A">
        <w:t xml:space="preserve"> </w:t>
      </w:r>
    </w:p>
    <w:p w14:paraId="2E63E071" w14:textId="77777777" w:rsidR="004C2EE3" w:rsidRDefault="004C2EE3">
      <w:pPr>
        <w:tabs>
          <w:tab w:val="left" w:pos="-720"/>
        </w:tabs>
        <w:suppressAutoHyphens/>
        <w:spacing w:line="227" w:lineRule="auto"/>
        <w:rPr>
          <w:spacing w:val="-2"/>
        </w:rPr>
      </w:pPr>
    </w:p>
    <w:p w14:paraId="48A62418" w14:textId="77777777" w:rsidR="004C2EE3" w:rsidRDefault="004C2EE3" w:rsidP="00133F79">
      <w:pPr>
        <w:tabs>
          <w:tab w:val="left" w:pos="720"/>
          <w:tab w:val="right" w:pos="9360"/>
        </w:tabs>
        <w:suppressAutoHyphens/>
        <w:spacing w:line="227" w:lineRule="auto"/>
        <w:rPr>
          <w:spacing w:val="-2"/>
        </w:rPr>
      </w:pPr>
      <w:r>
        <w:rPr>
          <w:b/>
          <w:spacing w:val="-2"/>
        </w:rPr>
        <w:t xml:space="preserve">Adopted:  </w:t>
      </w:r>
      <w:r w:rsidR="002B2F28">
        <w:rPr>
          <w:b/>
          <w:spacing w:val="-2"/>
        </w:rPr>
        <w:t>September 1,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B2F28">
        <w:rPr>
          <w:b/>
          <w:spacing w:val="-2"/>
        </w:rPr>
        <w:t>September 1, 2017</w:t>
      </w:r>
    </w:p>
    <w:p w14:paraId="28C38CC7" w14:textId="77777777" w:rsidR="00822CE0" w:rsidRDefault="00822CE0"/>
    <w:p w14:paraId="70FC82E2" w14:textId="77777777" w:rsidR="00822CE0" w:rsidRDefault="004C2EE3">
      <w:pPr>
        <w:rPr>
          <w:spacing w:val="-2"/>
        </w:rPr>
      </w:pPr>
      <w:r>
        <w:t xml:space="preserve">By </w:t>
      </w:r>
      <w:r w:rsidR="004E4A22">
        <w:t>the</w:t>
      </w:r>
      <w:r w:rsidR="00EA7EC4">
        <w:rPr>
          <w:spacing w:val="-2"/>
        </w:rPr>
        <w:t xml:space="preserve"> </w:t>
      </w:r>
      <w:r w:rsidR="00421716">
        <w:rPr>
          <w:spacing w:val="-2"/>
        </w:rPr>
        <w:t xml:space="preserve">Chief, </w:t>
      </w:r>
      <w:r w:rsidR="00EA7EC4">
        <w:rPr>
          <w:spacing w:val="-2"/>
        </w:rPr>
        <w:t>Public Safety and Homeland Security Bureau</w:t>
      </w:r>
      <w:r>
        <w:rPr>
          <w:spacing w:val="-2"/>
        </w:rPr>
        <w:t>:</w:t>
      </w:r>
    </w:p>
    <w:p w14:paraId="22361B14" w14:textId="77777777" w:rsidR="00412FC5" w:rsidRDefault="00412FC5" w:rsidP="00412FC5"/>
    <w:p w14:paraId="10B9953A" w14:textId="77777777" w:rsidR="00EA7EC4" w:rsidRDefault="00EA7EC4" w:rsidP="00EA7EC4">
      <w:pPr>
        <w:pStyle w:val="Heading1"/>
      </w:pPr>
      <w:r>
        <w:t>Introduction</w:t>
      </w:r>
    </w:p>
    <w:p w14:paraId="3A9E8612" w14:textId="15A3E366" w:rsidR="00EA7EC4" w:rsidRDefault="00804E29" w:rsidP="007B59F2">
      <w:pPr>
        <w:pStyle w:val="ParaNum"/>
      </w:pPr>
      <w:r>
        <w:t xml:space="preserve">In this </w:t>
      </w:r>
      <w:r>
        <w:rPr>
          <w:i/>
        </w:rPr>
        <w:t>Order</w:t>
      </w:r>
      <w:r w:rsidR="00A679ED">
        <w:t xml:space="preserve">, the Public Safety and Homeland Security Bureau </w:t>
      </w:r>
      <w:r w:rsidR="0084351B">
        <w:t>(</w:t>
      </w:r>
      <w:r w:rsidR="0084351B" w:rsidRPr="00E0239C">
        <w:t>Bureau) grants</w:t>
      </w:r>
      <w:r w:rsidR="001E5BD9">
        <w:t xml:space="preserve"> temporary and conditional relief</w:t>
      </w:r>
      <w:r w:rsidR="00933F22" w:rsidRPr="00933F22">
        <w:t xml:space="preserve"> </w:t>
      </w:r>
      <w:r w:rsidR="00530334">
        <w:t xml:space="preserve">in response to a petition filed </w:t>
      </w:r>
      <w:r w:rsidR="00722244">
        <w:t xml:space="preserve">yesterday </w:t>
      </w:r>
      <w:r w:rsidR="00530334">
        <w:t xml:space="preserve">by </w:t>
      </w:r>
      <w:r w:rsidR="00933F22">
        <w:t xml:space="preserve">the </w:t>
      </w:r>
      <w:r w:rsidR="00933F22" w:rsidRPr="005C543C">
        <w:t>Competitive Carriers Association</w:t>
      </w:r>
      <w:r w:rsidR="00933F22">
        <w:t xml:space="preserve"> (CCA)</w:t>
      </w:r>
      <w:r w:rsidR="006223B4">
        <w:t xml:space="preserve"> in this docket.</w:t>
      </w:r>
      <w:r w:rsidR="006223B4">
        <w:rPr>
          <w:rStyle w:val="FootnoteReference"/>
        </w:rPr>
        <w:footnoteReference w:id="2"/>
      </w:r>
      <w:r w:rsidR="006223B4">
        <w:t xml:space="preserve"> </w:t>
      </w:r>
      <w:r w:rsidR="00AE06BA">
        <w:t xml:space="preserve"> </w:t>
      </w:r>
      <w:r w:rsidR="006223B4">
        <w:t xml:space="preserve">On behalf of its members, CCA </w:t>
      </w:r>
      <w:r w:rsidR="006223B4" w:rsidRPr="00E0239C">
        <w:t xml:space="preserve">seeks </w:t>
      </w:r>
      <w:r w:rsidR="00AE06BA" w:rsidRPr="00E0239C">
        <w:t xml:space="preserve">a </w:t>
      </w:r>
      <w:r w:rsidR="006223B4" w:rsidRPr="00E0239C">
        <w:t>partial</w:t>
      </w:r>
      <w:r w:rsidR="006223B4">
        <w:t xml:space="preserve"> </w:t>
      </w:r>
      <w:r w:rsidR="00AE06BA">
        <w:t xml:space="preserve">waiver of Section 10.220 of the </w:t>
      </w:r>
      <w:r w:rsidR="00351A42">
        <w:t>Commission’</w:t>
      </w:r>
      <w:r w:rsidR="00AE06BA">
        <w:t xml:space="preserve">s rules, which requires </w:t>
      </w:r>
      <w:r w:rsidR="0084351B">
        <w:t xml:space="preserve">Commercial Mobile Service providers </w:t>
      </w:r>
      <w:r w:rsidR="00AE06BA">
        <w:t>participating</w:t>
      </w:r>
      <w:r w:rsidR="00180097">
        <w:t xml:space="preserve"> in the Wireless Emergency Alerts (WEA) system</w:t>
      </w:r>
      <w:r w:rsidR="0084351B">
        <w:t xml:space="preserve"> (Participating </w:t>
      </w:r>
      <w:r w:rsidR="002B2F28">
        <w:t>CMS</w:t>
      </w:r>
      <w:r w:rsidR="0084351B">
        <w:t xml:space="preserve"> Providers) </w:t>
      </w:r>
      <w:r w:rsidR="00AE06BA">
        <w:t xml:space="preserve">to provide the Federal Communications Commission </w:t>
      </w:r>
      <w:r w:rsidR="003F2F6A">
        <w:t xml:space="preserve">(FCC or Commission) </w:t>
      </w:r>
      <w:r w:rsidR="00AE06BA">
        <w:t>and affected</w:t>
      </w:r>
      <w:r w:rsidR="0084351B">
        <w:t xml:space="preserve"> subscribers 60-days’ notice of their intent to withdraw their election.</w:t>
      </w:r>
      <w:r w:rsidR="006223B4">
        <w:rPr>
          <w:rStyle w:val="FootnoteReference"/>
        </w:rPr>
        <w:footnoteReference w:id="3"/>
      </w:r>
      <w:r w:rsidR="006223B4">
        <w:t xml:space="preserve"> </w:t>
      </w:r>
      <w:r w:rsidR="0084351B">
        <w:t xml:space="preserve"> </w:t>
      </w:r>
      <w:r w:rsidR="00722244">
        <w:t xml:space="preserve">Because CCA argues that, absent a waiver, some of its members would be required to notify customers today of their intent to withdraw their </w:t>
      </w:r>
      <w:r w:rsidR="007B59F2">
        <w:t xml:space="preserve">election to participate in the WEA system, and we find that the agency needs additional time to consider the merits of this waiver request, which was just filed yesterday, we grant CCA interim relief.  Specifically, we temporarily waive the 60-day notice requirement until the Commission or the Bureau acts on the merits of the </w:t>
      </w:r>
      <w:r w:rsidR="007B59F2" w:rsidRPr="00B40C79">
        <w:rPr>
          <w:i/>
        </w:rPr>
        <w:t>August 31 CCA Petition.</w:t>
      </w:r>
      <w:r w:rsidR="003F2F6A">
        <w:rPr>
          <w:rStyle w:val="FootnoteReference"/>
        </w:rPr>
        <w:footnoteReference w:id="4"/>
      </w:r>
      <w:r w:rsidR="007B59F2">
        <w:t xml:space="preserve">   </w:t>
      </w:r>
      <w:r w:rsidR="007B59F2" w:rsidRPr="007B59F2">
        <w:t xml:space="preserve">However, in order to ensure that this interim and temporary relief is not abused, we condition this waiver on the requirement that no Participating CMS Providers that are members of CCA </w:t>
      </w:r>
      <w:r w:rsidR="0091584C">
        <w:t xml:space="preserve">and want to take advantage of the waiver </w:t>
      </w:r>
      <w:r w:rsidR="007B59F2" w:rsidRPr="007B59F2">
        <w:t xml:space="preserve">stop participating in WEA while this </w:t>
      </w:r>
      <w:r w:rsidR="007B59F2">
        <w:t xml:space="preserve">temporary </w:t>
      </w:r>
      <w:r w:rsidR="007B59F2" w:rsidRPr="007B59F2">
        <w:t>waiver remains in effect.</w:t>
      </w:r>
      <w:r w:rsidR="007B59F2">
        <w:t xml:space="preserve">  </w:t>
      </w:r>
      <w:r w:rsidR="007B59F2" w:rsidRPr="007B59F2">
        <w:t xml:space="preserve">  </w:t>
      </w:r>
      <w:r w:rsidR="007B59F2">
        <w:t xml:space="preserve"> </w:t>
      </w:r>
      <w:r w:rsidR="00303A0E">
        <w:t xml:space="preserve">  </w:t>
      </w:r>
    </w:p>
    <w:p w14:paraId="6E8A3CA0" w14:textId="77777777" w:rsidR="00C97AE6" w:rsidRDefault="00C97AE6" w:rsidP="00C97AE6">
      <w:pPr>
        <w:pStyle w:val="Heading1"/>
      </w:pPr>
      <w:r>
        <w:t>BACKGROUND</w:t>
      </w:r>
    </w:p>
    <w:p w14:paraId="4844A908" w14:textId="77777777" w:rsidR="00C97AE6" w:rsidRPr="00534C07" w:rsidRDefault="00C97AE6" w:rsidP="00C97AE6">
      <w:pPr>
        <w:pStyle w:val="ParaNum"/>
        <w:tabs>
          <w:tab w:val="clear" w:pos="1080"/>
        </w:tabs>
      </w:pPr>
      <w:r w:rsidRPr="009A3B88">
        <w:t xml:space="preserve">In September 2016, the Commission adopted the </w:t>
      </w:r>
      <w:r w:rsidRPr="009A3B88">
        <w:rPr>
          <w:i/>
        </w:rPr>
        <w:t>WEA R&amp;O</w:t>
      </w:r>
      <w:r>
        <w:t xml:space="preserve"> which, among other actions, </w:t>
      </w:r>
      <w:r w:rsidRPr="009A3B88">
        <w:t xml:space="preserve">required </w:t>
      </w:r>
      <w:r>
        <w:t xml:space="preserve">Commercial Mobile Service (CMS) Providers </w:t>
      </w:r>
      <w:r w:rsidRPr="009A3B88">
        <w:t xml:space="preserve"> to support embedded references </w:t>
      </w:r>
      <w:r>
        <w:t xml:space="preserve">in Wireless Emergency Alerts (WEAs) </w:t>
      </w:r>
      <w:r w:rsidRPr="009A3B88">
        <w:t xml:space="preserve">within one year of the rules’ publication in the </w:t>
      </w:r>
      <w:r w:rsidRPr="00B946BA">
        <w:rPr>
          <w:i/>
        </w:rPr>
        <w:t>Federal Register</w:t>
      </w:r>
      <w:r>
        <w:t>.</w:t>
      </w:r>
      <w:r>
        <w:rPr>
          <w:rStyle w:val="FootnoteReference"/>
        </w:rPr>
        <w:footnoteReference w:id="5"/>
      </w:r>
      <w:r>
        <w:t xml:space="preserve">  It also required Participating CMS Providers to geographically target (geo-target) </w:t>
      </w:r>
      <w:r w:rsidRPr="009A3B88">
        <w:t>Alert Message</w:t>
      </w:r>
      <w:r>
        <w:t>s</w:t>
      </w:r>
      <w:r w:rsidRPr="009A3B88">
        <w:t xml:space="preserve"> </w:t>
      </w:r>
      <w:r>
        <w:t xml:space="preserve">to </w:t>
      </w:r>
      <w:r w:rsidRPr="009A3B88">
        <w:t xml:space="preserve">an area that best approximates </w:t>
      </w:r>
      <w:r>
        <w:t>the target area specified by the alert originator</w:t>
      </w:r>
      <w:r w:rsidRPr="009A3B88">
        <w:t xml:space="preserve">, while continuing to allow Participating </w:t>
      </w:r>
      <w:r w:rsidRPr="009A3B88">
        <w:lastRenderedPageBreak/>
        <w:t>CMS Providers to transmit Alert Messages to an area not exceeding the propagation area of a single transmission site</w:t>
      </w:r>
      <w:r>
        <w:t xml:space="preserve"> in the event they are unable to meet the “best approximates” standard.</w:t>
      </w:r>
      <w:r>
        <w:rPr>
          <w:rStyle w:val="FootnoteReference"/>
        </w:rPr>
        <w:footnoteReference w:id="6"/>
      </w:r>
      <w:r>
        <w:t xml:space="preserve">  The </w:t>
      </w:r>
      <w:r>
        <w:rPr>
          <w:i/>
        </w:rPr>
        <w:t>WEA R&amp;O</w:t>
      </w:r>
      <w:r>
        <w:t xml:space="preserve"> required nationwide Participating CMS Providers to comply with this geo-targeting requirement within 60 days of the rules’ publication in the </w:t>
      </w:r>
      <w:r>
        <w:rPr>
          <w:i/>
        </w:rPr>
        <w:t>Federal Register</w:t>
      </w:r>
      <w:r>
        <w:t>,</w:t>
      </w:r>
      <w:r>
        <w:rPr>
          <w:rStyle w:val="FootnoteReference"/>
        </w:rPr>
        <w:footnoteReference w:id="7"/>
      </w:r>
      <w:r>
        <w:t xml:space="preserve"> but allowed non-nationwide Participating CMS Providers additional time – a year after the rules’ publication – to comply with this geo-targeting requirement.  </w:t>
      </w:r>
      <w:r w:rsidRPr="00534C07">
        <w:t xml:space="preserve">The </w:t>
      </w:r>
      <w:r w:rsidRPr="00534C07">
        <w:rPr>
          <w:i/>
        </w:rPr>
        <w:t>WEA R&amp;O</w:t>
      </w:r>
      <w:r w:rsidRPr="00534C07">
        <w:t xml:space="preserve"> was published in the Federal Register on</w:t>
      </w:r>
      <w:r w:rsidR="00534C07" w:rsidRPr="00534C07">
        <w:t xml:space="preserve"> November 1, 2016</w:t>
      </w:r>
      <w:r w:rsidRPr="00534C07">
        <w:t>; accordingly, the effective date for both the embedded references and the geo-targeting requirement (as the latter pertains to non-nationwide providers) is November 1, 2017.</w:t>
      </w:r>
      <w:r w:rsidRPr="00534C07">
        <w:rPr>
          <w:rStyle w:val="FootnoteReference"/>
        </w:rPr>
        <w:footnoteReference w:id="8"/>
      </w:r>
    </w:p>
    <w:p w14:paraId="0D1568C2" w14:textId="71694B31" w:rsidR="00C97AE6" w:rsidRPr="005C543C" w:rsidRDefault="00C97AE6" w:rsidP="00782EFF">
      <w:pPr>
        <w:pStyle w:val="ParaNum"/>
        <w:tabs>
          <w:tab w:val="clear" w:pos="1080"/>
          <w:tab w:val="num" w:pos="1440"/>
        </w:tabs>
      </w:pPr>
      <w:r>
        <w:t xml:space="preserve">On August 16, 2017, CCA filed a </w:t>
      </w:r>
      <w:r w:rsidRPr="00A679ED">
        <w:rPr>
          <w:i/>
        </w:rPr>
        <w:t xml:space="preserve">Petition for Waiver, or in the Alternative, Extension of Time </w:t>
      </w:r>
      <w:r>
        <w:t>from CCA (</w:t>
      </w:r>
      <w:r w:rsidR="00E0239C">
        <w:rPr>
          <w:i/>
        </w:rPr>
        <w:t xml:space="preserve">August 16 </w:t>
      </w:r>
      <w:r>
        <w:rPr>
          <w:i/>
        </w:rPr>
        <w:t>CCA Petition</w:t>
      </w:r>
      <w:r>
        <w:t>).</w:t>
      </w:r>
      <w:r>
        <w:rPr>
          <w:rStyle w:val="FootnoteReference"/>
        </w:rPr>
        <w:footnoteReference w:id="9"/>
      </w:r>
      <w:r>
        <w:t xml:space="preserve">  The </w:t>
      </w:r>
      <w:r w:rsidR="00E0239C">
        <w:rPr>
          <w:i/>
        </w:rPr>
        <w:t xml:space="preserve">August 16 </w:t>
      </w:r>
      <w:r>
        <w:rPr>
          <w:i/>
        </w:rPr>
        <w:t xml:space="preserve">CCA </w:t>
      </w:r>
      <w:r w:rsidRPr="00B946BA">
        <w:rPr>
          <w:i/>
        </w:rPr>
        <w:t>Petition</w:t>
      </w:r>
      <w:r>
        <w:t xml:space="preserve"> requests a waiver or extension of the compliance timeline for support for embedded references until May 1, 2019, and further requests a waiver or extension of </w:t>
      </w:r>
      <w:r w:rsidR="001049B1">
        <w:t>its members</w:t>
      </w:r>
      <w:r>
        <w:t>’ compliance timeframe for the “best approximates” geo-targeting standard</w:t>
      </w:r>
      <w:r w:rsidRPr="00DE304C">
        <w:t xml:space="preserve"> </w:t>
      </w:r>
      <w:r>
        <w:t>until May 1, 2019.</w:t>
      </w:r>
      <w:r>
        <w:rPr>
          <w:rStyle w:val="FootnoteReference"/>
        </w:rPr>
        <w:footnoteReference w:id="10"/>
      </w:r>
      <w:r>
        <w:t xml:space="preserve">  On August 31, 2017, CCA a</w:t>
      </w:r>
      <w:r w:rsidR="00333845">
        <w:t>mplified its request for</w:t>
      </w:r>
      <w:r>
        <w:t xml:space="preserve"> relief</w:t>
      </w:r>
      <w:r w:rsidR="00C72AB0">
        <w:t xml:space="preserve"> by filing another waiver request</w:t>
      </w:r>
      <w:r>
        <w:t>.</w:t>
      </w:r>
      <w:r>
        <w:rPr>
          <w:rStyle w:val="FootnoteReference"/>
        </w:rPr>
        <w:footnoteReference w:id="11"/>
      </w:r>
      <w:r>
        <w:t xml:space="preserve">  </w:t>
      </w:r>
      <w:r w:rsidR="00333845">
        <w:t xml:space="preserve">CCA states that </w:t>
      </w:r>
      <w:r w:rsidR="001E5BD9">
        <w:t xml:space="preserve">absent a waiver, any Participating CMS Providers among its membership </w:t>
      </w:r>
      <w:r w:rsidR="00333845">
        <w:t>who cannot meet the November 1, 2017 compliance deadline would be required to notify their consumers imminently of their intent to withdraw their election to provide WEA alerting given the requirement in Section 10.220 of the Commission’s rules to supply 60 days’ notice.</w:t>
      </w:r>
      <w:r w:rsidR="00333845">
        <w:rPr>
          <w:rStyle w:val="FootnoteReference"/>
        </w:rPr>
        <w:footnoteReference w:id="12"/>
      </w:r>
      <w:r w:rsidR="00333845">
        <w:t xml:space="preserve">  CCA calculates this deadline as September 1, 2017</w:t>
      </w:r>
      <w:r w:rsidR="00C72AB0">
        <w:t>,</w:t>
      </w:r>
      <w:r w:rsidR="00972ABB">
        <w:rPr>
          <w:rStyle w:val="FootnoteReference"/>
        </w:rPr>
        <w:footnoteReference w:id="13"/>
      </w:r>
      <w:r w:rsidR="00333845">
        <w:t xml:space="preserve"> </w:t>
      </w:r>
      <w:r w:rsidR="00C72AB0">
        <w:t>and highlights several “critical current events, such as the severe flooding in southeast Texas as a result of Hurricane Harvey” that are consuming its resources in the near term.</w:t>
      </w:r>
      <w:r w:rsidR="00C72AB0">
        <w:rPr>
          <w:rStyle w:val="FootnoteReference"/>
        </w:rPr>
        <w:footnoteReference w:id="14"/>
      </w:r>
      <w:r w:rsidR="00333845">
        <w:t xml:space="preserve"> </w:t>
      </w:r>
      <w:r w:rsidR="00972ABB">
        <w:t xml:space="preserve"> </w:t>
      </w:r>
      <w:r>
        <w:t xml:space="preserve">CCA </w:t>
      </w:r>
      <w:r w:rsidR="00B07D8C">
        <w:t xml:space="preserve">therefore </w:t>
      </w:r>
      <w:r>
        <w:t xml:space="preserve">requests an </w:t>
      </w:r>
      <w:r w:rsidRPr="00813DAE">
        <w:t xml:space="preserve">additional 30 days </w:t>
      </w:r>
      <w:r>
        <w:t xml:space="preserve">for its members </w:t>
      </w:r>
      <w:r w:rsidRPr="00813DAE">
        <w:t>to determine whether it is feasible to support enhanced WEA capabilities and avoid opting-out of the program</w:t>
      </w:r>
      <w:r>
        <w:t>.</w:t>
      </w:r>
      <w:r>
        <w:rPr>
          <w:rStyle w:val="FootnoteReference"/>
        </w:rPr>
        <w:footnoteReference w:id="15"/>
      </w:r>
    </w:p>
    <w:p w14:paraId="09608D95" w14:textId="77777777" w:rsidR="008F153A" w:rsidRPr="008F153A" w:rsidRDefault="008F153A" w:rsidP="008F153A">
      <w:pPr>
        <w:pStyle w:val="Heading1"/>
      </w:pPr>
      <w:r>
        <w:t>DISCUSSION</w:t>
      </w:r>
    </w:p>
    <w:p w14:paraId="58243BF5" w14:textId="3E409F56" w:rsidR="00BB0059" w:rsidRDefault="003807A5" w:rsidP="00C82253">
      <w:pPr>
        <w:pStyle w:val="ParaNum"/>
        <w:widowControl/>
        <w:tabs>
          <w:tab w:val="clear" w:pos="1080"/>
          <w:tab w:val="num" w:pos="1440"/>
        </w:tabs>
      </w:pPr>
      <w:r>
        <w:t xml:space="preserve">Section 1.3 authorizes the Commission to waive </w:t>
      </w:r>
      <w:r w:rsidR="00303A0E">
        <w:t>its</w:t>
      </w:r>
      <w:r>
        <w:t xml:space="preserve"> rule</w:t>
      </w:r>
      <w:r w:rsidR="00303A0E">
        <w:t>s</w:t>
      </w:r>
      <w:r w:rsidR="003F2F6A">
        <w:t xml:space="preserve"> </w:t>
      </w:r>
      <w:r>
        <w:t>for good cause.</w:t>
      </w:r>
      <w:r>
        <w:rPr>
          <w:rStyle w:val="FootnoteReference"/>
        </w:rPr>
        <w:footnoteReference w:id="16"/>
      </w:r>
      <w:r>
        <w:t xml:space="preserve">  We find </w:t>
      </w:r>
      <w:r w:rsidR="003F2F6A">
        <w:t>it would serve the public interest</w:t>
      </w:r>
      <w:r>
        <w:t xml:space="preserve"> to temporarily waive </w:t>
      </w:r>
      <w:r w:rsidR="003F2F6A">
        <w:t>the 60-day prior notice provision of Section 10.220,</w:t>
      </w:r>
      <w:r w:rsidR="00A310F0">
        <w:t xml:space="preserve"> </w:t>
      </w:r>
      <w:r w:rsidR="00B07D8C">
        <w:lastRenderedPageBreak/>
        <w:t xml:space="preserve">on an interim basis </w:t>
      </w:r>
      <w:r w:rsidR="003F2F6A">
        <w:t>in order to afford sufficient time</w:t>
      </w:r>
      <w:r w:rsidR="00C72AB0">
        <w:t xml:space="preserve"> for the agency</w:t>
      </w:r>
      <w:r w:rsidR="003F2F6A">
        <w:t xml:space="preserve"> to review and act on the merits of the </w:t>
      </w:r>
      <w:r w:rsidR="003F2F6A" w:rsidRPr="00B752BA">
        <w:rPr>
          <w:i/>
        </w:rPr>
        <w:t>August 31 CCA Petition</w:t>
      </w:r>
      <w:r w:rsidR="009B65FB">
        <w:t xml:space="preserve">.  </w:t>
      </w:r>
      <w:r w:rsidR="004F6A77">
        <w:t>A</w:t>
      </w:r>
      <w:r w:rsidR="00303A0E">
        <w:t xml:space="preserve">s described above, </w:t>
      </w:r>
      <w:r w:rsidR="004F6A77">
        <w:t xml:space="preserve">CCA states that </w:t>
      </w:r>
      <w:r w:rsidR="00303A0E">
        <w:t xml:space="preserve">absent relief, many of its </w:t>
      </w:r>
      <w:r w:rsidR="004F6A77">
        <w:t xml:space="preserve">member companies would be forced to notify their subscribers of their intent to withdraw from WEA </w:t>
      </w:r>
      <w:r w:rsidR="00C72AB0">
        <w:t xml:space="preserve">imminently </w:t>
      </w:r>
      <w:r w:rsidR="004F6A77">
        <w:t xml:space="preserve">because they are unable to comply with the Commission’s embedded reference and “best approximates” geo-targeting requirements </w:t>
      </w:r>
      <w:r w:rsidR="00303A0E">
        <w:t>that go into effect in 60 days</w:t>
      </w:r>
      <w:r w:rsidR="004F6A77">
        <w:t>.</w:t>
      </w:r>
      <w:r w:rsidR="004F6A77">
        <w:rPr>
          <w:rStyle w:val="FootnoteReference"/>
        </w:rPr>
        <w:footnoteReference w:id="17"/>
      </w:r>
      <w:r w:rsidR="004F6A77">
        <w:t xml:space="preserve">  </w:t>
      </w:r>
      <w:r w:rsidR="00303A0E">
        <w:t>This</w:t>
      </w:r>
      <w:r w:rsidR="00A310F0">
        <w:t xml:space="preserve"> </w:t>
      </w:r>
      <w:r w:rsidR="00B07D8C">
        <w:t xml:space="preserve">interim and </w:t>
      </w:r>
      <w:r w:rsidR="00A310F0">
        <w:t xml:space="preserve">temporary waiver will </w:t>
      </w:r>
      <w:r w:rsidR="00B07D8C">
        <w:t xml:space="preserve">provide the Commission with time to assess the merits of </w:t>
      </w:r>
      <w:r w:rsidR="00D056C8">
        <w:t>CCA’s</w:t>
      </w:r>
      <w:r w:rsidR="00B07D8C">
        <w:t xml:space="preserve"> request </w:t>
      </w:r>
      <w:r w:rsidR="00D056C8">
        <w:t>before it is largely mooted</w:t>
      </w:r>
      <w:r w:rsidR="00B07D8C">
        <w:t>.</w:t>
      </w:r>
      <w:r w:rsidR="00A310F0">
        <w:t xml:space="preserve"> </w:t>
      </w:r>
      <w:r w:rsidR="00303A0E">
        <w:t xml:space="preserve"> </w:t>
      </w:r>
      <w:r w:rsidR="00C72AB0">
        <w:t xml:space="preserve">We find, however, that it would not serve the public interest if Participating CMS Providers that wish to </w:t>
      </w:r>
      <w:r w:rsidR="008712D2">
        <w:t xml:space="preserve">take advantage of this waiver </w:t>
      </w:r>
      <w:r w:rsidR="00C72AB0">
        <w:t xml:space="preserve">withdraw from supplying WEA messaging during the pendency of this temporary waiver.  </w:t>
      </w:r>
      <w:r w:rsidR="00D056C8">
        <w:t xml:space="preserve">Absent this condition, Participating CMS Providers could withdraw tomorrow from supplying WEA messaging with no customer notice.  </w:t>
      </w:r>
      <w:r w:rsidR="00C72AB0">
        <w:t xml:space="preserve">Thus, </w:t>
      </w:r>
      <w:r w:rsidR="00B07D8C">
        <w:t xml:space="preserve">no </w:t>
      </w:r>
      <w:r w:rsidR="009B65FB">
        <w:t xml:space="preserve">CMS Provider </w:t>
      </w:r>
      <w:r w:rsidR="00D4455B">
        <w:t xml:space="preserve">that wishes to take advantage of this waiver </w:t>
      </w:r>
      <w:r w:rsidR="00B07D8C">
        <w:t xml:space="preserve">may </w:t>
      </w:r>
      <w:r w:rsidR="009B65FB">
        <w:t xml:space="preserve">withdraw from WEA </w:t>
      </w:r>
      <w:r w:rsidR="00895ABF">
        <w:t xml:space="preserve">during the short period of time </w:t>
      </w:r>
      <w:r w:rsidR="009B65FB">
        <w:t>while this temporary waiver is in place</w:t>
      </w:r>
      <w:r w:rsidR="00B07D8C">
        <w:t xml:space="preserve">.  We anticipate that a ruling on the merits of the </w:t>
      </w:r>
      <w:r w:rsidR="00B07D8C" w:rsidRPr="00B40C79">
        <w:rPr>
          <w:i/>
        </w:rPr>
        <w:t>August 31 CCA Petition</w:t>
      </w:r>
      <w:r w:rsidR="00B07D8C">
        <w:t xml:space="preserve"> will be made expeditiously</w:t>
      </w:r>
      <w:r w:rsidR="00895ABF">
        <w:t xml:space="preserve">.  </w:t>
      </w:r>
    </w:p>
    <w:p w14:paraId="011D1401" w14:textId="77777777" w:rsidR="003807A5" w:rsidRDefault="003807A5" w:rsidP="00A95E96">
      <w:pPr>
        <w:pStyle w:val="Heading1"/>
      </w:pPr>
      <w:r>
        <w:t>ORDERING CLAUSES</w:t>
      </w:r>
    </w:p>
    <w:p w14:paraId="5395105A" w14:textId="3B1710B2" w:rsidR="009B62A6" w:rsidRDefault="003807A5" w:rsidP="00782EFF">
      <w:pPr>
        <w:pStyle w:val="ParaNum"/>
        <w:tabs>
          <w:tab w:val="clear" w:pos="1080"/>
          <w:tab w:val="num" w:pos="1440"/>
        </w:tabs>
      </w:pPr>
      <w:r>
        <w:t xml:space="preserve">Accordingly, IT IS ORDERED that, pursuant to </w:t>
      </w:r>
      <w:r w:rsidR="00782EFF">
        <w:t xml:space="preserve">the authority granted by </w:t>
      </w:r>
      <w:r>
        <w:t>Section 4(i)</w:t>
      </w:r>
      <w:r w:rsidR="00782EFF">
        <w:t xml:space="preserve"> </w:t>
      </w:r>
      <w:r>
        <w:t>of the Communications Act</w:t>
      </w:r>
      <w:r w:rsidR="00782EFF">
        <w:t>,</w:t>
      </w:r>
      <w:r>
        <w:t xml:space="preserve"> as amended, 47 U.S.C. § 154(i</w:t>
      </w:r>
      <w:r w:rsidR="00782EFF">
        <w:t xml:space="preserve">) </w:t>
      </w:r>
      <w:r w:rsidR="009B62A6">
        <w:t>and S</w:t>
      </w:r>
      <w:r>
        <w:t xml:space="preserve">ection 1.3 of the </w:t>
      </w:r>
      <w:r w:rsidR="009B62A6">
        <w:t xml:space="preserve">Commission’s rules, 47 C.F.R. § 1.3, </w:t>
      </w:r>
      <w:r w:rsidR="00A310F0">
        <w:t xml:space="preserve">the notification requirement of </w:t>
      </w:r>
      <w:r w:rsidR="009B62A6">
        <w:t>Section 10.</w:t>
      </w:r>
      <w:r w:rsidR="00A310F0">
        <w:t>220</w:t>
      </w:r>
      <w:r w:rsidR="009B62A6">
        <w:t xml:space="preserve"> of the Commission’s rules, 47 C.F.R. § 10.</w:t>
      </w:r>
      <w:r w:rsidR="00A310F0">
        <w:t>220, IS WAIVED to the extent described herein</w:t>
      </w:r>
      <w:r w:rsidR="001E5BD9">
        <w:t xml:space="preserve"> and subject to the condition described herein</w:t>
      </w:r>
      <w:r w:rsidR="009B62A6">
        <w:t>.</w:t>
      </w:r>
    </w:p>
    <w:p w14:paraId="18A12A0F" w14:textId="335F581F" w:rsidR="008F153A" w:rsidRPr="008F153A" w:rsidRDefault="003807A5" w:rsidP="00782EFF">
      <w:pPr>
        <w:pStyle w:val="ParaNum"/>
        <w:tabs>
          <w:tab w:val="clear" w:pos="1080"/>
          <w:tab w:val="num" w:pos="1440"/>
        </w:tabs>
      </w:pPr>
      <w:r>
        <w:t>This Order is issued pursuant to authority delegated by sections 0.</w:t>
      </w:r>
      <w:r w:rsidR="009B62A6">
        <w:t xml:space="preserve">191(e), 0.191(f), </w:t>
      </w:r>
      <w:r>
        <w:t>and 0.</w:t>
      </w:r>
      <w:r w:rsidR="00C72AB0">
        <w:t>39</w:t>
      </w:r>
      <w:r w:rsidR="009B62A6">
        <w:t xml:space="preserve">2 </w:t>
      </w:r>
      <w:r>
        <w:t xml:space="preserve">of the Commission's rules, 47 CFR § </w:t>
      </w:r>
      <w:r w:rsidR="009B62A6">
        <w:t>0.191(e), 0.191(f), and 0.</w:t>
      </w:r>
      <w:r w:rsidR="00C72AB0">
        <w:t>39</w:t>
      </w:r>
      <w:r w:rsidR="009B62A6">
        <w:t>2.</w:t>
      </w:r>
    </w:p>
    <w:sectPr w:rsidR="008F153A" w:rsidRPr="008F153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56EB8" w14:textId="77777777" w:rsidR="00B37450" w:rsidRDefault="00B37450">
      <w:pPr>
        <w:spacing w:line="20" w:lineRule="exact"/>
      </w:pPr>
    </w:p>
  </w:endnote>
  <w:endnote w:type="continuationSeparator" w:id="0">
    <w:p w14:paraId="577EFB3B" w14:textId="77777777" w:rsidR="00B37450" w:rsidRDefault="00B37450">
      <w:r>
        <w:t xml:space="preserve"> </w:t>
      </w:r>
    </w:p>
  </w:endnote>
  <w:endnote w:type="continuationNotice" w:id="1">
    <w:p w14:paraId="62B09E8C" w14:textId="77777777" w:rsidR="00B37450" w:rsidRDefault="00B374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FE393" w14:textId="77777777" w:rsidR="0091584C" w:rsidRDefault="0091584C" w:rsidP="0055614C">
    <w:pPr>
      <w:pStyle w:val="Footer"/>
      <w:framePr w:wrap="around" w:vAnchor="text" w:hAnchor="margin" w:xAlign="center" w:y="1"/>
    </w:pPr>
    <w:r>
      <w:fldChar w:fldCharType="begin"/>
    </w:r>
    <w:r>
      <w:instrText xml:space="preserve">PAGE  </w:instrText>
    </w:r>
    <w:r>
      <w:fldChar w:fldCharType="end"/>
    </w:r>
  </w:p>
  <w:p w14:paraId="13DA2CC9" w14:textId="77777777" w:rsidR="0091584C" w:rsidRDefault="00915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C156" w14:textId="32BA6ACE" w:rsidR="0091584C" w:rsidRDefault="0091584C" w:rsidP="0055614C">
    <w:pPr>
      <w:pStyle w:val="Footer"/>
      <w:framePr w:wrap="around" w:vAnchor="text" w:hAnchor="margin" w:xAlign="center" w:y="1"/>
    </w:pPr>
    <w:r>
      <w:fldChar w:fldCharType="begin"/>
    </w:r>
    <w:r>
      <w:instrText xml:space="preserve">PAGE  </w:instrText>
    </w:r>
    <w:r>
      <w:fldChar w:fldCharType="separate"/>
    </w:r>
    <w:r w:rsidR="00F31325">
      <w:rPr>
        <w:noProof/>
      </w:rPr>
      <w:t>2</w:t>
    </w:r>
    <w:r>
      <w:fldChar w:fldCharType="end"/>
    </w:r>
  </w:p>
  <w:p w14:paraId="7ABCDE6C" w14:textId="77777777" w:rsidR="0091584C" w:rsidRDefault="0091584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983F" w14:textId="77777777" w:rsidR="0091584C" w:rsidRDefault="0091584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431AE" w14:textId="77777777" w:rsidR="00B37450" w:rsidRDefault="00B37450">
      <w:r>
        <w:separator/>
      </w:r>
    </w:p>
  </w:footnote>
  <w:footnote w:type="continuationSeparator" w:id="0">
    <w:p w14:paraId="4ECBC15F" w14:textId="77777777" w:rsidR="00B37450" w:rsidRDefault="00B37450" w:rsidP="00C721AC">
      <w:pPr>
        <w:spacing w:before="120"/>
        <w:rPr>
          <w:sz w:val="20"/>
        </w:rPr>
      </w:pPr>
      <w:r>
        <w:rPr>
          <w:sz w:val="20"/>
        </w:rPr>
        <w:t xml:space="preserve">(Continued from previous page)  </w:t>
      </w:r>
      <w:r>
        <w:rPr>
          <w:sz w:val="20"/>
        </w:rPr>
        <w:separator/>
      </w:r>
    </w:p>
  </w:footnote>
  <w:footnote w:type="continuationNotice" w:id="1">
    <w:p w14:paraId="4678952A" w14:textId="77777777" w:rsidR="00B37450" w:rsidRDefault="00B37450" w:rsidP="00C721AC">
      <w:pPr>
        <w:jc w:val="right"/>
        <w:rPr>
          <w:sz w:val="20"/>
        </w:rPr>
      </w:pPr>
      <w:r>
        <w:rPr>
          <w:sz w:val="20"/>
        </w:rPr>
        <w:t>(continued….)</w:t>
      </w:r>
    </w:p>
  </w:footnote>
  <w:footnote w:id="2">
    <w:p w14:paraId="7E2183DC" w14:textId="77777777" w:rsidR="0091584C" w:rsidRPr="00AE06BA" w:rsidRDefault="0091584C" w:rsidP="006223B4">
      <w:pPr>
        <w:pStyle w:val="FootnoteText"/>
      </w:pPr>
      <w:r>
        <w:rPr>
          <w:rStyle w:val="FootnoteReference"/>
        </w:rPr>
        <w:footnoteRef/>
      </w:r>
      <w:r>
        <w:t xml:space="preserve"> </w:t>
      </w:r>
      <w:r>
        <w:rPr>
          <w:i/>
        </w:rPr>
        <w:t xml:space="preserve">See </w:t>
      </w:r>
      <w:r>
        <w:t xml:space="preserve">Petition of </w:t>
      </w:r>
      <w:r w:rsidRPr="00804E29">
        <w:t>Competitive Carriers Association</w:t>
      </w:r>
      <w:r>
        <w:t xml:space="preserve"> for</w:t>
      </w:r>
      <w:r w:rsidRPr="00804E29">
        <w:rPr>
          <w:i/>
          <w:snapToGrid w:val="0"/>
          <w:kern w:val="28"/>
          <w:sz w:val="22"/>
        </w:rPr>
        <w:t xml:space="preserve"> </w:t>
      </w:r>
      <w:r w:rsidRPr="005C543C">
        <w:t>Waiver, or in the Alternative, Extension of Time</w:t>
      </w:r>
      <w:r>
        <w:t>, PS Docket Nos. 15-91, 25-94 (filed Aug. 31, 2017) as amended by Letter from Rebecca Thompson to Marlene Dortch, Secretary, Federal Communications Commission, PS Docket No. 15-91 (filed Sept. 1, 2017) (</w:t>
      </w:r>
      <w:r>
        <w:rPr>
          <w:i/>
        </w:rPr>
        <w:t>August 31 CCA Petition</w:t>
      </w:r>
      <w:r>
        <w:t xml:space="preserve">).  </w:t>
      </w:r>
    </w:p>
  </w:footnote>
  <w:footnote w:id="3">
    <w:p w14:paraId="66CC85C2" w14:textId="77777777" w:rsidR="0091584C" w:rsidRDefault="0091584C">
      <w:pPr>
        <w:pStyle w:val="FootnoteText"/>
      </w:pPr>
      <w:r>
        <w:rPr>
          <w:rStyle w:val="FootnoteReference"/>
        </w:rPr>
        <w:footnoteRef/>
      </w:r>
      <w:r>
        <w:t xml:space="preserve"> </w:t>
      </w:r>
      <w:r>
        <w:rPr>
          <w:i/>
        </w:rPr>
        <w:t xml:space="preserve">See </w:t>
      </w:r>
      <w:r>
        <w:t>47 C.F.R. § 10.220.</w:t>
      </w:r>
    </w:p>
  </w:footnote>
  <w:footnote w:id="4">
    <w:p w14:paraId="4F34409D" w14:textId="77777777" w:rsidR="0091584C" w:rsidRDefault="0091584C" w:rsidP="003F2F6A">
      <w:pPr>
        <w:pStyle w:val="FootnoteText"/>
      </w:pPr>
      <w:r>
        <w:rPr>
          <w:rStyle w:val="FootnoteReference"/>
        </w:rPr>
        <w:footnoteRef/>
      </w:r>
      <w:r>
        <w:t xml:space="preserve"> </w:t>
      </w:r>
      <w:r>
        <w:rPr>
          <w:i/>
        </w:rPr>
        <w:t>See August 31</w:t>
      </w:r>
      <w:r w:rsidRPr="005C543C">
        <w:rPr>
          <w:i/>
        </w:rPr>
        <w:t xml:space="preserve"> CCA Petition</w:t>
      </w:r>
      <w:r>
        <w:t xml:space="preserve"> at 3 (requesting that the Commission waive the 60-days’ notification requirement by allowing CMS Providers to provide only 30-days’ notice to subscribers of their choice to withdraw from WEA participation). </w:t>
      </w:r>
    </w:p>
  </w:footnote>
  <w:footnote w:id="5">
    <w:p w14:paraId="229F9869" w14:textId="77777777" w:rsidR="0091584C" w:rsidRDefault="0091584C" w:rsidP="00C97AE6">
      <w:pPr>
        <w:pStyle w:val="FootnoteText"/>
      </w:pPr>
      <w:r>
        <w:rPr>
          <w:rStyle w:val="FootnoteReference"/>
        </w:rPr>
        <w:footnoteRef/>
      </w:r>
      <w:r>
        <w:t xml:space="preserve"> </w:t>
      </w:r>
      <w:r w:rsidRPr="00433137">
        <w:rPr>
          <w:i/>
        </w:rPr>
        <w:t>Wireless Emergency Alerts; Amendments to Part 11 of the Commission’s Rules Regarding the Emergency Alert System</w:t>
      </w:r>
      <w:r w:rsidRPr="00433137">
        <w:t>, PS Docket Nos. 15-91, 15-94, Report and Order and Furth</w:t>
      </w:r>
      <w:r>
        <w:t xml:space="preserve">er Notice of Proposed Rulemaking, </w:t>
      </w:r>
      <w:r w:rsidRPr="000A20D2">
        <w:t>31 FCC Rcd 11112</w:t>
      </w:r>
      <w:r>
        <w:t>, 11132, 11162 paras. 29, 80</w:t>
      </w:r>
      <w:r w:rsidRPr="000A20D2">
        <w:t xml:space="preserve"> (2016) (</w:t>
      </w:r>
      <w:r w:rsidRPr="000A20D2">
        <w:rPr>
          <w:i/>
        </w:rPr>
        <w:t>WEA R&amp;O</w:t>
      </w:r>
      <w:r w:rsidRPr="000A20D2">
        <w:t>).</w:t>
      </w:r>
    </w:p>
  </w:footnote>
  <w:footnote w:id="6">
    <w:p w14:paraId="5FA6B1A9" w14:textId="77777777" w:rsidR="0091584C" w:rsidRPr="009A3B88" w:rsidRDefault="0091584C" w:rsidP="00C97AE6">
      <w:pPr>
        <w:pStyle w:val="FootnoteText"/>
      </w:pPr>
      <w:r>
        <w:rPr>
          <w:rStyle w:val="FootnoteReference"/>
        </w:rPr>
        <w:footnoteRef/>
      </w:r>
      <w:r>
        <w:t xml:space="preserve"> </w:t>
      </w:r>
      <w:r>
        <w:rPr>
          <w:i/>
        </w:rPr>
        <w:t>Id.</w:t>
      </w:r>
      <w:r>
        <w:t>at 11146, 11149, paras. 52, 54.</w:t>
      </w:r>
    </w:p>
  </w:footnote>
  <w:footnote w:id="7">
    <w:p w14:paraId="18FA7F1B" w14:textId="77777777" w:rsidR="0091584C" w:rsidRPr="00FF7C43" w:rsidRDefault="0091584C" w:rsidP="00C97AE6">
      <w:pPr>
        <w:pStyle w:val="FootnoteText"/>
      </w:pPr>
      <w:r>
        <w:rPr>
          <w:rStyle w:val="FootnoteReference"/>
        </w:rPr>
        <w:footnoteRef/>
      </w:r>
      <w:r>
        <w:t xml:space="preserve"> </w:t>
      </w:r>
      <w:r>
        <w:rPr>
          <w:i/>
        </w:rPr>
        <w:t>See id.</w:t>
      </w:r>
      <w:r>
        <w:t xml:space="preserve"> at 11164, para. 83.</w:t>
      </w:r>
    </w:p>
  </w:footnote>
  <w:footnote w:id="8">
    <w:p w14:paraId="5CEAF910" w14:textId="77777777" w:rsidR="0091584C" w:rsidRPr="00534C07" w:rsidRDefault="0091584C" w:rsidP="00C97AE6">
      <w:pPr>
        <w:pStyle w:val="FootnoteText"/>
      </w:pPr>
      <w:r>
        <w:rPr>
          <w:rStyle w:val="FootnoteReference"/>
        </w:rPr>
        <w:footnoteRef/>
      </w:r>
      <w:r>
        <w:t xml:space="preserve"> </w:t>
      </w:r>
      <w:r>
        <w:rPr>
          <w:i/>
        </w:rPr>
        <w:t>See Wireless Emergency Alerts; Amendments to the Rules Regarding the Emergency Alert System</w:t>
      </w:r>
      <w:r>
        <w:t>, 81 FR 75710 (Nov. 1, 2016).</w:t>
      </w:r>
    </w:p>
  </w:footnote>
  <w:footnote w:id="9">
    <w:p w14:paraId="3D61B4E0" w14:textId="77777777" w:rsidR="0091584C" w:rsidRDefault="0091584C" w:rsidP="00C97AE6">
      <w:pPr>
        <w:pStyle w:val="FootnoteText"/>
      </w:pPr>
      <w:r>
        <w:rPr>
          <w:rStyle w:val="FootnoteReference"/>
        </w:rPr>
        <w:footnoteRef/>
      </w:r>
      <w:r>
        <w:t xml:space="preserve"> </w:t>
      </w:r>
      <w:r w:rsidRPr="003E6DE4">
        <w:rPr>
          <w:bCs/>
        </w:rPr>
        <w:t>Petition of Competitive Carriers Association (CCA) for Waiver, or in the Alternative, Extension of Time, PS Docket No. 15-91 (filed Aug. 16, 2017)</w:t>
      </w:r>
      <w:r>
        <w:rPr>
          <w:bCs/>
        </w:rPr>
        <w:t xml:space="preserve"> (</w:t>
      </w:r>
      <w:r>
        <w:rPr>
          <w:bCs/>
          <w:i/>
        </w:rPr>
        <w:t xml:space="preserve">August 16 CCA </w:t>
      </w:r>
      <w:r w:rsidRPr="005D6B71">
        <w:rPr>
          <w:bCs/>
          <w:i/>
        </w:rPr>
        <w:t>Petition</w:t>
      </w:r>
      <w:r>
        <w:rPr>
          <w:bCs/>
        </w:rPr>
        <w:t>)</w:t>
      </w:r>
      <w:r w:rsidRPr="003E6DE4">
        <w:rPr>
          <w:bCs/>
        </w:rPr>
        <w:t xml:space="preserve"> </w:t>
      </w:r>
      <w:r w:rsidRPr="000F165E">
        <w:t>https://ecfsapi.fcc.gov/file/10816865130307/CCA%20WEA%20Petition%20for%20Waiver%20(081617).pdf</w:t>
      </w:r>
      <w:r>
        <w:rPr>
          <w:bCs/>
        </w:rPr>
        <w:t>.  CCA offered, in the alternative that the FCC could extend these deadlines by a 12-month period, or could extend the compliance timeframe to 12 months from the completion of all relevant standards.</w:t>
      </w:r>
    </w:p>
  </w:footnote>
  <w:footnote w:id="10">
    <w:p w14:paraId="6864DBF3" w14:textId="77777777" w:rsidR="0091584C" w:rsidRDefault="0091584C" w:rsidP="00C97AE6">
      <w:pPr>
        <w:pStyle w:val="FootnoteText"/>
      </w:pPr>
      <w:r>
        <w:rPr>
          <w:rStyle w:val="FootnoteReference"/>
        </w:rPr>
        <w:footnoteRef/>
      </w:r>
      <w:r>
        <w:t xml:space="preserve"> </w:t>
      </w:r>
      <w:r>
        <w:rPr>
          <w:i/>
        </w:rPr>
        <w:t xml:space="preserve">See </w:t>
      </w:r>
      <w:r>
        <w:rPr>
          <w:bCs/>
          <w:i/>
        </w:rPr>
        <w:t xml:space="preserve">August 16 CCA </w:t>
      </w:r>
      <w:r w:rsidRPr="005D6B71">
        <w:rPr>
          <w:bCs/>
          <w:i/>
        </w:rPr>
        <w:t>Petition</w:t>
      </w:r>
      <w:r w:rsidRPr="003E6DE4" w:rsidDel="005B36DA">
        <w:rPr>
          <w:bCs/>
        </w:rPr>
        <w:t xml:space="preserve"> </w:t>
      </w:r>
      <w:r>
        <w:rPr>
          <w:bCs/>
        </w:rPr>
        <w:t xml:space="preserve">at 7.  </w:t>
      </w:r>
    </w:p>
  </w:footnote>
  <w:footnote w:id="11">
    <w:p w14:paraId="0056ECAC" w14:textId="77777777" w:rsidR="0091584C" w:rsidRPr="00632FB8" w:rsidRDefault="0091584C" w:rsidP="00C97AE6">
      <w:pPr>
        <w:pStyle w:val="FootnoteText"/>
      </w:pPr>
      <w:r>
        <w:rPr>
          <w:rStyle w:val="FootnoteReference"/>
        </w:rPr>
        <w:footnoteRef/>
      </w:r>
      <w:r>
        <w:t xml:space="preserve"> </w:t>
      </w:r>
      <w:r>
        <w:rPr>
          <w:i/>
        </w:rPr>
        <w:t>See August 31 CCA Petition</w:t>
      </w:r>
      <w:r>
        <w:t>.</w:t>
      </w:r>
    </w:p>
  </w:footnote>
  <w:footnote w:id="12">
    <w:p w14:paraId="21C22B79" w14:textId="77777777" w:rsidR="0091584C" w:rsidRPr="00E0239C" w:rsidRDefault="0091584C" w:rsidP="00333845">
      <w:pPr>
        <w:pStyle w:val="FootnoteText"/>
      </w:pPr>
      <w:r>
        <w:rPr>
          <w:rStyle w:val="FootnoteReference"/>
        </w:rPr>
        <w:footnoteRef/>
      </w:r>
      <w:r>
        <w:t xml:space="preserve"> </w:t>
      </w:r>
      <w:r w:rsidRPr="00E0239C">
        <w:rPr>
          <w:snapToGrid w:val="0"/>
          <w:kern w:val="28"/>
          <w:sz w:val="22"/>
        </w:rPr>
        <w:t xml:space="preserve"> </w:t>
      </w:r>
      <w:r>
        <w:rPr>
          <w:i/>
        </w:rPr>
        <w:t xml:space="preserve">See </w:t>
      </w:r>
      <w:r w:rsidRPr="00E0239C">
        <w:t>Letter from Rebecca Thompson to Marlene Dortch, Secretary, Federal Communications Commission, PS Docket No. 15-91 (filed Sept. 1, 2017)</w:t>
      </w:r>
      <w:r>
        <w:t xml:space="preserve"> (reiterating </w:t>
      </w:r>
      <w:r w:rsidRPr="00E0239C">
        <w:t xml:space="preserve">its request that </w:t>
      </w:r>
      <w:r>
        <w:t>“</w:t>
      </w:r>
      <w:r w:rsidRPr="00E0239C">
        <w:t>the Bureau grant CCA’s Augu</w:t>
      </w:r>
      <w:r>
        <w:t>st 31, 2017 Petition for Waiver</w:t>
      </w:r>
      <w:r w:rsidRPr="00E0239C">
        <w:t xml:space="preserve"> to allow competitive carriers 30 days to provide consumers with notice of their election to withdraw from the voluntary Wir</w:t>
      </w:r>
      <w:r>
        <w:t>eless Emergency Alerts program,</w:t>
      </w:r>
      <w:r w:rsidRPr="00E0239C">
        <w:t xml:space="preserve"> if applicable, pursuant to Section 10.220 of the FCC’s rules</w:t>
      </w:r>
      <w:r>
        <w:t xml:space="preserve">”).  </w:t>
      </w:r>
    </w:p>
  </w:footnote>
  <w:footnote w:id="13">
    <w:p w14:paraId="310A8226" w14:textId="77777777" w:rsidR="0091584C" w:rsidRDefault="0091584C">
      <w:pPr>
        <w:pStyle w:val="FootnoteText"/>
      </w:pPr>
      <w:r>
        <w:rPr>
          <w:rStyle w:val="FootnoteReference"/>
        </w:rPr>
        <w:footnoteRef/>
      </w:r>
      <w:r>
        <w:t xml:space="preserve"> </w:t>
      </w:r>
      <w:r w:rsidRPr="0041384D">
        <w:rPr>
          <w:i/>
        </w:rPr>
        <w:t>Id.</w:t>
      </w:r>
      <w:r>
        <w:t xml:space="preserve"> at 3.</w:t>
      </w:r>
    </w:p>
  </w:footnote>
  <w:footnote w:id="14">
    <w:p w14:paraId="7B2FAEB6" w14:textId="77777777" w:rsidR="0091584C" w:rsidRDefault="0091584C">
      <w:pPr>
        <w:pStyle w:val="FootnoteText"/>
      </w:pPr>
      <w:r>
        <w:rPr>
          <w:rStyle w:val="FootnoteReference"/>
        </w:rPr>
        <w:footnoteRef/>
      </w:r>
      <w:r>
        <w:t xml:space="preserve"> </w:t>
      </w:r>
      <w:r w:rsidRPr="0041384D">
        <w:rPr>
          <w:i/>
        </w:rPr>
        <w:t>Id.</w:t>
      </w:r>
      <w:r>
        <w:t xml:space="preserve"> at 6.</w:t>
      </w:r>
    </w:p>
  </w:footnote>
  <w:footnote w:id="15">
    <w:p w14:paraId="424C21DA" w14:textId="77777777" w:rsidR="0091584C" w:rsidRPr="006C1669" w:rsidRDefault="0091584C" w:rsidP="00C97AE6">
      <w:pPr>
        <w:pStyle w:val="FootnoteText"/>
      </w:pPr>
      <w:r>
        <w:rPr>
          <w:rStyle w:val="FootnoteReference"/>
        </w:rPr>
        <w:footnoteRef/>
      </w:r>
      <w:r>
        <w:t xml:space="preserve"> </w:t>
      </w:r>
      <w:r>
        <w:rPr>
          <w:i/>
        </w:rPr>
        <w:t>See August 31 CCA Petition</w:t>
      </w:r>
      <w:r>
        <w:t xml:space="preserve"> at 6.</w:t>
      </w:r>
    </w:p>
  </w:footnote>
  <w:footnote w:id="16">
    <w:p w14:paraId="7DBB7E5C" w14:textId="77777777" w:rsidR="0091584C" w:rsidRDefault="0091584C" w:rsidP="003807A5">
      <w:pPr>
        <w:pStyle w:val="FootnoteText"/>
      </w:pPr>
      <w:r>
        <w:rPr>
          <w:rStyle w:val="FootnoteReference"/>
        </w:rPr>
        <w:footnoteRef/>
      </w:r>
      <w:r>
        <w:t xml:space="preserve"> </w:t>
      </w:r>
      <w:r w:rsidRPr="00476E7C">
        <w:rPr>
          <w:i/>
        </w:rPr>
        <w:t>See</w:t>
      </w:r>
      <w:r>
        <w:t xml:space="preserve"> 47 CFR § 1.3 (“Any provision of the rules may be waived by the Commission on its own motion or on petition if good cause therefore is shown.”); </w:t>
      </w:r>
      <w:r w:rsidRPr="00476E7C">
        <w:rPr>
          <w:i/>
        </w:rPr>
        <w:t>see also</w:t>
      </w:r>
      <w:r>
        <w:t xml:space="preserve"> Northeast Cellular Telephone Co. v. FCC, 897 F.2d 1164, 1166 (D.C. Cir. 1990) (citing </w:t>
      </w:r>
      <w:r w:rsidRPr="00B752BA">
        <w:rPr>
          <w:i/>
        </w:rPr>
        <w:t>WAIT Radio v. FCC</w:t>
      </w:r>
      <w:r>
        <w:t>, 418 F.2d 1153, 1159 (D.C. Cir. 1969) (waivers must show special circumstances warranting a deviation from the general rule, and show such a deviation will serve the public interest)).</w:t>
      </w:r>
    </w:p>
  </w:footnote>
  <w:footnote w:id="17">
    <w:p w14:paraId="1CEB8B48" w14:textId="6BC46ACF" w:rsidR="0091584C" w:rsidRPr="00154D3F" w:rsidRDefault="0091584C" w:rsidP="004F6A77">
      <w:pPr>
        <w:pStyle w:val="FootnoteText"/>
      </w:pPr>
      <w:r>
        <w:rPr>
          <w:rStyle w:val="FootnoteReference"/>
        </w:rPr>
        <w:footnoteRef/>
      </w:r>
      <w:r>
        <w:t xml:space="preserve"> </w:t>
      </w:r>
      <w:r>
        <w:rPr>
          <w:i/>
        </w:rPr>
        <w:t xml:space="preserve">See </w:t>
      </w:r>
      <w:r>
        <w:t>47 CFR § 10.220 (requiring that CMS Providers provide 60-days’ notice to the Commission and subscribers of their intention to withdraw from WEA participation).  Accordingly, these CCA members would be forced to render that decision before the Commission acted on their requests for an extension of those compliance deadlines or on its request for waiver of the 60-day notification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B50C" w14:textId="77777777" w:rsidR="00231275" w:rsidRDefault="0023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D157" w14:textId="77777777" w:rsidR="0091584C" w:rsidRDefault="0091584C" w:rsidP="00810B6F">
    <w:pPr>
      <w:pStyle w:val="Header"/>
      <w:rPr>
        <w:b w:val="0"/>
      </w:rPr>
    </w:pPr>
    <w:r>
      <w:tab/>
      <w:t>Federal Communications Commission</w:t>
    </w:r>
    <w:r>
      <w:tab/>
      <w:t>DA-17-835</w:t>
    </w:r>
  </w:p>
  <w:p w14:paraId="70C7DAC8" w14:textId="77777777" w:rsidR="0091584C" w:rsidRDefault="0091584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1BC7B9AC" wp14:editId="582AB3E7">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8735ACB"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E212550" w14:textId="77777777" w:rsidR="0091584C" w:rsidRDefault="0091584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C4605" w14:textId="77777777" w:rsidR="0091584C" w:rsidRDefault="0091584C" w:rsidP="00810B6F">
    <w:pPr>
      <w:pStyle w:val="Header"/>
      <w:rPr>
        <w:b w:val="0"/>
      </w:rPr>
    </w:pPr>
    <w:r>
      <w:rPr>
        <w:noProof/>
      </w:rPr>
      <mc:AlternateContent>
        <mc:Choice Requires="wps">
          <w:drawing>
            <wp:anchor distT="0" distB="0" distL="114300" distR="114300" simplePos="0" relativeHeight="251658241" behindDoc="1" locked="0" layoutInCell="0" allowOverlap="1" wp14:anchorId="79449C80" wp14:editId="5834D6CE">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B3B1182"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17-835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F6E2062"/>
    <w:multiLevelType w:val="hybridMultilevel"/>
    <w:tmpl w:val="561A8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C4"/>
    <w:rsid w:val="000040B2"/>
    <w:rsid w:val="0003423D"/>
    <w:rsid w:val="00036039"/>
    <w:rsid w:val="00037F90"/>
    <w:rsid w:val="000526D8"/>
    <w:rsid w:val="00083D5F"/>
    <w:rsid w:val="000875BF"/>
    <w:rsid w:val="00096779"/>
    <w:rsid w:val="00096D8C"/>
    <w:rsid w:val="00097F9A"/>
    <w:rsid w:val="000A1CF4"/>
    <w:rsid w:val="000A20D2"/>
    <w:rsid w:val="000A487C"/>
    <w:rsid w:val="000C0B65"/>
    <w:rsid w:val="000D52BF"/>
    <w:rsid w:val="000D5531"/>
    <w:rsid w:val="000E05FE"/>
    <w:rsid w:val="000E3D42"/>
    <w:rsid w:val="001049B1"/>
    <w:rsid w:val="00105FDF"/>
    <w:rsid w:val="00122BD5"/>
    <w:rsid w:val="00133F79"/>
    <w:rsid w:val="001713ED"/>
    <w:rsid w:val="00180097"/>
    <w:rsid w:val="00180EA4"/>
    <w:rsid w:val="00182E2C"/>
    <w:rsid w:val="00194A66"/>
    <w:rsid w:val="001D18BA"/>
    <w:rsid w:val="001D6BCF"/>
    <w:rsid w:val="001E01CA"/>
    <w:rsid w:val="001E5BD9"/>
    <w:rsid w:val="00211F25"/>
    <w:rsid w:val="002130F7"/>
    <w:rsid w:val="002164DC"/>
    <w:rsid w:val="00227423"/>
    <w:rsid w:val="00231275"/>
    <w:rsid w:val="002454F9"/>
    <w:rsid w:val="0025756A"/>
    <w:rsid w:val="00261015"/>
    <w:rsid w:val="00273A9A"/>
    <w:rsid w:val="00275CF5"/>
    <w:rsid w:val="0028301F"/>
    <w:rsid w:val="00285017"/>
    <w:rsid w:val="002A2D2E"/>
    <w:rsid w:val="002B2F28"/>
    <w:rsid w:val="002C00E8"/>
    <w:rsid w:val="002D0238"/>
    <w:rsid w:val="00301F4E"/>
    <w:rsid w:val="00303A0E"/>
    <w:rsid w:val="00316E45"/>
    <w:rsid w:val="00323DF6"/>
    <w:rsid w:val="00325B79"/>
    <w:rsid w:val="00327C95"/>
    <w:rsid w:val="00333845"/>
    <w:rsid w:val="00343749"/>
    <w:rsid w:val="00351A42"/>
    <w:rsid w:val="00362C32"/>
    <w:rsid w:val="003660ED"/>
    <w:rsid w:val="003807A5"/>
    <w:rsid w:val="00396C83"/>
    <w:rsid w:val="003B0148"/>
    <w:rsid w:val="003B0550"/>
    <w:rsid w:val="003B61FD"/>
    <w:rsid w:val="003B694F"/>
    <w:rsid w:val="003E10F6"/>
    <w:rsid w:val="003F171C"/>
    <w:rsid w:val="003F1947"/>
    <w:rsid w:val="003F2F6A"/>
    <w:rsid w:val="004001B9"/>
    <w:rsid w:val="00412FC5"/>
    <w:rsid w:val="0041384D"/>
    <w:rsid w:val="00421716"/>
    <w:rsid w:val="00422276"/>
    <w:rsid w:val="004242F1"/>
    <w:rsid w:val="00433137"/>
    <w:rsid w:val="004341D7"/>
    <w:rsid w:val="00437622"/>
    <w:rsid w:val="00445A00"/>
    <w:rsid w:val="00451B0F"/>
    <w:rsid w:val="00456FAA"/>
    <w:rsid w:val="0046784A"/>
    <w:rsid w:val="00480164"/>
    <w:rsid w:val="0049067B"/>
    <w:rsid w:val="004C2EE3"/>
    <w:rsid w:val="004E4A22"/>
    <w:rsid w:val="004E5463"/>
    <w:rsid w:val="004F2330"/>
    <w:rsid w:val="004F6A77"/>
    <w:rsid w:val="005045C1"/>
    <w:rsid w:val="00507BB0"/>
    <w:rsid w:val="00511968"/>
    <w:rsid w:val="00530334"/>
    <w:rsid w:val="005316AF"/>
    <w:rsid w:val="00534C07"/>
    <w:rsid w:val="0055614C"/>
    <w:rsid w:val="00563877"/>
    <w:rsid w:val="005653E0"/>
    <w:rsid w:val="005B0309"/>
    <w:rsid w:val="005C543C"/>
    <w:rsid w:val="005D083B"/>
    <w:rsid w:val="005E14C2"/>
    <w:rsid w:val="005E22AC"/>
    <w:rsid w:val="00607BA5"/>
    <w:rsid w:val="0061180A"/>
    <w:rsid w:val="006223B4"/>
    <w:rsid w:val="00623866"/>
    <w:rsid w:val="00626EB6"/>
    <w:rsid w:val="00632FB8"/>
    <w:rsid w:val="00644BD9"/>
    <w:rsid w:val="00651940"/>
    <w:rsid w:val="00653C4D"/>
    <w:rsid w:val="00655D03"/>
    <w:rsid w:val="00656242"/>
    <w:rsid w:val="00657B1C"/>
    <w:rsid w:val="006727A7"/>
    <w:rsid w:val="00674F02"/>
    <w:rsid w:val="00682BBF"/>
    <w:rsid w:val="00683388"/>
    <w:rsid w:val="00683F84"/>
    <w:rsid w:val="006A6A81"/>
    <w:rsid w:val="006C1669"/>
    <w:rsid w:val="006F6C90"/>
    <w:rsid w:val="006F7393"/>
    <w:rsid w:val="0070224F"/>
    <w:rsid w:val="007115F7"/>
    <w:rsid w:val="0071755C"/>
    <w:rsid w:val="00722244"/>
    <w:rsid w:val="00757B66"/>
    <w:rsid w:val="00761A7E"/>
    <w:rsid w:val="00782EFF"/>
    <w:rsid w:val="00785689"/>
    <w:rsid w:val="0079754B"/>
    <w:rsid w:val="007A1E6D"/>
    <w:rsid w:val="007A6864"/>
    <w:rsid w:val="007B0EB2"/>
    <w:rsid w:val="007B59F2"/>
    <w:rsid w:val="007D20C4"/>
    <w:rsid w:val="007F015A"/>
    <w:rsid w:val="00804E29"/>
    <w:rsid w:val="00810B6F"/>
    <w:rsid w:val="008135CE"/>
    <w:rsid w:val="00813DAE"/>
    <w:rsid w:val="00822CE0"/>
    <w:rsid w:val="00841AB1"/>
    <w:rsid w:val="0084351B"/>
    <w:rsid w:val="008712D2"/>
    <w:rsid w:val="00895ABF"/>
    <w:rsid w:val="008C68F1"/>
    <w:rsid w:val="008D2DAF"/>
    <w:rsid w:val="008F153A"/>
    <w:rsid w:val="008F3D8E"/>
    <w:rsid w:val="009125EE"/>
    <w:rsid w:val="0091584C"/>
    <w:rsid w:val="00921803"/>
    <w:rsid w:val="00924345"/>
    <w:rsid w:val="00926503"/>
    <w:rsid w:val="00933F22"/>
    <w:rsid w:val="0096394E"/>
    <w:rsid w:val="00965E7E"/>
    <w:rsid w:val="009726D8"/>
    <w:rsid w:val="00972ABB"/>
    <w:rsid w:val="009A3B88"/>
    <w:rsid w:val="009B62A6"/>
    <w:rsid w:val="009B65FB"/>
    <w:rsid w:val="009C7587"/>
    <w:rsid w:val="009D2998"/>
    <w:rsid w:val="009D651E"/>
    <w:rsid w:val="009F48E3"/>
    <w:rsid w:val="009F76DB"/>
    <w:rsid w:val="00A310F0"/>
    <w:rsid w:val="00A32C3B"/>
    <w:rsid w:val="00A348FD"/>
    <w:rsid w:val="00A3739B"/>
    <w:rsid w:val="00A45F4F"/>
    <w:rsid w:val="00A600A9"/>
    <w:rsid w:val="00A640A4"/>
    <w:rsid w:val="00A679ED"/>
    <w:rsid w:val="00A95E96"/>
    <w:rsid w:val="00AA2622"/>
    <w:rsid w:val="00AA55B7"/>
    <w:rsid w:val="00AA5B9E"/>
    <w:rsid w:val="00AB2407"/>
    <w:rsid w:val="00AB53DF"/>
    <w:rsid w:val="00AB6169"/>
    <w:rsid w:val="00AE06BA"/>
    <w:rsid w:val="00AF12DD"/>
    <w:rsid w:val="00B07D8C"/>
    <w:rsid w:val="00B07E5C"/>
    <w:rsid w:val="00B11548"/>
    <w:rsid w:val="00B35458"/>
    <w:rsid w:val="00B37450"/>
    <w:rsid w:val="00B40C79"/>
    <w:rsid w:val="00B62372"/>
    <w:rsid w:val="00B752BA"/>
    <w:rsid w:val="00B811F7"/>
    <w:rsid w:val="00B873CF"/>
    <w:rsid w:val="00BA5DC6"/>
    <w:rsid w:val="00BA6196"/>
    <w:rsid w:val="00BA6A2E"/>
    <w:rsid w:val="00BB0059"/>
    <w:rsid w:val="00BB0EFD"/>
    <w:rsid w:val="00BC6D8C"/>
    <w:rsid w:val="00BF1ACC"/>
    <w:rsid w:val="00C34006"/>
    <w:rsid w:val="00C426B1"/>
    <w:rsid w:val="00C5564C"/>
    <w:rsid w:val="00C65EDB"/>
    <w:rsid w:val="00C66160"/>
    <w:rsid w:val="00C721AC"/>
    <w:rsid w:val="00C72AB0"/>
    <w:rsid w:val="00C82253"/>
    <w:rsid w:val="00C829D9"/>
    <w:rsid w:val="00C90D6A"/>
    <w:rsid w:val="00C92055"/>
    <w:rsid w:val="00C97AE6"/>
    <w:rsid w:val="00CA247E"/>
    <w:rsid w:val="00CA3A4D"/>
    <w:rsid w:val="00CB6F17"/>
    <w:rsid w:val="00CC72B6"/>
    <w:rsid w:val="00CF3348"/>
    <w:rsid w:val="00D0218D"/>
    <w:rsid w:val="00D056C8"/>
    <w:rsid w:val="00D25FB5"/>
    <w:rsid w:val="00D41AFC"/>
    <w:rsid w:val="00D44223"/>
    <w:rsid w:val="00D4455B"/>
    <w:rsid w:val="00D52ADD"/>
    <w:rsid w:val="00D74075"/>
    <w:rsid w:val="00D85A7B"/>
    <w:rsid w:val="00D85DD9"/>
    <w:rsid w:val="00DA1138"/>
    <w:rsid w:val="00DA2529"/>
    <w:rsid w:val="00DA6F49"/>
    <w:rsid w:val="00DB130A"/>
    <w:rsid w:val="00DB2EBB"/>
    <w:rsid w:val="00DC10A1"/>
    <w:rsid w:val="00DC655F"/>
    <w:rsid w:val="00DD0B59"/>
    <w:rsid w:val="00DD7EBD"/>
    <w:rsid w:val="00DE304C"/>
    <w:rsid w:val="00DF5A12"/>
    <w:rsid w:val="00DF62B6"/>
    <w:rsid w:val="00E0239C"/>
    <w:rsid w:val="00E07225"/>
    <w:rsid w:val="00E36147"/>
    <w:rsid w:val="00E53FA1"/>
    <w:rsid w:val="00E5409F"/>
    <w:rsid w:val="00E65A77"/>
    <w:rsid w:val="00E7140A"/>
    <w:rsid w:val="00E72406"/>
    <w:rsid w:val="00E80741"/>
    <w:rsid w:val="00EA7EC4"/>
    <w:rsid w:val="00EC11A3"/>
    <w:rsid w:val="00EE5596"/>
    <w:rsid w:val="00EE6488"/>
    <w:rsid w:val="00F021FA"/>
    <w:rsid w:val="00F0393A"/>
    <w:rsid w:val="00F16F17"/>
    <w:rsid w:val="00F31325"/>
    <w:rsid w:val="00F62E97"/>
    <w:rsid w:val="00F64209"/>
    <w:rsid w:val="00F650E1"/>
    <w:rsid w:val="00F7196F"/>
    <w:rsid w:val="00F86936"/>
    <w:rsid w:val="00F93BF5"/>
    <w:rsid w:val="00FA111B"/>
    <w:rsid w:val="00FA2F6F"/>
    <w:rsid w:val="00FD656C"/>
    <w:rsid w:val="00FF45F3"/>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E7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0E3D42"/>
    <w:pPr>
      <w:spacing w:after="120"/>
    </w:pPr>
  </w:style>
  <w:style w:type="character" w:styleId="FootnoteReference">
    <w:name w:val="footnote reference"/>
    <w:aliases w:val="Appel note de bas de p,Style 12,(NECG) Footnote Reference,Style 124,o,fr,Style 3,Style 13,FR,Style 17,Footnote Reference/,Style 6,Style 7,Style 4,Footnote Reference1,Style 34,Style 9,Style 20,callout,-E Funotenzeichen"/>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C5564C"/>
    <w:rPr>
      <w:sz w:val="16"/>
      <w:szCs w:val="16"/>
    </w:rPr>
  </w:style>
  <w:style w:type="paragraph" w:styleId="CommentText">
    <w:name w:val="annotation text"/>
    <w:basedOn w:val="Normal"/>
    <w:link w:val="CommentTextChar"/>
    <w:rsid w:val="00C5564C"/>
    <w:rPr>
      <w:sz w:val="20"/>
    </w:rPr>
  </w:style>
  <w:style w:type="character" w:customStyle="1" w:styleId="CommentTextChar">
    <w:name w:val="Comment Text Char"/>
    <w:basedOn w:val="DefaultParagraphFont"/>
    <w:link w:val="CommentText"/>
    <w:rsid w:val="00C5564C"/>
    <w:rPr>
      <w:snapToGrid w:val="0"/>
      <w:kern w:val="28"/>
    </w:rPr>
  </w:style>
  <w:style w:type="paragraph" w:styleId="CommentSubject">
    <w:name w:val="annotation subject"/>
    <w:basedOn w:val="CommentText"/>
    <w:next w:val="CommentText"/>
    <w:link w:val="CommentSubjectChar"/>
    <w:rsid w:val="00C5564C"/>
    <w:rPr>
      <w:b/>
      <w:bCs/>
    </w:rPr>
  </w:style>
  <w:style w:type="character" w:customStyle="1" w:styleId="CommentSubjectChar">
    <w:name w:val="Comment Subject Char"/>
    <w:basedOn w:val="CommentTextChar"/>
    <w:link w:val="CommentSubject"/>
    <w:rsid w:val="00C5564C"/>
    <w:rPr>
      <w:b/>
      <w:bCs/>
      <w:snapToGrid w:val="0"/>
      <w:kern w:val="28"/>
    </w:rPr>
  </w:style>
  <w:style w:type="paragraph" w:styleId="BalloonText">
    <w:name w:val="Balloon Text"/>
    <w:basedOn w:val="Normal"/>
    <w:link w:val="BalloonTextChar"/>
    <w:rsid w:val="00C5564C"/>
    <w:rPr>
      <w:rFonts w:ascii="Segoe UI" w:hAnsi="Segoe UI" w:cs="Segoe UI"/>
      <w:sz w:val="18"/>
      <w:szCs w:val="18"/>
    </w:rPr>
  </w:style>
  <w:style w:type="character" w:customStyle="1" w:styleId="BalloonTextChar">
    <w:name w:val="Balloon Text Char"/>
    <w:basedOn w:val="DefaultParagraphFont"/>
    <w:link w:val="BalloonText"/>
    <w:rsid w:val="00C5564C"/>
    <w:rPr>
      <w:rFonts w:ascii="Segoe UI" w:hAnsi="Segoe UI" w:cs="Segoe UI"/>
      <w:snapToGrid w:val="0"/>
      <w:kern w:val="28"/>
      <w:sz w:val="18"/>
      <w:szCs w:val="18"/>
    </w:rPr>
  </w:style>
  <w:style w:type="paragraph" w:styleId="Revision">
    <w:name w:val="Revision"/>
    <w:hidden/>
    <w:uiPriority w:val="99"/>
    <w:semiHidden/>
    <w:rsid w:val="00804E29"/>
    <w:rPr>
      <w:snapToGrid w:val="0"/>
      <w:kern w:val="28"/>
      <w:sz w:val="22"/>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locked/>
    <w:rsid w:val="008135CE"/>
  </w:style>
  <w:style w:type="character" w:customStyle="1" w:styleId="ParaNumChar">
    <w:name w:val="ParaNum Char"/>
    <w:link w:val="ParaNum"/>
    <w:locked/>
    <w:rsid w:val="00A679ED"/>
    <w:rPr>
      <w:snapToGrid w:val="0"/>
      <w:kern w:val="28"/>
      <w:sz w:val="22"/>
    </w:rPr>
  </w:style>
  <w:style w:type="character" w:customStyle="1" w:styleId="Mention">
    <w:name w:val="Mention"/>
    <w:basedOn w:val="DefaultParagraphFont"/>
    <w:uiPriority w:val="99"/>
    <w:semiHidden/>
    <w:unhideWhenUsed/>
    <w:rsid w:val="00DE304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0E3D42"/>
    <w:pPr>
      <w:spacing w:after="120"/>
    </w:pPr>
  </w:style>
  <w:style w:type="character" w:styleId="FootnoteReference">
    <w:name w:val="footnote reference"/>
    <w:aliases w:val="Appel note de bas de p,Style 12,(NECG) Footnote Reference,Style 124,o,fr,Style 3,Style 13,FR,Style 17,Footnote Reference/,Style 6,Style 7,Style 4,Footnote Reference1,Style 34,Style 9,Style 20,callout,-E Funotenzeichen"/>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C5564C"/>
    <w:rPr>
      <w:sz w:val="16"/>
      <w:szCs w:val="16"/>
    </w:rPr>
  </w:style>
  <w:style w:type="paragraph" w:styleId="CommentText">
    <w:name w:val="annotation text"/>
    <w:basedOn w:val="Normal"/>
    <w:link w:val="CommentTextChar"/>
    <w:rsid w:val="00C5564C"/>
    <w:rPr>
      <w:sz w:val="20"/>
    </w:rPr>
  </w:style>
  <w:style w:type="character" w:customStyle="1" w:styleId="CommentTextChar">
    <w:name w:val="Comment Text Char"/>
    <w:basedOn w:val="DefaultParagraphFont"/>
    <w:link w:val="CommentText"/>
    <w:rsid w:val="00C5564C"/>
    <w:rPr>
      <w:snapToGrid w:val="0"/>
      <w:kern w:val="28"/>
    </w:rPr>
  </w:style>
  <w:style w:type="paragraph" w:styleId="CommentSubject">
    <w:name w:val="annotation subject"/>
    <w:basedOn w:val="CommentText"/>
    <w:next w:val="CommentText"/>
    <w:link w:val="CommentSubjectChar"/>
    <w:rsid w:val="00C5564C"/>
    <w:rPr>
      <w:b/>
      <w:bCs/>
    </w:rPr>
  </w:style>
  <w:style w:type="character" w:customStyle="1" w:styleId="CommentSubjectChar">
    <w:name w:val="Comment Subject Char"/>
    <w:basedOn w:val="CommentTextChar"/>
    <w:link w:val="CommentSubject"/>
    <w:rsid w:val="00C5564C"/>
    <w:rPr>
      <w:b/>
      <w:bCs/>
      <w:snapToGrid w:val="0"/>
      <w:kern w:val="28"/>
    </w:rPr>
  </w:style>
  <w:style w:type="paragraph" w:styleId="BalloonText">
    <w:name w:val="Balloon Text"/>
    <w:basedOn w:val="Normal"/>
    <w:link w:val="BalloonTextChar"/>
    <w:rsid w:val="00C5564C"/>
    <w:rPr>
      <w:rFonts w:ascii="Segoe UI" w:hAnsi="Segoe UI" w:cs="Segoe UI"/>
      <w:sz w:val="18"/>
      <w:szCs w:val="18"/>
    </w:rPr>
  </w:style>
  <w:style w:type="character" w:customStyle="1" w:styleId="BalloonTextChar">
    <w:name w:val="Balloon Text Char"/>
    <w:basedOn w:val="DefaultParagraphFont"/>
    <w:link w:val="BalloonText"/>
    <w:rsid w:val="00C5564C"/>
    <w:rPr>
      <w:rFonts w:ascii="Segoe UI" w:hAnsi="Segoe UI" w:cs="Segoe UI"/>
      <w:snapToGrid w:val="0"/>
      <w:kern w:val="28"/>
      <w:sz w:val="18"/>
      <w:szCs w:val="18"/>
    </w:rPr>
  </w:style>
  <w:style w:type="paragraph" w:styleId="Revision">
    <w:name w:val="Revision"/>
    <w:hidden/>
    <w:uiPriority w:val="99"/>
    <w:semiHidden/>
    <w:rsid w:val="00804E29"/>
    <w:rPr>
      <w:snapToGrid w:val="0"/>
      <w:kern w:val="28"/>
      <w:sz w:val="22"/>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locked/>
    <w:rsid w:val="008135CE"/>
  </w:style>
  <w:style w:type="character" w:customStyle="1" w:styleId="ParaNumChar">
    <w:name w:val="ParaNum Char"/>
    <w:link w:val="ParaNum"/>
    <w:locked/>
    <w:rsid w:val="00A679ED"/>
    <w:rPr>
      <w:snapToGrid w:val="0"/>
      <w:kern w:val="28"/>
      <w:sz w:val="22"/>
    </w:rPr>
  </w:style>
  <w:style w:type="character" w:customStyle="1" w:styleId="Mention">
    <w:name w:val="Mention"/>
    <w:basedOn w:val="DefaultParagraphFont"/>
    <w:uiPriority w:val="99"/>
    <w:semiHidden/>
    <w:unhideWhenUsed/>
    <w:rsid w:val="00DE30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7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mes.Wiley\AppData\Local\Microsoft\Windows\INetCache\Content.MSO\5CF6328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5CF6328B</Template>
  <TotalTime>0</TotalTime>
  <Pages>3</Pages>
  <Words>978</Words>
  <Characters>5249</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2017-09-01T22:14:00Z</dcterms:created>
  <dcterms:modified xsi:type="dcterms:W3CDTF">2017-09-01T22:14:00Z</dcterms:modified>
  <cp:category> </cp:category>
  <cp:contentStatus> </cp:contentStatus>
</cp:coreProperties>
</file>