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C12A" w14:textId="0D1841B6" w:rsidR="00E8120F" w:rsidRPr="004C4845" w:rsidRDefault="00B735FA" w:rsidP="00E8120F">
      <w:pPr>
        <w:tabs>
          <w:tab w:val="left" w:pos="-1440"/>
          <w:tab w:val="left" w:pos="-720"/>
          <w:tab w:val="left" w:pos="4788"/>
          <w:tab w:val="left" w:pos="5040"/>
          <w:tab w:val="left" w:pos="6480"/>
        </w:tabs>
        <w:suppressAutoHyphens/>
        <w:jc w:val="both"/>
        <w:outlineLvl w:val="0"/>
        <w:rPr>
          <w:b/>
          <w:color w:val="000000"/>
          <w:sz w:val="22"/>
          <w:szCs w:val="22"/>
        </w:rPr>
      </w:pPr>
      <w:bookmarkStart w:id="0" w:name="_GoBack"/>
      <w:bookmarkEnd w:id="0"/>
      <w:r>
        <w:rPr>
          <w:color w:val="000000"/>
          <w:sz w:val="22"/>
          <w:szCs w:val="22"/>
        </w:rPr>
        <w:t xml:space="preserve"> </w:t>
      </w:r>
      <w:r w:rsidR="00E8120F" w:rsidRPr="005675BC">
        <w:rPr>
          <w:color w:val="000000"/>
          <w:sz w:val="22"/>
          <w:szCs w:val="22"/>
        </w:rPr>
        <w:tab/>
      </w:r>
      <w:r w:rsidR="00E8120F" w:rsidRPr="005675BC">
        <w:rPr>
          <w:color w:val="000000"/>
          <w:sz w:val="22"/>
          <w:szCs w:val="22"/>
        </w:rPr>
        <w:tab/>
      </w:r>
      <w:r w:rsidR="00E8120F" w:rsidRPr="005675BC">
        <w:rPr>
          <w:color w:val="000000"/>
          <w:sz w:val="22"/>
          <w:szCs w:val="22"/>
        </w:rPr>
        <w:tab/>
      </w:r>
      <w:r w:rsidR="008D56E3">
        <w:rPr>
          <w:b/>
          <w:color w:val="000000"/>
          <w:sz w:val="22"/>
          <w:szCs w:val="22"/>
        </w:rPr>
        <w:t>DA 17-840</w:t>
      </w:r>
    </w:p>
    <w:p w14:paraId="1A73544F" w14:textId="77777777" w:rsidR="00E8120F" w:rsidRPr="007E7140" w:rsidRDefault="00E8120F" w:rsidP="00E8120F">
      <w:pPr>
        <w:tabs>
          <w:tab w:val="left" w:pos="-1440"/>
          <w:tab w:val="left" w:pos="-720"/>
          <w:tab w:val="left" w:pos="4788"/>
          <w:tab w:val="left" w:pos="5040"/>
          <w:tab w:val="left" w:pos="6480"/>
        </w:tabs>
        <w:suppressAutoHyphens/>
        <w:outlineLvl w:val="0"/>
        <w:rPr>
          <w:b/>
          <w:i/>
          <w:color w:val="000000"/>
          <w:sz w:val="22"/>
          <w:szCs w:val="22"/>
        </w:rPr>
      </w:pPr>
      <w:r>
        <w:rPr>
          <w:b/>
          <w:i/>
          <w:color w:val="000000"/>
          <w:sz w:val="22"/>
          <w:szCs w:val="22"/>
        </w:rPr>
        <w:tab/>
      </w:r>
      <w:r>
        <w:rPr>
          <w:b/>
          <w:i/>
          <w:color w:val="000000"/>
          <w:sz w:val="22"/>
          <w:szCs w:val="22"/>
        </w:rPr>
        <w:tab/>
      </w:r>
      <w:r>
        <w:rPr>
          <w:b/>
          <w:i/>
          <w:color w:val="000000"/>
          <w:sz w:val="22"/>
          <w:szCs w:val="22"/>
        </w:rPr>
        <w:tab/>
      </w:r>
      <w:r w:rsidRPr="007E7140">
        <w:rPr>
          <w:b/>
          <w:i/>
          <w:color w:val="000000"/>
          <w:sz w:val="22"/>
          <w:szCs w:val="22"/>
        </w:rPr>
        <w:t>In Reply Refer to:</w:t>
      </w:r>
    </w:p>
    <w:p w14:paraId="55760B54" w14:textId="43976226" w:rsidR="00E8120F" w:rsidRPr="005675BC" w:rsidRDefault="00E8120F" w:rsidP="00332E7A">
      <w:pPr>
        <w:tabs>
          <w:tab w:val="left" w:pos="0"/>
          <w:tab w:val="left" w:pos="4905"/>
          <w:tab w:val="left" w:pos="6480"/>
        </w:tabs>
        <w:suppressAutoHyphens/>
        <w:outlineLvl w:val="0"/>
        <w:rPr>
          <w:color w:val="000000"/>
          <w:sz w:val="22"/>
          <w:szCs w:val="22"/>
        </w:rPr>
      </w:pPr>
      <w:r w:rsidRPr="005675BC">
        <w:rPr>
          <w:color w:val="000000"/>
          <w:sz w:val="22"/>
          <w:szCs w:val="22"/>
        </w:rPr>
        <w:tab/>
      </w:r>
      <w:r w:rsidR="00332E7A">
        <w:rPr>
          <w:color w:val="000000"/>
          <w:sz w:val="22"/>
          <w:szCs w:val="22"/>
        </w:rPr>
        <w:tab/>
      </w:r>
      <w:r w:rsidRPr="005675BC">
        <w:rPr>
          <w:b/>
          <w:sz w:val="22"/>
          <w:szCs w:val="22"/>
        </w:rPr>
        <w:t>1800B3-CEG</w:t>
      </w:r>
    </w:p>
    <w:p w14:paraId="2C9D6AEF" w14:textId="0304E737" w:rsidR="00E8120F" w:rsidRPr="007E7140" w:rsidRDefault="00E8120F" w:rsidP="00E8120F">
      <w:pPr>
        <w:tabs>
          <w:tab w:val="left" w:pos="0"/>
          <w:tab w:val="left" w:pos="6480"/>
        </w:tabs>
        <w:suppressAutoHyphens/>
        <w:outlineLvl w:val="0"/>
        <w:rPr>
          <w:color w:val="000000"/>
          <w:sz w:val="22"/>
          <w:szCs w:val="22"/>
        </w:rPr>
      </w:pPr>
      <w:r w:rsidRPr="005675BC">
        <w:rPr>
          <w:color w:val="000000"/>
          <w:sz w:val="22"/>
          <w:szCs w:val="22"/>
        </w:rPr>
        <w:tab/>
      </w:r>
      <w:r w:rsidR="00937700">
        <w:rPr>
          <w:color w:val="000000"/>
          <w:sz w:val="22"/>
          <w:szCs w:val="22"/>
        </w:rPr>
        <w:t>Released: September 5, 2017</w:t>
      </w:r>
    </w:p>
    <w:p w14:paraId="2E1C2F5D" w14:textId="77777777" w:rsidR="00E8120F" w:rsidRDefault="00E8120F" w:rsidP="00E8120F">
      <w:pPr>
        <w:tabs>
          <w:tab w:val="left" w:pos="0"/>
        </w:tabs>
        <w:suppressAutoHyphens/>
        <w:rPr>
          <w:sz w:val="22"/>
          <w:szCs w:val="22"/>
        </w:rPr>
      </w:pPr>
      <w:r w:rsidRPr="005A49F1">
        <w:rPr>
          <w:b/>
          <w:sz w:val="22"/>
          <w:szCs w:val="22"/>
        </w:rPr>
        <w:t xml:space="preserve">                                                                                      </w:t>
      </w:r>
    </w:p>
    <w:p w14:paraId="0A51C2C7" w14:textId="56086466" w:rsidR="00E8120F" w:rsidRDefault="00937700" w:rsidP="00E8120F">
      <w:pPr>
        <w:tabs>
          <w:tab w:val="left" w:pos="-1440"/>
          <w:tab w:val="left" w:pos="-720"/>
          <w:tab w:val="left" w:pos="4788"/>
          <w:tab w:val="left" w:pos="5760"/>
          <w:tab w:val="left" w:pos="6480"/>
        </w:tabs>
        <w:suppressAutoHyphens/>
        <w:outlineLvl w:val="0"/>
        <w:rPr>
          <w:sz w:val="22"/>
          <w:szCs w:val="22"/>
        </w:rPr>
      </w:pPr>
      <w:r>
        <w:rPr>
          <w:sz w:val="22"/>
          <w:szCs w:val="22"/>
        </w:rPr>
        <w:t>Jeffrey D. Southmayd, Esq.</w:t>
      </w:r>
    </w:p>
    <w:p w14:paraId="7DAA0469" w14:textId="77777777" w:rsidR="00E8120F" w:rsidRDefault="00E8120F" w:rsidP="00E8120F">
      <w:pPr>
        <w:tabs>
          <w:tab w:val="left" w:pos="0"/>
        </w:tabs>
        <w:suppressAutoHyphens/>
        <w:ind w:left="5040" w:hanging="5040"/>
        <w:rPr>
          <w:sz w:val="22"/>
          <w:szCs w:val="22"/>
        </w:rPr>
      </w:pPr>
      <w:r>
        <w:rPr>
          <w:sz w:val="22"/>
          <w:szCs w:val="22"/>
        </w:rPr>
        <w:t>Southmayd &amp; Miller</w:t>
      </w:r>
    </w:p>
    <w:p w14:paraId="7E783237" w14:textId="77777777" w:rsidR="00E8120F" w:rsidRDefault="00E8120F" w:rsidP="00E8120F">
      <w:pPr>
        <w:tabs>
          <w:tab w:val="left" w:pos="0"/>
        </w:tabs>
        <w:suppressAutoHyphens/>
        <w:ind w:left="5040" w:hanging="5040"/>
        <w:rPr>
          <w:sz w:val="22"/>
          <w:szCs w:val="22"/>
        </w:rPr>
      </w:pPr>
      <w:r>
        <w:rPr>
          <w:sz w:val="22"/>
          <w:szCs w:val="22"/>
        </w:rPr>
        <w:t>4 Ocean Ridge Boulevard South</w:t>
      </w:r>
    </w:p>
    <w:p w14:paraId="642B74C5" w14:textId="77777777" w:rsidR="00E8120F" w:rsidRDefault="00E8120F" w:rsidP="00E8120F">
      <w:pPr>
        <w:tabs>
          <w:tab w:val="left" w:pos="0"/>
        </w:tabs>
        <w:suppressAutoHyphens/>
        <w:ind w:left="5040" w:hanging="5040"/>
        <w:rPr>
          <w:sz w:val="22"/>
          <w:szCs w:val="22"/>
        </w:rPr>
      </w:pPr>
      <w:r>
        <w:rPr>
          <w:sz w:val="22"/>
          <w:szCs w:val="22"/>
        </w:rPr>
        <w:t>Palm Coast, FL 32137</w:t>
      </w:r>
    </w:p>
    <w:p w14:paraId="722B8F17" w14:textId="77777777" w:rsidR="00E8120F" w:rsidRDefault="00E8120F" w:rsidP="00E8120F">
      <w:pPr>
        <w:tabs>
          <w:tab w:val="left" w:pos="0"/>
        </w:tabs>
        <w:suppressAutoHyphens/>
        <w:ind w:left="5040" w:hanging="5040"/>
        <w:rPr>
          <w:sz w:val="22"/>
          <w:szCs w:val="22"/>
        </w:rPr>
      </w:pPr>
    </w:p>
    <w:p w14:paraId="0C1D6A48" w14:textId="5A8E2C56" w:rsidR="00E8120F" w:rsidRDefault="00937700" w:rsidP="00E8120F">
      <w:pPr>
        <w:tabs>
          <w:tab w:val="left" w:pos="0"/>
        </w:tabs>
        <w:suppressAutoHyphens/>
        <w:ind w:left="5040" w:hanging="5040"/>
        <w:rPr>
          <w:sz w:val="22"/>
          <w:szCs w:val="22"/>
        </w:rPr>
      </w:pPr>
      <w:r>
        <w:rPr>
          <w:sz w:val="22"/>
          <w:szCs w:val="22"/>
        </w:rPr>
        <w:t>Charles F. Dunham</w:t>
      </w:r>
    </w:p>
    <w:p w14:paraId="5F83089F" w14:textId="77777777" w:rsidR="00E8120F" w:rsidRDefault="00E8120F" w:rsidP="00E8120F">
      <w:pPr>
        <w:tabs>
          <w:tab w:val="left" w:pos="0"/>
        </w:tabs>
        <w:suppressAutoHyphens/>
        <w:ind w:left="5040" w:hanging="5040"/>
        <w:rPr>
          <w:sz w:val="22"/>
          <w:szCs w:val="22"/>
        </w:rPr>
      </w:pPr>
      <w:r>
        <w:rPr>
          <w:sz w:val="22"/>
          <w:szCs w:val="22"/>
        </w:rPr>
        <w:t>Kenai Broadcasting, LLP</w:t>
      </w:r>
    </w:p>
    <w:p w14:paraId="40EEAC01" w14:textId="77777777" w:rsidR="00E8120F" w:rsidRDefault="00E8120F" w:rsidP="00E8120F">
      <w:pPr>
        <w:tabs>
          <w:tab w:val="left" w:pos="0"/>
        </w:tabs>
        <w:suppressAutoHyphens/>
        <w:ind w:left="5040" w:hanging="5040"/>
        <w:rPr>
          <w:sz w:val="22"/>
          <w:szCs w:val="22"/>
        </w:rPr>
      </w:pPr>
      <w:r>
        <w:rPr>
          <w:sz w:val="22"/>
          <w:szCs w:val="22"/>
        </w:rPr>
        <w:t>10914 E 46</w:t>
      </w:r>
      <w:r w:rsidRPr="001D2BC1">
        <w:rPr>
          <w:sz w:val="22"/>
          <w:szCs w:val="22"/>
          <w:vertAlign w:val="superscript"/>
        </w:rPr>
        <w:t>th</w:t>
      </w:r>
      <w:r>
        <w:rPr>
          <w:sz w:val="22"/>
          <w:szCs w:val="22"/>
        </w:rPr>
        <w:t xml:space="preserve"> Ave</w:t>
      </w:r>
    </w:p>
    <w:p w14:paraId="1F497FF3" w14:textId="77777777" w:rsidR="00E8120F" w:rsidRDefault="00E8120F" w:rsidP="00E8120F">
      <w:pPr>
        <w:tabs>
          <w:tab w:val="left" w:pos="0"/>
        </w:tabs>
        <w:suppressAutoHyphens/>
        <w:ind w:left="5040" w:hanging="5040"/>
        <w:rPr>
          <w:sz w:val="22"/>
          <w:szCs w:val="22"/>
        </w:rPr>
      </w:pPr>
      <w:r>
        <w:rPr>
          <w:sz w:val="22"/>
          <w:szCs w:val="22"/>
        </w:rPr>
        <w:t>Spokane, WA 99206</w:t>
      </w:r>
    </w:p>
    <w:p w14:paraId="61BE6218" w14:textId="77777777" w:rsidR="00E8120F" w:rsidRDefault="00E8120F" w:rsidP="00E8120F">
      <w:pPr>
        <w:tabs>
          <w:tab w:val="left" w:pos="0"/>
        </w:tabs>
        <w:suppressAutoHyphens/>
        <w:ind w:left="5040" w:hanging="5040"/>
        <w:rPr>
          <w:sz w:val="22"/>
          <w:szCs w:val="22"/>
        </w:rPr>
      </w:pPr>
    </w:p>
    <w:p w14:paraId="5FC6243C" w14:textId="033AD23A" w:rsidR="00E8120F" w:rsidRDefault="00937700" w:rsidP="00E8120F">
      <w:pPr>
        <w:tabs>
          <w:tab w:val="left" w:pos="0"/>
        </w:tabs>
        <w:suppressAutoHyphens/>
        <w:ind w:left="5040" w:hanging="5040"/>
        <w:rPr>
          <w:sz w:val="22"/>
          <w:szCs w:val="22"/>
        </w:rPr>
      </w:pPr>
      <w:r>
        <w:rPr>
          <w:sz w:val="22"/>
          <w:szCs w:val="22"/>
        </w:rPr>
        <w:t>David Tillotson, Esq.</w:t>
      </w:r>
    </w:p>
    <w:p w14:paraId="4F68F2C1" w14:textId="77777777" w:rsidR="00E8120F" w:rsidRDefault="00E8120F" w:rsidP="00E8120F">
      <w:pPr>
        <w:tabs>
          <w:tab w:val="left" w:pos="0"/>
        </w:tabs>
        <w:suppressAutoHyphens/>
        <w:ind w:left="5040" w:hanging="5040"/>
        <w:rPr>
          <w:sz w:val="22"/>
          <w:szCs w:val="22"/>
        </w:rPr>
      </w:pPr>
      <w:r>
        <w:rPr>
          <w:sz w:val="22"/>
          <w:szCs w:val="22"/>
        </w:rPr>
        <w:t>4606 Charleston Terrace NW</w:t>
      </w:r>
    </w:p>
    <w:p w14:paraId="0835B19B" w14:textId="77777777" w:rsidR="00E8120F" w:rsidRDefault="00E8120F" w:rsidP="00E8120F">
      <w:pPr>
        <w:tabs>
          <w:tab w:val="left" w:pos="0"/>
        </w:tabs>
        <w:suppressAutoHyphens/>
        <w:ind w:left="5040" w:hanging="5040"/>
        <w:rPr>
          <w:sz w:val="22"/>
          <w:szCs w:val="22"/>
        </w:rPr>
      </w:pPr>
      <w:r>
        <w:rPr>
          <w:sz w:val="22"/>
          <w:szCs w:val="22"/>
        </w:rPr>
        <w:t>Washington, DC 20007</w:t>
      </w:r>
    </w:p>
    <w:p w14:paraId="0EEB3278" w14:textId="77777777" w:rsidR="00E8120F" w:rsidRDefault="00E8120F" w:rsidP="00E8120F">
      <w:pPr>
        <w:tabs>
          <w:tab w:val="left" w:pos="0"/>
        </w:tabs>
        <w:suppressAutoHyphens/>
        <w:ind w:left="5040" w:hanging="5040"/>
        <w:rPr>
          <w:sz w:val="22"/>
          <w:szCs w:val="22"/>
        </w:rPr>
      </w:pPr>
    </w:p>
    <w:p w14:paraId="6FFBF10B" w14:textId="5DAC057A" w:rsidR="00E8120F" w:rsidRDefault="00BA074E" w:rsidP="00E8120F">
      <w:pPr>
        <w:tabs>
          <w:tab w:val="left" w:pos="0"/>
        </w:tabs>
        <w:suppressAutoHyphens/>
        <w:ind w:left="5040" w:hanging="5040"/>
        <w:rPr>
          <w:sz w:val="22"/>
          <w:szCs w:val="22"/>
        </w:rPr>
      </w:pPr>
      <w:r>
        <w:rPr>
          <w:sz w:val="22"/>
          <w:szCs w:val="22"/>
        </w:rPr>
        <w:t>Gregg P. Skall</w:t>
      </w:r>
      <w:r w:rsidR="00937700">
        <w:rPr>
          <w:sz w:val="22"/>
          <w:szCs w:val="22"/>
        </w:rPr>
        <w:t>, Esq.</w:t>
      </w:r>
    </w:p>
    <w:p w14:paraId="2F5B2FD4" w14:textId="77777777" w:rsidR="00E8120F" w:rsidRDefault="00E8120F" w:rsidP="00E8120F">
      <w:pPr>
        <w:tabs>
          <w:tab w:val="left" w:pos="0"/>
        </w:tabs>
        <w:suppressAutoHyphens/>
        <w:ind w:left="5040" w:hanging="5040"/>
        <w:rPr>
          <w:sz w:val="22"/>
          <w:szCs w:val="22"/>
        </w:rPr>
      </w:pPr>
      <w:r>
        <w:rPr>
          <w:sz w:val="22"/>
          <w:szCs w:val="22"/>
        </w:rPr>
        <w:t>1401 I Street NW</w:t>
      </w:r>
    </w:p>
    <w:p w14:paraId="5846A32B" w14:textId="77777777" w:rsidR="00E8120F" w:rsidRDefault="00E8120F" w:rsidP="00E8120F">
      <w:pPr>
        <w:tabs>
          <w:tab w:val="left" w:pos="0"/>
        </w:tabs>
        <w:suppressAutoHyphens/>
        <w:ind w:left="5040" w:hanging="5040"/>
        <w:rPr>
          <w:sz w:val="22"/>
          <w:szCs w:val="22"/>
        </w:rPr>
      </w:pPr>
      <w:r>
        <w:rPr>
          <w:sz w:val="22"/>
          <w:szCs w:val="22"/>
        </w:rPr>
        <w:t>Seventh Floor</w:t>
      </w:r>
    </w:p>
    <w:p w14:paraId="28EE8994" w14:textId="77777777" w:rsidR="00E8120F" w:rsidRDefault="00E8120F" w:rsidP="00E8120F">
      <w:pPr>
        <w:tabs>
          <w:tab w:val="left" w:pos="0"/>
        </w:tabs>
        <w:suppressAutoHyphens/>
        <w:ind w:left="5040" w:hanging="5040"/>
        <w:rPr>
          <w:sz w:val="22"/>
          <w:szCs w:val="22"/>
        </w:rPr>
      </w:pPr>
      <w:r>
        <w:rPr>
          <w:sz w:val="22"/>
          <w:szCs w:val="22"/>
        </w:rPr>
        <w:t>Washington, DC 20005</w:t>
      </w:r>
    </w:p>
    <w:p w14:paraId="6220CE40" w14:textId="77777777" w:rsidR="00E8120F" w:rsidRDefault="00E8120F" w:rsidP="00E8120F">
      <w:pPr>
        <w:tabs>
          <w:tab w:val="left" w:pos="0"/>
        </w:tabs>
        <w:suppressAutoHyphens/>
        <w:ind w:left="5040" w:hanging="5040"/>
        <w:rPr>
          <w:sz w:val="22"/>
          <w:szCs w:val="22"/>
        </w:rPr>
      </w:pPr>
    </w:p>
    <w:p w14:paraId="1F956523" w14:textId="70AABA2D" w:rsidR="00E8120F" w:rsidRDefault="00937700" w:rsidP="00E8120F">
      <w:pPr>
        <w:tabs>
          <w:tab w:val="left" w:pos="0"/>
        </w:tabs>
        <w:suppressAutoHyphens/>
        <w:ind w:left="5040" w:hanging="5040"/>
        <w:rPr>
          <w:sz w:val="22"/>
          <w:szCs w:val="22"/>
        </w:rPr>
      </w:pPr>
      <w:r>
        <w:rPr>
          <w:sz w:val="22"/>
          <w:szCs w:val="22"/>
        </w:rPr>
        <w:t>Seward Media Partners, LLC</w:t>
      </w:r>
    </w:p>
    <w:p w14:paraId="4155BB2B" w14:textId="77777777" w:rsidR="00E8120F" w:rsidRDefault="00E8120F" w:rsidP="00E8120F">
      <w:pPr>
        <w:tabs>
          <w:tab w:val="left" w:pos="0"/>
        </w:tabs>
        <w:suppressAutoHyphens/>
        <w:ind w:left="5040" w:hanging="5040"/>
        <w:rPr>
          <w:sz w:val="22"/>
          <w:szCs w:val="22"/>
        </w:rPr>
      </w:pPr>
      <w:r>
        <w:rPr>
          <w:sz w:val="22"/>
          <w:szCs w:val="22"/>
        </w:rPr>
        <w:t>12358 Roundtable Dr</w:t>
      </w:r>
      <w:r>
        <w:rPr>
          <w:sz w:val="22"/>
          <w:szCs w:val="22"/>
        </w:rPr>
        <w:tab/>
      </w:r>
    </w:p>
    <w:p w14:paraId="10FA3717" w14:textId="77777777" w:rsidR="00E8120F" w:rsidRPr="005A49F1" w:rsidRDefault="00E8120F" w:rsidP="00E8120F">
      <w:pPr>
        <w:tabs>
          <w:tab w:val="left" w:pos="0"/>
        </w:tabs>
        <w:suppressAutoHyphens/>
        <w:ind w:left="5040" w:hanging="5040"/>
        <w:rPr>
          <w:sz w:val="22"/>
          <w:szCs w:val="22"/>
        </w:rPr>
      </w:pPr>
      <w:r>
        <w:rPr>
          <w:sz w:val="22"/>
          <w:szCs w:val="22"/>
        </w:rPr>
        <w:t>Seward, AK 99664</w:t>
      </w:r>
      <w:r w:rsidRPr="0017371A">
        <w:rPr>
          <w:sz w:val="22"/>
          <w:szCs w:val="22"/>
        </w:rPr>
        <w:tab/>
      </w:r>
      <w:r w:rsidRPr="0017371A">
        <w:rPr>
          <w:sz w:val="22"/>
          <w:szCs w:val="22"/>
        </w:rPr>
        <w:tab/>
      </w:r>
    </w:p>
    <w:p w14:paraId="6A20385B" w14:textId="77777777" w:rsidR="00E8120F" w:rsidRDefault="00E8120F" w:rsidP="00E8120F">
      <w:pPr>
        <w:tabs>
          <w:tab w:val="left" w:pos="0"/>
        </w:tabs>
        <w:suppressAutoHyphens/>
        <w:ind w:left="5040" w:hanging="5040"/>
        <w:rPr>
          <w:sz w:val="22"/>
          <w:szCs w:val="22"/>
        </w:rPr>
      </w:pPr>
    </w:p>
    <w:p w14:paraId="711EF471" w14:textId="6A70F572" w:rsidR="00E8120F" w:rsidRDefault="00E8120F" w:rsidP="00E8120F">
      <w:pPr>
        <w:tabs>
          <w:tab w:val="left" w:pos="0"/>
        </w:tabs>
        <w:suppressAutoHyphens/>
        <w:ind w:left="5040" w:hanging="5040"/>
        <w:rPr>
          <w:sz w:val="22"/>
          <w:szCs w:val="22"/>
        </w:rPr>
      </w:pPr>
      <w:r>
        <w:rPr>
          <w:sz w:val="22"/>
          <w:szCs w:val="22"/>
        </w:rPr>
        <w:t>Alaska</w:t>
      </w:r>
      <w:r w:rsidR="00937700">
        <w:rPr>
          <w:sz w:val="22"/>
          <w:szCs w:val="22"/>
        </w:rPr>
        <w:t xml:space="preserve"> Educational Radio System, Inc.</w:t>
      </w:r>
      <w:r w:rsidRPr="005A49F1">
        <w:rPr>
          <w:sz w:val="22"/>
          <w:szCs w:val="22"/>
        </w:rPr>
        <w:t xml:space="preserve">                            </w:t>
      </w:r>
    </w:p>
    <w:p w14:paraId="4B9476C8" w14:textId="77777777" w:rsidR="00E8120F" w:rsidRDefault="00E8120F" w:rsidP="00E8120F">
      <w:pPr>
        <w:tabs>
          <w:tab w:val="left" w:pos="0"/>
        </w:tabs>
        <w:suppressAutoHyphens/>
        <w:ind w:left="5040" w:hanging="5040"/>
        <w:rPr>
          <w:sz w:val="22"/>
          <w:szCs w:val="22"/>
        </w:rPr>
      </w:pPr>
      <w:r>
        <w:rPr>
          <w:sz w:val="22"/>
          <w:szCs w:val="22"/>
        </w:rPr>
        <w:t>12415 Merlin Dr</w:t>
      </w:r>
    </w:p>
    <w:p w14:paraId="199DA782" w14:textId="77777777" w:rsidR="00E8120F" w:rsidRDefault="00E8120F" w:rsidP="00E8120F">
      <w:pPr>
        <w:tabs>
          <w:tab w:val="left" w:pos="0"/>
        </w:tabs>
        <w:suppressAutoHyphens/>
        <w:ind w:left="5040" w:hanging="5040"/>
        <w:rPr>
          <w:sz w:val="22"/>
          <w:szCs w:val="22"/>
        </w:rPr>
      </w:pPr>
      <w:r>
        <w:rPr>
          <w:sz w:val="22"/>
          <w:szCs w:val="22"/>
        </w:rPr>
        <w:t>Seward, AK 99664</w:t>
      </w:r>
      <w:r w:rsidRPr="005A49F1">
        <w:rPr>
          <w:sz w:val="22"/>
          <w:szCs w:val="22"/>
        </w:rPr>
        <w:tab/>
      </w:r>
    </w:p>
    <w:p w14:paraId="502FD954" w14:textId="77777777" w:rsidR="00E8120F" w:rsidRDefault="00E8120F" w:rsidP="00E8120F">
      <w:pPr>
        <w:tabs>
          <w:tab w:val="left" w:pos="0"/>
        </w:tabs>
        <w:suppressAutoHyphens/>
        <w:ind w:left="5040" w:hanging="5040"/>
        <w:rPr>
          <w:sz w:val="22"/>
          <w:szCs w:val="22"/>
        </w:rPr>
      </w:pPr>
    </w:p>
    <w:p w14:paraId="56B140B5" w14:textId="77777777" w:rsidR="00E8120F" w:rsidRPr="00752396" w:rsidRDefault="00E8120F" w:rsidP="00E8120F">
      <w:pPr>
        <w:tabs>
          <w:tab w:val="left" w:pos="0"/>
          <w:tab w:val="left" w:pos="5760"/>
        </w:tabs>
        <w:suppressAutoHyphens/>
        <w:rPr>
          <w:b/>
          <w:sz w:val="22"/>
          <w:szCs w:val="22"/>
        </w:rPr>
      </w:pPr>
      <w:r>
        <w:rPr>
          <w:sz w:val="22"/>
          <w:szCs w:val="22"/>
        </w:rPr>
        <w:t xml:space="preserve">                                                                           </w:t>
      </w:r>
      <w:r w:rsidRPr="00752396">
        <w:rPr>
          <w:b/>
          <w:sz w:val="22"/>
          <w:szCs w:val="22"/>
        </w:rPr>
        <w:t>In re:</w:t>
      </w:r>
      <w:r>
        <w:rPr>
          <w:b/>
          <w:sz w:val="22"/>
          <w:szCs w:val="22"/>
        </w:rPr>
        <w:t xml:space="preserve">       </w:t>
      </w:r>
      <w:r w:rsidRPr="00752396">
        <w:rPr>
          <w:b/>
          <w:sz w:val="22"/>
          <w:szCs w:val="22"/>
        </w:rPr>
        <w:t>KGTL(AM), Homer, AK</w:t>
      </w:r>
    </w:p>
    <w:p w14:paraId="690C4DBF" w14:textId="77777777" w:rsidR="00E8120F" w:rsidRDefault="00E8120F" w:rsidP="00E8120F">
      <w:pPr>
        <w:tabs>
          <w:tab w:val="left" w:pos="0"/>
          <w:tab w:val="left" w:pos="5760"/>
        </w:tabs>
        <w:suppressAutoHyphens/>
        <w:ind w:left="5760" w:hanging="720"/>
        <w:rPr>
          <w:sz w:val="22"/>
          <w:szCs w:val="22"/>
        </w:rPr>
      </w:pPr>
      <w:r>
        <w:rPr>
          <w:sz w:val="22"/>
          <w:szCs w:val="22"/>
        </w:rPr>
        <w:t>Facility ID No. 52152</w:t>
      </w:r>
    </w:p>
    <w:p w14:paraId="180F8B1B" w14:textId="77777777" w:rsidR="00E8120F" w:rsidRDefault="00E8120F" w:rsidP="00E8120F">
      <w:pPr>
        <w:tabs>
          <w:tab w:val="left" w:pos="0"/>
        </w:tabs>
        <w:suppressAutoHyphens/>
        <w:ind w:left="5040" w:hanging="5040"/>
        <w:rPr>
          <w:sz w:val="22"/>
          <w:szCs w:val="22"/>
        </w:rPr>
      </w:pPr>
      <w:r>
        <w:rPr>
          <w:sz w:val="22"/>
          <w:szCs w:val="22"/>
        </w:rPr>
        <w:tab/>
        <w:t>File Nos. BR-20050919AEZ</w:t>
      </w:r>
      <w:r>
        <w:rPr>
          <w:sz w:val="22"/>
          <w:szCs w:val="22"/>
        </w:rPr>
        <w:tab/>
      </w:r>
    </w:p>
    <w:p w14:paraId="275841CF" w14:textId="77777777" w:rsidR="00E8120F" w:rsidRDefault="00E8120F" w:rsidP="00E8120F">
      <w:pPr>
        <w:tabs>
          <w:tab w:val="left" w:pos="0"/>
          <w:tab w:val="left" w:pos="5760"/>
        </w:tabs>
        <w:suppressAutoHyphens/>
        <w:ind w:left="5760" w:hanging="720"/>
        <w:rPr>
          <w:sz w:val="22"/>
          <w:szCs w:val="22"/>
        </w:rPr>
      </w:pPr>
      <w:r>
        <w:rPr>
          <w:sz w:val="22"/>
          <w:szCs w:val="22"/>
        </w:rPr>
        <w:tab/>
        <w:t xml:space="preserve">   BR-20130830AMW</w:t>
      </w:r>
    </w:p>
    <w:p w14:paraId="7FE1621C" w14:textId="77777777" w:rsidR="00E8120F" w:rsidRDefault="00E8120F" w:rsidP="00E8120F">
      <w:pPr>
        <w:tabs>
          <w:tab w:val="left" w:pos="0"/>
          <w:tab w:val="left" w:pos="5760"/>
        </w:tabs>
        <w:suppressAutoHyphens/>
        <w:ind w:left="5760" w:hanging="720"/>
        <w:rPr>
          <w:sz w:val="22"/>
          <w:szCs w:val="22"/>
        </w:rPr>
      </w:pPr>
    </w:p>
    <w:p w14:paraId="047DCA0E" w14:textId="77777777" w:rsidR="00E8120F" w:rsidRPr="00F71CA6" w:rsidRDefault="00E8120F" w:rsidP="00E8120F">
      <w:pPr>
        <w:tabs>
          <w:tab w:val="left" w:pos="0"/>
          <w:tab w:val="left" w:pos="5760"/>
        </w:tabs>
        <w:suppressAutoHyphens/>
        <w:ind w:left="5760" w:hanging="720"/>
        <w:rPr>
          <w:b/>
          <w:sz w:val="22"/>
          <w:szCs w:val="22"/>
        </w:rPr>
      </w:pPr>
      <w:r w:rsidRPr="00F71CA6">
        <w:rPr>
          <w:b/>
          <w:sz w:val="22"/>
          <w:szCs w:val="22"/>
        </w:rPr>
        <w:t>KXBA(FM), Nikiski, AK</w:t>
      </w:r>
    </w:p>
    <w:p w14:paraId="68BD348E" w14:textId="77777777" w:rsidR="00E8120F" w:rsidRDefault="00E8120F" w:rsidP="00E8120F">
      <w:pPr>
        <w:tabs>
          <w:tab w:val="left" w:pos="0"/>
          <w:tab w:val="left" w:pos="5760"/>
        </w:tabs>
        <w:suppressAutoHyphens/>
        <w:ind w:left="5760" w:hanging="720"/>
        <w:rPr>
          <w:sz w:val="22"/>
          <w:szCs w:val="22"/>
        </w:rPr>
      </w:pPr>
      <w:r>
        <w:rPr>
          <w:sz w:val="22"/>
          <w:szCs w:val="22"/>
        </w:rPr>
        <w:t>Facility ID No. 86717</w:t>
      </w:r>
    </w:p>
    <w:p w14:paraId="3D9611A4" w14:textId="77777777" w:rsidR="00E8120F" w:rsidRDefault="00E8120F" w:rsidP="00E8120F">
      <w:pPr>
        <w:tabs>
          <w:tab w:val="left" w:pos="0"/>
          <w:tab w:val="left" w:pos="5760"/>
        </w:tabs>
        <w:suppressAutoHyphens/>
        <w:ind w:left="5760" w:hanging="720"/>
        <w:rPr>
          <w:sz w:val="22"/>
          <w:szCs w:val="22"/>
        </w:rPr>
      </w:pPr>
      <w:r>
        <w:rPr>
          <w:sz w:val="22"/>
          <w:szCs w:val="22"/>
        </w:rPr>
        <w:t>File Nos. BRH-20050919ACU</w:t>
      </w:r>
    </w:p>
    <w:p w14:paraId="412F8331" w14:textId="77777777" w:rsidR="00E8120F" w:rsidRDefault="00E8120F" w:rsidP="00E8120F">
      <w:pPr>
        <w:tabs>
          <w:tab w:val="left" w:pos="0"/>
          <w:tab w:val="left" w:pos="5760"/>
        </w:tabs>
        <w:suppressAutoHyphens/>
        <w:ind w:left="5760" w:hanging="720"/>
        <w:rPr>
          <w:sz w:val="22"/>
          <w:szCs w:val="22"/>
        </w:rPr>
      </w:pPr>
      <w:r>
        <w:rPr>
          <w:sz w:val="22"/>
          <w:szCs w:val="22"/>
        </w:rPr>
        <w:tab/>
        <w:t xml:space="preserve">   BRH-20130830AMJ</w:t>
      </w:r>
    </w:p>
    <w:p w14:paraId="56C8B4A2" w14:textId="77777777" w:rsidR="00E8120F" w:rsidRDefault="00E8120F" w:rsidP="00E8120F">
      <w:pPr>
        <w:tabs>
          <w:tab w:val="left" w:pos="0"/>
          <w:tab w:val="left" w:pos="5760"/>
        </w:tabs>
        <w:suppressAutoHyphens/>
        <w:ind w:left="5760" w:hanging="720"/>
        <w:rPr>
          <w:sz w:val="22"/>
          <w:szCs w:val="22"/>
        </w:rPr>
      </w:pPr>
    </w:p>
    <w:p w14:paraId="6CC68FC7" w14:textId="77777777" w:rsidR="00E8120F" w:rsidRPr="00F71CA6" w:rsidRDefault="00E8120F" w:rsidP="00E8120F">
      <w:pPr>
        <w:tabs>
          <w:tab w:val="left" w:pos="0"/>
          <w:tab w:val="left" w:pos="5760"/>
        </w:tabs>
        <w:suppressAutoHyphens/>
        <w:ind w:left="5760" w:hanging="720"/>
        <w:rPr>
          <w:b/>
          <w:sz w:val="22"/>
          <w:szCs w:val="22"/>
        </w:rPr>
      </w:pPr>
      <w:r w:rsidRPr="00F71CA6">
        <w:rPr>
          <w:b/>
          <w:sz w:val="22"/>
          <w:szCs w:val="22"/>
        </w:rPr>
        <w:t>KPEN-FM, Soldotna, AK</w:t>
      </w:r>
    </w:p>
    <w:p w14:paraId="1886B8D6" w14:textId="77777777" w:rsidR="00E8120F" w:rsidRDefault="00E8120F" w:rsidP="00E8120F">
      <w:pPr>
        <w:tabs>
          <w:tab w:val="left" w:pos="0"/>
          <w:tab w:val="left" w:pos="5760"/>
        </w:tabs>
        <w:suppressAutoHyphens/>
        <w:ind w:left="5760" w:hanging="720"/>
        <w:rPr>
          <w:sz w:val="22"/>
          <w:szCs w:val="22"/>
        </w:rPr>
      </w:pPr>
      <w:r>
        <w:rPr>
          <w:sz w:val="22"/>
          <w:szCs w:val="22"/>
        </w:rPr>
        <w:t>Facility ID No. 52149</w:t>
      </w:r>
    </w:p>
    <w:p w14:paraId="036DA0D2" w14:textId="77777777" w:rsidR="00E8120F" w:rsidRDefault="00E8120F" w:rsidP="00E8120F">
      <w:pPr>
        <w:tabs>
          <w:tab w:val="left" w:pos="0"/>
          <w:tab w:val="left" w:pos="5760"/>
        </w:tabs>
        <w:suppressAutoHyphens/>
        <w:ind w:left="5760" w:hanging="720"/>
        <w:rPr>
          <w:sz w:val="22"/>
          <w:szCs w:val="22"/>
        </w:rPr>
      </w:pPr>
      <w:r>
        <w:rPr>
          <w:sz w:val="22"/>
          <w:szCs w:val="22"/>
        </w:rPr>
        <w:t>File Nos. BRH-20050919AEM</w:t>
      </w:r>
    </w:p>
    <w:p w14:paraId="1FBF38CF" w14:textId="77777777" w:rsidR="00E8120F" w:rsidRDefault="00E8120F" w:rsidP="00E8120F">
      <w:pPr>
        <w:tabs>
          <w:tab w:val="left" w:pos="0"/>
          <w:tab w:val="left" w:pos="5760"/>
        </w:tabs>
        <w:suppressAutoHyphens/>
        <w:ind w:left="5760" w:hanging="720"/>
        <w:rPr>
          <w:sz w:val="22"/>
          <w:szCs w:val="22"/>
        </w:rPr>
      </w:pPr>
      <w:r>
        <w:rPr>
          <w:sz w:val="22"/>
          <w:szCs w:val="22"/>
        </w:rPr>
        <w:tab/>
        <w:t xml:space="preserve">   BRH-20130830AMR</w:t>
      </w:r>
    </w:p>
    <w:p w14:paraId="05F33099" w14:textId="77777777" w:rsidR="00E8120F" w:rsidRDefault="00E8120F" w:rsidP="00E8120F">
      <w:pPr>
        <w:tabs>
          <w:tab w:val="left" w:pos="0"/>
          <w:tab w:val="left" w:pos="5760"/>
        </w:tabs>
        <w:suppressAutoHyphens/>
        <w:ind w:left="5760" w:hanging="720"/>
        <w:rPr>
          <w:sz w:val="22"/>
          <w:szCs w:val="22"/>
        </w:rPr>
      </w:pPr>
    </w:p>
    <w:p w14:paraId="5D9C176D" w14:textId="77777777" w:rsidR="00E8120F" w:rsidRPr="00F71CA6" w:rsidRDefault="00E8120F" w:rsidP="00E8120F">
      <w:pPr>
        <w:tabs>
          <w:tab w:val="left" w:pos="0"/>
          <w:tab w:val="left" w:pos="5760"/>
        </w:tabs>
        <w:suppressAutoHyphens/>
        <w:ind w:left="5760" w:hanging="720"/>
        <w:rPr>
          <w:b/>
          <w:sz w:val="22"/>
          <w:szCs w:val="22"/>
        </w:rPr>
      </w:pPr>
      <w:r w:rsidRPr="00F71CA6">
        <w:rPr>
          <w:b/>
          <w:sz w:val="22"/>
          <w:szCs w:val="22"/>
        </w:rPr>
        <w:t>KWVV-FM, Homer, AK</w:t>
      </w:r>
    </w:p>
    <w:p w14:paraId="483B9321" w14:textId="77777777" w:rsidR="00E8120F" w:rsidRDefault="00E8120F" w:rsidP="00E8120F">
      <w:pPr>
        <w:tabs>
          <w:tab w:val="left" w:pos="0"/>
          <w:tab w:val="left" w:pos="5760"/>
        </w:tabs>
        <w:suppressAutoHyphens/>
        <w:ind w:left="5760" w:hanging="720"/>
        <w:rPr>
          <w:sz w:val="22"/>
          <w:szCs w:val="22"/>
        </w:rPr>
      </w:pPr>
      <w:r>
        <w:rPr>
          <w:sz w:val="22"/>
          <w:szCs w:val="22"/>
        </w:rPr>
        <w:t>Facility ID No. 52145</w:t>
      </w:r>
    </w:p>
    <w:p w14:paraId="30882D5C" w14:textId="77777777" w:rsidR="00E8120F" w:rsidRDefault="00E8120F" w:rsidP="00E8120F">
      <w:pPr>
        <w:tabs>
          <w:tab w:val="left" w:pos="0"/>
          <w:tab w:val="left" w:pos="5760"/>
        </w:tabs>
        <w:suppressAutoHyphens/>
        <w:ind w:left="5760" w:hanging="720"/>
        <w:rPr>
          <w:sz w:val="22"/>
          <w:szCs w:val="22"/>
        </w:rPr>
      </w:pPr>
      <w:r>
        <w:rPr>
          <w:sz w:val="22"/>
          <w:szCs w:val="22"/>
        </w:rPr>
        <w:t>File Nos. BRH-20050919AES</w:t>
      </w:r>
    </w:p>
    <w:p w14:paraId="7340EA20" w14:textId="77777777" w:rsidR="00E8120F" w:rsidRDefault="00E8120F" w:rsidP="00E8120F">
      <w:pPr>
        <w:tabs>
          <w:tab w:val="left" w:pos="0"/>
          <w:tab w:val="left" w:pos="5760"/>
        </w:tabs>
        <w:suppressAutoHyphens/>
        <w:ind w:left="5760" w:hanging="720"/>
        <w:rPr>
          <w:sz w:val="22"/>
          <w:szCs w:val="22"/>
        </w:rPr>
      </w:pPr>
      <w:r>
        <w:rPr>
          <w:sz w:val="22"/>
          <w:szCs w:val="22"/>
        </w:rPr>
        <w:lastRenderedPageBreak/>
        <w:tab/>
        <w:t xml:space="preserve">   BRH-20130830AMK</w:t>
      </w:r>
      <w:r w:rsidRPr="009D47AF">
        <w:rPr>
          <w:sz w:val="22"/>
          <w:szCs w:val="22"/>
        </w:rPr>
        <w:t xml:space="preserve"> </w:t>
      </w:r>
    </w:p>
    <w:p w14:paraId="1C62C750" w14:textId="77777777" w:rsidR="00E8120F" w:rsidRDefault="00E8120F" w:rsidP="00E8120F">
      <w:pPr>
        <w:tabs>
          <w:tab w:val="left" w:pos="0"/>
          <w:tab w:val="left" w:pos="5760"/>
        </w:tabs>
        <w:suppressAutoHyphens/>
        <w:ind w:left="5760" w:hanging="720"/>
        <w:rPr>
          <w:sz w:val="22"/>
          <w:szCs w:val="22"/>
        </w:rPr>
      </w:pPr>
      <w:r>
        <w:rPr>
          <w:sz w:val="22"/>
          <w:szCs w:val="22"/>
        </w:rPr>
        <w:tab/>
        <w:t xml:space="preserve">   BPH-20141219AAA</w:t>
      </w:r>
    </w:p>
    <w:p w14:paraId="1484FAF1" w14:textId="77777777" w:rsidR="00E8120F" w:rsidRDefault="00E8120F" w:rsidP="00E8120F">
      <w:pPr>
        <w:tabs>
          <w:tab w:val="left" w:pos="0"/>
          <w:tab w:val="left" w:pos="5760"/>
        </w:tabs>
        <w:suppressAutoHyphens/>
        <w:ind w:left="5760" w:hanging="720"/>
        <w:rPr>
          <w:b/>
          <w:sz w:val="22"/>
          <w:szCs w:val="22"/>
        </w:rPr>
      </w:pPr>
    </w:p>
    <w:p w14:paraId="4C9BAFD7" w14:textId="77777777" w:rsidR="00E8120F" w:rsidRDefault="00E8120F" w:rsidP="00E8120F">
      <w:pPr>
        <w:tabs>
          <w:tab w:val="left" w:pos="0"/>
        </w:tabs>
        <w:suppressAutoHyphens/>
        <w:ind w:left="5040" w:hanging="5040"/>
        <w:rPr>
          <w:sz w:val="22"/>
          <w:szCs w:val="22"/>
        </w:rPr>
      </w:pPr>
    </w:p>
    <w:p w14:paraId="0BB59F1B" w14:textId="77777777" w:rsidR="00E8120F" w:rsidRPr="002315AD" w:rsidRDefault="00E8120F" w:rsidP="00E8120F">
      <w:pPr>
        <w:tabs>
          <w:tab w:val="left" w:pos="0"/>
        </w:tabs>
        <w:suppressAutoHyphens/>
        <w:ind w:left="5040" w:hanging="5040"/>
        <w:rPr>
          <w:b/>
          <w:i/>
          <w:sz w:val="22"/>
          <w:szCs w:val="22"/>
        </w:rPr>
      </w:pPr>
      <w:r>
        <w:rPr>
          <w:sz w:val="22"/>
          <w:szCs w:val="22"/>
        </w:rPr>
        <w:tab/>
      </w:r>
      <w:r>
        <w:rPr>
          <w:b/>
          <w:sz w:val="22"/>
          <w:szCs w:val="22"/>
        </w:rPr>
        <w:t>K257DB, Anchor Point, Alaska</w:t>
      </w:r>
    </w:p>
    <w:p w14:paraId="51A573AC" w14:textId="77777777" w:rsidR="00E8120F" w:rsidRDefault="00E8120F" w:rsidP="00E8120F">
      <w:pPr>
        <w:tabs>
          <w:tab w:val="left" w:pos="0"/>
        </w:tabs>
        <w:suppressAutoHyphens/>
        <w:ind w:left="5040" w:hanging="5040"/>
        <w:rPr>
          <w:sz w:val="22"/>
          <w:szCs w:val="22"/>
        </w:rPr>
      </w:pPr>
      <w:r>
        <w:rPr>
          <w:b/>
          <w:sz w:val="22"/>
          <w:szCs w:val="22"/>
        </w:rPr>
        <w:tab/>
      </w:r>
      <w:r>
        <w:rPr>
          <w:sz w:val="22"/>
          <w:szCs w:val="22"/>
        </w:rPr>
        <w:t>Facility ID No. 52162</w:t>
      </w:r>
    </w:p>
    <w:p w14:paraId="53537569" w14:textId="77777777" w:rsidR="00E8120F" w:rsidRDefault="00E8120F" w:rsidP="00E8120F">
      <w:pPr>
        <w:tabs>
          <w:tab w:val="left" w:pos="0"/>
        </w:tabs>
        <w:suppressAutoHyphens/>
        <w:ind w:left="5040" w:hanging="5040"/>
        <w:rPr>
          <w:sz w:val="22"/>
          <w:szCs w:val="22"/>
        </w:rPr>
      </w:pPr>
      <w:r>
        <w:rPr>
          <w:sz w:val="22"/>
          <w:szCs w:val="22"/>
        </w:rPr>
        <w:tab/>
      </w:r>
      <w:r w:rsidRPr="005A49F1">
        <w:rPr>
          <w:sz w:val="22"/>
          <w:szCs w:val="22"/>
        </w:rPr>
        <w:t>File No</w:t>
      </w:r>
      <w:r>
        <w:rPr>
          <w:sz w:val="22"/>
          <w:szCs w:val="22"/>
        </w:rPr>
        <w:t>s</w:t>
      </w:r>
      <w:r w:rsidRPr="005A49F1">
        <w:rPr>
          <w:sz w:val="22"/>
          <w:szCs w:val="22"/>
        </w:rPr>
        <w:t xml:space="preserve">. </w:t>
      </w:r>
      <w:r>
        <w:rPr>
          <w:sz w:val="22"/>
          <w:szCs w:val="22"/>
        </w:rPr>
        <w:t>BALFT-20161129AEZ</w:t>
      </w:r>
    </w:p>
    <w:p w14:paraId="43CC1483"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BRFT-20050919AEN</w:t>
      </w:r>
    </w:p>
    <w:p w14:paraId="073BB77E"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BRFT-20130830AMS</w:t>
      </w:r>
    </w:p>
    <w:p w14:paraId="18FAFE58"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r>
    </w:p>
    <w:p w14:paraId="6FFC37D4" w14:textId="77777777" w:rsidR="00E8120F" w:rsidRDefault="00E8120F" w:rsidP="00E8120F">
      <w:pPr>
        <w:tabs>
          <w:tab w:val="left" w:pos="0"/>
        </w:tabs>
        <w:suppressAutoHyphens/>
        <w:ind w:left="5040" w:hanging="5040"/>
        <w:rPr>
          <w:sz w:val="22"/>
          <w:szCs w:val="22"/>
        </w:rPr>
      </w:pPr>
    </w:p>
    <w:p w14:paraId="39F6B342" w14:textId="77777777" w:rsidR="00E8120F" w:rsidRPr="00177F2E" w:rsidRDefault="00E8120F" w:rsidP="00E8120F">
      <w:pPr>
        <w:tabs>
          <w:tab w:val="left" w:pos="0"/>
        </w:tabs>
        <w:suppressAutoHyphens/>
        <w:ind w:left="5040" w:hanging="5040"/>
        <w:rPr>
          <w:b/>
          <w:sz w:val="22"/>
          <w:szCs w:val="22"/>
        </w:rPr>
      </w:pPr>
      <w:r>
        <w:rPr>
          <w:sz w:val="22"/>
          <w:szCs w:val="22"/>
        </w:rPr>
        <w:tab/>
      </w:r>
      <w:r w:rsidRPr="00177F2E">
        <w:rPr>
          <w:b/>
          <w:sz w:val="22"/>
          <w:szCs w:val="22"/>
        </w:rPr>
        <w:t>K272CN, Homer, Alaska</w:t>
      </w:r>
    </w:p>
    <w:p w14:paraId="4847AC8A" w14:textId="77777777" w:rsidR="00E8120F" w:rsidRDefault="00E8120F" w:rsidP="00E8120F">
      <w:pPr>
        <w:tabs>
          <w:tab w:val="left" w:pos="0"/>
        </w:tabs>
        <w:suppressAutoHyphens/>
        <w:ind w:left="5040" w:hanging="5040"/>
        <w:rPr>
          <w:sz w:val="22"/>
          <w:szCs w:val="22"/>
        </w:rPr>
      </w:pPr>
      <w:r>
        <w:rPr>
          <w:sz w:val="22"/>
          <w:szCs w:val="22"/>
        </w:rPr>
        <w:tab/>
        <w:t>Facility ID No. 52148</w:t>
      </w:r>
    </w:p>
    <w:p w14:paraId="00B30181" w14:textId="77777777" w:rsidR="00E8120F" w:rsidRDefault="00E8120F" w:rsidP="00E8120F">
      <w:pPr>
        <w:tabs>
          <w:tab w:val="left" w:pos="0"/>
        </w:tabs>
        <w:suppressAutoHyphens/>
        <w:ind w:left="5040" w:hanging="5040"/>
        <w:rPr>
          <w:sz w:val="22"/>
          <w:szCs w:val="22"/>
        </w:rPr>
      </w:pPr>
      <w:r>
        <w:rPr>
          <w:sz w:val="22"/>
          <w:szCs w:val="22"/>
        </w:rPr>
        <w:tab/>
      </w:r>
      <w:r w:rsidRPr="005A49F1">
        <w:rPr>
          <w:sz w:val="22"/>
          <w:szCs w:val="22"/>
        </w:rPr>
        <w:t>File No</w:t>
      </w:r>
      <w:r>
        <w:rPr>
          <w:sz w:val="22"/>
          <w:szCs w:val="22"/>
        </w:rPr>
        <w:t>s</w:t>
      </w:r>
      <w:r w:rsidRPr="005A49F1">
        <w:rPr>
          <w:sz w:val="22"/>
          <w:szCs w:val="22"/>
        </w:rPr>
        <w:t xml:space="preserve">. </w:t>
      </w:r>
      <w:r>
        <w:rPr>
          <w:sz w:val="22"/>
          <w:szCs w:val="22"/>
        </w:rPr>
        <w:t>BALFT-20161129AFA</w:t>
      </w:r>
    </w:p>
    <w:p w14:paraId="6E4D5D65" w14:textId="625C1325"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w:t>
      </w:r>
      <w:r w:rsidR="00D71AB9">
        <w:rPr>
          <w:sz w:val="22"/>
          <w:szCs w:val="22"/>
        </w:rPr>
        <w:t>BRFT-20050919AEO</w:t>
      </w:r>
    </w:p>
    <w:p w14:paraId="2904D9FD"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BRFT-20130830AMT</w:t>
      </w:r>
    </w:p>
    <w:p w14:paraId="3A2B8C50" w14:textId="573461EE" w:rsidR="00E8120F" w:rsidRDefault="004D4BAD" w:rsidP="004D4BAD">
      <w:pPr>
        <w:tabs>
          <w:tab w:val="left" w:pos="0"/>
        </w:tabs>
        <w:suppressAutoHyphens/>
        <w:ind w:left="5040" w:hanging="5040"/>
        <w:rPr>
          <w:sz w:val="22"/>
          <w:szCs w:val="22"/>
        </w:rPr>
      </w:pPr>
      <w:r>
        <w:rPr>
          <w:sz w:val="22"/>
          <w:szCs w:val="22"/>
        </w:rPr>
        <w:tab/>
      </w:r>
      <w:r>
        <w:rPr>
          <w:sz w:val="22"/>
          <w:szCs w:val="22"/>
        </w:rPr>
        <w:tab/>
        <w:t xml:space="preserve">   </w:t>
      </w:r>
      <w:r w:rsidRPr="004D4BAD">
        <w:rPr>
          <w:sz w:val="22"/>
          <w:szCs w:val="22"/>
        </w:rPr>
        <w:t>BPFT-20141112AMU</w:t>
      </w:r>
      <w:r w:rsidR="00E8120F">
        <w:rPr>
          <w:sz w:val="22"/>
          <w:szCs w:val="22"/>
        </w:rPr>
        <w:t xml:space="preserve">   </w:t>
      </w:r>
    </w:p>
    <w:p w14:paraId="33B2A4E4" w14:textId="77777777" w:rsidR="00E8120F" w:rsidRDefault="00E8120F" w:rsidP="00E8120F">
      <w:pPr>
        <w:tabs>
          <w:tab w:val="left" w:pos="0"/>
        </w:tabs>
        <w:suppressAutoHyphens/>
        <w:ind w:left="5040" w:hanging="5040"/>
        <w:rPr>
          <w:sz w:val="22"/>
          <w:szCs w:val="22"/>
        </w:rPr>
      </w:pPr>
    </w:p>
    <w:p w14:paraId="676C91C6" w14:textId="77777777" w:rsidR="00E8120F" w:rsidRPr="00177F2E" w:rsidRDefault="00E8120F" w:rsidP="00E8120F">
      <w:pPr>
        <w:tabs>
          <w:tab w:val="left" w:pos="0"/>
        </w:tabs>
        <w:suppressAutoHyphens/>
        <w:ind w:left="5040" w:hanging="5040"/>
        <w:rPr>
          <w:b/>
          <w:sz w:val="22"/>
          <w:szCs w:val="22"/>
        </w:rPr>
      </w:pPr>
      <w:r>
        <w:rPr>
          <w:sz w:val="22"/>
          <w:szCs w:val="22"/>
        </w:rPr>
        <w:tab/>
      </w:r>
      <w:r w:rsidRPr="00177F2E">
        <w:rPr>
          <w:b/>
          <w:sz w:val="22"/>
          <w:szCs w:val="22"/>
        </w:rPr>
        <w:t>K285EF, Kenai, Alaska</w:t>
      </w:r>
    </w:p>
    <w:p w14:paraId="4B2135B1" w14:textId="77777777" w:rsidR="00E8120F" w:rsidRDefault="00E8120F" w:rsidP="00E8120F">
      <w:pPr>
        <w:tabs>
          <w:tab w:val="left" w:pos="0"/>
        </w:tabs>
        <w:suppressAutoHyphens/>
        <w:ind w:left="5040" w:hanging="5040"/>
        <w:rPr>
          <w:sz w:val="22"/>
          <w:szCs w:val="22"/>
        </w:rPr>
      </w:pPr>
      <w:r>
        <w:rPr>
          <w:sz w:val="22"/>
          <w:szCs w:val="22"/>
        </w:rPr>
        <w:tab/>
        <w:t>Facility ID No. 52161</w:t>
      </w:r>
    </w:p>
    <w:p w14:paraId="54159C32" w14:textId="77777777" w:rsidR="00E8120F" w:rsidRDefault="00E8120F" w:rsidP="00E8120F">
      <w:pPr>
        <w:tabs>
          <w:tab w:val="left" w:pos="0"/>
        </w:tabs>
        <w:suppressAutoHyphens/>
        <w:ind w:left="5040" w:hanging="5040"/>
        <w:rPr>
          <w:sz w:val="22"/>
          <w:szCs w:val="22"/>
        </w:rPr>
      </w:pPr>
      <w:r>
        <w:rPr>
          <w:sz w:val="22"/>
          <w:szCs w:val="22"/>
        </w:rPr>
        <w:tab/>
      </w:r>
      <w:r w:rsidRPr="005A49F1">
        <w:rPr>
          <w:sz w:val="22"/>
          <w:szCs w:val="22"/>
        </w:rPr>
        <w:t>File No</w:t>
      </w:r>
      <w:r>
        <w:rPr>
          <w:sz w:val="22"/>
          <w:szCs w:val="22"/>
        </w:rPr>
        <w:t>s</w:t>
      </w:r>
      <w:r w:rsidRPr="005A49F1">
        <w:rPr>
          <w:sz w:val="22"/>
          <w:szCs w:val="22"/>
        </w:rPr>
        <w:t xml:space="preserve">. </w:t>
      </w:r>
      <w:r>
        <w:rPr>
          <w:sz w:val="22"/>
          <w:szCs w:val="22"/>
        </w:rPr>
        <w:t>BALFT-20161129AFB</w:t>
      </w:r>
    </w:p>
    <w:p w14:paraId="5C15FC49"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w:t>
      </w:r>
      <w:r w:rsidRPr="00EB4807">
        <w:rPr>
          <w:sz w:val="22"/>
          <w:szCs w:val="22"/>
        </w:rPr>
        <w:t>BRFT-20050919AE</w:t>
      </w:r>
      <w:r>
        <w:rPr>
          <w:sz w:val="22"/>
          <w:szCs w:val="22"/>
        </w:rPr>
        <w:t>V</w:t>
      </w:r>
    </w:p>
    <w:p w14:paraId="527C595B"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BRFT-20130830AMO</w:t>
      </w:r>
    </w:p>
    <w:p w14:paraId="077CD3ED" w14:textId="77777777" w:rsidR="00E8120F" w:rsidRDefault="00E8120F" w:rsidP="00E8120F">
      <w:pPr>
        <w:tabs>
          <w:tab w:val="left" w:pos="0"/>
        </w:tabs>
        <w:suppressAutoHyphens/>
        <w:ind w:left="5040" w:hanging="5040"/>
        <w:rPr>
          <w:sz w:val="22"/>
          <w:szCs w:val="22"/>
        </w:rPr>
      </w:pPr>
    </w:p>
    <w:p w14:paraId="5ADAD2BC" w14:textId="77777777" w:rsidR="00E8120F" w:rsidRPr="00177F2E" w:rsidRDefault="00E8120F" w:rsidP="00E8120F">
      <w:pPr>
        <w:tabs>
          <w:tab w:val="left" w:pos="0"/>
        </w:tabs>
        <w:suppressAutoHyphens/>
        <w:ind w:left="5040" w:hanging="5040"/>
        <w:rPr>
          <w:b/>
          <w:sz w:val="22"/>
          <w:szCs w:val="22"/>
        </w:rPr>
      </w:pPr>
      <w:r>
        <w:rPr>
          <w:sz w:val="22"/>
          <w:szCs w:val="22"/>
        </w:rPr>
        <w:tab/>
      </w:r>
      <w:r w:rsidRPr="00177F2E">
        <w:rPr>
          <w:b/>
          <w:sz w:val="22"/>
          <w:szCs w:val="22"/>
        </w:rPr>
        <w:t>K274AB, Kodiak, Alaska</w:t>
      </w:r>
    </w:p>
    <w:p w14:paraId="17D35383" w14:textId="77777777" w:rsidR="00E8120F" w:rsidRDefault="00E8120F" w:rsidP="00E8120F">
      <w:pPr>
        <w:tabs>
          <w:tab w:val="left" w:pos="0"/>
        </w:tabs>
        <w:suppressAutoHyphens/>
        <w:ind w:left="5040" w:hanging="5040"/>
        <w:rPr>
          <w:sz w:val="22"/>
          <w:szCs w:val="22"/>
        </w:rPr>
      </w:pPr>
      <w:r>
        <w:rPr>
          <w:sz w:val="22"/>
          <w:szCs w:val="22"/>
        </w:rPr>
        <w:tab/>
        <w:t>Facility ID No. 52151</w:t>
      </w:r>
    </w:p>
    <w:p w14:paraId="21377A92" w14:textId="77777777" w:rsidR="00E8120F" w:rsidRDefault="00E8120F" w:rsidP="00E8120F">
      <w:pPr>
        <w:tabs>
          <w:tab w:val="left" w:pos="0"/>
        </w:tabs>
        <w:suppressAutoHyphens/>
        <w:ind w:left="5040" w:hanging="5040"/>
        <w:rPr>
          <w:sz w:val="22"/>
          <w:szCs w:val="22"/>
        </w:rPr>
      </w:pPr>
      <w:r>
        <w:rPr>
          <w:sz w:val="22"/>
          <w:szCs w:val="22"/>
        </w:rPr>
        <w:tab/>
      </w:r>
      <w:r w:rsidRPr="005A49F1">
        <w:rPr>
          <w:sz w:val="22"/>
          <w:szCs w:val="22"/>
        </w:rPr>
        <w:t>File No</w:t>
      </w:r>
      <w:r>
        <w:rPr>
          <w:sz w:val="22"/>
          <w:szCs w:val="22"/>
        </w:rPr>
        <w:t>s</w:t>
      </w:r>
      <w:r w:rsidRPr="005A49F1">
        <w:rPr>
          <w:sz w:val="22"/>
          <w:szCs w:val="22"/>
        </w:rPr>
        <w:t xml:space="preserve">. </w:t>
      </w:r>
      <w:r>
        <w:rPr>
          <w:sz w:val="22"/>
          <w:szCs w:val="22"/>
        </w:rPr>
        <w:t>BALFT-20161129AFC</w:t>
      </w:r>
    </w:p>
    <w:p w14:paraId="6865EC6F" w14:textId="77777777" w:rsidR="00E8120F" w:rsidRDefault="00E8120F" w:rsidP="00E8120F">
      <w:pPr>
        <w:tabs>
          <w:tab w:val="left" w:pos="0"/>
          <w:tab w:val="left" w:pos="5760"/>
        </w:tabs>
        <w:suppressAutoHyphens/>
        <w:ind w:left="5760" w:hanging="720"/>
        <w:rPr>
          <w:sz w:val="22"/>
          <w:szCs w:val="22"/>
        </w:rPr>
      </w:pPr>
      <w:r>
        <w:rPr>
          <w:sz w:val="22"/>
          <w:szCs w:val="22"/>
        </w:rPr>
        <w:tab/>
        <w:t xml:space="preserve">   BRFT-20050919AER</w:t>
      </w:r>
    </w:p>
    <w:p w14:paraId="292C3D69"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BRFT-20130830AMV</w:t>
      </w:r>
    </w:p>
    <w:p w14:paraId="213CABE1" w14:textId="77777777" w:rsidR="00E8120F" w:rsidRDefault="00E8120F" w:rsidP="00E8120F">
      <w:pPr>
        <w:tabs>
          <w:tab w:val="left" w:pos="0"/>
        </w:tabs>
        <w:suppressAutoHyphens/>
        <w:ind w:left="5040" w:hanging="5040"/>
        <w:rPr>
          <w:sz w:val="22"/>
          <w:szCs w:val="22"/>
        </w:rPr>
      </w:pPr>
    </w:p>
    <w:p w14:paraId="2F9A9C33" w14:textId="77777777" w:rsidR="00E8120F" w:rsidRPr="00177F2E" w:rsidRDefault="00E8120F" w:rsidP="00E8120F">
      <w:pPr>
        <w:tabs>
          <w:tab w:val="left" w:pos="0"/>
        </w:tabs>
        <w:suppressAutoHyphens/>
        <w:ind w:left="5040" w:hanging="5040"/>
        <w:rPr>
          <w:b/>
          <w:sz w:val="22"/>
          <w:szCs w:val="22"/>
        </w:rPr>
      </w:pPr>
      <w:r>
        <w:rPr>
          <w:sz w:val="22"/>
          <w:szCs w:val="22"/>
        </w:rPr>
        <w:tab/>
      </w:r>
      <w:r w:rsidRPr="00177F2E">
        <w:rPr>
          <w:b/>
          <w:sz w:val="22"/>
          <w:szCs w:val="22"/>
        </w:rPr>
        <w:t>K285AA, Kodiak, Alaska</w:t>
      </w:r>
    </w:p>
    <w:p w14:paraId="5967129D" w14:textId="77777777" w:rsidR="00E8120F" w:rsidRDefault="00E8120F" w:rsidP="00E8120F">
      <w:pPr>
        <w:tabs>
          <w:tab w:val="left" w:pos="0"/>
        </w:tabs>
        <w:suppressAutoHyphens/>
        <w:ind w:left="5040" w:hanging="5040"/>
        <w:rPr>
          <w:sz w:val="22"/>
          <w:szCs w:val="22"/>
        </w:rPr>
      </w:pPr>
      <w:r>
        <w:rPr>
          <w:sz w:val="22"/>
          <w:szCs w:val="22"/>
        </w:rPr>
        <w:tab/>
        <w:t>Facility ID No. 52164</w:t>
      </w:r>
    </w:p>
    <w:p w14:paraId="6241F2D1" w14:textId="77777777" w:rsidR="00E8120F" w:rsidRDefault="00E8120F" w:rsidP="00E8120F">
      <w:pPr>
        <w:tabs>
          <w:tab w:val="left" w:pos="0"/>
        </w:tabs>
        <w:suppressAutoHyphens/>
        <w:ind w:left="5040" w:hanging="5040"/>
        <w:rPr>
          <w:sz w:val="22"/>
          <w:szCs w:val="22"/>
        </w:rPr>
      </w:pPr>
      <w:r>
        <w:rPr>
          <w:sz w:val="22"/>
          <w:szCs w:val="22"/>
        </w:rPr>
        <w:tab/>
      </w:r>
      <w:r w:rsidRPr="005A49F1">
        <w:rPr>
          <w:sz w:val="22"/>
          <w:szCs w:val="22"/>
        </w:rPr>
        <w:t>File No</w:t>
      </w:r>
      <w:r>
        <w:rPr>
          <w:sz w:val="22"/>
          <w:szCs w:val="22"/>
        </w:rPr>
        <w:t>s</w:t>
      </w:r>
      <w:r w:rsidRPr="005A49F1">
        <w:rPr>
          <w:sz w:val="22"/>
          <w:szCs w:val="22"/>
        </w:rPr>
        <w:t xml:space="preserve">. </w:t>
      </w:r>
      <w:r>
        <w:rPr>
          <w:sz w:val="22"/>
          <w:szCs w:val="22"/>
        </w:rPr>
        <w:t>BALFT-20161129AFD</w:t>
      </w:r>
    </w:p>
    <w:p w14:paraId="170D1757" w14:textId="77777777" w:rsidR="00E8120F" w:rsidRDefault="00E8120F" w:rsidP="00E8120F">
      <w:pPr>
        <w:tabs>
          <w:tab w:val="left" w:pos="0"/>
          <w:tab w:val="left" w:pos="5760"/>
        </w:tabs>
        <w:suppressAutoHyphens/>
        <w:ind w:left="5760" w:hanging="720"/>
        <w:rPr>
          <w:sz w:val="22"/>
          <w:szCs w:val="22"/>
        </w:rPr>
      </w:pPr>
      <w:r>
        <w:rPr>
          <w:sz w:val="22"/>
          <w:szCs w:val="22"/>
        </w:rPr>
        <w:tab/>
        <w:t xml:space="preserve">   BRFT-20050919AET</w:t>
      </w:r>
    </w:p>
    <w:p w14:paraId="6C452F28"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BRFT-20130830AMM</w:t>
      </w:r>
    </w:p>
    <w:p w14:paraId="352F0778" w14:textId="77777777" w:rsidR="00E8120F" w:rsidRDefault="00E8120F" w:rsidP="00E8120F">
      <w:pPr>
        <w:tabs>
          <w:tab w:val="left" w:pos="0"/>
        </w:tabs>
        <w:suppressAutoHyphens/>
        <w:ind w:left="5040" w:hanging="5040"/>
        <w:rPr>
          <w:sz w:val="22"/>
          <w:szCs w:val="22"/>
        </w:rPr>
      </w:pPr>
    </w:p>
    <w:p w14:paraId="683E5CD6" w14:textId="77777777" w:rsidR="00E8120F" w:rsidRDefault="00E8120F" w:rsidP="00E8120F">
      <w:pPr>
        <w:tabs>
          <w:tab w:val="left" w:pos="0"/>
        </w:tabs>
        <w:suppressAutoHyphens/>
        <w:ind w:left="5040" w:hanging="5040"/>
        <w:rPr>
          <w:b/>
          <w:sz w:val="22"/>
          <w:szCs w:val="22"/>
        </w:rPr>
      </w:pPr>
      <w:r>
        <w:rPr>
          <w:sz w:val="22"/>
          <w:szCs w:val="22"/>
        </w:rPr>
        <w:tab/>
      </w:r>
      <w:r>
        <w:rPr>
          <w:b/>
          <w:sz w:val="22"/>
          <w:szCs w:val="22"/>
        </w:rPr>
        <w:t>K285DU, Homer, Alaska</w:t>
      </w:r>
    </w:p>
    <w:p w14:paraId="3B7C5A34" w14:textId="77777777" w:rsidR="00E8120F" w:rsidRDefault="00E8120F" w:rsidP="00E8120F">
      <w:pPr>
        <w:tabs>
          <w:tab w:val="left" w:pos="0"/>
        </w:tabs>
        <w:suppressAutoHyphens/>
        <w:ind w:left="5040" w:hanging="5040"/>
        <w:rPr>
          <w:sz w:val="22"/>
          <w:szCs w:val="22"/>
        </w:rPr>
      </w:pPr>
      <w:r>
        <w:rPr>
          <w:b/>
          <w:sz w:val="22"/>
          <w:szCs w:val="22"/>
        </w:rPr>
        <w:tab/>
      </w:r>
      <w:r>
        <w:rPr>
          <w:sz w:val="22"/>
          <w:szCs w:val="22"/>
        </w:rPr>
        <w:t>Facility ID No. 52157</w:t>
      </w:r>
    </w:p>
    <w:p w14:paraId="2C9D5C47" w14:textId="77777777" w:rsidR="00E8120F" w:rsidRDefault="00E8120F" w:rsidP="00E8120F">
      <w:pPr>
        <w:tabs>
          <w:tab w:val="left" w:pos="0"/>
          <w:tab w:val="left" w:pos="5760"/>
        </w:tabs>
        <w:suppressAutoHyphens/>
        <w:ind w:left="5760" w:hanging="720"/>
        <w:rPr>
          <w:sz w:val="22"/>
          <w:szCs w:val="22"/>
        </w:rPr>
      </w:pPr>
      <w:r>
        <w:rPr>
          <w:sz w:val="22"/>
          <w:szCs w:val="22"/>
        </w:rPr>
        <w:t>File No. BRFT-20050919AEU</w:t>
      </w:r>
    </w:p>
    <w:p w14:paraId="2BE9CC09" w14:textId="7591C340" w:rsidR="00E8120F" w:rsidRPr="000141EE"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BRFT-20130830AMN</w:t>
      </w:r>
    </w:p>
    <w:p w14:paraId="4345509B" w14:textId="77777777" w:rsidR="00E8120F" w:rsidRDefault="00E8120F" w:rsidP="00E8120F">
      <w:pPr>
        <w:tabs>
          <w:tab w:val="left" w:pos="0"/>
        </w:tabs>
        <w:suppressAutoHyphens/>
        <w:ind w:left="5040" w:hanging="5040"/>
        <w:rPr>
          <w:sz w:val="22"/>
          <w:szCs w:val="22"/>
        </w:rPr>
      </w:pPr>
    </w:p>
    <w:p w14:paraId="55323442" w14:textId="77777777" w:rsidR="00E8120F" w:rsidRPr="00177F2E" w:rsidRDefault="00E8120F" w:rsidP="00E8120F">
      <w:pPr>
        <w:tabs>
          <w:tab w:val="left" w:pos="0"/>
        </w:tabs>
        <w:suppressAutoHyphens/>
        <w:ind w:left="5040" w:hanging="5040"/>
        <w:rPr>
          <w:b/>
          <w:sz w:val="22"/>
          <w:szCs w:val="22"/>
        </w:rPr>
      </w:pPr>
      <w:r>
        <w:rPr>
          <w:sz w:val="22"/>
          <w:szCs w:val="22"/>
        </w:rPr>
        <w:tab/>
      </w:r>
      <w:r w:rsidRPr="00177F2E">
        <w:rPr>
          <w:b/>
          <w:sz w:val="22"/>
          <w:szCs w:val="22"/>
        </w:rPr>
        <w:t>K272DG, Seward, Alaska</w:t>
      </w:r>
    </w:p>
    <w:p w14:paraId="020B9BAD" w14:textId="77777777" w:rsidR="00E8120F" w:rsidRDefault="00E8120F" w:rsidP="00E8120F">
      <w:pPr>
        <w:tabs>
          <w:tab w:val="left" w:pos="0"/>
        </w:tabs>
        <w:suppressAutoHyphens/>
        <w:ind w:left="5040" w:hanging="5040"/>
        <w:rPr>
          <w:sz w:val="22"/>
          <w:szCs w:val="22"/>
        </w:rPr>
      </w:pPr>
      <w:r>
        <w:rPr>
          <w:sz w:val="22"/>
          <w:szCs w:val="22"/>
        </w:rPr>
        <w:tab/>
        <w:t>Facility ID No. 52160</w:t>
      </w:r>
    </w:p>
    <w:p w14:paraId="125FEB35" w14:textId="77777777" w:rsidR="00E8120F" w:rsidRDefault="00E8120F" w:rsidP="00E8120F">
      <w:pPr>
        <w:tabs>
          <w:tab w:val="left" w:pos="0"/>
        </w:tabs>
        <w:suppressAutoHyphens/>
        <w:ind w:left="5040" w:hanging="5040"/>
        <w:rPr>
          <w:sz w:val="22"/>
          <w:szCs w:val="22"/>
        </w:rPr>
      </w:pPr>
      <w:r>
        <w:rPr>
          <w:sz w:val="22"/>
          <w:szCs w:val="22"/>
        </w:rPr>
        <w:tab/>
      </w:r>
      <w:r w:rsidRPr="005A49F1">
        <w:rPr>
          <w:sz w:val="22"/>
          <w:szCs w:val="22"/>
        </w:rPr>
        <w:t>File No</w:t>
      </w:r>
      <w:r>
        <w:rPr>
          <w:sz w:val="22"/>
          <w:szCs w:val="22"/>
        </w:rPr>
        <w:t>s</w:t>
      </w:r>
      <w:r w:rsidRPr="005A49F1">
        <w:rPr>
          <w:sz w:val="22"/>
          <w:szCs w:val="22"/>
        </w:rPr>
        <w:t xml:space="preserve">. </w:t>
      </w:r>
      <w:r>
        <w:rPr>
          <w:sz w:val="22"/>
          <w:szCs w:val="22"/>
        </w:rPr>
        <w:t>BALFT-20161129AFE</w:t>
      </w:r>
    </w:p>
    <w:p w14:paraId="04CEFBF2"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BRFT-20050919AEQ</w:t>
      </w:r>
    </w:p>
    <w:p w14:paraId="13A41310"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BRFT-20130830AMU</w:t>
      </w:r>
    </w:p>
    <w:p w14:paraId="187BFD5E" w14:textId="77777777" w:rsidR="00E8120F" w:rsidRDefault="00E8120F" w:rsidP="00E8120F">
      <w:pPr>
        <w:tabs>
          <w:tab w:val="left" w:pos="0"/>
        </w:tabs>
        <w:suppressAutoHyphens/>
        <w:ind w:left="5040" w:hanging="5040"/>
        <w:rPr>
          <w:sz w:val="22"/>
          <w:szCs w:val="22"/>
        </w:rPr>
      </w:pPr>
    </w:p>
    <w:p w14:paraId="67B3CD99" w14:textId="77777777" w:rsidR="00E8120F" w:rsidRPr="00997E8A" w:rsidRDefault="00E8120F" w:rsidP="00E8120F">
      <w:pPr>
        <w:tabs>
          <w:tab w:val="left" w:pos="0"/>
        </w:tabs>
        <w:suppressAutoHyphens/>
        <w:ind w:left="5040" w:hanging="5040"/>
        <w:rPr>
          <w:b/>
          <w:sz w:val="22"/>
          <w:szCs w:val="22"/>
        </w:rPr>
      </w:pPr>
      <w:r>
        <w:rPr>
          <w:sz w:val="22"/>
          <w:szCs w:val="22"/>
        </w:rPr>
        <w:tab/>
      </w:r>
      <w:r w:rsidRPr="00997E8A">
        <w:rPr>
          <w:b/>
          <w:sz w:val="22"/>
          <w:szCs w:val="22"/>
        </w:rPr>
        <w:t>K285EG, Seward, Alaska</w:t>
      </w:r>
    </w:p>
    <w:p w14:paraId="77E3473D" w14:textId="77777777" w:rsidR="00E8120F" w:rsidRDefault="00E8120F" w:rsidP="00E8120F">
      <w:pPr>
        <w:tabs>
          <w:tab w:val="left" w:pos="0"/>
        </w:tabs>
        <w:suppressAutoHyphens/>
        <w:ind w:left="5040" w:hanging="5040"/>
        <w:rPr>
          <w:sz w:val="22"/>
          <w:szCs w:val="22"/>
        </w:rPr>
      </w:pPr>
      <w:r>
        <w:rPr>
          <w:sz w:val="22"/>
          <w:szCs w:val="22"/>
        </w:rPr>
        <w:tab/>
        <w:t>Facility ID No. 52158</w:t>
      </w:r>
    </w:p>
    <w:p w14:paraId="6530D523" w14:textId="77777777" w:rsidR="00E8120F" w:rsidRDefault="00E8120F" w:rsidP="00E8120F">
      <w:pPr>
        <w:tabs>
          <w:tab w:val="left" w:pos="0"/>
        </w:tabs>
        <w:suppressAutoHyphens/>
        <w:ind w:left="5040" w:hanging="5040"/>
        <w:rPr>
          <w:sz w:val="22"/>
          <w:szCs w:val="22"/>
        </w:rPr>
      </w:pPr>
      <w:r>
        <w:rPr>
          <w:sz w:val="22"/>
          <w:szCs w:val="22"/>
        </w:rPr>
        <w:tab/>
      </w:r>
      <w:r w:rsidRPr="005A49F1">
        <w:rPr>
          <w:sz w:val="22"/>
          <w:szCs w:val="22"/>
        </w:rPr>
        <w:t>File No</w:t>
      </w:r>
      <w:r>
        <w:rPr>
          <w:sz w:val="22"/>
          <w:szCs w:val="22"/>
        </w:rPr>
        <w:t>s</w:t>
      </w:r>
      <w:r w:rsidRPr="005A49F1">
        <w:rPr>
          <w:sz w:val="22"/>
          <w:szCs w:val="22"/>
        </w:rPr>
        <w:t xml:space="preserve">. </w:t>
      </w:r>
      <w:r>
        <w:rPr>
          <w:sz w:val="22"/>
          <w:szCs w:val="22"/>
        </w:rPr>
        <w:t>BALFT-20161129AFF</w:t>
      </w:r>
    </w:p>
    <w:p w14:paraId="1D6D81CC" w14:textId="77777777" w:rsidR="00E8120F" w:rsidRDefault="00E8120F" w:rsidP="00E8120F">
      <w:pPr>
        <w:tabs>
          <w:tab w:val="left" w:pos="0"/>
          <w:tab w:val="left" w:pos="5760"/>
        </w:tabs>
        <w:suppressAutoHyphens/>
        <w:ind w:left="5760" w:hanging="720"/>
        <w:rPr>
          <w:sz w:val="22"/>
          <w:szCs w:val="22"/>
        </w:rPr>
      </w:pPr>
      <w:r>
        <w:rPr>
          <w:sz w:val="22"/>
          <w:szCs w:val="22"/>
        </w:rPr>
        <w:tab/>
        <w:t xml:space="preserve">   BRFT-20050919AEX</w:t>
      </w:r>
    </w:p>
    <w:p w14:paraId="0D194009"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BRFT-20130830AMP</w:t>
      </w:r>
    </w:p>
    <w:p w14:paraId="1CBA5357" w14:textId="77777777" w:rsidR="00E8120F" w:rsidRDefault="00E8120F" w:rsidP="00E8120F">
      <w:pPr>
        <w:tabs>
          <w:tab w:val="left" w:pos="0"/>
        </w:tabs>
        <w:suppressAutoHyphens/>
        <w:ind w:left="5040" w:hanging="5040"/>
        <w:rPr>
          <w:sz w:val="22"/>
          <w:szCs w:val="22"/>
        </w:rPr>
      </w:pPr>
    </w:p>
    <w:p w14:paraId="331C01AE" w14:textId="77777777" w:rsidR="00E8120F" w:rsidRDefault="00E8120F" w:rsidP="00E8120F">
      <w:pPr>
        <w:tabs>
          <w:tab w:val="left" w:pos="0"/>
        </w:tabs>
        <w:suppressAutoHyphens/>
        <w:ind w:left="5040" w:hanging="5040"/>
        <w:rPr>
          <w:b/>
          <w:sz w:val="22"/>
          <w:szCs w:val="22"/>
        </w:rPr>
      </w:pPr>
      <w:r>
        <w:rPr>
          <w:sz w:val="22"/>
          <w:szCs w:val="22"/>
        </w:rPr>
        <w:tab/>
      </w:r>
      <w:r>
        <w:rPr>
          <w:b/>
          <w:sz w:val="22"/>
          <w:szCs w:val="22"/>
        </w:rPr>
        <w:t>K292ED, Kachemak City, Alaska</w:t>
      </w:r>
    </w:p>
    <w:p w14:paraId="54793837" w14:textId="77777777" w:rsidR="00E8120F" w:rsidRDefault="00E8120F" w:rsidP="00E8120F">
      <w:pPr>
        <w:tabs>
          <w:tab w:val="left" w:pos="0"/>
        </w:tabs>
        <w:suppressAutoHyphens/>
        <w:ind w:left="5040" w:hanging="5040"/>
        <w:rPr>
          <w:sz w:val="22"/>
          <w:szCs w:val="22"/>
        </w:rPr>
      </w:pPr>
      <w:r>
        <w:rPr>
          <w:b/>
          <w:sz w:val="22"/>
          <w:szCs w:val="22"/>
        </w:rPr>
        <w:tab/>
      </w:r>
      <w:r>
        <w:rPr>
          <w:sz w:val="22"/>
          <w:szCs w:val="22"/>
        </w:rPr>
        <w:t>Facility ID No. 52150</w:t>
      </w:r>
    </w:p>
    <w:p w14:paraId="496E852C" w14:textId="77777777" w:rsidR="00E8120F" w:rsidRDefault="00E8120F" w:rsidP="00E8120F">
      <w:pPr>
        <w:tabs>
          <w:tab w:val="left" w:pos="0"/>
        </w:tabs>
        <w:suppressAutoHyphens/>
        <w:ind w:left="5040" w:hanging="5040"/>
        <w:rPr>
          <w:sz w:val="22"/>
          <w:szCs w:val="22"/>
        </w:rPr>
      </w:pPr>
      <w:r>
        <w:rPr>
          <w:sz w:val="22"/>
          <w:szCs w:val="22"/>
        </w:rPr>
        <w:tab/>
        <w:t xml:space="preserve">File Nos. BALFT-20040802BKI </w:t>
      </w:r>
    </w:p>
    <w:p w14:paraId="2FF7D81B"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BRFT-20050919AEY</w:t>
      </w:r>
    </w:p>
    <w:p w14:paraId="522A4598"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BRFT-20130830AMQ</w:t>
      </w:r>
    </w:p>
    <w:p w14:paraId="3ABCC47E" w14:textId="77777777" w:rsidR="00E8120F" w:rsidRDefault="00E8120F" w:rsidP="00E8120F">
      <w:pPr>
        <w:tabs>
          <w:tab w:val="left" w:pos="0"/>
        </w:tabs>
        <w:suppressAutoHyphens/>
        <w:ind w:left="5040" w:hanging="5040"/>
        <w:rPr>
          <w:sz w:val="22"/>
          <w:szCs w:val="22"/>
        </w:rPr>
      </w:pPr>
    </w:p>
    <w:p w14:paraId="76CADB4E" w14:textId="77777777" w:rsidR="00E8120F" w:rsidRDefault="00E8120F" w:rsidP="00E8120F">
      <w:pPr>
        <w:tabs>
          <w:tab w:val="left" w:pos="0"/>
        </w:tabs>
        <w:suppressAutoHyphens/>
        <w:ind w:left="5040" w:hanging="5040"/>
        <w:rPr>
          <w:sz w:val="22"/>
          <w:szCs w:val="22"/>
        </w:rPr>
      </w:pPr>
    </w:p>
    <w:p w14:paraId="5F4C2EC1" w14:textId="77777777" w:rsidR="00E8120F" w:rsidRPr="00ED77A2" w:rsidRDefault="00E8120F" w:rsidP="00E8120F">
      <w:pPr>
        <w:tabs>
          <w:tab w:val="left" w:pos="0"/>
        </w:tabs>
        <w:suppressAutoHyphens/>
        <w:ind w:left="5040" w:hanging="5040"/>
        <w:rPr>
          <w:b/>
          <w:sz w:val="22"/>
          <w:szCs w:val="22"/>
        </w:rPr>
      </w:pPr>
      <w:r>
        <w:rPr>
          <w:sz w:val="22"/>
          <w:szCs w:val="22"/>
        </w:rPr>
        <w:tab/>
      </w:r>
      <w:r w:rsidRPr="00ED77A2">
        <w:rPr>
          <w:b/>
          <w:sz w:val="22"/>
          <w:szCs w:val="22"/>
        </w:rPr>
        <w:t>K283AB, Soldotna, Alaska</w:t>
      </w:r>
    </w:p>
    <w:p w14:paraId="08AA7FDA" w14:textId="77777777" w:rsidR="00E8120F" w:rsidRDefault="00E8120F" w:rsidP="00E8120F">
      <w:pPr>
        <w:tabs>
          <w:tab w:val="left" w:pos="0"/>
        </w:tabs>
        <w:suppressAutoHyphens/>
        <w:ind w:left="5040" w:hanging="5040"/>
        <w:rPr>
          <w:sz w:val="22"/>
          <w:szCs w:val="22"/>
        </w:rPr>
      </w:pPr>
      <w:r>
        <w:rPr>
          <w:sz w:val="22"/>
          <w:szCs w:val="22"/>
        </w:rPr>
        <w:tab/>
        <w:t>Facility ID No. 52155</w:t>
      </w:r>
    </w:p>
    <w:p w14:paraId="0FF78A97" w14:textId="77777777" w:rsidR="00E8120F" w:rsidRDefault="00E8120F" w:rsidP="00E8120F">
      <w:pPr>
        <w:tabs>
          <w:tab w:val="left" w:pos="0"/>
        </w:tabs>
        <w:suppressAutoHyphens/>
        <w:ind w:left="5040" w:hanging="5040"/>
        <w:rPr>
          <w:sz w:val="22"/>
          <w:szCs w:val="22"/>
        </w:rPr>
      </w:pPr>
      <w:r>
        <w:rPr>
          <w:sz w:val="22"/>
          <w:szCs w:val="22"/>
        </w:rPr>
        <w:tab/>
      </w:r>
      <w:r w:rsidRPr="005A49F1">
        <w:rPr>
          <w:sz w:val="22"/>
          <w:szCs w:val="22"/>
        </w:rPr>
        <w:t>File No</w:t>
      </w:r>
      <w:r>
        <w:rPr>
          <w:sz w:val="22"/>
          <w:szCs w:val="22"/>
        </w:rPr>
        <w:t>s</w:t>
      </w:r>
      <w:r w:rsidRPr="005A49F1">
        <w:rPr>
          <w:sz w:val="22"/>
          <w:szCs w:val="22"/>
        </w:rPr>
        <w:t xml:space="preserve">. </w:t>
      </w:r>
      <w:r>
        <w:rPr>
          <w:sz w:val="22"/>
          <w:szCs w:val="22"/>
        </w:rPr>
        <w:t>BALFT-20161129AFG</w:t>
      </w:r>
    </w:p>
    <w:p w14:paraId="268C85C5"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BRFT-20050919AEW</w:t>
      </w:r>
    </w:p>
    <w:p w14:paraId="77F491E8" w14:textId="77777777" w:rsidR="00E8120F" w:rsidRDefault="00E8120F" w:rsidP="00E8120F">
      <w:pPr>
        <w:tabs>
          <w:tab w:val="left" w:pos="0"/>
        </w:tabs>
        <w:suppressAutoHyphens/>
        <w:ind w:left="5040" w:hanging="5040"/>
        <w:rPr>
          <w:sz w:val="22"/>
          <w:szCs w:val="22"/>
        </w:rPr>
      </w:pPr>
      <w:r>
        <w:rPr>
          <w:sz w:val="22"/>
          <w:szCs w:val="22"/>
        </w:rPr>
        <w:tab/>
      </w:r>
      <w:r>
        <w:rPr>
          <w:sz w:val="22"/>
          <w:szCs w:val="22"/>
        </w:rPr>
        <w:tab/>
        <w:t xml:space="preserve">   BRFT-20130830AML</w:t>
      </w:r>
    </w:p>
    <w:p w14:paraId="7C8E6C16" w14:textId="77777777" w:rsidR="00E8120F" w:rsidRPr="000141EE" w:rsidRDefault="00E8120F" w:rsidP="00E8120F">
      <w:pPr>
        <w:tabs>
          <w:tab w:val="left" w:pos="0"/>
        </w:tabs>
        <w:suppressAutoHyphens/>
        <w:ind w:left="5040" w:hanging="5040"/>
        <w:rPr>
          <w:sz w:val="22"/>
          <w:szCs w:val="22"/>
        </w:rPr>
      </w:pPr>
    </w:p>
    <w:p w14:paraId="7ED57D1A" w14:textId="77777777" w:rsidR="00E8120F" w:rsidRDefault="00E8120F" w:rsidP="00E8120F">
      <w:pPr>
        <w:tabs>
          <w:tab w:val="left" w:pos="0"/>
          <w:tab w:val="left" w:pos="5760"/>
        </w:tabs>
        <w:suppressAutoHyphens/>
        <w:ind w:left="5760" w:hanging="720"/>
        <w:rPr>
          <w:b/>
          <w:sz w:val="22"/>
          <w:szCs w:val="22"/>
        </w:rPr>
      </w:pPr>
      <w:r>
        <w:rPr>
          <w:b/>
          <w:sz w:val="22"/>
          <w:szCs w:val="22"/>
        </w:rPr>
        <w:t>Applications for Renewal of Licenses</w:t>
      </w:r>
    </w:p>
    <w:p w14:paraId="5F2D4B0D" w14:textId="77777777" w:rsidR="00E8120F" w:rsidRDefault="00E8120F" w:rsidP="00E8120F">
      <w:pPr>
        <w:tabs>
          <w:tab w:val="left" w:pos="0"/>
          <w:tab w:val="left" w:pos="5760"/>
        </w:tabs>
        <w:suppressAutoHyphens/>
        <w:ind w:left="5760" w:hanging="720"/>
        <w:rPr>
          <w:b/>
          <w:sz w:val="22"/>
          <w:szCs w:val="22"/>
        </w:rPr>
      </w:pPr>
      <w:r>
        <w:rPr>
          <w:b/>
          <w:sz w:val="22"/>
          <w:szCs w:val="22"/>
        </w:rPr>
        <w:t>Petition for Reconsideration</w:t>
      </w:r>
    </w:p>
    <w:p w14:paraId="015770A0" w14:textId="77777777" w:rsidR="00D71AB9" w:rsidRPr="0034290F" w:rsidRDefault="00D71AB9" w:rsidP="00E8120F">
      <w:pPr>
        <w:tabs>
          <w:tab w:val="left" w:pos="0"/>
          <w:tab w:val="left" w:pos="5760"/>
        </w:tabs>
        <w:suppressAutoHyphens/>
        <w:ind w:left="5760" w:hanging="720"/>
        <w:rPr>
          <w:b/>
          <w:sz w:val="22"/>
          <w:szCs w:val="22"/>
        </w:rPr>
      </w:pPr>
    </w:p>
    <w:p w14:paraId="67A50E42" w14:textId="2CE5DB87" w:rsidR="00E8120F" w:rsidRPr="00E8120F" w:rsidRDefault="00E8120F" w:rsidP="00E8120F">
      <w:pPr>
        <w:tabs>
          <w:tab w:val="left" w:pos="0"/>
        </w:tabs>
        <w:suppressAutoHyphens/>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5A49F1">
        <w:rPr>
          <w:b/>
          <w:sz w:val="22"/>
          <w:szCs w:val="22"/>
        </w:rPr>
        <w:t>Application</w:t>
      </w:r>
      <w:r>
        <w:rPr>
          <w:b/>
          <w:sz w:val="22"/>
          <w:szCs w:val="22"/>
        </w:rPr>
        <w:t>s</w:t>
      </w:r>
      <w:r w:rsidRPr="005A49F1">
        <w:rPr>
          <w:b/>
          <w:sz w:val="22"/>
          <w:szCs w:val="22"/>
        </w:rPr>
        <w:t xml:space="preserve"> for Assignment of Licenses</w:t>
      </w:r>
      <w:r>
        <w:rPr>
          <w:sz w:val="22"/>
          <w:szCs w:val="22"/>
        </w:rPr>
        <w:tab/>
      </w:r>
      <w:r w:rsidRPr="00E8120F">
        <w:rPr>
          <w:sz w:val="22"/>
          <w:szCs w:val="22"/>
        </w:rPr>
        <w:tab/>
      </w:r>
      <w:r w:rsidRPr="00E8120F">
        <w:rPr>
          <w:b/>
          <w:sz w:val="22"/>
          <w:szCs w:val="22"/>
        </w:rPr>
        <w:tab/>
      </w:r>
      <w:r w:rsidRPr="00E8120F">
        <w:rPr>
          <w:b/>
          <w:sz w:val="22"/>
          <w:szCs w:val="22"/>
        </w:rPr>
        <w:tab/>
      </w:r>
      <w:r w:rsidRPr="00E8120F">
        <w:rPr>
          <w:b/>
          <w:sz w:val="22"/>
          <w:szCs w:val="22"/>
        </w:rPr>
        <w:tab/>
      </w:r>
      <w:r w:rsidRPr="00E8120F">
        <w:rPr>
          <w:b/>
          <w:sz w:val="22"/>
          <w:szCs w:val="22"/>
        </w:rPr>
        <w:tab/>
      </w:r>
      <w:r w:rsidRPr="00E8120F">
        <w:rPr>
          <w:b/>
          <w:sz w:val="22"/>
          <w:szCs w:val="22"/>
        </w:rPr>
        <w:tab/>
      </w:r>
      <w:r w:rsidRPr="00E8120F">
        <w:rPr>
          <w:b/>
          <w:sz w:val="22"/>
          <w:szCs w:val="22"/>
        </w:rPr>
        <w:tab/>
      </w:r>
      <w:r w:rsidR="00B12935">
        <w:rPr>
          <w:b/>
          <w:sz w:val="22"/>
          <w:szCs w:val="22"/>
        </w:rPr>
        <w:t>Petition</w:t>
      </w:r>
      <w:r w:rsidRPr="00E8120F">
        <w:rPr>
          <w:b/>
          <w:sz w:val="22"/>
          <w:szCs w:val="22"/>
        </w:rPr>
        <w:t xml:space="preserve"> to Deny</w:t>
      </w:r>
    </w:p>
    <w:p w14:paraId="4220E054" w14:textId="30151FB8" w:rsidR="00E8120F" w:rsidRPr="00E8120F" w:rsidRDefault="00E8120F" w:rsidP="00E8120F">
      <w:pPr>
        <w:keepNext/>
        <w:tabs>
          <w:tab w:val="left" w:pos="0"/>
        </w:tabs>
        <w:suppressAutoHyphens/>
        <w:spacing w:after="120"/>
        <w:ind w:left="5040" w:hanging="5040"/>
        <w:rPr>
          <w:sz w:val="22"/>
          <w:szCs w:val="22"/>
        </w:rPr>
      </w:pPr>
      <w:r w:rsidRPr="00E8120F">
        <w:rPr>
          <w:sz w:val="22"/>
          <w:szCs w:val="22"/>
        </w:rPr>
        <w:t>Dear Counsel</w:t>
      </w:r>
      <w:r w:rsidR="00482C78">
        <w:rPr>
          <w:sz w:val="22"/>
          <w:szCs w:val="22"/>
        </w:rPr>
        <w:t xml:space="preserve"> and Petitioners</w:t>
      </w:r>
      <w:r w:rsidRPr="00E8120F">
        <w:rPr>
          <w:sz w:val="22"/>
          <w:szCs w:val="22"/>
        </w:rPr>
        <w:t>:</w:t>
      </w:r>
    </w:p>
    <w:p w14:paraId="794773CA" w14:textId="4952F9E0" w:rsidR="000240A9" w:rsidRDefault="00E8120F" w:rsidP="00211A43">
      <w:pPr>
        <w:pStyle w:val="ParaNum"/>
        <w:numPr>
          <w:ilvl w:val="0"/>
          <w:numId w:val="0"/>
        </w:numPr>
        <w:ind w:firstLine="720"/>
        <w:jc w:val="left"/>
      </w:pPr>
      <w:r w:rsidRPr="00E8120F">
        <w:t>We have before us</w:t>
      </w:r>
      <w:r w:rsidR="007914E0">
        <w:t>: (1)</w:t>
      </w:r>
      <w:r w:rsidRPr="00E8120F">
        <w:t xml:space="preserve"> the above-referenced applications (Assignment Applications)</w:t>
      </w:r>
      <w:r w:rsidR="00F23C04">
        <w:t xml:space="preserve"> filed by Peninsula Communications, Inc. (Peninsula)</w:t>
      </w:r>
      <w:r w:rsidRPr="00E8120F">
        <w:t xml:space="preserve"> </w:t>
      </w:r>
      <w:r w:rsidR="00F23C04">
        <w:t xml:space="preserve">on November 29, 2016, </w:t>
      </w:r>
      <w:r w:rsidRPr="00E8120F">
        <w:t xml:space="preserve">for consent to the proposed assignment of the licenses for eight FM translator stations </w:t>
      </w:r>
      <w:r w:rsidR="00F12E28">
        <w:t xml:space="preserve">(Stations) </w:t>
      </w:r>
      <w:r w:rsidR="00F23C04">
        <w:t xml:space="preserve">from Peninsula </w:t>
      </w:r>
      <w:r w:rsidRPr="00E8120F">
        <w:t>to Turquoise Broadcasting Company LLC (Turquoise)</w:t>
      </w:r>
      <w:r w:rsidR="00F23C04">
        <w:t xml:space="preserve"> and associated pleadings</w:t>
      </w:r>
      <w:r w:rsidR="007914E0">
        <w:t>;</w:t>
      </w:r>
      <w:r w:rsidR="00343C76">
        <w:rPr>
          <w:rStyle w:val="FootnoteReference"/>
        </w:rPr>
        <w:footnoteReference w:id="1"/>
      </w:r>
      <w:r w:rsidR="00343C76">
        <w:t xml:space="preserve"> </w:t>
      </w:r>
      <w:r w:rsidR="007914E0">
        <w:t>(2)</w:t>
      </w:r>
      <w:r w:rsidR="00343C76">
        <w:t xml:space="preserve"> an application </w:t>
      </w:r>
      <w:r w:rsidR="00F23C04">
        <w:t xml:space="preserve">filed by Peninsula on August 2, 2004, </w:t>
      </w:r>
      <w:r w:rsidR="00343C76">
        <w:t xml:space="preserve">for consent to the proposed assignment of the license for FM translator station </w:t>
      </w:r>
      <w:r w:rsidR="00343C76" w:rsidRPr="00343C76">
        <w:t>K292ED, Kachemak City, Alaska</w:t>
      </w:r>
      <w:r w:rsidR="00343C76">
        <w:t>, from Peninsula to Turquoise (K292ED Assignment Application)</w:t>
      </w:r>
      <w:r w:rsidR="00F23C04">
        <w:t xml:space="preserve"> and associated pleadings;</w:t>
      </w:r>
      <w:r w:rsidRPr="00E8120F">
        <w:rPr>
          <w:rStyle w:val="FootnoteReference"/>
          <w:szCs w:val="22"/>
        </w:rPr>
        <w:footnoteReference w:id="2"/>
      </w:r>
      <w:r w:rsidR="00F23C04">
        <w:t xml:space="preserve"> (3)</w:t>
      </w:r>
      <w:r w:rsidRPr="00E8120F">
        <w:t xml:space="preserve"> a petition for reconsideration </w:t>
      </w:r>
      <w:r w:rsidR="00A405C7">
        <w:t xml:space="preserve">(Petition for Reconsideration) </w:t>
      </w:r>
      <w:r w:rsidRPr="00E8120F">
        <w:t>filed by KSRM</w:t>
      </w:r>
      <w:r w:rsidR="0014516F">
        <w:t xml:space="preserve"> on October 31, 2016,</w:t>
      </w:r>
      <w:r w:rsidRPr="00E8120F">
        <w:t xml:space="preserve"> of the Commission’s September 30, 2016,</w:t>
      </w:r>
      <w:r w:rsidR="00C83CD7">
        <w:rPr>
          <w:rStyle w:val="FootnoteReference"/>
        </w:rPr>
        <w:footnoteReference w:id="3"/>
      </w:r>
      <w:r w:rsidRPr="00E8120F">
        <w:t xml:space="preserve"> grant of the above-captioned renewal applications for stations KGTL(AM), Homer, Alaska (KGTL);</w:t>
      </w:r>
      <w:r w:rsidRPr="00E8120F">
        <w:rPr>
          <w:rStyle w:val="FootnoteReference"/>
          <w:szCs w:val="22"/>
        </w:rPr>
        <w:footnoteReference w:id="4"/>
      </w:r>
      <w:r w:rsidRPr="00E8120F">
        <w:t xml:space="preserve"> KXBA(FM), Nikiski, Alaska (KXBA);</w:t>
      </w:r>
      <w:r w:rsidRPr="00E8120F">
        <w:rPr>
          <w:rStyle w:val="FootnoteReference"/>
          <w:szCs w:val="22"/>
        </w:rPr>
        <w:footnoteReference w:id="5"/>
      </w:r>
      <w:r w:rsidRPr="00E8120F">
        <w:t xml:space="preserve"> KPEN-FM, Soldotna, Alaska (KPEN);</w:t>
      </w:r>
      <w:r w:rsidRPr="00E8120F">
        <w:rPr>
          <w:rStyle w:val="FootnoteReference"/>
          <w:szCs w:val="22"/>
        </w:rPr>
        <w:footnoteReference w:id="6"/>
      </w:r>
      <w:r w:rsidRPr="00E8120F">
        <w:t xml:space="preserve"> and KWVV-FM, Homer, Alaska (KWVV),</w:t>
      </w:r>
      <w:r w:rsidRPr="00E8120F">
        <w:rPr>
          <w:rStyle w:val="FootnoteReference"/>
          <w:szCs w:val="22"/>
        </w:rPr>
        <w:footnoteReference w:id="7"/>
      </w:r>
      <w:r w:rsidRPr="00E8120F">
        <w:t xml:space="preserve"> filed by Peninsula on September 19, 2005,</w:t>
      </w:r>
      <w:r w:rsidRPr="00E8120F">
        <w:rPr>
          <w:rStyle w:val="FootnoteReference"/>
          <w:szCs w:val="22"/>
        </w:rPr>
        <w:footnoteReference w:id="8"/>
      </w:r>
      <w:r w:rsidRPr="00E8120F">
        <w:t xml:space="preserve"> and August 30, 2013</w:t>
      </w:r>
      <w:r w:rsidR="00F23C04">
        <w:t>,</w:t>
      </w:r>
      <w:r w:rsidRPr="00E8120F">
        <w:rPr>
          <w:rStyle w:val="FootnoteReference"/>
          <w:szCs w:val="22"/>
        </w:rPr>
        <w:footnoteReference w:id="9"/>
      </w:r>
      <w:r w:rsidR="00F23C04">
        <w:t xml:space="preserve"> and associated pleadings.</w:t>
      </w:r>
      <w:r w:rsidR="00F23C04">
        <w:rPr>
          <w:rStyle w:val="FootnoteReference"/>
        </w:rPr>
        <w:footnoteReference w:id="10"/>
      </w:r>
      <w:r w:rsidRPr="00E8120F">
        <w:t xml:space="preserve">  </w:t>
      </w:r>
      <w:r w:rsidR="00B428E9">
        <w:t>I</w:t>
      </w:r>
      <w:r w:rsidR="003D3570">
        <w:t xml:space="preserve">n connection with the </w:t>
      </w:r>
      <w:r w:rsidR="00B428E9">
        <w:t xml:space="preserve">Assignment Applications and </w:t>
      </w:r>
      <w:r w:rsidR="003D3570">
        <w:t xml:space="preserve">KWVV and KPEN Renewal Applications, Peninsula requests waivers of </w:t>
      </w:r>
      <w:r w:rsidR="00E02A08">
        <w:t>the translator signal delivery rule</w:t>
      </w:r>
      <w:r w:rsidR="00E02A08">
        <w:rPr>
          <w:rStyle w:val="FootnoteReference"/>
        </w:rPr>
        <w:footnoteReference w:id="11"/>
      </w:r>
      <w:r w:rsidR="003D3570">
        <w:t xml:space="preserve"> to permit four of the Stations to receive signals via </w:t>
      </w:r>
      <w:r w:rsidR="00660F5E">
        <w:t xml:space="preserve">“alternate signal delivery” </w:t>
      </w:r>
      <w:r w:rsidR="003D3570">
        <w:t>rather than directly over the air</w:t>
      </w:r>
      <w:r w:rsidR="006714CB">
        <w:t xml:space="preserve"> (Waiver Requests)</w:t>
      </w:r>
      <w:r w:rsidR="003D3570">
        <w:t>.</w:t>
      </w:r>
      <w:r w:rsidR="003D3570">
        <w:rPr>
          <w:rStyle w:val="FootnoteReference"/>
        </w:rPr>
        <w:footnoteReference w:id="12"/>
      </w:r>
      <w:r w:rsidR="003D3570">
        <w:t xml:space="preserve">  </w:t>
      </w:r>
    </w:p>
    <w:p w14:paraId="392E6DC7" w14:textId="7801082C" w:rsidR="009A5CAA" w:rsidRPr="009A5CAA" w:rsidRDefault="00E8120F" w:rsidP="00211A43">
      <w:pPr>
        <w:pStyle w:val="ParaNum"/>
        <w:numPr>
          <w:ilvl w:val="0"/>
          <w:numId w:val="0"/>
        </w:numPr>
        <w:ind w:firstLine="720"/>
        <w:jc w:val="left"/>
      </w:pPr>
      <w:r w:rsidRPr="00E8120F">
        <w:t xml:space="preserve">For the reasons set out below, </w:t>
      </w:r>
      <w:r w:rsidR="00D90CBB">
        <w:t>we</w:t>
      </w:r>
      <w:r w:rsidR="00607B4D">
        <w:t>: (1)</w:t>
      </w:r>
      <w:r w:rsidR="00D90CBB">
        <w:t xml:space="preserve"> dismiss the</w:t>
      </w:r>
      <w:r w:rsidR="00E02A08">
        <w:t xml:space="preserve"> Petition for Reconsideration</w:t>
      </w:r>
      <w:r w:rsidR="00607B4D">
        <w:t>; (2)</w:t>
      </w:r>
      <w:r w:rsidR="00D90CBB">
        <w:t xml:space="preserve"> </w:t>
      </w:r>
      <w:r w:rsidR="00C4696F">
        <w:t>deny the Waiver Requests</w:t>
      </w:r>
      <w:r w:rsidR="00607B4D">
        <w:t>; (3)</w:t>
      </w:r>
      <w:r w:rsidR="00C4696F">
        <w:t xml:space="preserve"> </w:t>
      </w:r>
      <w:r w:rsidR="00251DE4">
        <w:t>grant in part and deny in part</w:t>
      </w:r>
      <w:r w:rsidR="00E02A08">
        <w:t xml:space="preserve"> th</w:t>
      </w:r>
      <w:r w:rsidR="001213D4">
        <w:t>e Assignment Petition to Deny</w:t>
      </w:r>
      <w:r w:rsidR="00607B4D">
        <w:t>;</w:t>
      </w:r>
      <w:r w:rsidR="00D90CBB">
        <w:t xml:space="preserve"> </w:t>
      </w:r>
      <w:r w:rsidR="00607B4D">
        <w:t>(4)</w:t>
      </w:r>
      <w:r w:rsidR="00B52F1F">
        <w:t xml:space="preserve"> </w:t>
      </w:r>
      <w:r w:rsidR="005002B9">
        <w:t xml:space="preserve">grant the </w:t>
      </w:r>
      <w:r w:rsidR="00974E14">
        <w:t>A</w:t>
      </w:r>
      <w:r w:rsidR="005002B9">
        <w:t xml:space="preserve">ssignment </w:t>
      </w:r>
      <w:r w:rsidR="00974E14">
        <w:t>A</w:t>
      </w:r>
      <w:r w:rsidR="005002B9">
        <w:t xml:space="preserve">pplications for </w:t>
      </w:r>
      <w:r w:rsidR="00974E14">
        <w:t>stations</w:t>
      </w:r>
      <w:r w:rsidR="00974E14" w:rsidRPr="00241463">
        <w:t xml:space="preserve"> </w:t>
      </w:r>
      <w:r w:rsidR="00974E14">
        <w:t>K</w:t>
      </w:r>
      <w:r w:rsidR="00974E14" w:rsidRPr="00241463">
        <w:t xml:space="preserve">272CN, K274AB, </w:t>
      </w:r>
      <w:r w:rsidR="00BB41F1" w:rsidRPr="00BB41F1">
        <w:t>K257DB</w:t>
      </w:r>
      <w:r w:rsidR="00BB41F1">
        <w:t>,</w:t>
      </w:r>
      <w:r w:rsidR="00BB41F1" w:rsidRPr="00BB41F1">
        <w:t xml:space="preserve"> </w:t>
      </w:r>
      <w:r w:rsidR="00974E14" w:rsidRPr="00241463">
        <w:t xml:space="preserve">K285EF, K283AB, </w:t>
      </w:r>
      <w:r w:rsidR="00974E14">
        <w:t xml:space="preserve">and </w:t>
      </w:r>
      <w:r w:rsidR="00974E14" w:rsidRPr="00241463">
        <w:t>K2</w:t>
      </w:r>
      <w:r w:rsidR="00974E14">
        <w:t>8</w:t>
      </w:r>
      <w:r w:rsidR="00974E14" w:rsidRPr="00241463">
        <w:t>5AA</w:t>
      </w:r>
      <w:r w:rsidR="00C7583D">
        <w:t>, subject to a 60</w:t>
      </w:r>
      <w:r w:rsidR="001A0F54">
        <w:t xml:space="preserve"> </w:t>
      </w:r>
      <w:r w:rsidR="00C7583D">
        <w:t>day consummation deadline</w:t>
      </w:r>
      <w:r w:rsidR="00607B4D">
        <w:t>; (5)</w:t>
      </w:r>
      <w:r w:rsidR="003B06A5">
        <w:t xml:space="preserve"> unconditionally grant the </w:t>
      </w:r>
      <w:r w:rsidR="00607B4D">
        <w:t>K292ED Assignment Application;</w:t>
      </w:r>
      <w:r w:rsidR="00974E14">
        <w:t xml:space="preserve"> </w:t>
      </w:r>
      <w:r w:rsidR="006714CB">
        <w:t>and</w:t>
      </w:r>
      <w:r w:rsidR="00607B4D">
        <w:t xml:space="preserve"> (6)</w:t>
      </w:r>
      <w:r w:rsidR="006714CB">
        <w:t xml:space="preserve"> </w:t>
      </w:r>
      <w:r w:rsidR="0096564A">
        <w:t xml:space="preserve">conditionally </w:t>
      </w:r>
      <w:r w:rsidR="004C18EC">
        <w:t>gran</w:t>
      </w:r>
      <w:r w:rsidR="001213D4">
        <w:t>t the Assignment Applications</w:t>
      </w:r>
      <w:r w:rsidR="00974E14">
        <w:t xml:space="preserve"> for </w:t>
      </w:r>
      <w:r w:rsidR="00974E14" w:rsidRPr="00241463">
        <w:t>K272DG</w:t>
      </w:r>
      <w:r w:rsidR="00974E14">
        <w:t xml:space="preserve"> and </w:t>
      </w:r>
      <w:r w:rsidR="00974E14" w:rsidRPr="00241463">
        <w:t>K285EG</w:t>
      </w:r>
      <w:r w:rsidR="00974E14">
        <w:t xml:space="preserve"> (Seward </w:t>
      </w:r>
      <w:r w:rsidR="00DD5A41">
        <w:t>Translators</w:t>
      </w:r>
      <w:r w:rsidR="00974E14">
        <w:t>)</w:t>
      </w:r>
      <w:r w:rsidR="007C14B0">
        <w:t xml:space="preserve"> subject to a 60</w:t>
      </w:r>
      <w:r w:rsidR="001A0F54">
        <w:t xml:space="preserve"> </w:t>
      </w:r>
      <w:r w:rsidR="007C14B0">
        <w:t>day consummation deadline and a certification requirement</w:t>
      </w:r>
      <w:r w:rsidR="00833685">
        <w:t>.</w:t>
      </w:r>
      <w:r w:rsidR="002414C9">
        <w:rPr>
          <w:rStyle w:val="FootnoteReference"/>
        </w:rPr>
        <w:footnoteReference w:id="13"/>
      </w:r>
      <w:r w:rsidR="00E02A08">
        <w:t xml:space="preserve">  </w:t>
      </w:r>
      <w:r w:rsidR="0096564A">
        <w:t xml:space="preserve">Specifically, we </w:t>
      </w:r>
      <w:r w:rsidR="008C790F">
        <w:t>direct</w:t>
      </w:r>
      <w:r w:rsidR="0096564A">
        <w:t xml:space="preserve"> Peninsula to certify that </w:t>
      </w:r>
      <w:r w:rsidR="00DD5A41">
        <w:t>the Seward T</w:t>
      </w:r>
      <w:r w:rsidR="0096564A">
        <w:t xml:space="preserve">ranslators comply with the </w:t>
      </w:r>
      <w:r w:rsidR="003C10AC">
        <w:t xml:space="preserve">translator </w:t>
      </w:r>
      <w:r w:rsidR="0096564A">
        <w:t>signal delivery rule</w:t>
      </w:r>
      <w:r w:rsidR="008C790F">
        <w:t xml:space="preserve"> within 30 days of the date of this letter decision</w:t>
      </w:r>
      <w:r w:rsidR="0096564A">
        <w:t xml:space="preserve">. </w:t>
      </w:r>
      <w:r w:rsidR="0096564A">
        <w:rPr>
          <w:i/>
        </w:rPr>
        <w:t xml:space="preserve"> </w:t>
      </w:r>
      <w:r w:rsidR="00483158">
        <w:t xml:space="preserve">As </w:t>
      </w:r>
      <w:r w:rsidR="008C790F">
        <w:t>first set out in</w:t>
      </w:r>
      <w:r w:rsidR="00483158">
        <w:t xml:space="preserve"> the </w:t>
      </w:r>
      <w:r w:rsidR="00483158">
        <w:rPr>
          <w:i/>
        </w:rPr>
        <w:t>Renewal Decision</w:t>
      </w:r>
      <w:r w:rsidR="00483158">
        <w:t xml:space="preserve">, such certifications must be submitted in the form of </w:t>
      </w:r>
      <w:r w:rsidR="00483158">
        <w:rPr>
          <w:szCs w:val="22"/>
        </w:rPr>
        <w:t>separate affidavits of compliance</w:t>
      </w:r>
      <w:r w:rsidR="00DD5A41">
        <w:rPr>
          <w:szCs w:val="22"/>
        </w:rPr>
        <w:t>,</w:t>
      </w:r>
      <w:r w:rsidR="00483158">
        <w:rPr>
          <w:szCs w:val="22"/>
        </w:rPr>
        <w:t xml:space="preserve"> </w:t>
      </w:r>
      <w:r w:rsidR="00483158" w:rsidRPr="00791125">
        <w:rPr>
          <w:szCs w:val="22"/>
        </w:rPr>
        <w:t>executed by an officer or director</w:t>
      </w:r>
      <w:r w:rsidR="00483158">
        <w:rPr>
          <w:szCs w:val="22"/>
        </w:rPr>
        <w:t>,</w:t>
      </w:r>
      <w:r w:rsidR="00483158" w:rsidRPr="00791125">
        <w:rPr>
          <w:szCs w:val="22"/>
        </w:rPr>
        <w:t xml:space="preserve"> certifying</w:t>
      </w:r>
      <w:r w:rsidR="00483158">
        <w:rPr>
          <w:szCs w:val="22"/>
        </w:rPr>
        <w:t xml:space="preserve"> under penalty of perjury</w:t>
      </w:r>
      <w:r w:rsidR="00483158" w:rsidRPr="00791125">
        <w:rPr>
          <w:szCs w:val="22"/>
        </w:rPr>
        <w:t xml:space="preserve"> that </w:t>
      </w:r>
      <w:r w:rsidR="00DD5A41">
        <w:rPr>
          <w:szCs w:val="22"/>
        </w:rPr>
        <w:t>each Seward Translator</w:t>
      </w:r>
      <w:r w:rsidR="00483158" w:rsidRPr="00791125">
        <w:rPr>
          <w:szCs w:val="22"/>
        </w:rPr>
        <w:t xml:space="preserve"> </w:t>
      </w:r>
      <w:r w:rsidR="00DD5A41">
        <w:rPr>
          <w:szCs w:val="22"/>
        </w:rPr>
        <w:t xml:space="preserve">is </w:t>
      </w:r>
      <w:r w:rsidR="00483158">
        <w:rPr>
          <w:szCs w:val="22"/>
        </w:rPr>
        <w:t xml:space="preserve">now </w:t>
      </w:r>
      <w:r w:rsidR="00483158" w:rsidRPr="00791125">
        <w:rPr>
          <w:szCs w:val="22"/>
        </w:rPr>
        <w:t xml:space="preserve">operating in compliance with </w:t>
      </w:r>
      <w:r w:rsidR="00483158">
        <w:rPr>
          <w:szCs w:val="22"/>
        </w:rPr>
        <w:t xml:space="preserve">Section 74.1231(b), </w:t>
      </w:r>
      <w:r w:rsidR="00483158" w:rsidRPr="00791125">
        <w:rPr>
          <w:szCs w:val="22"/>
        </w:rPr>
        <w:t xml:space="preserve">stating </w:t>
      </w:r>
      <w:r w:rsidR="00483158">
        <w:rPr>
          <w:szCs w:val="22"/>
        </w:rPr>
        <w:t xml:space="preserve">in detail </w:t>
      </w:r>
      <w:r w:rsidR="00483158" w:rsidRPr="00791125">
        <w:rPr>
          <w:szCs w:val="22"/>
        </w:rPr>
        <w:t xml:space="preserve">how </w:t>
      </w:r>
      <w:r w:rsidR="00483158">
        <w:rPr>
          <w:szCs w:val="22"/>
        </w:rPr>
        <w:t>such compliance was achieved (i.e., the method by which each translator currently receives its rebroadcast signal), and/or</w:t>
      </w:r>
      <w:r w:rsidR="00483158" w:rsidRPr="00791125">
        <w:rPr>
          <w:szCs w:val="22"/>
        </w:rPr>
        <w:t xml:space="preserve"> certifying tha</w:t>
      </w:r>
      <w:r w:rsidR="00483158">
        <w:rPr>
          <w:szCs w:val="22"/>
        </w:rPr>
        <w:t>t any non-compliant translator station</w:t>
      </w:r>
      <w:r w:rsidR="00483158" w:rsidRPr="00791125">
        <w:rPr>
          <w:szCs w:val="22"/>
        </w:rPr>
        <w:t xml:space="preserve"> ha</w:t>
      </w:r>
      <w:r w:rsidR="00045212">
        <w:rPr>
          <w:szCs w:val="22"/>
        </w:rPr>
        <w:t>s</w:t>
      </w:r>
      <w:r w:rsidR="00483158" w:rsidRPr="00791125">
        <w:rPr>
          <w:szCs w:val="22"/>
        </w:rPr>
        <w:t xml:space="preserve"> ceased operations</w:t>
      </w:r>
      <w:r w:rsidR="00483158">
        <w:rPr>
          <w:szCs w:val="22"/>
        </w:rPr>
        <w:t>.</w:t>
      </w:r>
      <w:r w:rsidR="00B8125A">
        <w:rPr>
          <w:rStyle w:val="FootnoteReference"/>
          <w:szCs w:val="22"/>
        </w:rPr>
        <w:footnoteReference w:id="14"/>
      </w:r>
      <w:r w:rsidR="00483158">
        <w:rPr>
          <w:szCs w:val="22"/>
        </w:rPr>
        <w:t xml:space="preserve"> </w:t>
      </w:r>
      <w:r w:rsidR="00483158">
        <w:rPr>
          <w:i/>
        </w:rPr>
        <w:t xml:space="preserve"> </w:t>
      </w:r>
      <w:r w:rsidR="00CE56EE">
        <w:t xml:space="preserve">If </w:t>
      </w:r>
      <w:r w:rsidR="00206A30">
        <w:t xml:space="preserve">Peninsula fails to submit </w:t>
      </w:r>
      <w:r w:rsidR="00BD310C">
        <w:t>the</w:t>
      </w:r>
      <w:r w:rsidR="000B42B9">
        <w:t xml:space="preserve"> Seward Translator compliance</w:t>
      </w:r>
      <w:r w:rsidR="00206A30">
        <w:t xml:space="preserve"> </w:t>
      </w:r>
      <w:r w:rsidR="00CE56EE">
        <w:t>c</w:t>
      </w:r>
      <w:r w:rsidR="001213D4">
        <w:t>ertification</w:t>
      </w:r>
      <w:r w:rsidR="00BD310C">
        <w:t>s</w:t>
      </w:r>
      <w:r w:rsidR="00211A43">
        <w:t xml:space="preserve"> </w:t>
      </w:r>
      <w:r w:rsidR="000762EE">
        <w:t xml:space="preserve">or timely consummate the proposed assignments </w:t>
      </w:r>
      <w:r w:rsidR="00211A43">
        <w:t>as directed</w:t>
      </w:r>
      <w:r w:rsidR="001213D4">
        <w:t xml:space="preserve">, we will </w:t>
      </w:r>
      <w:r w:rsidR="003C46D0">
        <w:t>rescind</w:t>
      </w:r>
      <w:r w:rsidR="009540A2">
        <w:t xml:space="preserve"> grant of the </w:t>
      </w:r>
      <w:r w:rsidR="00F35969">
        <w:t xml:space="preserve">relevant </w:t>
      </w:r>
      <w:r w:rsidR="009540A2">
        <w:t xml:space="preserve">Renewal </w:t>
      </w:r>
      <w:r w:rsidR="008C790F">
        <w:t>and Assignment Applications</w:t>
      </w:r>
      <w:r w:rsidR="009540A2">
        <w:t xml:space="preserve"> and cancel the relevant Station license</w:t>
      </w:r>
      <w:r w:rsidR="009737B9">
        <w:t xml:space="preserve"> for failure to comply with a condition of renewal</w:t>
      </w:r>
      <w:r w:rsidR="00CE56EE">
        <w:t>.</w:t>
      </w:r>
      <w:r w:rsidR="00490D13">
        <w:rPr>
          <w:rStyle w:val="FootnoteReference"/>
        </w:rPr>
        <w:footnoteReference w:id="15"/>
      </w:r>
      <w:r w:rsidR="00CE56EE">
        <w:t xml:space="preserve"> </w:t>
      </w:r>
      <w:r w:rsidR="00521413">
        <w:t xml:space="preserve"> </w:t>
      </w:r>
    </w:p>
    <w:p w14:paraId="268FBEC6" w14:textId="1678CFFE" w:rsidR="00813DEC" w:rsidRDefault="009A5CAA" w:rsidP="00211A43">
      <w:pPr>
        <w:pStyle w:val="ParaNum"/>
        <w:numPr>
          <w:ilvl w:val="0"/>
          <w:numId w:val="0"/>
        </w:numPr>
        <w:ind w:firstLine="720"/>
        <w:jc w:val="left"/>
      </w:pPr>
      <w:r>
        <w:rPr>
          <w:b/>
        </w:rPr>
        <w:t xml:space="preserve">Background.  </w:t>
      </w:r>
      <w:r w:rsidR="00103DD0">
        <w:t>This renewal</w:t>
      </w:r>
      <w:r w:rsidR="007510F4">
        <w:t xml:space="preserve"> proceeding </w:t>
      </w:r>
      <w:r w:rsidR="005907D6">
        <w:t xml:space="preserve">is the </w:t>
      </w:r>
      <w:r w:rsidR="00813DEC">
        <w:t>latest development in</w:t>
      </w:r>
      <w:r w:rsidR="007510F4">
        <w:t xml:space="preserve"> </w:t>
      </w:r>
      <w:r w:rsidR="005907D6">
        <w:t xml:space="preserve">more than three </w:t>
      </w:r>
      <w:r w:rsidR="007510F4">
        <w:t>decades of</w:t>
      </w:r>
      <w:r w:rsidR="0024513A">
        <w:t xml:space="preserve"> Commission</w:t>
      </w:r>
      <w:r w:rsidR="007510F4">
        <w:t xml:space="preserve"> </w:t>
      </w:r>
      <w:r w:rsidR="004C0E37">
        <w:t>enforcement action</w:t>
      </w:r>
      <w:r w:rsidR="00161F96">
        <w:t>s</w:t>
      </w:r>
      <w:r w:rsidR="006C6F18">
        <w:t xml:space="preserve"> relating to </w:t>
      </w:r>
      <w:r w:rsidR="007510F4">
        <w:t>Peninsula</w:t>
      </w:r>
      <w:r w:rsidR="002626BB">
        <w:t>’s</w:t>
      </w:r>
      <w:r w:rsidR="00813DEC">
        <w:t xml:space="preserve"> </w:t>
      </w:r>
      <w:r w:rsidR="007510F4">
        <w:t>network of “other area”</w:t>
      </w:r>
      <w:r w:rsidR="005907D6">
        <w:t xml:space="preserve"> </w:t>
      </w:r>
      <w:r w:rsidR="003E4103">
        <w:t xml:space="preserve">FM </w:t>
      </w:r>
      <w:r w:rsidR="005907D6">
        <w:t>translator stations</w:t>
      </w:r>
      <w:r w:rsidR="00511423">
        <w:t xml:space="preserve"> on Alaska’s Kenai Peninsula and Kodiak Island</w:t>
      </w:r>
      <w:r w:rsidR="00672EA6">
        <w:t>.</w:t>
      </w:r>
      <w:r w:rsidR="00672EA6">
        <w:rPr>
          <w:rStyle w:val="FootnoteReference"/>
        </w:rPr>
        <w:footnoteReference w:id="16"/>
      </w:r>
      <w:r w:rsidR="00672EA6">
        <w:t xml:space="preserve">  These</w:t>
      </w:r>
      <w:r w:rsidR="00041063">
        <w:t xml:space="preserve"> </w:t>
      </w:r>
      <w:r w:rsidR="003E4103">
        <w:t>translators</w:t>
      </w:r>
      <w:r w:rsidR="004C0E37">
        <w:t xml:space="preserve"> </w:t>
      </w:r>
      <w:r w:rsidR="003E4103">
        <w:t>extend the</w:t>
      </w:r>
      <w:r w:rsidR="00161F96">
        <w:t xml:space="preserve"> signal</w:t>
      </w:r>
      <w:r w:rsidR="003E4103">
        <w:t xml:space="preserve"> </w:t>
      </w:r>
      <w:r w:rsidR="00103DD0">
        <w:t>coverage</w:t>
      </w:r>
      <w:r w:rsidR="003E4103">
        <w:t xml:space="preserve"> of Peninsula’s</w:t>
      </w:r>
      <w:r w:rsidR="00161F96">
        <w:t xml:space="preserve"> </w:t>
      </w:r>
      <w:r w:rsidR="007510F4">
        <w:t>primary stations</w:t>
      </w:r>
      <w:r w:rsidR="00161F96">
        <w:t xml:space="preserve"> KPEN and KWVV</w:t>
      </w:r>
      <w:r w:rsidR="00103DD0">
        <w:t xml:space="preserve"> </w:t>
      </w:r>
      <w:r w:rsidR="00161F96">
        <w:t>into</w:t>
      </w:r>
      <w:r w:rsidR="005A7158">
        <w:t xml:space="preserve"> other</w:t>
      </w:r>
      <w:r w:rsidR="00161F96">
        <w:t xml:space="preserve"> markets</w:t>
      </w:r>
      <w:r w:rsidR="00103DD0">
        <w:t xml:space="preserve">, </w:t>
      </w:r>
      <w:r w:rsidR="00736B40">
        <w:t xml:space="preserve">in violation </w:t>
      </w:r>
      <w:r w:rsidR="00532C6C">
        <w:t xml:space="preserve">of </w:t>
      </w:r>
      <w:r w:rsidR="00304DA9">
        <w:t xml:space="preserve">Section 74.1232(d), which </w:t>
      </w:r>
      <w:r w:rsidR="00304DA9" w:rsidRPr="00DB2930">
        <w:t xml:space="preserve">prohibits the common ownership of primary stations and </w:t>
      </w:r>
      <w:r w:rsidR="00CE56EE">
        <w:t xml:space="preserve">“other area” </w:t>
      </w:r>
      <w:r w:rsidR="00304DA9" w:rsidRPr="00DB2930">
        <w:t xml:space="preserve">translator stations </w:t>
      </w:r>
      <w:r w:rsidR="00CE56EE">
        <w:t xml:space="preserve">(stations </w:t>
      </w:r>
      <w:r w:rsidR="00304DA9" w:rsidRPr="00DB2930">
        <w:t>whose 60 dBu signal contour extends beyond that of the primary station</w:t>
      </w:r>
      <w:r w:rsidR="00CE56EE">
        <w:t>)</w:t>
      </w:r>
      <w:r w:rsidR="00304DA9">
        <w:t>.</w:t>
      </w:r>
      <w:r w:rsidR="00304DA9">
        <w:rPr>
          <w:rStyle w:val="FootnoteReference"/>
        </w:rPr>
        <w:footnoteReference w:id="17"/>
      </w:r>
      <w:r w:rsidR="00304DA9">
        <w:t xml:space="preserve"> </w:t>
      </w:r>
      <w:r w:rsidR="005907D6">
        <w:t xml:space="preserve"> </w:t>
      </w:r>
      <w:r w:rsidR="005A7158">
        <w:t>Underlying</w:t>
      </w:r>
      <w:r w:rsidR="00636C97">
        <w:t xml:space="preserve"> </w:t>
      </w:r>
      <w:r w:rsidR="00672EA6">
        <w:t>these proceedings is the</w:t>
      </w:r>
      <w:r w:rsidR="00911D21">
        <w:t xml:space="preserve"> fundamental </w:t>
      </w:r>
      <w:r w:rsidR="00672EA6">
        <w:t>principle</w:t>
      </w:r>
      <w:r w:rsidR="00736B40">
        <w:t xml:space="preserve"> that</w:t>
      </w:r>
      <w:r w:rsidR="00813DEC">
        <w:t xml:space="preserve"> </w:t>
      </w:r>
      <w:r w:rsidR="00690BCE">
        <w:t xml:space="preserve">FM translators were never intended as a </w:t>
      </w:r>
      <w:r w:rsidR="00690BCE">
        <w:rPr>
          <w:szCs w:val="22"/>
        </w:rPr>
        <w:t xml:space="preserve">means for full service commercial stations to expand beyond their primary service areas </w:t>
      </w:r>
      <w:r w:rsidR="006C4076">
        <w:rPr>
          <w:szCs w:val="22"/>
        </w:rPr>
        <w:t>into new markets</w:t>
      </w:r>
      <w:r w:rsidR="00690BCE">
        <w:rPr>
          <w:szCs w:val="22"/>
        </w:rPr>
        <w:t>.</w:t>
      </w:r>
      <w:r w:rsidR="00690BCE">
        <w:rPr>
          <w:rStyle w:val="FootnoteReference"/>
          <w:szCs w:val="22"/>
        </w:rPr>
        <w:footnoteReference w:id="18"/>
      </w:r>
      <w:r w:rsidR="00690BCE">
        <w:rPr>
          <w:szCs w:val="22"/>
        </w:rPr>
        <w:t xml:space="preserve">  Rather, </w:t>
      </w:r>
      <w:r w:rsidR="00813DEC">
        <w:t xml:space="preserve">the translator service is intended to provide </w:t>
      </w:r>
      <w:r w:rsidR="00813DEC">
        <w:rPr>
          <w:szCs w:val="22"/>
        </w:rPr>
        <w:t>“supplementary service to areas in which direct reception of [full service] stations is unsatisfactory due to distance or intervening terrain barriers.”</w:t>
      </w:r>
      <w:r w:rsidR="00813DEC">
        <w:rPr>
          <w:rStyle w:val="FootnoteReference"/>
          <w:szCs w:val="22"/>
        </w:rPr>
        <w:footnoteReference w:id="19"/>
      </w:r>
      <w:r w:rsidR="00813DEC">
        <w:rPr>
          <w:szCs w:val="22"/>
        </w:rPr>
        <w:t xml:space="preserve"> </w:t>
      </w:r>
      <w:r w:rsidR="00813DEC">
        <w:t xml:space="preserve"> </w:t>
      </w:r>
      <w:r w:rsidR="005C1296">
        <w:t>Therefore, the Commission has consistently sought to “prevent unfair competition by [translators rebroadcasting] distant commercial FM stations.”</w:t>
      </w:r>
      <w:r w:rsidR="005C1296">
        <w:rPr>
          <w:rStyle w:val="FootnoteReference"/>
        </w:rPr>
        <w:footnoteReference w:id="20"/>
      </w:r>
    </w:p>
    <w:p w14:paraId="3667D946" w14:textId="05116B58" w:rsidR="00220981" w:rsidRDefault="00833685" w:rsidP="00211A43">
      <w:pPr>
        <w:pStyle w:val="ParaNum"/>
        <w:numPr>
          <w:ilvl w:val="0"/>
          <w:numId w:val="0"/>
        </w:numPr>
        <w:ind w:firstLine="720"/>
        <w:jc w:val="left"/>
      </w:pPr>
      <w:r>
        <w:rPr>
          <w:i/>
        </w:rPr>
        <w:t xml:space="preserve">Cancellation and reinstatement.  </w:t>
      </w:r>
      <w:r w:rsidR="00041063">
        <w:t xml:space="preserve">In 2001, </w:t>
      </w:r>
      <w:r w:rsidR="0024513A">
        <w:t>after prolonged</w:t>
      </w:r>
      <w:r w:rsidR="0055026C">
        <w:t xml:space="preserve"> enforcement efforts </w:t>
      </w:r>
      <w:r w:rsidR="00636C97">
        <w:t>had failed to bring</w:t>
      </w:r>
      <w:r w:rsidR="0055026C">
        <w:t xml:space="preserve"> Peninsula’s translator network into compliance with the rules</w:t>
      </w:r>
      <w:r w:rsidR="008B2B71">
        <w:t xml:space="preserve">, </w:t>
      </w:r>
      <w:r w:rsidR="005907D6">
        <w:t>the</w:t>
      </w:r>
      <w:r w:rsidR="004C222E">
        <w:t xml:space="preserve"> </w:t>
      </w:r>
      <w:r w:rsidR="005907D6">
        <w:t xml:space="preserve">Commission cancelled </w:t>
      </w:r>
      <w:r w:rsidR="003A5CB9">
        <w:t>six o</w:t>
      </w:r>
      <w:r w:rsidR="00690BCE">
        <w:t>f Peninsula’s</w:t>
      </w:r>
      <w:r w:rsidR="00445BAF">
        <w:t xml:space="preserve"> other area</w:t>
      </w:r>
      <w:r w:rsidR="003A5CB9">
        <w:t xml:space="preserve"> </w:t>
      </w:r>
      <w:r w:rsidR="005907D6">
        <w:t>t</w:t>
      </w:r>
      <w:r w:rsidR="00690BCE">
        <w:t>ranslator licenses</w:t>
      </w:r>
      <w:r w:rsidR="00D31280">
        <w:t xml:space="preserve"> for failure to</w:t>
      </w:r>
      <w:r w:rsidR="0055026C">
        <w:t xml:space="preserve"> meet a condition of </w:t>
      </w:r>
      <w:r w:rsidR="0018272A">
        <w:t>their</w:t>
      </w:r>
      <w:r w:rsidR="002D77AC">
        <w:t xml:space="preserve"> license renewal</w:t>
      </w:r>
      <w:r w:rsidR="00DC24DA">
        <w:t>s</w:t>
      </w:r>
      <w:r w:rsidR="002D77AC">
        <w:t xml:space="preserve"> (</w:t>
      </w:r>
      <w:r w:rsidR="0018272A">
        <w:t>namely</w:t>
      </w:r>
      <w:r w:rsidR="002D77AC">
        <w:t xml:space="preserve">, </w:t>
      </w:r>
      <w:r w:rsidR="0055026C">
        <w:t>divestiture of non-compliant stations</w:t>
      </w:r>
      <w:r w:rsidR="002D77AC">
        <w:t>)</w:t>
      </w:r>
      <w:r w:rsidR="005907D6">
        <w:t>.</w:t>
      </w:r>
      <w:r w:rsidR="003A5CB9">
        <w:rPr>
          <w:rStyle w:val="FootnoteReference"/>
        </w:rPr>
        <w:footnoteReference w:id="21"/>
      </w:r>
      <w:r w:rsidR="005907D6">
        <w:t xml:space="preserve">  </w:t>
      </w:r>
      <w:r w:rsidR="00B625CD">
        <w:t>However</w:t>
      </w:r>
      <w:r w:rsidR="0080553A">
        <w:t xml:space="preserve">, </w:t>
      </w:r>
      <w:r w:rsidR="002953E0">
        <w:t>Peninsula continue</w:t>
      </w:r>
      <w:r w:rsidR="00445BAF">
        <w:t>d to operate the</w:t>
      </w:r>
      <w:r w:rsidR="002953E0">
        <w:t xml:space="preserve"> cancelled translator stations</w:t>
      </w:r>
      <w:r w:rsidR="005A7158">
        <w:t>,</w:t>
      </w:r>
      <w:r w:rsidR="0018272A">
        <w:t xml:space="preserve"> </w:t>
      </w:r>
      <w:r w:rsidR="00B625CD">
        <w:t>in</w:t>
      </w:r>
      <w:r w:rsidR="00F6796E">
        <w:t xml:space="preserve"> disregard of the </w:t>
      </w:r>
      <w:r w:rsidR="00F6796E">
        <w:rPr>
          <w:i/>
        </w:rPr>
        <w:t>Cancellation Order</w:t>
      </w:r>
      <w:r w:rsidR="005A7158">
        <w:t>,</w:t>
      </w:r>
      <w:r w:rsidR="00DA0DA8">
        <w:rPr>
          <w:i/>
        </w:rPr>
        <w:t xml:space="preserve"> </w:t>
      </w:r>
      <w:r w:rsidR="00DA0DA8">
        <w:t>from May 19, 2001, to August 28, 2002</w:t>
      </w:r>
      <w:r w:rsidR="0080553A">
        <w:t>.</w:t>
      </w:r>
      <w:r w:rsidR="00DA0DA8">
        <w:rPr>
          <w:rStyle w:val="FootnoteReference"/>
        </w:rPr>
        <w:footnoteReference w:id="22"/>
      </w:r>
      <w:r w:rsidR="002953E0">
        <w:t xml:space="preserve"> </w:t>
      </w:r>
      <w:r w:rsidR="0080553A">
        <w:t xml:space="preserve"> </w:t>
      </w:r>
      <w:r w:rsidR="0018272A">
        <w:t>As a result</w:t>
      </w:r>
      <w:r w:rsidR="00020065">
        <w:t xml:space="preserve">, in 2003, </w:t>
      </w:r>
      <w:r w:rsidR="002953E0">
        <w:t xml:space="preserve">an administrative law judge </w:t>
      </w:r>
      <w:r w:rsidR="00A676D5">
        <w:t xml:space="preserve">also </w:t>
      </w:r>
      <w:r w:rsidR="002953E0">
        <w:t>revoked</w:t>
      </w:r>
      <w:r w:rsidR="00F339EA" w:rsidRPr="00F339EA">
        <w:t xml:space="preserve"> </w:t>
      </w:r>
      <w:r w:rsidR="00F339EA">
        <w:t>Peninsula's</w:t>
      </w:r>
      <w:r w:rsidR="00445BAF">
        <w:t xml:space="preserve"> licenses for</w:t>
      </w:r>
      <w:r w:rsidR="00253721">
        <w:t xml:space="preserve"> </w:t>
      </w:r>
      <w:r w:rsidR="00F339EA">
        <w:t>the</w:t>
      </w:r>
      <w:r w:rsidR="00445BAF">
        <w:t xml:space="preserve"> </w:t>
      </w:r>
      <w:r w:rsidR="002D77AC">
        <w:t xml:space="preserve">two </w:t>
      </w:r>
      <w:r w:rsidR="002953E0">
        <w:t xml:space="preserve">primary stations </w:t>
      </w:r>
      <w:r w:rsidR="00F339EA">
        <w:t>associated with</w:t>
      </w:r>
      <w:r w:rsidR="00445BAF">
        <w:t xml:space="preserve"> the cancelled translators</w:t>
      </w:r>
      <w:r w:rsidR="00E55169">
        <w:t xml:space="preserve"> </w:t>
      </w:r>
      <w:r w:rsidR="00020065">
        <w:t>(KPEN and KWVV)</w:t>
      </w:r>
      <w:r w:rsidR="002953E0">
        <w:t>.</w:t>
      </w:r>
      <w:r w:rsidR="002953E0">
        <w:rPr>
          <w:rStyle w:val="FootnoteReference"/>
        </w:rPr>
        <w:footnoteReference w:id="23"/>
      </w:r>
      <w:r w:rsidR="002953E0" w:rsidRPr="00220981">
        <w:rPr>
          <w:vertAlign w:val="superscript"/>
        </w:rPr>
        <w:t xml:space="preserve"> </w:t>
      </w:r>
      <w:r w:rsidR="002953E0">
        <w:t xml:space="preserve"> </w:t>
      </w:r>
      <w:r w:rsidR="007E75EA">
        <w:t>However, i</w:t>
      </w:r>
      <w:r w:rsidR="00220981">
        <w:t>n 2004</w:t>
      </w:r>
      <w:r w:rsidR="005907D6">
        <w:t>,</w:t>
      </w:r>
      <w:r w:rsidR="00220981">
        <w:t xml:space="preserve"> Congress adopted two amendments to </w:t>
      </w:r>
      <w:r w:rsidR="005907D6">
        <w:t>the Act</w:t>
      </w:r>
      <w:r w:rsidR="00041063">
        <w:t xml:space="preserve"> </w:t>
      </w:r>
      <w:r w:rsidR="005907D6">
        <w:t>as part of the Satellite Home Viewer Extension and Reauthorization Act of 2004 (SHVERA).</w:t>
      </w:r>
      <w:r w:rsidR="005907D6">
        <w:rPr>
          <w:rStyle w:val="FootnoteReference"/>
        </w:rPr>
        <w:footnoteReference w:id="24"/>
      </w:r>
      <w:r w:rsidR="008F5F17">
        <w:t xml:space="preserve">  </w:t>
      </w:r>
      <w:r w:rsidR="00220981">
        <w:t xml:space="preserve">One of these provisions, Section 312(g) of the Act, required the Commission to reinstate </w:t>
      </w:r>
      <w:r w:rsidR="00220981" w:rsidRPr="00FB0A85">
        <w:rPr>
          <w:szCs w:val="22"/>
        </w:rPr>
        <w:t>“</w:t>
      </w:r>
      <w:r w:rsidR="00220981">
        <w:rPr>
          <w:szCs w:val="22"/>
        </w:rPr>
        <w:t>[a]</w:t>
      </w:r>
      <w:r w:rsidR="00220981" w:rsidRPr="00FB0A85">
        <w:rPr>
          <w:szCs w:val="22"/>
        </w:rPr>
        <w:t>ny broadcast license revoked or terminated in Alaska in a proceeding related to broadcasting via translator, microwave, or other alternative signal delivery.”</w:t>
      </w:r>
      <w:r w:rsidR="00220981">
        <w:rPr>
          <w:rStyle w:val="FootnoteReference"/>
          <w:szCs w:val="22"/>
        </w:rPr>
        <w:footnoteReference w:id="25"/>
      </w:r>
      <w:r w:rsidR="00220981">
        <w:rPr>
          <w:szCs w:val="22"/>
        </w:rPr>
        <w:t xml:space="preserve">  </w:t>
      </w:r>
      <w:r w:rsidR="00253721">
        <w:rPr>
          <w:szCs w:val="22"/>
        </w:rPr>
        <w:t>In accordance with this</w:t>
      </w:r>
      <w:r w:rsidR="00E55169">
        <w:rPr>
          <w:szCs w:val="22"/>
        </w:rPr>
        <w:t xml:space="preserve"> statutory</w:t>
      </w:r>
      <w:r w:rsidR="00253721">
        <w:rPr>
          <w:szCs w:val="22"/>
        </w:rPr>
        <w:t xml:space="preserve"> mandate</w:t>
      </w:r>
      <w:r w:rsidR="00220981">
        <w:rPr>
          <w:szCs w:val="22"/>
        </w:rPr>
        <w:t>, in 2005, the Commission reinstated Peninsula’s cancelled translator and primary station licenses.</w:t>
      </w:r>
      <w:r w:rsidR="00220981">
        <w:rPr>
          <w:rStyle w:val="FootnoteReference"/>
          <w:szCs w:val="22"/>
        </w:rPr>
        <w:footnoteReference w:id="26"/>
      </w:r>
      <w:r w:rsidR="004E29D2">
        <w:rPr>
          <w:szCs w:val="22"/>
        </w:rPr>
        <w:t xml:space="preserve">  The other </w:t>
      </w:r>
      <w:r w:rsidR="005A7158">
        <w:rPr>
          <w:szCs w:val="22"/>
        </w:rPr>
        <w:t xml:space="preserve">SHVERA </w:t>
      </w:r>
      <w:r w:rsidR="004E29D2">
        <w:rPr>
          <w:szCs w:val="22"/>
        </w:rPr>
        <w:t xml:space="preserve">provision, Section </w:t>
      </w:r>
      <w:r w:rsidR="005A7158">
        <w:rPr>
          <w:szCs w:val="22"/>
        </w:rPr>
        <w:t xml:space="preserve">307(f)(2), provides that </w:t>
      </w:r>
      <w:r w:rsidR="006A7A03">
        <w:rPr>
          <w:szCs w:val="22"/>
        </w:rPr>
        <w:t xml:space="preserve">a translator station that initially </w:t>
      </w:r>
      <w:r w:rsidR="00742A96">
        <w:rPr>
          <w:szCs w:val="22"/>
        </w:rPr>
        <w:t>broadcast to</w:t>
      </w:r>
      <w:r w:rsidR="006A7A03">
        <w:rPr>
          <w:szCs w:val="22"/>
        </w:rPr>
        <w:t xml:space="preserve"> a white area be allowed to continue to provide </w:t>
      </w:r>
      <w:r w:rsidR="00742A96">
        <w:rPr>
          <w:szCs w:val="22"/>
        </w:rPr>
        <w:t xml:space="preserve">such </w:t>
      </w:r>
      <w:r w:rsidR="006A7A03">
        <w:rPr>
          <w:szCs w:val="22"/>
        </w:rPr>
        <w:t>service even if another (full service) licensee begins broadcasting to the area.</w:t>
      </w:r>
      <w:r w:rsidR="006A7A03">
        <w:rPr>
          <w:rStyle w:val="FootnoteReference"/>
          <w:szCs w:val="22"/>
        </w:rPr>
        <w:footnoteReference w:id="27"/>
      </w:r>
    </w:p>
    <w:p w14:paraId="13D3F679" w14:textId="5E9A12B8" w:rsidR="001757C1" w:rsidRDefault="00833685" w:rsidP="00211A43">
      <w:pPr>
        <w:pStyle w:val="ParaNum"/>
        <w:numPr>
          <w:ilvl w:val="0"/>
          <w:numId w:val="0"/>
        </w:numPr>
        <w:ind w:firstLine="720"/>
        <w:jc w:val="left"/>
      </w:pPr>
      <w:r w:rsidRPr="005C5D8E">
        <w:rPr>
          <w:i/>
        </w:rPr>
        <w:t xml:space="preserve">Renewal Decision.  </w:t>
      </w:r>
      <w:r w:rsidR="008F5F17">
        <w:t xml:space="preserve">After </w:t>
      </w:r>
      <w:r w:rsidR="005A7158">
        <w:t xml:space="preserve">the 2005 </w:t>
      </w:r>
      <w:r w:rsidR="008F5F17">
        <w:t>reinstatement</w:t>
      </w:r>
      <w:r w:rsidR="005A7158">
        <w:t>s</w:t>
      </w:r>
      <w:r w:rsidR="008F5F17">
        <w:t xml:space="preserve">, Peninsula continued to </w:t>
      </w:r>
      <w:r w:rsidR="0080553A">
        <w:t xml:space="preserve">own and </w:t>
      </w:r>
      <w:r w:rsidR="005A7158">
        <w:t xml:space="preserve">operate its </w:t>
      </w:r>
      <w:r w:rsidR="002B2F2C">
        <w:t>non-compliant</w:t>
      </w:r>
      <w:r w:rsidR="008F5F17">
        <w:t xml:space="preserve"> translators</w:t>
      </w:r>
      <w:r w:rsidR="00B625CD">
        <w:t xml:space="preserve"> as before</w:t>
      </w:r>
      <w:r w:rsidR="002953E0">
        <w:t>,</w:t>
      </w:r>
      <w:r w:rsidR="00D31280">
        <w:t xml:space="preserve"> o</w:t>
      </w:r>
      <w:r w:rsidR="00F339EA">
        <w:t>n the theory</w:t>
      </w:r>
      <w:r w:rsidR="00253721">
        <w:t xml:space="preserve"> that the SHVERA A</w:t>
      </w:r>
      <w:r w:rsidR="008F5F17">
        <w:t>mendments</w:t>
      </w:r>
      <w:r w:rsidR="005C5D8E">
        <w:t xml:space="preserve">, as implemented by the Commission in the </w:t>
      </w:r>
      <w:r w:rsidR="00253721" w:rsidRPr="005C5D8E">
        <w:rPr>
          <w:i/>
        </w:rPr>
        <w:t>Reinstatement Orders</w:t>
      </w:r>
      <w:r w:rsidR="005C5D8E">
        <w:t>,</w:t>
      </w:r>
      <w:r w:rsidR="00D31280">
        <w:t xml:space="preserve"> </w:t>
      </w:r>
      <w:r w:rsidR="005C5D8E" w:rsidRPr="005C5D8E">
        <w:t>“modified ... the Commission's FM</w:t>
      </w:r>
      <w:r w:rsidR="005C5D8E">
        <w:t xml:space="preserve"> </w:t>
      </w:r>
      <w:r w:rsidR="005C5D8E" w:rsidRPr="005C5D8E">
        <w:t>Translator rules and policies with regard to the operations of the Licensee's FM Translator Stations in Alaska”</w:t>
      </w:r>
      <w:r w:rsidR="005C5D8E">
        <w:t xml:space="preserve"> </w:t>
      </w:r>
      <w:r w:rsidR="003E04BD">
        <w:t>such</w:t>
      </w:r>
      <w:r w:rsidR="003E04BD" w:rsidRPr="00E1298C">
        <w:t xml:space="preserve"> that “any and all proceedings and allegations against [Peninsula] were of no cause and effect</w:t>
      </w:r>
      <w:r w:rsidR="003E04BD">
        <w:t>.</w:t>
      </w:r>
      <w:r w:rsidR="003E04BD" w:rsidRPr="00E1298C">
        <w:t>”</w:t>
      </w:r>
      <w:r w:rsidR="003E04BD">
        <w:rPr>
          <w:rStyle w:val="FootnoteReference"/>
        </w:rPr>
        <w:footnoteReference w:id="28"/>
      </w:r>
      <w:r w:rsidR="008F5F17">
        <w:t xml:space="preserve"> </w:t>
      </w:r>
      <w:r w:rsidR="00FA2AB1">
        <w:t xml:space="preserve"> In 2016, the Bureau </w:t>
      </w:r>
      <w:r w:rsidR="006365F6">
        <w:t>rejected</w:t>
      </w:r>
      <w:r w:rsidR="002953E0">
        <w:t xml:space="preserve"> this </w:t>
      </w:r>
      <w:r w:rsidR="00FA2AB1">
        <w:t>argument</w:t>
      </w:r>
      <w:r w:rsidR="007E75EA">
        <w:t xml:space="preserve"> when it </w:t>
      </w:r>
      <w:r w:rsidR="006365F6">
        <w:t>granted</w:t>
      </w:r>
      <w:r w:rsidR="001538A0">
        <w:t xml:space="preserve"> Peninsula’s 2005 and 2013 Renewal A</w:t>
      </w:r>
      <w:r w:rsidR="00FA2AB1">
        <w:t>pplications</w:t>
      </w:r>
      <w:r w:rsidR="0080553A">
        <w:t xml:space="preserve">, </w:t>
      </w:r>
      <w:r w:rsidR="0018272A">
        <w:t>reasoning</w:t>
      </w:r>
      <w:r w:rsidR="005C5D8E">
        <w:t xml:space="preserve"> that</w:t>
      </w:r>
      <w:r w:rsidR="0037116C">
        <w:t>: (1)</w:t>
      </w:r>
      <w:r w:rsidR="005C5D8E">
        <w:t xml:space="preserve"> the retrospec</w:t>
      </w:r>
      <w:r w:rsidR="0080553A">
        <w:t>tive language of Section 312(g)</w:t>
      </w:r>
      <w:r w:rsidR="0037116C">
        <w:t xml:space="preserve"> </w:t>
      </w:r>
      <w:r w:rsidR="0018272A">
        <w:t xml:space="preserve">only </w:t>
      </w:r>
      <w:r w:rsidR="0037116C">
        <w:t>required the Commission to reinstate any Alaskan licenses that had been revoked or terminated in a translator-related proceeding prior to December 8, 2004</w:t>
      </w:r>
      <w:r w:rsidR="0080553A">
        <w:t xml:space="preserve">—a mandate it had </w:t>
      </w:r>
      <w:r w:rsidR="002B2F2C">
        <w:t>satisfied</w:t>
      </w:r>
      <w:r w:rsidR="0080553A">
        <w:t xml:space="preserve"> </w:t>
      </w:r>
      <w:r w:rsidR="003B5A4A">
        <w:t>in</w:t>
      </w:r>
      <w:r w:rsidR="001757C1">
        <w:t xml:space="preserve"> the </w:t>
      </w:r>
      <w:r w:rsidR="001757C1">
        <w:rPr>
          <w:i/>
        </w:rPr>
        <w:t>Reinstatement Orders</w:t>
      </w:r>
      <w:r w:rsidR="0037116C">
        <w:t>;</w:t>
      </w:r>
      <w:r w:rsidR="0037116C">
        <w:rPr>
          <w:rStyle w:val="FootnoteReference"/>
        </w:rPr>
        <w:footnoteReference w:id="29"/>
      </w:r>
      <w:r w:rsidR="0037116C">
        <w:t xml:space="preserve"> and (2) </w:t>
      </w:r>
      <w:r w:rsidR="005C5D8E">
        <w:t>Section 307(f)(2)</w:t>
      </w:r>
      <w:r w:rsidR="0037116C">
        <w:t xml:space="preserve"> </w:t>
      </w:r>
      <w:r w:rsidR="0080553A">
        <w:t>does not apply to Peninsula’s translator sta</w:t>
      </w:r>
      <w:r w:rsidR="0024513A">
        <w:t>tions</w:t>
      </w:r>
      <w:r w:rsidR="003B5A4A">
        <w:t xml:space="preserve"> because none of them originally </w:t>
      </w:r>
      <w:r w:rsidR="0080553A">
        <w:t>“broadcast to an area of Alaska that did not have access to over the air broadcasts,” i.e., a white area.</w:t>
      </w:r>
      <w:r w:rsidR="0037116C">
        <w:rPr>
          <w:rStyle w:val="FootnoteReference"/>
        </w:rPr>
        <w:footnoteReference w:id="30"/>
      </w:r>
      <w:r w:rsidR="001757C1">
        <w:t xml:space="preserve"> </w:t>
      </w:r>
      <w:r w:rsidR="00047A46">
        <w:t xml:space="preserve"> </w:t>
      </w:r>
      <w:r w:rsidR="003B5A4A">
        <w:t>T</w:t>
      </w:r>
      <w:r w:rsidR="0024513A">
        <w:t xml:space="preserve">herefore, </w:t>
      </w:r>
      <w:r w:rsidR="0018272A">
        <w:t xml:space="preserve">the Bureau concluded, </w:t>
      </w:r>
      <w:r w:rsidR="00047A46">
        <w:t>neither SHVERA Amendment gave Peninsula “carte blanche to operate outside of the rules of the FCC in perpetuity.”</w:t>
      </w:r>
      <w:r w:rsidR="00047A46">
        <w:rPr>
          <w:rStyle w:val="FootnoteReference"/>
        </w:rPr>
        <w:footnoteReference w:id="31"/>
      </w:r>
      <w:r w:rsidR="00047A46">
        <w:t xml:space="preserve">  </w:t>
      </w:r>
    </w:p>
    <w:p w14:paraId="0BDA3CB7" w14:textId="08ED3A7F" w:rsidR="00E8120F" w:rsidRDefault="00047A46" w:rsidP="00211A43">
      <w:pPr>
        <w:pStyle w:val="ParaNum"/>
        <w:numPr>
          <w:ilvl w:val="0"/>
          <w:numId w:val="0"/>
        </w:numPr>
        <w:ind w:firstLine="720"/>
        <w:jc w:val="left"/>
      </w:pPr>
      <w:r>
        <w:t>Accordingly</w:t>
      </w:r>
      <w:r w:rsidR="00253721">
        <w:t xml:space="preserve">, </w:t>
      </w:r>
      <w:r w:rsidR="008C06FA">
        <w:t xml:space="preserve">the Bureau </w:t>
      </w:r>
      <w:r w:rsidR="00883D06">
        <w:t xml:space="preserve">granted </w:t>
      </w:r>
      <w:r w:rsidR="006365F6">
        <w:t xml:space="preserve">Peninsula’s 2005 and 2013 </w:t>
      </w:r>
      <w:r w:rsidR="00F40A98">
        <w:t>Renewal A</w:t>
      </w:r>
      <w:r w:rsidR="0018272A">
        <w:t xml:space="preserve">pplications but conditioned </w:t>
      </w:r>
      <w:r w:rsidR="00F40A98">
        <w:t>grant of the</w:t>
      </w:r>
      <w:r w:rsidR="0018272A">
        <w:t xml:space="preserve"> KPEN and KWVV renewals </w:t>
      </w:r>
      <w:r w:rsidR="002B2F2C">
        <w:t>(</w:t>
      </w:r>
      <w:r w:rsidR="009338EE">
        <w:t>and</w:t>
      </w:r>
      <w:r w:rsidR="00BA074E">
        <w:t xml:space="preserve"> those</w:t>
      </w:r>
      <w:r w:rsidR="009740C5">
        <w:t xml:space="preserve"> of</w:t>
      </w:r>
      <w:r w:rsidR="00DC24DA">
        <w:t xml:space="preserve"> </w:t>
      </w:r>
      <w:r w:rsidR="00304DA9">
        <w:t xml:space="preserve">their </w:t>
      </w:r>
      <w:r w:rsidR="0024513A">
        <w:t>associated translators</w:t>
      </w:r>
      <w:r w:rsidR="002B2F2C">
        <w:t>)</w:t>
      </w:r>
      <w:r w:rsidR="0018272A">
        <w:t xml:space="preserve"> </w:t>
      </w:r>
      <w:r w:rsidR="00F9698B">
        <w:t xml:space="preserve">on Peninsula coming into compliance </w:t>
      </w:r>
      <w:r w:rsidR="00253721">
        <w:t>with</w:t>
      </w:r>
      <w:r w:rsidR="00304DA9">
        <w:t xml:space="preserve"> Section 74.1232(d) and the signal delivery rule of </w:t>
      </w:r>
      <w:r w:rsidR="00253721">
        <w:t xml:space="preserve">Section 74.1231(b), which requires </w:t>
      </w:r>
      <w:r w:rsidR="004F492B">
        <w:t>“</w:t>
      </w:r>
      <w:r w:rsidR="00D23D00">
        <w:t>other area</w:t>
      </w:r>
      <w:r w:rsidR="004F492B">
        <w:t>”</w:t>
      </w:r>
      <w:r w:rsidR="00D23D00">
        <w:t xml:space="preserve"> </w:t>
      </w:r>
      <w:r w:rsidR="00211A43">
        <w:t>t</w:t>
      </w:r>
      <w:r w:rsidR="00D23D00">
        <w:t xml:space="preserve">ranslator stations </w:t>
      </w:r>
      <w:r w:rsidR="00253721">
        <w:t>to</w:t>
      </w:r>
      <w:r w:rsidR="004F492B">
        <w:t xml:space="preserve"> receive</w:t>
      </w:r>
      <w:r w:rsidR="00A3465A">
        <w:t xml:space="preserve"> their</w:t>
      </w:r>
      <w:r w:rsidR="004F492B">
        <w:t xml:space="preserve"> input</w:t>
      </w:r>
      <w:r w:rsidR="00793462">
        <w:t xml:space="preserve"> signals directly over-the-</w:t>
      </w:r>
      <w:r w:rsidR="00D23D00">
        <w:t>air.</w:t>
      </w:r>
      <w:r w:rsidR="00D23D00">
        <w:rPr>
          <w:rStyle w:val="FootnoteReference"/>
        </w:rPr>
        <w:footnoteReference w:id="32"/>
      </w:r>
      <w:r w:rsidR="00D23D00">
        <w:t xml:space="preserve">  </w:t>
      </w:r>
      <w:r w:rsidR="003B5A4A">
        <w:t>In doing so, the Bureau exercised its discretion</w:t>
      </w:r>
      <w:r w:rsidR="00A618FC">
        <w:t>, in the absence of an unresolved basic qualifications issue,</w:t>
      </w:r>
      <w:r w:rsidR="00490D13">
        <w:rPr>
          <w:rStyle w:val="FootnoteReference"/>
        </w:rPr>
        <w:footnoteReference w:id="33"/>
      </w:r>
      <w:r w:rsidR="003B5A4A">
        <w:t xml:space="preserve"> to cure</w:t>
      </w:r>
      <w:r w:rsidR="0024513A">
        <w:t xml:space="preserve"> or remedy a</w:t>
      </w:r>
      <w:r w:rsidR="003B5A4A">
        <w:t xml:space="preserve"> rule violat</w:t>
      </w:r>
      <w:r w:rsidR="00694DFF">
        <w:t>ion rather than designate the matter</w:t>
      </w:r>
      <w:r w:rsidR="003B5A4A">
        <w:t xml:space="preserve"> for a hearing.</w:t>
      </w:r>
      <w:r w:rsidR="002B2F2C">
        <w:rPr>
          <w:rStyle w:val="FootnoteReference"/>
        </w:rPr>
        <w:footnoteReference w:id="34"/>
      </w:r>
      <w:r w:rsidR="003B5A4A">
        <w:t xml:space="preserve"> </w:t>
      </w:r>
      <w:r w:rsidR="006211A7">
        <w:t xml:space="preserve"> </w:t>
      </w:r>
      <w:r w:rsidR="00A3465A">
        <w:t>Regarding Peninsula’s character qualifications</w:t>
      </w:r>
      <w:r w:rsidR="00A618FC">
        <w:rPr>
          <w:szCs w:val="22"/>
        </w:rPr>
        <w:t>,</w:t>
      </w:r>
      <w:r w:rsidR="003B5A4A">
        <w:t xml:space="preserve"> the Bureau emphasized that </w:t>
      </w:r>
      <w:r w:rsidR="00DE5620">
        <w:t>there</w:t>
      </w:r>
      <w:r w:rsidR="00D668C8">
        <w:t xml:space="preserve"> was no evidence that Peninsula had attempted to deceive or mislead the Commission</w:t>
      </w:r>
      <w:r>
        <w:t>.  R</w:t>
      </w:r>
      <w:r w:rsidR="00E330B1">
        <w:t>ather</w:t>
      </w:r>
      <w:r w:rsidR="00D668C8">
        <w:t xml:space="preserve">, </w:t>
      </w:r>
      <w:r w:rsidR="00713B17">
        <w:t xml:space="preserve">it observed that </w:t>
      </w:r>
      <w:r w:rsidR="00E330B1">
        <w:t>Peninsula</w:t>
      </w:r>
      <w:r w:rsidR="00D668C8">
        <w:t xml:space="preserve"> had </w:t>
      </w:r>
      <w:r w:rsidR="00A618FC">
        <w:t>openly</w:t>
      </w:r>
      <w:r w:rsidR="00793462">
        <w:t xml:space="preserve"> and repeatedly</w:t>
      </w:r>
      <w:r w:rsidR="00694DFF">
        <w:t xml:space="preserve"> maintained</w:t>
      </w:r>
      <w:r w:rsidR="00A618FC">
        <w:t xml:space="preserve"> </w:t>
      </w:r>
      <w:r w:rsidR="00D668C8">
        <w:t>that</w:t>
      </w:r>
      <w:r w:rsidR="00E330B1">
        <w:t xml:space="preserve"> </w:t>
      </w:r>
      <w:r w:rsidR="00E1298C">
        <w:t xml:space="preserve">the SHVERA Amendments and </w:t>
      </w:r>
      <w:r w:rsidR="00E1298C" w:rsidRPr="00640E70">
        <w:rPr>
          <w:i/>
        </w:rPr>
        <w:t xml:space="preserve">Reinstatement </w:t>
      </w:r>
      <w:r w:rsidR="00D668C8" w:rsidRPr="00640E70">
        <w:rPr>
          <w:i/>
        </w:rPr>
        <w:t xml:space="preserve">Orders </w:t>
      </w:r>
      <w:r w:rsidR="00DE5620">
        <w:t xml:space="preserve">gave it </w:t>
      </w:r>
      <w:r w:rsidR="00A80912">
        <w:t xml:space="preserve">ongoing </w:t>
      </w:r>
      <w:r w:rsidR="00DE5620">
        <w:t>immunity</w:t>
      </w:r>
      <w:r w:rsidR="00E330B1">
        <w:t xml:space="preserve"> from</w:t>
      </w:r>
      <w:r w:rsidR="00D668C8">
        <w:t xml:space="preserve"> the Commission’s rules</w:t>
      </w:r>
      <w:r w:rsidR="003F4101">
        <w:t>, a position that was not “</w:t>
      </w:r>
      <w:r w:rsidR="003F4101" w:rsidRPr="00640E70">
        <w:rPr>
          <w:szCs w:val="22"/>
        </w:rPr>
        <w:t xml:space="preserve">wholly unreasonable—it is a possible, if erroneous, interpretation of the SHVERA Amendments and 2005 </w:t>
      </w:r>
      <w:r w:rsidR="003F4101" w:rsidRPr="00640E70">
        <w:rPr>
          <w:i/>
          <w:szCs w:val="22"/>
        </w:rPr>
        <w:t>Orders</w:t>
      </w:r>
      <w:r w:rsidR="003F4101" w:rsidRPr="00640E70">
        <w:rPr>
          <w:szCs w:val="22"/>
        </w:rPr>
        <w:t>.”</w:t>
      </w:r>
      <w:r w:rsidR="00D668C8">
        <w:rPr>
          <w:rStyle w:val="FootnoteReference"/>
        </w:rPr>
        <w:footnoteReference w:id="35"/>
      </w:r>
      <w:r w:rsidR="00E330B1">
        <w:t xml:space="preserve">  </w:t>
      </w:r>
      <w:r w:rsidR="005F5397">
        <w:t>The Bureau</w:t>
      </w:r>
      <w:r w:rsidR="003F4101">
        <w:t xml:space="preserve"> also concluded </w:t>
      </w:r>
      <w:r w:rsidR="00DC24DA">
        <w:t>that the record did not raise a substantial and material question of fact whether Peninsula had complied with the main studio or program origination rules.</w:t>
      </w:r>
      <w:r w:rsidR="00DC24DA">
        <w:rPr>
          <w:rStyle w:val="FootnoteReference"/>
        </w:rPr>
        <w:footnoteReference w:id="36"/>
      </w:r>
    </w:p>
    <w:p w14:paraId="3E9F0112" w14:textId="77777777" w:rsidR="00E024FD" w:rsidRDefault="00883D06" w:rsidP="00211A43">
      <w:pPr>
        <w:pStyle w:val="ParaNum"/>
        <w:numPr>
          <w:ilvl w:val="0"/>
          <w:numId w:val="0"/>
        </w:numPr>
        <w:ind w:firstLine="720"/>
        <w:jc w:val="left"/>
      </w:pPr>
      <w:r w:rsidRPr="00833685">
        <w:rPr>
          <w:i/>
        </w:rPr>
        <w:t xml:space="preserve">Petition for Reconsideration. </w:t>
      </w:r>
      <w:r>
        <w:t xml:space="preserve"> In the Petition for Reconsideration</w:t>
      </w:r>
      <w:r w:rsidR="00BA17FD">
        <w:t xml:space="preserve"> and Reconsideration Reply</w:t>
      </w:r>
      <w:r>
        <w:t xml:space="preserve">, KSRM </w:t>
      </w:r>
      <w:r w:rsidR="002D44D6">
        <w:t xml:space="preserve">argues that the Bureau erred in concluding that there </w:t>
      </w:r>
      <w:r w:rsidR="006E468C">
        <w:t>were</w:t>
      </w:r>
      <w:r w:rsidR="00056F5B">
        <w:t xml:space="preserve"> no unresolved character qualifications issues </w:t>
      </w:r>
      <w:r w:rsidR="006E468C">
        <w:t>or</w:t>
      </w:r>
      <w:r w:rsidR="002D44D6">
        <w:t xml:space="preserve"> serious violations by Peninsula of the Communications Act or the rules and regulations of the Commission w</w:t>
      </w:r>
      <w:r w:rsidR="00E90403">
        <w:t xml:space="preserve">hich, taken together, would </w:t>
      </w:r>
      <w:r w:rsidR="002D44D6">
        <w:t xml:space="preserve">constitute a pattern of abuse. </w:t>
      </w:r>
      <w:r w:rsidR="00056F5B">
        <w:t xml:space="preserve"> </w:t>
      </w:r>
      <w:r w:rsidR="007E6C52">
        <w:t>A</w:t>
      </w:r>
      <w:r w:rsidR="00056F5B">
        <w:t>ccording to KSRM, the</w:t>
      </w:r>
      <w:r w:rsidR="006E468C">
        <w:t xml:space="preserve"> record shows a</w:t>
      </w:r>
      <w:r w:rsidR="00056F5B">
        <w:t xml:space="preserve"> </w:t>
      </w:r>
      <w:r w:rsidR="00713B17">
        <w:t xml:space="preserve">more than </w:t>
      </w:r>
      <w:r w:rsidR="00056F5B">
        <w:t>twelve-year pattern of rule violations</w:t>
      </w:r>
      <w:r w:rsidR="0079712D">
        <w:t xml:space="preserve"> by Peninsula</w:t>
      </w:r>
      <w:r w:rsidR="008A7945">
        <w:t xml:space="preserve"> since the enactment of the SHVERA Amendments</w:t>
      </w:r>
      <w:r w:rsidR="007E6C52">
        <w:t>.</w:t>
      </w:r>
      <w:r w:rsidR="0079712D">
        <w:rPr>
          <w:rStyle w:val="FootnoteReference"/>
        </w:rPr>
        <w:footnoteReference w:id="37"/>
      </w:r>
      <w:r w:rsidR="004F0EDF">
        <w:t xml:space="preserve">  Citing </w:t>
      </w:r>
      <w:r w:rsidR="004F0EDF">
        <w:rPr>
          <w:i/>
        </w:rPr>
        <w:t>Jefferson Radio</w:t>
      </w:r>
      <w:r w:rsidR="004F0EDF">
        <w:t>, KSRM c</w:t>
      </w:r>
      <w:r w:rsidR="00591379">
        <w:t>oncludes</w:t>
      </w:r>
      <w:r w:rsidR="004F0EDF">
        <w:t xml:space="preserve"> that the Renewal Applications should have been designated for hearing </w:t>
      </w:r>
      <w:r w:rsidR="00B17A6A">
        <w:t xml:space="preserve">until </w:t>
      </w:r>
      <w:r w:rsidR="00E90403">
        <w:t xml:space="preserve">Peninsula’s </w:t>
      </w:r>
      <w:r w:rsidR="00B17A6A">
        <w:t xml:space="preserve">“basic character qualifications” can be </w:t>
      </w:r>
      <w:r w:rsidR="00E90403">
        <w:t>determined</w:t>
      </w:r>
      <w:r w:rsidR="00B17A6A">
        <w:t>.</w:t>
      </w:r>
      <w:r w:rsidR="00B17A6A">
        <w:rPr>
          <w:rStyle w:val="FootnoteReference"/>
        </w:rPr>
        <w:footnoteReference w:id="38"/>
      </w:r>
      <w:r w:rsidR="008A7945">
        <w:t xml:space="preserve">  KSRM states that Peninsula knew, since the </w:t>
      </w:r>
      <w:r w:rsidR="008A7945" w:rsidRPr="008A7945">
        <w:rPr>
          <w:i/>
        </w:rPr>
        <w:t xml:space="preserve">1998 </w:t>
      </w:r>
      <w:r w:rsidR="008A7945">
        <w:rPr>
          <w:i/>
        </w:rPr>
        <w:t xml:space="preserve">Omnibus Order </w:t>
      </w:r>
      <w:r w:rsidR="008A7945">
        <w:t xml:space="preserve">and the SHVERA </w:t>
      </w:r>
    </w:p>
    <w:p w14:paraId="0B2C8AC7" w14:textId="77777777" w:rsidR="00E024FD" w:rsidRDefault="00E024FD">
      <w:pPr>
        <w:rPr>
          <w:snapToGrid w:val="0"/>
          <w:kern w:val="28"/>
          <w:sz w:val="22"/>
        </w:rPr>
      </w:pPr>
      <w:r>
        <w:br w:type="page"/>
      </w:r>
    </w:p>
    <w:p w14:paraId="4F1403E7" w14:textId="74F8E315" w:rsidR="00883D06" w:rsidRDefault="008A7945" w:rsidP="00E024FD">
      <w:pPr>
        <w:pStyle w:val="ParaNum"/>
        <w:numPr>
          <w:ilvl w:val="0"/>
          <w:numId w:val="0"/>
        </w:numPr>
        <w:jc w:val="left"/>
      </w:pPr>
      <w:r>
        <w:t>Amendments, that its behavior was unlawful.</w:t>
      </w:r>
      <w:r>
        <w:rPr>
          <w:rStyle w:val="FootnoteReference"/>
        </w:rPr>
        <w:footnoteReference w:id="39"/>
      </w:r>
      <w:r>
        <w:t xml:space="preserve"> </w:t>
      </w:r>
      <w:r w:rsidR="00FA16EF">
        <w:rPr>
          <w:i/>
        </w:rPr>
        <w:t xml:space="preserve"> </w:t>
      </w:r>
      <w:r w:rsidR="004F0EDF">
        <w:t xml:space="preserve">KSRM also disputes the Bureau’s </w:t>
      </w:r>
      <w:r w:rsidR="00E90403">
        <w:t>conclusion</w:t>
      </w:r>
      <w:r w:rsidR="004F0EDF">
        <w:t xml:space="preserve"> regarding the main studio rule</w:t>
      </w:r>
      <w:r w:rsidR="00FA16EF">
        <w:t xml:space="preserve"> and</w:t>
      </w:r>
      <w:r w:rsidR="004F0EDF">
        <w:t xml:space="preserve"> submit</w:t>
      </w:r>
      <w:r w:rsidR="00E90403">
        <w:t>s</w:t>
      </w:r>
      <w:r w:rsidR="007E6C52">
        <w:t xml:space="preserve"> additional evidence on this issue</w:t>
      </w:r>
      <w:r w:rsidR="00591379">
        <w:t>.</w:t>
      </w:r>
      <w:r w:rsidR="00591379">
        <w:rPr>
          <w:rStyle w:val="FootnoteReference"/>
        </w:rPr>
        <w:footnoteReference w:id="40"/>
      </w:r>
      <w:r w:rsidR="00591379">
        <w:t xml:space="preserve"> </w:t>
      </w:r>
    </w:p>
    <w:p w14:paraId="4AA0E042" w14:textId="280BFCDD" w:rsidR="00591379" w:rsidRDefault="000E5561" w:rsidP="00211A43">
      <w:pPr>
        <w:pStyle w:val="ParaNum"/>
        <w:numPr>
          <w:ilvl w:val="0"/>
          <w:numId w:val="0"/>
        </w:numPr>
        <w:ind w:firstLine="720"/>
        <w:jc w:val="left"/>
      </w:pPr>
      <w:r>
        <w:t>In its Reconsideration Opposition, Peninsula contends that the KSRM Petition for Reconsideration relies on arguments that have been fully considered and rejected by the Commission within the same proceeding and thus do not warrant reconsideration.</w:t>
      </w:r>
      <w:r>
        <w:rPr>
          <w:rStyle w:val="FootnoteReference"/>
        </w:rPr>
        <w:footnoteReference w:id="41"/>
      </w:r>
      <w:r w:rsidR="00591379">
        <w:t xml:space="preserve">  Peninsula disputes</w:t>
      </w:r>
      <w:r>
        <w:t xml:space="preserve"> KSRM’s allegation that the KXBA/KPEN main studios</w:t>
      </w:r>
      <w:r w:rsidR="00591379">
        <w:t xml:space="preserve"> violate the R</w:t>
      </w:r>
      <w:r w:rsidR="00A62DAB">
        <w:t>ules</w:t>
      </w:r>
      <w:r>
        <w:t xml:space="preserve"> and provides additional evidence to support </w:t>
      </w:r>
      <w:r w:rsidR="00713B17">
        <w:t>its position</w:t>
      </w:r>
      <w:r>
        <w:t xml:space="preserve">.  </w:t>
      </w:r>
    </w:p>
    <w:p w14:paraId="12F38E09" w14:textId="5AA3794B" w:rsidR="0058383F" w:rsidRDefault="007E6C52" w:rsidP="00211A43">
      <w:pPr>
        <w:pStyle w:val="ParaNum"/>
        <w:numPr>
          <w:ilvl w:val="0"/>
          <w:numId w:val="0"/>
        </w:numPr>
        <w:ind w:firstLine="720"/>
        <w:jc w:val="left"/>
      </w:pPr>
      <w:r w:rsidRPr="00833685">
        <w:rPr>
          <w:i/>
        </w:rPr>
        <w:t>Waiver</w:t>
      </w:r>
      <w:r w:rsidR="00452083">
        <w:rPr>
          <w:i/>
        </w:rPr>
        <w:t xml:space="preserve"> history and</w:t>
      </w:r>
      <w:r w:rsidRPr="00833685">
        <w:rPr>
          <w:i/>
        </w:rPr>
        <w:t xml:space="preserve"> requests.</w:t>
      </w:r>
      <w:r>
        <w:rPr>
          <w:b/>
        </w:rPr>
        <w:t xml:space="preserve">  </w:t>
      </w:r>
      <w:r w:rsidR="00D71711" w:rsidRPr="004405B1">
        <w:t>Although the divestitures proposed in the Assignment Applications would</w:t>
      </w:r>
      <w:r w:rsidR="00CF7059">
        <w:t>, once completed,</w:t>
      </w:r>
      <w:r w:rsidR="00D71711" w:rsidRPr="004405B1">
        <w:t xml:space="preserve"> resolve Peninsula’s non-compliance with</w:t>
      </w:r>
      <w:r w:rsidR="00CB6BAA" w:rsidRPr="004405B1">
        <w:t xml:space="preserve"> </w:t>
      </w:r>
      <w:r w:rsidR="0088282A">
        <w:t xml:space="preserve">Section 74.1232(d), </w:t>
      </w:r>
      <w:r w:rsidR="00CB6BAA" w:rsidRPr="004405B1">
        <w:t xml:space="preserve">the </w:t>
      </w:r>
      <w:r w:rsidR="000431FA" w:rsidRPr="004405B1">
        <w:t>rule prohibiting co</w:t>
      </w:r>
      <w:r w:rsidR="000762EE">
        <w:t xml:space="preserve">mmon </w:t>
      </w:r>
      <w:r w:rsidR="000431FA" w:rsidRPr="004405B1">
        <w:t xml:space="preserve">ownership of </w:t>
      </w:r>
      <w:r w:rsidR="00CB6BAA" w:rsidRPr="004405B1">
        <w:t>other area translator</w:t>
      </w:r>
      <w:r w:rsidR="000431FA" w:rsidRPr="004405B1">
        <w:t>s</w:t>
      </w:r>
      <w:r w:rsidR="00CB6BAA" w:rsidRPr="004405B1">
        <w:t xml:space="preserve">, they </w:t>
      </w:r>
      <w:r w:rsidR="004405B1">
        <w:t>do</w:t>
      </w:r>
      <w:r w:rsidR="00CB6BAA" w:rsidRPr="004405B1">
        <w:t xml:space="preserve"> not </w:t>
      </w:r>
      <w:r w:rsidR="008C790F">
        <w:t xml:space="preserve">resolve </w:t>
      </w:r>
      <w:r w:rsidR="004405B1">
        <w:t>compliance issues relating to</w:t>
      </w:r>
      <w:r w:rsidR="00CB6BAA" w:rsidRPr="004405B1">
        <w:t xml:space="preserve"> the signal delivery rule of Section 74.1231(b).</w:t>
      </w:r>
      <w:r w:rsidR="00CB6BAA">
        <w:rPr>
          <w:b/>
        </w:rPr>
        <w:t xml:space="preserve"> </w:t>
      </w:r>
      <w:r w:rsidR="00D71711">
        <w:rPr>
          <w:b/>
        </w:rPr>
        <w:t xml:space="preserve"> </w:t>
      </w:r>
      <w:r w:rsidR="00833685">
        <w:t xml:space="preserve">In </w:t>
      </w:r>
      <w:r w:rsidR="00187787">
        <w:t>its</w:t>
      </w:r>
      <w:r w:rsidR="00833685">
        <w:t xml:space="preserve"> Compliance Affidavits</w:t>
      </w:r>
      <w:r w:rsidR="00A6733A">
        <w:t>,</w:t>
      </w:r>
      <w:r w:rsidR="00187787">
        <w:t xml:space="preserve"> submitted in response to the </w:t>
      </w:r>
      <w:r w:rsidR="00187787">
        <w:rPr>
          <w:i/>
        </w:rPr>
        <w:t>Renewal Decision</w:t>
      </w:r>
      <w:r w:rsidR="00833685">
        <w:t>,</w:t>
      </w:r>
      <w:r w:rsidR="00A93F45">
        <w:t xml:space="preserve"> </w:t>
      </w:r>
      <w:r w:rsidR="00833685">
        <w:t>Peninsula concedes that</w:t>
      </w:r>
      <w:r w:rsidR="00713B17">
        <w:t xml:space="preserve"> </w:t>
      </w:r>
      <w:r w:rsidR="002A790F">
        <w:t xml:space="preserve">the Seward Translators </w:t>
      </w:r>
      <w:r w:rsidR="0012300A">
        <w:t>currently</w:t>
      </w:r>
      <w:r w:rsidR="001E1466">
        <w:t xml:space="preserve"> violate</w:t>
      </w:r>
      <w:r w:rsidR="00672EA6">
        <w:t xml:space="preserve"> the</w:t>
      </w:r>
      <w:r w:rsidR="00833685">
        <w:t xml:space="preserve"> </w:t>
      </w:r>
      <w:r w:rsidR="00924B1D">
        <w:t xml:space="preserve">signal delivery </w:t>
      </w:r>
      <w:r w:rsidR="001E1466">
        <w:t>rule</w:t>
      </w:r>
      <w:r w:rsidR="00924B1D">
        <w:t xml:space="preserve"> </w:t>
      </w:r>
      <w:r w:rsidR="001E1466">
        <w:t xml:space="preserve"> and have </w:t>
      </w:r>
      <w:r w:rsidR="004070F2">
        <w:t xml:space="preserve">since </w:t>
      </w:r>
      <w:r w:rsidR="00882A9E">
        <w:t xml:space="preserve">they were </w:t>
      </w:r>
      <w:r w:rsidR="009B583F">
        <w:t>first licensed in 1993</w:t>
      </w:r>
      <w:r w:rsidR="00964463">
        <w:t>.</w:t>
      </w:r>
      <w:r w:rsidR="00187787">
        <w:rPr>
          <w:rStyle w:val="FootnoteReference"/>
        </w:rPr>
        <w:footnoteReference w:id="42"/>
      </w:r>
      <w:r w:rsidR="00F24392">
        <w:t xml:space="preserve">  </w:t>
      </w:r>
      <w:r w:rsidR="0032437D">
        <w:t xml:space="preserve">Accordingly, </w:t>
      </w:r>
      <w:r w:rsidR="00A62DAB">
        <w:t xml:space="preserve">Peninsula requests a “continuation” of </w:t>
      </w:r>
      <w:r w:rsidR="0032437D">
        <w:t xml:space="preserve">the </w:t>
      </w:r>
      <w:r w:rsidR="00A62DAB">
        <w:t>signal delivery waivers granted i</w:t>
      </w:r>
      <w:r w:rsidR="007D32A1">
        <w:t>n 1992</w:t>
      </w:r>
      <w:r w:rsidR="00A62DAB">
        <w:t xml:space="preserve"> by</w:t>
      </w:r>
      <w:r w:rsidR="007D32A1">
        <w:t xml:space="preserve"> the then-Auxiliary Services Branch of the Audio Services Divisions</w:t>
      </w:r>
      <w:r w:rsidR="00A62DAB">
        <w:t xml:space="preserve"> (Seward Waivers)</w:t>
      </w:r>
      <w:r w:rsidR="009B583F">
        <w:t>.</w:t>
      </w:r>
      <w:r w:rsidR="009B583F">
        <w:rPr>
          <w:rStyle w:val="FootnoteReference"/>
        </w:rPr>
        <w:footnoteReference w:id="43"/>
      </w:r>
      <w:r w:rsidR="009B583F">
        <w:t xml:space="preserve">  </w:t>
      </w:r>
      <w:r w:rsidR="00BB3C3E">
        <w:t>However, a</w:t>
      </w:r>
      <w:r w:rsidR="001447C3">
        <w:t>s discussed in detail below,</w:t>
      </w:r>
      <w:r w:rsidR="007D32A1">
        <w:t xml:space="preserve"> t</w:t>
      </w:r>
      <w:r w:rsidR="00A62DAB">
        <w:t>he Seward W</w:t>
      </w:r>
      <w:r w:rsidR="00F24392">
        <w:t xml:space="preserve">aivers were </w:t>
      </w:r>
      <w:r w:rsidR="00713B17">
        <w:t>t</w:t>
      </w:r>
      <w:r w:rsidR="00F24392">
        <w:t>erminated</w:t>
      </w:r>
      <w:r w:rsidR="00DD14D9">
        <w:t xml:space="preserve"> </w:t>
      </w:r>
      <w:r w:rsidR="00A62DAB">
        <w:t>by Commission order</w:t>
      </w:r>
      <w:r w:rsidR="00A62DAB" w:rsidRPr="00A62DAB">
        <w:t xml:space="preserve"> </w:t>
      </w:r>
      <w:r w:rsidR="00A62DAB">
        <w:t>in 2003</w:t>
      </w:r>
      <w:r w:rsidR="00F24392">
        <w:t>.</w:t>
      </w:r>
      <w:r w:rsidR="00F24392">
        <w:rPr>
          <w:rStyle w:val="FootnoteReference"/>
        </w:rPr>
        <w:footnoteReference w:id="44"/>
      </w:r>
      <w:r w:rsidR="00F24392">
        <w:t xml:space="preserve">  </w:t>
      </w:r>
      <w:r w:rsidR="0044253E">
        <w:t>As that action is long since final</w:t>
      </w:r>
      <w:r w:rsidR="00184C03">
        <w:t xml:space="preserve">, </w:t>
      </w:r>
      <w:r w:rsidR="004070F2">
        <w:t>Peninsula’</w:t>
      </w:r>
      <w:r w:rsidR="006E6586">
        <w:t xml:space="preserve">s request </w:t>
      </w:r>
      <w:r w:rsidR="007D32A1">
        <w:t>for “continuat</w:t>
      </w:r>
      <w:r w:rsidR="00A62DAB">
        <w:t>ion” of the Seward W</w:t>
      </w:r>
      <w:r w:rsidR="007D32A1">
        <w:t xml:space="preserve">aivers </w:t>
      </w:r>
      <w:r w:rsidR="006211A7">
        <w:t>i</w:t>
      </w:r>
      <w:r w:rsidR="004070F2">
        <w:t xml:space="preserve">s </w:t>
      </w:r>
      <w:r w:rsidR="0044253E">
        <w:t xml:space="preserve">actually </w:t>
      </w:r>
      <w:r w:rsidR="007D32A1">
        <w:t>a request</w:t>
      </w:r>
      <w:r w:rsidR="006E6586">
        <w:t xml:space="preserve"> for</w:t>
      </w:r>
      <w:r w:rsidR="004070F2">
        <w:t xml:space="preserve"> new </w:t>
      </w:r>
      <w:r w:rsidR="006211A7">
        <w:t xml:space="preserve">signal delivery </w:t>
      </w:r>
      <w:r w:rsidR="004070F2">
        <w:t>waiver</w:t>
      </w:r>
      <w:r w:rsidR="006E6586">
        <w:t>s</w:t>
      </w:r>
      <w:r w:rsidR="00964463">
        <w:t xml:space="preserve">.  </w:t>
      </w:r>
    </w:p>
    <w:p w14:paraId="5AEF0446" w14:textId="43BD005F" w:rsidR="00F40A98" w:rsidRDefault="00964463" w:rsidP="00211A43">
      <w:pPr>
        <w:pStyle w:val="ParaNum"/>
        <w:numPr>
          <w:ilvl w:val="0"/>
          <w:numId w:val="0"/>
        </w:numPr>
        <w:ind w:firstLine="720"/>
        <w:jc w:val="left"/>
      </w:pPr>
      <w:r>
        <w:t xml:space="preserve">Peninsula also requests </w:t>
      </w:r>
      <w:r w:rsidR="00732898">
        <w:t xml:space="preserve">new </w:t>
      </w:r>
      <w:r w:rsidR="00390BB4">
        <w:t xml:space="preserve">signal delivery </w:t>
      </w:r>
      <w:r>
        <w:t>w</w:t>
      </w:r>
      <w:r w:rsidR="00713B17">
        <w:t xml:space="preserve">aivers for </w:t>
      </w:r>
      <w:r w:rsidR="00732898">
        <w:t xml:space="preserve">its </w:t>
      </w:r>
      <w:r w:rsidR="00713B17">
        <w:t>two</w:t>
      </w:r>
      <w:r w:rsidR="001E1466">
        <w:t xml:space="preserve"> translator stations</w:t>
      </w:r>
      <w:r w:rsidR="00713B17">
        <w:t xml:space="preserve"> located on Kodiak Island,</w:t>
      </w:r>
      <w:r w:rsidR="00735BF6">
        <w:t xml:space="preserve"> K274AB and K285AA (Kodiak Translators)</w:t>
      </w:r>
      <w:r>
        <w:t>.</w:t>
      </w:r>
      <w:r w:rsidR="00060E3B">
        <w:rPr>
          <w:rStyle w:val="FootnoteReference"/>
        </w:rPr>
        <w:footnoteReference w:id="45"/>
      </w:r>
      <w:r>
        <w:t xml:space="preserve"> </w:t>
      </w:r>
      <w:r w:rsidR="004070F2">
        <w:t xml:space="preserve"> </w:t>
      </w:r>
      <w:r w:rsidR="00F11E43">
        <w:t>Although</w:t>
      </w:r>
      <w:r w:rsidR="002A790F">
        <w:t xml:space="preserve"> Peninsula certifies that</w:t>
      </w:r>
      <w:r w:rsidR="00F11E43">
        <w:t xml:space="preserve"> the Kodiak Translators </w:t>
      </w:r>
      <w:r w:rsidR="002A790F">
        <w:t>currently</w:t>
      </w:r>
      <w:r w:rsidR="00F11E43">
        <w:t xml:space="preserve"> receiv</w:t>
      </w:r>
      <w:r w:rsidR="002A790F">
        <w:t>e</w:t>
      </w:r>
      <w:r w:rsidR="00F11E43">
        <w:t xml:space="preserve"> </w:t>
      </w:r>
      <w:r w:rsidR="00793462">
        <w:t>their input signal directly over-the-</w:t>
      </w:r>
      <w:r w:rsidR="00F11E43">
        <w:t>air</w:t>
      </w:r>
      <w:r w:rsidR="00520CAA">
        <w:t xml:space="preserve"> from the</w:t>
      </w:r>
      <w:r w:rsidR="002A790F">
        <w:t>ir respective</w:t>
      </w:r>
      <w:r w:rsidR="00520CAA">
        <w:t xml:space="preserve"> primary station</w:t>
      </w:r>
      <w:r w:rsidR="002A790F">
        <w:t>s</w:t>
      </w:r>
      <w:r w:rsidR="00520CAA">
        <w:t xml:space="preserve"> (or, in the case of </w:t>
      </w:r>
      <w:r w:rsidR="00FB0CB9">
        <w:t xml:space="preserve">K274AB, </w:t>
      </w:r>
      <w:r w:rsidR="00793462">
        <w:t xml:space="preserve">over-the-air </w:t>
      </w:r>
      <w:r w:rsidR="00FB0CB9">
        <w:t>via intermediate translator K257DB</w:t>
      </w:r>
      <w:r w:rsidR="00520CAA">
        <w:t>)</w:t>
      </w:r>
      <w:r w:rsidR="00F11E43">
        <w:t>,</w:t>
      </w:r>
      <w:r w:rsidR="00FB0CB9">
        <w:rPr>
          <w:rStyle w:val="FootnoteReference"/>
        </w:rPr>
        <w:footnoteReference w:id="46"/>
      </w:r>
      <w:r w:rsidR="00F11E43">
        <w:t xml:space="preserve"> </w:t>
      </w:r>
      <w:r w:rsidR="002A790F">
        <w:t>it</w:t>
      </w:r>
      <w:r w:rsidR="007D32A1">
        <w:t xml:space="preserve"> </w:t>
      </w:r>
      <w:r w:rsidR="001E1466">
        <w:t>argues</w:t>
      </w:r>
      <w:r w:rsidR="0052792E">
        <w:t xml:space="preserve"> that a signal delivery waiver</w:t>
      </w:r>
      <w:r w:rsidR="007D32A1">
        <w:t xml:space="preserve"> is justified because the </w:t>
      </w:r>
      <w:r w:rsidR="006211A7">
        <w:t xml:space="preserve">Kodiak Translators’ </w:t>
      </w:r>
      <w:r w:rsidR="007D32A1">
        <w:t>current antenna receive site, on Pillar Mountain</w:t>
      </w:r>
      <w:r w:rsidR="001E1466">
        <w:t xml:space="preserve"> near </w:t>
      </w:r>
      <w:r w:rsidR="00E65539">
        <w:t xml:space="preserve">the community of </w:t>
      </w:r>
      <w:r w:rsidR="001E1466">
        <w:t>Kodiak</w:t>
      </w:r>
      <w:r w:rsidR="007D32A1">
        <w:t>, has become unusable due to environmental hazards.</w:t>
      </w:r>
      <w:r w:rsidR="007D32A1">
        <w:rPr>
          <w:rStyle w:val="FootnoteReference"/>
        </w:rPr>
        <w:footnoteReference w:id="47"/>
      </w:r>
      <w:r w:rsidR="007D32A1">
        <w:t xml:space="preserve"> </w:t>
      </w:r>
      <w:r w:rsidR="00690596">
        <w:t xml:space="preserve"> </w:t>
      </w:r>
    </w:p>
    <w:p w14:paraId="77EB4C3B" w14:textId="15DD6E74" w:rsidR="00695B21" w:rsidRDefault="0052792E" w:rsidP="00211A43">
      <w:pPr>
        <w:pStyle w:val="ParaNum"/>
        <w:numPr>
          <w:ilvl w:val="0"/>
          <w:numId w:val="0"/>
        </w:numPr>
        <w:ind w:firstLine="720"/>
        <w:jc w:val="left"/>
      </w:pPr>
      <w:r>
        <w:t xml:space="preserve">In </w:t>
      </w:r>
      <w:r w:rsidR="00713B17">
        <w:t>its Waiver Requests</w:t>
      </w:r>
      <w:r w:rsidR="000368C6">
        <w:t xml:space="preserve">, </w:t>
      </w:r>
      <w:r w:rsidR="00735BF6">
        <w:t>Peninsula rel</w:t>
      </w:r>
      <w:r w:rsidR="000368C6">
        <w:t>ies</w:t>
      </w:r>
      <w:r w:rsidR="006D6A99">
        <w:t xml:space="preserve"> </w:t>
      </w:r>
      <w:r w:rsidR="00970D40">
        <w:t>on</w:t>
      </w:r>
      <w:r w:rsidR="006D6A99">
        <w:t xml:space="preserve"> </w:t>
      </w:r>
      <w:r w:rsidR="006741BA">
        <w:t xml:space="preserve">a 1980 Commission decision, </w:t>
      </w:r>
      <w:r w:rsidR="00115461" w:rsidRPr="00C94CCC">
        <w:rPr>
          <w:i/>
        </w:rPr>
        <w:t>Wrangell</w:t>
      </w:r>
      <w:r w:rsidR="00115461">
        <w:t xml:space="preserve">, </w:t>
      </w:r>
      <w:r w:rsidR="006741BA">
        <w:t>in which</w:t>
      </w:r>
      <w:r w:rsidR="00970D40">
        <w:t xml:space="preserve"> the Commission granted waivers </w:t>
      </w:r>
      <w:r w:rsidR="00496401">
        <w:t>to</w:t>
      </w:r>
      <w:r w:rsidR="00CB4893">
        <w:t xml:space="preserve"> </w:t>
      </w:r>
      <w:r w:rsidR="006741BA">
        <w:t>television translator licensees</w:t>
      </w:r>
      <w:r w:rsidR="00CB4893">
        <w:t xml:space="preserve"> </w:t>
      </w:r>
      <w:r w:rsidR="006741BA">
        <w:t xml:space="preserve">permitting them </w:t>
      </w:r>
      <w:r w:rsidR="00CB4893">
        <w:t>to</w:t>
      </w:r>
      <w:r w:rsidR="000368C6">
        <w:t xml:space="preserve"> us</w:t>
      </w:r>
      <w:r w:rsidR="00CB4893">
        <w:t>e</w:t>
      </w:r>
      <w:r w:rsidR="006741BA">
        <w:t xml:space="preserve"> video tape cassettes in lieu of</w:t>
      </w:r>
      <w:r w:rsidR="00970D40">
        <w:t xml:space="preserve"> over-the-air signals</w:t>
      </w:r>
      <w:r w:rsidR="00CB4893">
        <w:t>.</w:t>
      </w:r>
      <w:r w:rsidR="006741BA">
        <w:rPr>
          <w:rStyle w:val="FootnoteReference"/>
        </w:rPr>
        <w:footnoteReference w:id="48"/>
      </w:r>
      <w:r w:rsidR="00970D40">
        <w:t xml:space="preserve">  </w:t>
      </w:r>
      <w:r w:rsidR="00581A31">
        <w:t xml:space="preserve">The Bureau cited </w:t>
      </w:r>
      <w:r w:rsidR="00581A31" w:rsidRPr="00C94CCC">
        <w:rPr>
          <w:i/>
        </w:rPr>
        <w:t xml:space="preserve">Wrangell </w:t>
      </w:r>
      <w:r w:rsidR="00581A31">
        <w:t>when it granted the Seward Waivers in 1992.</w:t>
      </w:r>
      <w:r w:rsidR="00142767">
        <w:rPr>
          <w:rStyle w:val="FootnoteReference"/>
        </w:rPr>
        <w:footnoteReference w:id="49"/>
      </w:r>
      <w:r w:rsidR="00581A31">
        <w:t xml:space="preserve">  However, </w:t>
      </w:r>
      <w:r w:rsidR="00CA093F">
        <w:t xml:space="preserve">in 1998, </w:t>
      </w:r>
      <w:r w:rsidR="00581A31">
        <w:t xml:space="preserve">the Commission found that the Bureau had </w:t>
      </w:r>
      <w:r w:rsidR="00142767">
        <w:t>granted the Seward Waivers in error</w:t>
      </w:r>
      <w:r w:rsidR="00B760A1">
        <w:t>, stating that</w:t>
      </w:r>
      <w:r w:rsidR="00142767">
        <w:t xml:space="preserve"> </w:t>
      </w:r>
      <w:r w:rsidR="00CA093F" w:rsidRPr="00D00258">
        <w:t>“</w:t>
      </w:r>
      <w:r w:rsidR="00CA093F" w:rsidRPr="00C94CCC">
        <w:rPr>
          <w:i/>
        </w:rPr>
        <w:t xml:space="preserve">Wrangell </w:t>
      </w:r>
      <w:r w:rsidR="00CA093F" w:rsidRPr="00D00258">
        <w:t>provides no justification for waiver of the translator rules for other area translators operating in non-‘white’ areas.”</w:t>
      </w:r>
      <w:r w:rsidR="00CA093F">
        <w:rPr>
          <w:rStyle w:val="FootnoteReference"/>
        </w:rPr>
        <w:footnoteReference w:id="50"/>
      </w:r>
      <w:r w:rsidR="00CA093F">
        <w:t xml:space="preserve">  In 2003, the Commission terminate</w:t>
      </w:r>
      <w:r w:rsidR="001E1466">
        <w:t>d</w:t>
      </w:r>
      <w:r w:rsidR="00CA093F">
        <w:t xml:space="preserve"> the Seward Waivers and ordered Peninsula to either come into compliance with the signal delivery rule or cease operation.</w:t>
      </w:r>
      <w:r w:rsidR="00CA093F">
        <w:rPr>
          <w:rStyle w:val="FootnoteReference"/>
        </w:rPr>
        <w:footnoteReference w:id="51"/>
      </w:r>
      <w:r w:rsidR="00CA093F">
        <w:t xml:space="preserve">  </w:t>
      </w:r>
      <w:r w:rsidR="00CA093F" w:rsidRPr="00C94CCC">
        <w:rPr>
          <w:szCs w:val="22"/>
        </w:rPr>
        <w:t xml:space="preserve">Although Peninsula </w:t>
      </w:r>
      <w:r w:rsidR="006211A7" w:rsidRPr="00C94CCC">
        <w:rPr>
          <w:szCs w:val="22"/>
        </w:rPr>
        <w:t>did cease</w:t>
      </w:r>
      <w:r w:rsidR="001E1466" w:rsidRPr="00C94CCC">
        <w:rPr>
          <w:szCs w:val="22"/>
        </w:rPr>
        <w:t xml:space="preserve"> operating</w:t>
      </w:r>
      <w:r w:rsidR="00CA093F" w:rsidRPr="00C94CCC">
        <w:rPr>
          <w:szCs w:val="22"/>
        </w:rPr>
        <w:t xml:space="preserve"> the Seward Translators for a time after the 2003 </w:t>
      </w:r>
      <w:r w:rsidR="00CA093F" w:rsidRPr="00C94CCC">
        <w:rPr>
          <w:i/>
          <w:szCs w:val="22"/>
        </w:rPr>
        <w:t>Seward Waiver Termination Order</w:t>
      </w:r>
      <w:r w:rsidR="00CA093F" w:rsidRPr="00C94CCC">
        <w:rPr>
          <w:szCs w:val="22"/>
        </w:rPr>
        <w:t>, it</w:t>
      </w:r>
      <w:r w:rsidR="00CA093F" w:rsidRPr="00C94CCC">
        <w:rPr>
          <w:i/>
          <w:szCs w:val="22"/>
        </w:rPr>
        <w:t xml:space="preserve"> </w:t>
      </w:r>
      <w:r w:rsidR="00CA093F" w:rsidRPr="00C94CCC">
        <w:rPr>
          <w:szCs w:val="22"/>
        </w:rPr>
        <w:t>resumed full operation</w:t>
      </w:r>
      <w:r w:rsidR="00CA093F" w:rsidRPr="00C94CCC">
        <w:rPr>
          <w:i/>
          <w:szCs w:val="22"/>
        </w:rPr>
        <w:t xml:space="preserve"> </w:t>
      </w:r>
      <w:r w:rsidR="00CA093F" w:rsidRPr="00C94CCC">
        <w:rPr>
          <w:szCs w:val="22"/>
        </w:rPr>
        <w:t>in 2005.</w:t>
      </w:r>
      <w:r w:rsidR="00CA093F" w:rsidRPr="004B7609">
        <w:rPr>
          <w:rStyle w:val="FootnoteReference"/>
          <w:szCs w:val="22"/>
        </w:rPr>
        <w:footnoteReference w:id="52"/>
      </w:r>
      <w:r w:rsidR="00CA093F">
        <w:t xml:space="preserve">  </w:t>
      </w:r>
      <w:r w:rsidR="00695B21">
        <w:t xml:space="preserve">In the </w:t>
      </w:r>
      <w:r w:rsidR="00695B21" w:rsidRPr="00C94CCC">
        <w:rPr>
          <w:i/>
        </w:rPr>
        <w:t>Renewal Letter</w:t>
      </w:r>
      <w:r w:rsidR="003A4E99">
        <w:t>, the Bureau summarized</w:t>
      </w:r>
      <w:r w:rsidR="00695B21">
        <w:t xml:space="preserve"> the history of </w:t>
      </w:r>
      <w:r w:rsidR="00695B21" w:rsidRPr="00C94CCC">
        <w:rPr>
          <w:i/>
        </w:rPr>
        <w:t xml:space="preserve">Wrangell </w:t>
      </w:r>
      <w:r w:rsidR="00695B21">
        <w:t xml:space="preserve">as follows: </w:t>
      </w:r>
    </w:p>
    <w:p w14:paraId="5F6AC5C6" w14:textId="11E98917" w:rsidR="00695B21" w:rsidRDefault="00695B21" w:rsidP="00E01DA8">
      <w:pPr>
        <w:pStyle w:val="ParaNum"/>
        <w:numPr>
          <w:ilvl w:val="0"/>
          <w:numId w:val="0"/>
        </w:numPr>
        <w:ind w:left="720"/>
      </w:pPr>
      <w:r>
        <w:t>[T]</w:t>
      </w:r>
      <w:r w:rsidRPr="00D00258">
        <w:t xml:space="preserve">he so-called </w:t>
      </w:r>
      <w:r w:rsidRPr="00D00258">
        <w:rPr>
          <w:i/>
        </w:rPr>
        <w:t xml:space="preserve">Wrangell </w:t>
      </w:r>
      <w:r w:rsidRPr="00D00258">
        <w:t xml:space="preserve">policy was ill-defined and obscure.  </w:t>
      </w:r>
      <w:r w:rsidRPr="00D00258">
        <w:rPr>
          <w:i/>
        </w:rPr>
        <w:t xml:space="preserve">Wrangell </w:t>
      </w:r>
      <w:r w:rsidRPr="00D00258">
        <w:t xml:space="preserve">itself granted waivers of the TV translator rules for service to remote Alaskan native villages that lacked access to </w:t>
      </w:r>
      <w:r w:rsidRPr="00D00258">
        <w:rPr>
          <w:i/>
        </w:rPr>
        <w:t xml:space="preserve">any </w:t>
      </w:r>
      <w:r>
        <w:t xml:space="preserve">off-air signals.  </w:t>
      </w:r>
      <w:r w:rsidRPr="00D00258">
        <w:t xml:space="preserve">In relying on </w:t>
      </w:r>
      <w:r w:rsidRPr="00D00258">
        <w:rPr>
          <w:i/>
        </w:rPr>
        <w:t xml:space="preserve">Wrangell </w:t>
      </w:r>
      <w:r w:rsidRPr="00D00258">
        <w:t xml:space="preserve">to grant waivers to Peninsula, a branch of the former Mass Media Bureau’s Audio Services Division extrapolated from that “broadcast signals are not readily available off-the-air in most Alaskan communities, such as Seward,” essentially treating all </w:t>
      </w:r>
      <w:r w:rsidR="00E01DA8">
        <w:t xml:space="preserve">of Alaska as a remote village.  </w:t>
      </w:r>
      <w:r w:rsidRPr="00D00258">
        <w:t xml:space="preserve">Subsequently, however, the Commission concluded that the staff had relied on </w:t>
      </w:r>
      <w:r w:rsidRPr="00D00258">
        <w:rPr>
          <w:i/>
        </w:rPr>
        <w:t xml:space="preserve">Wrangell </w:t>
      </w:r>
      <w:r w:rsidRPr="00D00258">
        <w:t>in error, and that “</w:t>
      </w:r>
      <w:r w:rsidRPr="00D00258">
        <w:rPr>
          <w:i/>
        </w:rPr>
        <w:t xml:space="preserve">Wrangell </w:t>
      </w:r>
      <w:r w:rsidRPr="00D00258">
        <w:t>provides no justification for waiver of the translator rules for other area translators operating in non-‘white’ areas.”</w:t>
      </w:r>
      <w:r w:rsidR="00E01DA8">
        <w:t xml:space="preserve"> </w:t>
      </w:r>
      <w:r w:rsidRPr="00D00258">
        <w:t xml:space="preserve"> Thus, Peninsula’s interpretation of Section 307(f)(2) requires reading into the statute a policy that was applied only at the staff level, that the staff applied in error, that the Commission publicly disavowed long before the passage of Section 307(f)(2), and that would effectively abrogate the FM translator rules in Alaska.</w:t>
      </w:r>
      <w:r w:rsidR="00E01DA8">
        <w:rPr>
          <w:rStyle w:val="FootnoteReference"/>
        </w:rPr>
        <w:footnoteReference w:id="53"/>
      </w:r>
      <w:r w:rsidRPr="00D00258">
        <w:t xml:space="preserve"> </w:t>
      </w:r>
    </w:p>
    <w:p w14:paraId="046249CF" w14:textId="2CD3E4EC" w:rsidR="00B71D64" w:rsidRPr="003B6E9C" w:rsidRDefault="00FC5067" w:rsidP="00211A43">
      <w:pPr>
        <w:pStyle w:val="ParaNum"/>
        <w:numPr>
          <w:ilvl w:val="0"/>
          <w:numId w:val="0"/>
        </w:numPr>
        <w:ind w:firstLine="720"/>
        <w:jc w:val="left"/>
        <w:rPr>
          <w:i/>
        </w:rPr>
      </w:pPr>
      <w:r w:rsidRPr="003B6E9C">
        <w:rPr>
          <w:szCs w:val="22"/>
        </w:rPr>
        <w:t>In the Waiver Requests</w:t>
      </w:r>
      <w:r w:rsidR="00F34D87" w:rsidRPr="003B6E9C">
        <w:rPr>
          <w:szCs w:val="22"/>
        </w:rPr>
        <w:t xml:space="preserve">, </w:t>
      </w:r>
      <w:r w:rsidR="0065760D" w:rsidRPr="003B6E9C">
        <w:rPr>
          <w:szCs w:val="22"/>
        </w:rPr>
        <w:t>Pe</w:t>
      </w:r>
      <w:r w:rsidR="00C94CCC">
        <w:rPr>
          <w:szCs w:val="22"/>
        </w:rPr>
        <w:t xml:space="preserve">ninsula urges </w:t>
      </w:r>
      <w:r w:rsidR="007462B4" w:rsidRPr="003B6E9C">
        <w:rPr>
          <w:szCs w:val="22"/>
        </w:rPr>
        <w:t xml:space="preserve">the Bureau </w:t>
      </w:r>
      <w:r w:rsidR="00C94CCC">
        <w:rPr>
          <w:szCs w:val="22"/>
        </w:rPr>
        <w:t>to</w:t>
      </w:r>
      <w:r w:rsidR="007462B4" w:rsidRPr="003B6E9C">
        <w:rPr>
          <w:szCs w:val="22"/>
        </w:rPr>
        <w:t xml:space="preserve"> resurrect </w:t>
      </w:r>
      <w:r w:rsidR="004C0750" w:rsidRPr="003B6E9C">
        <w:rPr>
          <w:szCs w:val="22"/>
        </w:rPr>
        <w:t xml:space="preserve">the </w:t>
      </w:r>
      <w:r w:rsidR="003B6E9C">
        <w:rPr>
          <w:szCs w:val="22"/>
        </w:rPr>
        <w:t>defunct</w:t>
      </w:r>
      <w:r w:rsidR="00882E1D" w:rsidRPr="003B6E9C">
        <w:rPr>
          <w:szCs w:val="22"/>
        </w:rPr>
        <w:t xml:space="preserve"> </w:t>
      </w:r>
      <w:r w:rsidR="0065760D" w:rsidRPr="003B6E9C">
        <w:rPr>
          <w:i/>
          <w:szCs w:val="22"/>
        </w:rPr>
        <w:t xml:space="preserve">Wrangell </w:t>
      </w:r>
      <w:r w:rsidR="0065760D" w:rsidRPr="003B6E9C">
        <w:rPr>
          <w:szCs w:val="22"/>
        </w:rPr>
        <w:t>waiver policy</w:t>
      </w:r>
      <w:r w:rsidR="007462B4" w:rsidRPr="003B6E9C">
        <w:rPr>
          <w:szCs w:val="22"/>
        </w:rPr>
        <w:t>,</w:t>
      </w:r>
      <w:r w:rsidR="00E55752" w:rsidRPr="003B6E9C">
        <w:rPr>
          <w:szCs w:val="22"/>
        </w:rPr>
        <w:t xml:space="preserve"> </w:t>
      </w:r>
      <w:r w:rsidR="00A43C5D" w:rsidRPr="003B6E9C">
        <w:rPr>
          <w:szCs w:val="22"/>
        </w:rPr>
        <w:t>at least</w:t>
      </w:r>
      <w:r w:rsidR="007462B4" w:rsidRPr="003B6E9C">
        <w:rPr>
          <w:szCs w:val="22"/>
        </w:rPr>
        <w:t xml:space="preserve"> with respect</w:t>
      </w:r>
      <w:r w:rsidR="009B677D" w:rsidRPr="003B6E9C">
        <w:rPr>
          <w:szCs w:val="22"/>
        </w:rPr>
        <w:t xml:space="preserve"> to</w:t>
      </w:r>
      <w:r w:rsidR="00AD5B30" w:rsidRPr="003B6E9C">
        <w:rPr>
          <w:szCs w:val="22"/>
        </w:rPr>
        <w:t xml:space="preserve"> the signal delivery rule.  </w:t>
      </w:r>
      <w:r w:rsidR="00124BDD" w:rsidRPr="003B6E9C">
        <w:rPr>
          <w:szCs w:val="22"/>
        </w:rPr>
        <w:t>(</w:t>
      </w:r>
      <w:r w:rsidRPr="003B6E9C">
        <w:rPr>
          <w:szCs w:val="22"/>
        </w:rPr>
        <w:t xml:space="preserve">As evidenced by the Assignment Applications, Peninsula appears to accept the Bureau’s determination that the </w:t>
      </w:r>
      <w:r w:rsidRPr="003B6E9C">
        <w:rPr>
          <w:i/>
          <w:szCs w:val="22"/>
        </w:rPr>
        <w:t xml:space="preserve">Wrangell </w:t>
      </w:r>
      <w:r w:rsidRPr="003B6E9C">
        <w:rPr>
          <w:szCs w:val="22"/>
        </w:rPr>
        <w:t>waiver policy does not justify waiver of the rule</w:t>
      </w:r>
      <w:r w:rsidR="00F70DE4">
        <w:rPr>
          <w:szCs w:val="22"/>
        </w:rPr>
        <w:t xml:space="preserve"> prohibiting the co-ownership of other area translators</w:t>
      </w:r>
      <w:r w:rsidRPr="003B6E9C">
        <w:rPr>
          <w:szCs w:val="22"/>
        </w:rPr>
        <w:t>.</w:t>
      </w:r>
      <w:r w:rsidR="00124BDD" w:rsidRPr="003B6E9C">
        <w:rPr>
          <w:szCs w:val="22"/>
        </w:rPr>
        <w:t xml:space="preserve">)  </w:t>
      </w:r>
      <w:r w:rsidR="00C94CCC">
        <w:rPr>
          <w:szCs w:val="22"/>
        </w:rPr>
        <w:t>In support of</w:t>
      </w:r>
      <w:r w:rsidRPr="003B6E9C">
        <w:rPr>
          <w:szCs w:val="22"/>
        </w:rPr>
        <w:t xml:space="preserve"> this </w:t>
      </w:r>
      <w:r w:rsidR="003B6E9C" w:rsidRPr="003B6E9C">
        <w:rPr>
          <w:szCs w:val="22"/>
        </w:rPr>
        <w:t>argument</w:t>
      </w:r>
      <w:r w:rsidRPr="003B6E9C">
        <w:rPr>
          <w:szCs w:val="22"/>
        </w:rPr>
        <w:t xml:space="preserve">, </w:t>
      </w:r>
      <w:r w:rsidR="002320CA">
        <w:t>Peninsula claims that Section 307(f)(2)</w:t>
      </w:r>
      <w:r w:rsidR="002320CA" w:rsidRPr="003B6E9C">
        <w:rPr>
          <w:szCs w:val="22"/>
        </w:rPr>
        <w:t xml:space="preserve"> was intended </w:t>
      </w:r>
      <w:r w:rsidR="00FF0520" w:rsidRPr="003B6E9C">
        <w:rPr>
          <w:szCs w:val="22"/>
        </w:rPr>
        <w:t xml:space="preserve">to reinstate </w:t>
      </w:r>
      <w:r w:rsidR="00B71D64" w:rsidRPr="003B6E9C">
        <w:rPr>
          <w:szCs w:val="22"/>
        </w:rPr>
        <w:t xml:space="preserve">the </w:t>
      </w:r>
      <w:r w:rsidR="00B71D64" w:rsidRPr="003B6E9C">
        <w:rPr>
          <w:i/>
          <w:szCs w:val="22"/>
        </w:rPr>
        <w:t xml:space="preserve">Wrangell </w:t>
      </w:r>
      <w:r w:rsidR="00B71D64" w:rsidRPr="003B6E9C">
        <w:rPr>
          <w:szCs w:val="22"/>
        </w:rPr>
        <w:t>waiver policy</w:t>
      </w:r>
      <w:r w:rsidR="00BC211C" w:rsidRPr="003B6E9C">
        <w:rPr>
          <w:szCs w:val="22"/>
        </w:rPr>
        <w:t xml:space="preserve">.  </w:t>
      </w:r>
      <w:r w:rsidR="000B2D78" w:rsidRPr="003B6E9C">
        <w:rPr>
          <w:szCs w:val="22"/>
        </w:rPr>
        <w:t xml:space="preserve">To </w:t>
      </w:r>
      <w:r w:rsidR="00BC211C" w:rsidRPr="003B6E9C">
        <w:rPr>
          <w:szCs w:val="22"/>
        </w:rPr>
        <w:t>give effect to this</w:t>
      </w:r>
      <w:r w:rsidR="000B2D78" w:rsidRPr="003B6E9C">
        <w:rPr>
          <w:szCs w:val="22"/>
        </w:rPr>
        <w:t xml:space="preserve"> presumed intent</w:t>
      </w:r>
      <w:r w:rsidR="002320CA" w:rsidRPr="003B6E9C">
        <w:rPr>
          <w:szCs w:val="22"/>
        </w:rPr>
        <w:t xml:space="preserve">, </w:t>
      </w:r>
      <w:r w:rsidR="0047078D" w:rsidRPr="003B6E9C">
        <w:rPr>
          <w:szCs w:val="22"/>
        </w:rPr>
        <w:t xml:space="preserve">Peninsula </w:t>
      </w:r>
      <w:r w:rsidR="00C94CCC">
        <w:rPr>
          <w:szCs w:val="22"/>
        </w:rPr>
        <w:t>argues</w:t>
      </w:r>
      <w:r w:rsidR="00B71D64" w:rsidRPr="003B6E9C">
        <w:rPr>
          <w:szCs w:val="22"/>
        </w:rPr>
        <w:t xml:space="preserve">, the Commission should </w:t>
      </w:r>
      <w:r w:rsidR="002320CA" w:rsidRPr="003B6E9C">
        <w:rPr>
          <w:szCs w:val="22"/>
        </w:rPr>
        <w:t>read the term “underserved” into the statutory language</w:t>
      </w:r>
      <w:r w:rsidR="00BC211C" w:rsidRPr="003B6E9C">
        <w:rPr>
          <w:szCs w:val="22"/>
        </w:rPr>
        <w:t xml:space="preserve">, </w:t>
      </w:r>
      <w:r w:rsidR="003B6E9C" w:rsidRPr="003B6E9C">
        <w:rPr>
          <w:szCs w:val="22"/>
        </w:rPr>
        <w:t xml:space="preserve">thereby </w:t>
      </w:r>
      <w:r w:rsidR="00BC211C" w:rsidRPr="003B6E9C">
        <w:rPr>
          <w:szCs w:val="22"/>
        </w:rPr>
        <w:t xml:space="preserve">finding </w:t>
      </w:r>
      <w:r w:rsidR="002320CA" w:rsidRPr="003B6E9C">
        <w:rPr>
          <w:szCs w:val="22"/>
        </w:rPr>
        <w:t>that Section 307(f)(2) applies</w:t>
      </w:r>
      <w:r w:rsidR="000B2D78" w:rsidRPr="003B6E9C">
        <w:rPr>
          <w:szCs w:val="22"/>
        </w:rPr>
        <w:t xml:space="preserve"> not only to </w:t>
      </w:r>
      <w:r w:rsidR="00BC211C" w:rsidRPr="003B6E9C">
        <w:rPr>
          <w:szCs w:val="22"/>
        </w:rPr>
        <w:t>translators serving “</w:t>
      </w:r>
      <w:r w:rsidR="00BC211C" w:rsidRPr="004E4EFC">
        <w:t>an area of Alaska that did not have access to over the air broadcasts</w:t>
      </w:r>
      <w:r w:rsidR="00BC211C">
        <w:t>”</w:t>
      </w:r>
      <w:r w:rsidR="00BC211C" w:rsidRPr="003B6E9C">
        <w:rPr>
          <w:szCs w:val="22"/>
        </w:rPr>
        <w:t xml:space="preserve"> </w:t>
      </w:r>
      <w:r w:rsidR="00C94CCC">
        <w:rPr>
          <w:szCs w:val="22"/>
        </w:rPr>
        <w:t>(</w:t>
      </w:r>
      <w:r w:rsidR="00085745" w:rsidRPr="003B6E9C">
        <w:rPr>
          <w:szCs w:val="22"/>
        </w:rPr>
        <w:t>as the statute states</w:t>
      </w:r>
      <w:r w:rsidR="00C94CCC">
        <w:rPr>
          <w:szCs w:val="22"/>
        </w:rPr>
        <w:t>)</w:t>
      </w:r>
      <w:r w:rsidR="00085745" w:rsidRPr="003B6E9C">
        <w:rPr>
          <w:szCs w:val="22"/>
        </w:rPr>
        <w:t>,</w:t>
      </w:r>
      <w:r w:rsidR="00B71D64" w:rsidRPr="003B6E9C">
        <w:rPr>
          <w:szCs w:val="22"/>
        </w:rPr>
        <w:t xml:space="preserve"> </w:t>
      </w:r>
      <w:r w:rsidR="000B2D78" w:rsidRPr="003B6E9C">
        <w:rPr>
          <w:szCs w:val="22"/>
        </w:rPr>
        <w:t>but</w:t>
      </w:r>
      <w:r w:rsidR="002320CA" w:rsidRPr="003B6E9C">
        <w:rPr>
          <w:szCs w:val="22"/>
        </w:rPr>
        <w:t xml:space="preserve"> </w:t>
      </w:r>
      <w:r w:rsidR="00BC211C" w:rsidRPr="003B6E9C">
        <w:rPr>
          <w:szCs w:val="22"/>
        </w:rPr>
        <w:t xml:space="preserve">also </w:t>
      </w:r>
      <w:r w:rsidR="002320CA" w:rsidRPr="003B6E9C">
        <w:rPr>
          <w:szCs w:val="22"/>
        </w:rPr>
        <w:t>t</w:t>
      </w:r>
      <w:r w:rsidR="00BC211C">
        <w:t xml:space="preserve">o any translator that </w:t>
      </w:r>
      <w:r w:rsidR="0047078D">
        <w:t xml:space="preserve">has </w:t>
      </w:r>
      <w:r w:rsidR="002320CA">
        <w:t xml:space="preserve">made a </w:t>
      </w:r>
      <w:r w:rsidR="002320CA" w:rsidRPr="00087321">
        <w:t xml:space="preserve">“groundbreaking investment” in an “underserved” </w:t>
      </w:r>
      <w:r w:rsidR="002320CA">
        <w:t>area.</w:t>
      </w:r>
      <w:r w:rsidR="002320CA">
        <w:rPr>
          <w:rStyle w:val="FootnoteReference"/>
        </w:rPr>
        <w:footnoteReference w:id="54"/>
      </w:r>
      <w:r w:rsidR="002320CA">
        <w:t xml:space="preserve">  </w:t>
      </w:r>
      <w:r w:rsidR="00C94CCC">
        <w:t>Peninsula</w:t>
      </w:r>
      <w:r w:rsidR="00732898">
        <w:t xml:space="preserve"> goes on to </w:t>
      </w:r>
      <w:r w:rsidR="006A3938">
        <w:t>contend that</w:t>
      </w:r>
      <w:r w:rsidR="002A3CBE">
        <w:t xml:space="preserve"> the Commission would then</w:t>
      </w:r>
      <w:r w:rsidR="00AD71B5">
        <w:t xml:space="preserve"> </w:t>
      </w:r>
      <w:r w:rsidR="00455EBC">
        <w:t xml:space="preserve">have to </w:t>
      </w:r>
      <w:r w:rsidR="00AD71B5">
        <w:t>expand its signal delivery waiver policy to</w:t>
      </w:r>
      <w:r w:rsidR="00C94CCC">
        <w:t xml:space="preserve"> also</w:t>
      </w:r>
      <w:r w:rsidR="00AD71B5">
        <w:t xml:space="preserve"> include underserved areas in order</w:t>
      </w:r>
      <w:r w:rsidR="006A3938">
        <w:t xml:space="preserve"> to “harmonize” with the broader interpretation of the</w:t>
      </w:r>
      <w:r w:rsidR="00AD71B5">
        <w:t xml:space="preserve"> statute</w:t>
      </w:r>
      <w:r w:rsidR="002A3CBE">
        <w:t>.</w:t>
      </w:r>
      <w:r w:rsidR="002A3CBE">
        <w:rPr>
          <w:rStyle w:val="FootnoteReference"/>
        </w:rPr>
        <w:footnoteReference w:id="55"/>
      </w:r>
      <w:r w:rsidR="002A3CBE">
        <w:t xml:space="preserve">  </w:t>
      </w:r>
      <w:r w:rsidR="00AD71B5">
        <w:t xml:space="preserve">The final result would be that </w:t>
      </w:r>
      <w:r w:rsidR="00124BDD">
        <w:t xml:space="preserve">the Kodiak and Seward Translators </w:t>
      </w:r>
      <w:r w:rsidR="00AD71B5">
        <w:t xml:space="preserve">would qualify for </w:t>
      </w:r>
      <w:r w:rsidR="00C94CCC">
        <w:t xml:space="preserve">signal delivery </w:t>
      </w:r>
      <w:r w:rsidR="00AD71B5">
        <w:t xml:space="preserve">waivers </w:t>
      </w:r>
      <w:r w:rsidR="00124BDD">
        <w:t>because</w:t>
      </w:r>
      <w:r w:rsidR="00455EBC">
        <w:t xml:space="preserve">, </w:t>
      </w:r>
      <w:r w:rsidR="00855900">
        <w:t xml:space="preserve">although both communities had a local </w:t>
      </w:r>
      <w:r w:rsidR="003B6E9C">
        <w:t>commercial AM full</w:t>
      </w:r>
      <w:r w:rsidR="00855900">
        <w:t xml:space="preserve"> service</w:t>
      </w:r>
      <w:r w:rsidR="003B6E9C">
        <w:t xml:space="preserve"> station</w:t>
      </w:r>
      <w:r w:rsidR="00E525E2">
        <w:t xml:space="preserve"> at the time these translators commenced operation</w:t>
      </w:r>
      <w:r w:rsidR="00455EBC">
        <w:t xml:space="preserve">, </w:t>
      </w:r>
      <w:r w:rsidR="00855900">
        <w:t xml:space="preserve">the </w:t>
      </w:r>
      <w:r w:rsidR="00455EBC">
        <w:t xml:space="preserve">Peninsula </w:t>
      </w:r>
      <w:r w:rsidR="00855900">
        <w:t xml:space="preserve">translators </w:t>
      </w:r>
      <w:r w:rsidR="00732898">
        <w:t xml:space="preserve">initially </w:t>
      </w:r>
      <w:r w:rsidR="00855900">
        <w:t xml:space="preserve">provided </w:t>
      </w:r>
      <w:r w:rsidR="00E525E2">
        <w:t xml:space="preserve">a </w:t>
      </w:r>
      <w:r w:rsidR="00855900">
        <w:t xml:space="preserve">first and second </w:t>
      </w:r>
      <w:r w:rsidR="00855900" w:rsidRPr="003B6E9C">
        <w:rPr>
          <w:i/>
        </w:rPr>
        <w:t xml:space="preserve">commercial FM </w:t>
      </w:r>
      <w:r w:rsidR="00855900">
        <w:t>s</w:t>
      </w:r>
      <w:r w:rsidR="003B6E9C">
        <w:t>ignal</w:t>
      </w:r>
      <w:r w:rsidR="00085745">
        <w:t xml:space="preserve"> to their respective communities</w:t>
      </w:r>
      <w:r w:rsidR="00855900">
        <w:t>.</w:t>
      </w:r>
      <w:r w:rsidR="00732898">
        <w:rPr>
          <w:rStyle w:val="FootnoteReference"/>
        </w:rPr>
        <w:footnoteReference w:id="56"/>
      </w:r>
      <w:r w:rsidR="001A634F">
        <w:t xml:space="preserve">  </w:t>
      </w:r>
      <w:r w:rsidR="00455EBC">
        <w:t>Peninsula also notes</w:t>
      </w:r>
      <w:r w:rsidR="003B6E9C">
        <w:t xml:space="preserve"> that</w:t>
      </w:r>
      <w:r w:rsidR="009740C5">
        <w:t>,</w:t>
      </w:r>
      <w:r w:rsidR="00085745">
        <w:t xml:space="preserve"> at the present time, </w:t>
      </w:r>
      <w:r w:rsidR="00C94CCC">
        <w:t>no</w:t>
      </w:r>
      <w:r w:rsidR="001A634F">
        <w:t xml:space="preserve"> </w:t>
      </w:r>
      <w:r w:rsidR="00C94CCC">
        <w:t xml:space="preserve">commercial </w:t>
      </w:r>
      <w:r w:rsidR="001A634F">
        <w:t xml:space="preserve">FM or AM </w:t>
      </w:r>
      <w:r w:rsidR="008E596F">
        <w:t>full service station</w:t>
      </w:r>
      <w:r w:rsidR="00C94CCC">
        <w:t xml:space="preserve"> is licensed to Seward</w:t>
      </w:r>
      <w:r w:rsidR="008E596F">
        <w:t>.</w:t>
      </w:r>
      <w:r w:rsidR="001A634F">
        <w:rPr>
          <w:rStyle w:val="FootnoteReference"/>
        </w:rPr>
        <w:footnoteReference w:id="57"/>
      </w:r>
    </w:p>
    <w:p w14:paraId="54B8EB3B" w14:textId="54552589" w:rsidR="004D6779" w:rsidRPr="00F34D87" w:rsidRDefault="006A3938" w:rsidP="00211A43">
      <w:pPr>
        <w:pStyle w:val="ParaNum"/>
        <w:numPr>
          <w:ilvl w:val="0"/>
          <w:numId w:val="0"/>
        </w:numPr>
        <w:ind w:firstLine="720"/>
        <w:jc w:val="left"/>
        <w:rPr>
          <w:i/>
        </w:rPr>
      </w:pPr>
      <w:r>
        <w:rPr>
          <w:szCs w:val="22"/>
        </w:rPr>
        <w:t xml:space="preserve">Also in support of its Waiver Requests, </w:t>
      </w:r>
      <w:r w:rsidR="00B71D64">
        <w:rPr>
          <w:szCs w:val="22"/>
        </w:rPr>
        <w:t>Peninsula</w:t>
      </w:r>
      <w:r w:rsidR="0047078D">
        <w:rPr>
          <w:szCs w:val="22"/>
        </w:rPr>
        <w:t xml:space="preserve"> cites</w:t>
      </w:r>
      <w:r w:rsidR="00857B4E">
        <w:rPr>
          <w:szCs w:val="22"/>
        </w:rPr>
        <w:t xml:space="preserve"> to</w:t>
      </w:r>
      <w:r w:rsidR="00B71D64">
        <w:rPr>
          <w:szCs w:val="22"/>
        </w:rPr>
        <w:t xml:space="preserve"> </w:t>
      </w:r>
      <w:r w:rsidR="0065760D" w:rsidRPr="00F34D87">
        <w:rPr>
          <w:szCs w:val="22"/>
        </w:rPr>
        <w:t xml:space="preserve">a footnote in the 1990 </w:t>
      </w:r>
      <w:r w:rsidR="0065760D" w:rsidRPr="00F34D87">
        <w:rPr>
          <w:i/>
          <w:szCs w:val="22"/>
        </w:rPr>
        <w:t>Translator Order</w:t>
      </w:r>
      <w:r>
        <w:rPr>
          <w:szCs w:val="22"/>
        </w:rPr>
        <w:t xml:space="preserve"> that</w:t>
      </w:r>
      <w:r w:rsidR="001D07FB">
        <w:rPr>
          <w:szCs w:val="22"/>
        </w:rPr>
        <w:t xml:space="preserve"> states</w:t>
      </w:r>
      <w:r w:rsidR="0065760D">
        <w:t>, “</w:t>
      </w:r>
      <w:r w:rsidR="0065760D" w:rsidRPr="008C30E8">
        <w:t>We</w:t>
      </w:r>
      <w:r w:rsidR="0065760D">
        <w:t xml:space="preserve"> </w:t>
      </w:r>
      <w:r w:rsidR="0065760D" w:rsidRPr="008C30E8">
        <w:t xml:space="preserve">intend that our decisions herein not alter in any fashion the special treatment we accord </w:t>
      </w:r>
      <w:r w:rsidR="0065760D">
        <w:t>Alaska.</w:t>
      </w:r>
      <w:r w:rsidR="0065760D" w:rsidRPr="008C30E8">
        <w:t xml:space="preserve"> </w:t>
      </w:r>
      <w:r w:rsidR="0065760D">
        <w:t xml:space="preserve"> </w:t>
      </w:r>
      <w:r w:rsidR="0065760D" w:rsidRPr="00F34D87">
        <w:rPr>
          <w:i/>
        </w:rPr>
        <w:t>Wrangell Radio Group</w:t>
      </w:r>
      <w:r w:rsidR="0065760D" w:rsidRPr="008C30E8">
        <w:t>, 75 FCC</w:t>
      </w:r>
      <w:r w:rsidR="0065760D">
        <w:t xml:space="preserve"> </w:t>
      </w:r>
      <w:r w:rsidR="0065760D" w:rsidRPr="008C30E8">
        <w:t xml:space="preserve">2d 404 (1980). </w:t>
      </w:r>
      <w:r w:rsidR="0065760D">
        <w:t xml:space="preserve"> </w:t>
      </w:r>
      <w:r w:rsidR="0065760D" w:rsidRPr="008C30E8">
        <w:t>Upon appropriate showing the Commission has accommodated Alaska's unique lack of adequate communications services by granting waivers allowing program origination, alternative signal delivery, and cross-service translating</w:t>
      </w:r>
      <w:r w:rsidR="0065760D">
        <w:t>.”</w:t>
      </w:r>
      <w:r w:rsidR="0065760D">
        <w:rPr>
          <w:rStyle w:val="FootnoteReference"/>
        </w:rPr>
        <w:footnoteReference w:id="58"/>
      </w:r>
      <w:r w:rsidR="00F34D87">
        <w:t xml:space="preserve">  </w:t>
      </w:r>
      <w:r>
        <w:rPr>
          <w:szCs w:val="22"/>
        </w:rPr>
        <w:t>R</w:t>
      </w:r>
      <w:r w:rsidR="00FF75B3">
        <w:rPr>
          <w:szCs w:val="22"/>
        </w:rPr>
        <w:t>egarding the</w:t>
      </w:r>
      <w:r w:rsidR="00E65539">
        <w:rPr>
          <w:szCs w:val="22"/>
        </w:rPr>
        <w:t xml:space="preserve"> Kodiak Translators</w:t>
      </w:r>
      <w:r w:rsidR="00085745">
        <w:rPr>
          <w:szCs w:val="22"/>
        </w:rPr>
        <w:t xml:space="preserve"> specifically</w:t>
      </w:r>
      <w:r w:rsidR="00E65539">
        <w:rPr>
          <w:szCs w:val="22"/>
        </w:rPr>
        <w:t>, Peninsula</w:t>
      </w:r>
      <w:r>
        <w:rPr>
          <w:szCs w:val="22"/>
        </w:rPr>
        <w:t xml:space="preserve"> also</w:t>
      </w:r>
      <w:r w:rsidR="00E65539">
        <w:rPr>
          <w:szCs w:val="22"/>
        </w:rPr>
        <w:t xml:space="preserve"> </w:t>
      </w:r>
      <w:r w:rsidR="00FF75B3">
        <w:rPr>
          <w:szCs w:val="22"/>
        </w:rPr>
        <w:t>makes a claim of</w:t>
      </w:r>
      <w:r w:rsidR="001A634F">
        <w:rPr>
          <w:szCs w:val="22"/>
        </w:rPr>
        <w:t xml:space="preserve"> technical necessity, </w:t>
      </w:r>
      <w:r w:rsidR="00E65539">
        <w:t>assert</w:t>
      </w:r>
      <w:r w:rsidR="001A634F">
        <w:t>ing</w:t>
      </w:r>
      <w:r w:rsidR="00E65539">
        <w:t xml:space="preserve"> that a waiver of Section 74.1231(b) is the “only way [the Kodiak Translators] can technically remain on the air.”</w:t>
      </w:r>
      <w:r w:rsidR="00E65539">
        <w:rPr>
          <w:rStyle w:val="FootnoteReference"/>
        </w:rPr>
        <w:footnoteReference w:id="59"/>
      </w:r>
      <w:r w:rsidR="00E525E2">
        <w:t xml:space="preserve">  Finally, </w:t>
      </w:r>
      <w:r w:rsidR="00E525E2" w:rsidRPr="00F34D87">
        <w:rPr>
          <w:szCs w:val="22"/>
        </w:rPr>
        <w:t>Peninsula makes the equitable argument that</w:t>
      </w:r>
      <w:r w:rsidR="00E525E2">
        <w:rPr>
          <w:szCs w:val="22"/>
        </w:rPr>
        <w:t xml:space="preserve"> it relied up</w:t>
      </w:r>
      <w:r w:rsidR="00E525E2" w:rsidRPr="00F34D87">
        <w:rPr>
          <w:szCs w:val="22"/>
        </w:rPr>
        <w:t>on the 1992 Seward Waivers</w:t>
      </w:r>
      <w:r w:rsidR="00E525E2">
        <w:rPr>
          <w:szCs w:val="22"/>
        </w:rPr>
        <w:t xml:space="preserve"> </w:t>
      </w:r>
      <w:r w:rsidR="00085745">
        <w:rPr>
          <w:szCs w:val="22"/>
        </w:rPr>
        <w:t>to invest</w:t>
      </w:r>
      <w:r w:rsidR="00E525E2" w:rsidRPr="00F34D87">
        <w:rPr>
          <w:szCs w:val="22"/>
        </w:rPr>
        <w:t xml:space="preserve"> “more than $75,</w:t>
      </w:r>
      <w:r w:rsidR="00085745">
        <w:rPr>
          <w:szCs w:val="22"/>
        </w:rPr>
        <w:t>000” in</w:t>
      </w:r>
      <w:r w:rsidR="00E525E2" w:rsidRPr="00F34D87">
        <w:rPr>
          <w:szCs w:val="22"/>
        </w:rPr>
        <w:t xml:space="preserve"> build</w:t>
      </w:r>
      <w:r w:rsidR="00085745">
        <w:rPr>
          <w:szCs w:val="22"/>
        </w:rPr>
        <w:t>ing</w:t>
      </w:r>
      <w:r w:rsidR="00E525E2" w:rsidRPr="00F34D87">
        <w:rPr>
          <w:szCs w:val="22"/>
        </w:rPr>
        <w:t xml:space="preserve"> the two Seward Translators and its “own FCC licensed C-band satellite uplink and downlink facilities to link Seward.”</w:t>
      </w:r>
      <w:r w:rsidR="00E525E2">
        <w:rPr>
          <w:rStyle w:val="FootnoteReference"/>
          <w:szCs w:val="22"/>
        </w:rPr>
        <w:footnoteReference w:id="60"/>
      </w:r>
    </w:p>
    <w:p w14:paraId="4AFA28EC" w14:textId="77777777" w:rsidR="00E024FD" w:rsidRDefault="00B12935" w:rsidP="00211A43">
      <w:pPr>
        <w:pStyle w:val="ParaNum"/>
        <w:numPr>
          <w:ilvl w:val="0"/>
          <w:numId w:val="0"/>
        </w:numPr>
        <w:ind w:firstLine="720"/>
        <w:jc w:val="left"/>
        <w:rPr>
          <w:szCs w:val="22"/>
        </w:rPr>
      </w:pPr>
      <w:r>
        <w:rPr>
          <w:i/>
          <w:szCs w:val="22"/>
        </w:rPr>
        <w:t>Assignment Petition</w:t>
      </w:r>
      <w:r w:rsidR="00FC0E43">
        <w:rPr>
          <w:i/>
          <w:szCs w:val="22"/>
        </w:rPr>
        <w:t xml:space="preserve"> to Deny</w:t>
      </w:r>
      <w:r w:rsidR="00FC0E43">
        <w:rPr>
          <w:szCs w:val="22"/>
        </w:rPr>
        <w:t xml:space="preserve">.  </w:t>
      </w:r>
      <w:r>
        <w:rPr>
          <w:szCs w:val="22"/>
        </w:rPr>
        <w:t>In the Assignment Petition</w:t>
      </w:r>
      <w:r w:rsidR="00E55752">
        <w:rPr>
          <w:szCs w:val="22"/>
        </w:rPr>
        <w:t xml:space="preserve"> to Deny, AERS and SMP </w:t>
      </w:r>
      <w:r w:rsidR="002D10A4">
        <w:rPr>
          <w:szCs w:val="22"/>
        </w:rPr>
        <w:t xml:space="preserve">object to </w:t>
      </w:r>
      <w:r w:rsidR="0047078D">
        <w:rPr>
          <w:szCs w:val="22"/>
        </w:rPr>
        <w:t>the Assignment Applications on several grounds.  First</w:t>
      </w:r>
      <w:r w:rsidR="00220A16">
        <w:rPr>
          <w:szCs w:val="22"/>
        </w:rPr>
        <w:t>,</w:t>
      </w:r>
      <w:r w:rsidR="0047078D">
        <w:rPr>
          <w:szCs w:val="22"/>
        </w:rPr>
        <w:t xml:space="preserve"> AERS and SMP state that </w:t>
      </w:r>
      <w:r w:rsidR="00D327BA">
        <w:rPr>
          <w:szCs w:val="22"/>
        </w:rPr>
        <w:t>Peninsula’s network of “othe</w:t>
      </w:r>
      <w:r w:rsidR="001572D7">
        <w:rPr>
          <w:szCs w:val="22"/>
        </w:rPr>
        <w:t xml:space="preserve">r area” translator stations </w:t>
      </w:r>
      <w:r w:rsidR="001625CF">
        <w:rPr>
          <w:szCs w:val="22"/>
        </w:rPr>
        <w:t>deter development of</w:t>
      </w:r>
      <w:r w:rsidR="00D327BA">
        <w:rPr>
          <w:szCs w:val="22"/>
        </w:rPr>
        <w:t xml:space="preserve"> local </w:t>
      </w:r>
      <w:r w:rsidR="001572D7">
        <w:rPr>
          <w:szCs w:val="22"/>
        </w:rPr>
        <w:t xml:space="preserve">full service stations, </w:t>
      </w:r>
      <w:r w:rsidR="00BD02A0">
        <w:rPr>
          <w:szCs w:val="22"/>
        </w:rPr>
        <w:t>to the point of</w:t>
      </w:r>
      <w:r w:rsidR="000962BD">
        <w:rPr>
          <w:szCs w:val="22"/>
        </w:rPr>
        <w:t xml:space="preserve"> creating</w:t>
      </w:r>
      <w:r w:rsidR="00D327BA">
        <w:rPr>
          <w:szCs w:val="22"/>
        </w:rPr>
        <w:t xml:space="preserve"> a “</w:t>
      </w:r>
      <w:r w:rsidR="001625CF">
        <w:rPr>
          <w:szCs w:val="22"/>
        </w:rPr>
        <w:t>unapproachable desert</w:t>
      </w:r>
      <w:r w:rsidR="00D327BA">
        <w:rPr>
          <w:szCs w:val="22"/>
        </w:rPr>
        <w:t>” in some markets.</w:t>
      </w:r>
      <w:r w:rsidR="00D327BA">
        <w:rPr>
          <w:rStyle w:val="FootnoteReference"/>
          <w:szCs w:val="22"/>
        </w:rPr>
        <w:footnoteReference w:id="61"/>
      </w:r>
      <w:r w:rsidR="00D327BA">
        <w:rPr>
          <w:szCs w:val="22"/>
        </w:rPr>
        <w:t xml:space="preserve">  Second, AERS and SMP claim that Turquoise is</w:t>
      </w:r>
      <w:r w:rsidR="001572D7">
        <w:rPr>
          <w:szCs w:val="22"/>
        </w:rPr>
        <w:t xml:space="preserve"> essentially a Peninsula proxy—</w:t>
      </w:r>
      <w:r w:rsidR="00D327BA">
        <w:rPr>
          <w:szCs w:val="22"/>
        </w:rPr>
        <w:t>exclusively</w:t>
      </w:r>
      <w:r w:rsidR="001572D7">
        <w:rPr>
          <w:szCs w:val="22"/>
        </w:rPr>
        <w:t xml:space="preserve"> rebroadcasting</w:t>
      </w:r>
      <w:r w:rsidR="00D327BA">
        <w:rPr>
          <w:szCs w:val="22"/>
        </w:rPr>
        <w:t xml:space="preserve"> Peninsula stat</w:t>
      </w:r>
      <w:r w:rsidR="001572D7">
        <w:rPr>
          <w:szCs w:val="22"/>
        </w:rPr>
        <w:t>ions, refusing</w:t>
      </w:r>
      <w:r w:rsidR="00D327BA">
        <w:rPr>
          <w:szCs w:val="22"/>
        </w:rPr>
        <w:t xml:space="preserve"> to consider rebroadcasting other primary stations, and participat</w:t>
      </w:r>
      <w:r w:rsidR="001572D7">
        <w:rPr>
          <w:szCs w:val="22"/>
        </w:rPr>
        <w:t>ing</w:t>
      </w:r>
      <w:r w:rsidR="00D327BA">
        <w:rPr>
          <w:szCs w:val="22"/>
        </w:rPr>
        <w:t xml:space="preserve"> in a </w:t>
      </w:r>
      <w:r w:rsidR="001572D7">
        <w:rPr>
          <w:szCs w:val="22"/>
        </w:rPr>
        <w:t>“</w:t>
      </w:r>
      <w:r w:rsidR="00D327BA">
        <w:rPr>
          <w:szCs w:val="22"/>
        </w:rPr>
        <w:t>campaign of expansion of [Peninsula’s] commercial access to audiences</w:t>
      </w:r>
      <w:r w:rsidR="001572D7">
        <w:rPr>
          <w:szCs w:val="22"/>
        </w:rPr>
        <w:t>.</w:t>
      </w:r>
      <w:r w:rsidR="00D327BA">
        <w:rPr>
          <w:szCs w:val="22"/>
        </w:rPr>
        <w:t>”</w:t>
      </w:r>
      <w:r w:rsidR="00D327BA">
        <w:rPr>
          <w:rStyle w:val="FootnoteReference"/>
          <w:szCs w:val="22"/>
        </w:rPr>
        <w:footnoteReference w:id="62"/>
      </w:r>
      <w:r w:rsidR="00D327BA">
        <w:rPr>
          <w:szCs w:val="22"/>
        </w:rPr>
        <w:t xml:space="preserve">  </w:t>
      </w:r>
      <w:r w:rsidR="001572D7">
        <w:rPr>
          <w:szCs w:val="22"/>
        </w:rPr>
        <w:t xml:space="preserve">Third, </w:t>
      </w:r>
      <w:r w:rsidR="00D327BA">
        <w:rPr>
          <w:szCs w:val="22"/>
        </w:rPr>
        <w:t xml:space="preserve">AERS and SMP argue that </w:t>
      </w:r>
      <w:r w:rsidR="00220A16">
        <w:rPr>
          <w:szCs w:val="22"/>
        </w:rPr>
        <w:t xml:space="preserve">encouraging low cost </w:t>
      </w:r>
      <w:r w:rsidR="0001473E">
        <w:rPr>
          <w:szCs w:val="22"/>
        </w:rPr>
        <w:t xml:space="preserve">“other area” </w:t>
      </w:r>
      <w:r w:rsidR="00F93902">
        <w:rPr>
          <w:szCs w:val="22"/>
        </w:rPr>
        <w:t>translator</w:t>
      </w:r>
      <w:r w:rsidR="0001473E">
        <w:rPr>
          <w:szCs w:val="22"/>
        </w:rPr>
        <w:t>s</w:t>
      </w:r>
      <w:r w:rsidR="00D327BA">
        <w:rPr>
          <w:szCs w:val="22"/>
        </w:rPr>
        <w:t xml:space="preserve"> </w:t>
      </w:r>
      <w:r w:rsidR="00220A16">
        <w:rPr>
          <w:szCs w:val="22"/>
        </w:rPr>
        <w:t>is</w:t>
      </w:r>
      <w:r w:rsidR="00D327BA">
        <w:rPr>
          <w:szCs w:val="22"/>
        </w:rPr>
        <w:t xml:space="preserve"> not in the public interest because they</w:t>
      </w:r>
      <w:r w:rsidR="00E80106">
        <w:rPr>
          <w:szCs w:val="22"/>
        </w:rPr>
        <w:t xml:space="preserve"> do not have the regulatory responsibilities of full service stations—</w:t>
      </w:r>
      <w:r w:rsidR="001572D7">
        <w:rPr>
          <w:szCs w:val="22"/>
        </w:rPr>
        <w:t xml:space="preserve">for example, </w:t>
      </w:r>
      <w:r w:rsidR="00724009">
        <w:rPr>
          <w:szCs w:val="22"/>
        </w:rPr>
        <w:t>provid</w:t>
      </w:r>
      <w:r w:rsidR="00073421">
        <w:rPr>
          <w:szCs w:val="22"/>
        </w:rPr>
        <w:t>ing</w:t>
      </w:r>
      <w:r w:rsidR="005648DA">
        <w:rPr>
          <w:szCs w:val="22"/>
        </w:rPr>
        <w:t xml:space="preserve"> </w:t>
      </w:r>
      <w:r w:rsidR="00724009">
        <w:rPr>
          <w:szCs w:val="22"/>
        </w:rPr>
        <w:t xml:space="preserve">support </w:t>
      </w:r>
      <w:r w:rsidR="00E55752">
        <w:rPr>
          <w:szCs w:val="22"/>
        </w:rPr>
        <w:t>to</w:t>
      </w:r>
      <w:r w:rsidR="00724009">
        <w:rPr>
          <w:szCs w:val="22"/>
        </w:rPr>
        <w:t xml:space="preserve"> the public in the event of a local emergency</w:t>
      </w:r>
      <w:r w:rsidR="00D327BA">
        <w:rPr>
          <w:szCs w:val="22"/>
        </w:rPr>
        <w:t>.</w:t>
      </w:r>
      <w:r w:rsidR="00724009">
        <w:rPr>
          <w:rStyle w:val="FootnoteReference"/>
          <w:szCs w:val="22"/>
        </w:rPr>
        <w:footnoteReference w:id="63"/>
      </w:r>
      <w:r w:rsidR="00614CC4">
        <w:rPr>
          <w:szCs w:val="22"/>
        </w:rPr>
        <w:t xml:space="preserve">  </w:t>
      </w:r>
      <w:r w:rsidR="009B631A">
        <w:rPr>
          <w:szCs w:val="22"/>
        </w:rPr>
        <w:t>According to AERS and SMP, each Peninsula translator must receive its signal directly off the air from its primary station.</w:t>
      </w:r>
      <w:r w:rsidR="009B631A">
        <w:rPr>
          <w:rStyle w:val="FootnoteReference"/>
          <w:szCs w:val="22"/>
        </w:rPr>
        <w:footnoteReference w:id="64"/>
      </w:r>
      <w:r w:rsidR="009B631A">
        <w:rPr>
          <w:szCs w:val="22"/>
        </w:rPr>
        <w:t xml:space="preserve">  </w:t>
      </w:r>
      <w:r w:rsidR="001572D7">
        <w:rPr>
          <w:szCs w:val="22"/>
        </w:rPr>
        <w:t xml:space="preserve">Finally, </w:t>
      </w:r>
      <w:r w:rsidR="00D327BA">
        <w:rPr>
          <w:szCs w:val="22"/>
        </w:rPr>
        <w:t>A</w:t>
      </w:r>
      <w:r w:rsidR="0041379B">
        <w:rPr>
          <w:szCs w:val="22"/>
        </w:rPr>
        <w:t xml:space="preserve">ERS and SMP </w:t>
      </w:r>
      <w:r w:rsidR="00D327BA">
        <w:rPr>
          <w:szCs w:val="22"/>
        </w:rPr>
        <w:t xml:space="preserve">argue that </w:t>
      </w:r>
      <w:r w:rsidR="001572D7">
        <w:rPr>
          <w:szCs w:val="22"/>
        </w:rPr>
        <w:t>Seward in particular</w:t>
      </w:r>
      <w:r w:rsidR="00D327BA">
        <w:rPr>
          <w:szCs w:val="22"/>
        </w:rPr>
        <w:t xml:space="preserve"> already has “more than adequate” FM translator service from distant commercial originating facilities</w:t>
      </w:r>
      <w:r w:rsidR="00220A16">
        <w:rPr>
          <w:szCs w:val="22"/>
        </w:rPr>
        <w:t xml:space="preserve">, including </w:t>
      </w:r>
      <w:r w:rsidR="002476D6">
        <w:rPr>
          <w:szCs w:val="22"/>
        </w:rPr>
        <w:t xml:space="preserve">existing </w:t>
      </w:r>
      <w:r w:rsidR="00614CC4">
        <w:rPr>
          <w:szCs w:val="22"/>
        </w:rPr>
        <w:t xml:space="preserve">Turquoise translators that </w:t>
      </w:r>
    </w:p>
    <w:p w14:paraId="096BFFF5" w14:textId="77777777" w:rsidR="00E024FD" w:rsidRDefault="00E024FD">
      <w:pPr>
        <w:rPr>
          <w:snapToGrid w:val="0"/>
          <w:kern w:val="28"/>
          <w:sz w:val="22"/>
          <w:szCs w:val="22"/>
        </w:rPr>
      </w:pPr>
      <w:r>
        <w:rPr>
          <w:szCs w:val="22"/>
        </w:rPr>
        <w:br w:type="page"/>
      </w:r>
    </w:p>
    <w:p w14:paraId="2528A1AF" w14:textId="7A00BD53" w:rsidR="00FC0E43" w:rsidRPr="00AB6ED4" w:rsidRDefault="00614CC4" w:rsidP="00E024FD">
      <w:pPr>
        <w:pStyle w:val="ParaNum"/>
        <w:numPr>
          <w:ilvl w:val="0"/>
          <w:numId w:val="0"/>
        </w:numPr>
        <w:jc w:val="left"/>
        <w:rPr>
          <w:i/>
        </w:rPr>
      </w:pPr>
      <w:r>
        <w:rPr>
          <w:szCs w:val="22"/>
        </w:rPr>
        <w:t>rebroadcast Peninsula stations KXBA and KPEN</w:t>
      </w:r>
      <w:r w:rsidR="00D327BA">
        <w:rPr>
          <w:szCs w:val="22"/>
        </w:rPr>
        <w:t>.</w:t>
      </w:r>
      <w:r w:rsidR="00D327BA">
        <w:rPr>
          <w:rStyle w:val="FootnoteReference"/>
          <w:szCs w:val="22"/>
        </w:rPr>
        <w:footnoteReference w:id="65"/>
      </w:r>
      <w:r w:rsidR="00F3564F">
        <w:rPr>
          <w:szCs w:val="22"/>
        </w:rPr>
        <w:t xml:space="preserve">  </w:t>
      </w:r>
      <w:r w:rsidR="0041379B">
        <w:rPr>
          <w:szCs w:val="22"/>
        </w:rPr>
        <w:t>AER</w:t>
      </w:r>
      <w:r w:rsidR="000766A6">
        <w:rPr>
          <w:szCs w:val="22"/>
        </w:rPr>
        <w:t>S</w:t>
      </w:r>
      <w:r w:rsidR="0041379B">
        <w:rPr>
          <w:szCs w:val="22"/>
        </w:rPr>
        <w:t xml:space="preserve"> and SMP </w:t>
      </w:r>
      <w:r w:rsidR="00E80106">
        <w:rPr>
          <w:szCs w:val="22"/>
        </w:rPr>
        <w:t>emphasize that the Peninsula translators are “a deterrent to the future licensing of full service local facilities</w:t>
      </w:r>
      <w:r w:rsidR="006F3249">
        <w:rPr>
          <w:szCs w:val="22"/>
        </w:rPr>
        <w:t>.</w:t>
      </w:r>
      <w:r w:rsidR="0041379B">
        <w:rPr>
          <w:szCs w:val="22"/>
        </w:rPr>
        <w:t>”</w:t>
      </w:r>
      <w:r w:rsidR="0041379B">
        <w:rPr>
          <w:rStyle w:val="FootnoteReference"/>
          <w:szCs w:val="22"/>
        </w:rPr>
        <w:footnoteReference w:id="66"/>
      </w:r>
    </w:p>
    <w:p w14:paraId="08873802" w14:textId="0D64C83E" w:rsidR="00AB6ED4" w:rsidRPr="0014516F" w:rsidRDefault="00AB6ED4" w:rsidP="00211A43">
      <w:pPr>
        <w:pStyle w:val="ParaNum"/>
        <w:numPr>
          <w:ilvl w:val="0"/>
          <w:numId w:val="0"/>
        </w:numPr>
        <w:ind w:firstLine="720"/>
        <w:jc w:val="left"/>
        <w:rPr>
          <w:i/>
        </w:rPr>
      </w:pPr>
      <w:r>
        <w:rPr>
          <w:szCs w:val="22"/>
        </w:rPr>
        <w:t>In the Assignment Opposition, Peninsula challenges AERS’s and SMP’s</w:t>
      </w:r>
      <w:r w:rsidR="00096365">
        <w:rPr>
          <w:szCs w:val="22"/>
        </w:rPr>
        <w:t xml:space="preserve"> standing</w:t>
      </w:r>
      <w:r w:rsidR="008E2410">
        <w:rPr>
          <w:szCs w:val="22"/>
        </w:rPr>
        <w:t xml:space="preserve"> to file </w:t>
      </w:r>
      <w:r w:rsidR="00B12935">
        <w:rPr>
          <w:szCs w:val="22"/>
        </w:rPr>
        <w:t>the Assignment Petition</w:t>
      </w:r>
      <w:r w:rsidR="00A40774">
        <w:rPr>
          <w:szCs w:val="22"/>
        </w:rPr>
        <w:t xml:space="preserve"> to Deny</w:t>
      </w:r>
      <w:r w:rsidR="00096365">
        <w:rPr>
          <w:szCs w:val="22"/>
        </w:rPr>
        <w:t xml:space="preserve">, claiming that </w:t>
      </w:r>
      <w:r w:rsidR="00A40774">
        <w:rPr>
          <w:szCs w:val="22"/>
        </w:rPr>
        <w:t>the objections raised therein relate only to</w:t>
      </w:r>
      <w:r w:rsidR="008E2410">
        <w:rPr>
          <w:szCs w:val="22"/>
        </w:rPr>
        <w:t xml:space="preserve"> Seward and that </w:t>
      </w:r>
      <w:r w:rsidR="00096365">
        <w:rPr>
          <w:szCs w:val="22"/>
        </w:rPr>
        <w:t>neither</w:t>
      </w:r>
      <w:r>
        <w:rPr>
          <w:szCs w:val="22"/>
        </w:rPr>
        <w:t xml:space="preserve"> has </w:t>
      </w:r>
      <w:r w:rsidR="008E2410">
        <w:rPr>
          <w:szCs w:val="22"/>
        </w:rPr>
        <w:t>media interests in that community.  Specifically, Peninsula notes that</w:t>
      </w:r>
      <w:r>
        <w:rPr>
          <w:szCs w:val="22"/>
        </w:rPr>
        <w:t xml:space="preserve"> </w:t>
      </w:r>
      <w:r w:rsidR="00096365">
        <w:rPr>
          <w:szCs w:val="22"/>
        </w:rPr>
        <w:t xml:space="preserve">AERS </w:t>
      </w:r>
      <w:r>
        <w:rPr>
          <w:szCs w:val="22"/>
        </w:rPr>
        <w:t xml:space="preserve">assigned the license </w:t>
      </w:r>
      <w:r w:rsidR="002476D6">
        <w:rPr>
          <w:szCs w:val="22"/>
        </w:rPr>
        <w:t xml:space="preserve">for </w:t>
      </w:r>
      <w:r w:rsidR="00393448">
        <w:rPr>
          <w:szCs w:val="22"/>
        </w:rPr>
        <w:t xml:space="preserve">noncommercial educational (NCE) station </w:t>
      </w:r>
      <w:r w:rsidR="002476D6">
        <w:rPr>
          <w:szCs w:val="22"/>
        </w:rPr>
        <w:t>KIBH-FM, Seward, Alaska</w:t>
      </w:r>
      <w:r w:rsidR="009C5CC4">
        <w:rPr>
          <w:szCs w:val="22"/>
        </w:rPr>
        <w:t xml:space="preserve"> (KIBH-FM)</w:t>
      </w:r>
      <w:r w:rsidR="002476D6">
        <w:rPr>
          <w:szCs w:val="22"/>
        </w:rPr>
        <w:t>, to Kenai Educational Media, Inc.</w:t>
      </w:r>
      <w:r w:rsidR="00393448">
        <w:rPr>
          <w:szCs w:val="22"/>
        </w:rPr>
        <w:t xml:space="preserve"> in 2012</w:t>
      </w:r>
      <w:r w:rsidR="00096365">
        <w:rPr>
          <w:szCs w:val="22"/>
        </w:rPr>
        <w:t xml:space="preserve"> and </w:t>
      </w:r>
      <w:r w:rsidR="008E2410">
        <w:rPr>
          <w:szCs w:val="22"/>
        </w:rPr>
        <w:t xml:space="preserve">that </w:t>
      </w:r>
      <w:r w:rsidR="00096365">
        <w:rPr>
          <w:szCs w:val="22"/>
        </w:rPr>
        <w:t xml:space="preserve">SRS’s license for KSEW(AM), Seward, Alaska, </w:t>
      </w:r>
      <w:r w:rsidR="008E2410">
        <w:rPr>
          <w:szCs w:val="22"/>
        </w:rPr>
        <w:t>was</w:t>
      </w:r>
      <w:r w:rsidR="00096365">
        <w:rPr>
          <w:szCs w:val="22"/>
        </w:rPr>
        <w:t xml:space="preserve"> terminated by the Commission on February 5, 2014.</w:t>
      </w:r>
      <w:r w:rsidR="00096365">
        <w:rPr>
          <w:rStyle w:val="FootnoteReference"/>
          <w:szCs w:val="22"/>
        </w:rPr>
        <w:footnoteReference w:id="67"/>
      </w:r>
      <w:r w:rsidR="00A40774">
        <w:rPr>
          <w:szCs w:val="22"/>
        </w:rPr>
        <w:t xml:space="preserve">  </w:t>
      </w:r>
      <w:r w:rsidR="007F1ECB">
        <w:t>Peninsu</w:t>
      </w:r>
      <w:r w:rsidR="0080261D">
        <w:t xml:space="preserve">la </w:t>
      </w:r>
      <w:r w:rsidR="00220A16">
        <w:t>claims</w:t>
      </w:r>
      <w:r w:rsidR="007F1ECB">
        <w:t xml:space="preserve"> that only a resident of the service area of the station or </w:t>
      </w:r>
      <w:r w:rsidR="0080261D">
        <w:t>a regular listener has</w:t>
      </w:r>
      <w:r w:rsidR="007F1ECB">
        <w:t xml:space="preserve"> standing to file </w:t>
      </w:r>
      <w:r w:rsidR="00B12935">
        <w:t xml:space="preserve">a </w:t>
      </w:r>
      <w:r w:rsidR="007F1ECB">
        <w:t>petition to deny a proposed assignment.</w:t>
      </w:r>
      <w:r w:rsidR="007F1ECB">
        <w:rPr>
          <w:rStyle w:val="FootnoteReference"/>
        </w:rPr>
        <w:footnoteReference w:id="68"/>
      </w:r>
      <w:r w:rsidR="008C0533">
        <w:t xml:space="preserve">  On the merits, Peninsula </w:t>
      </w:r>
      <w:r w:rsidR="00E851D8">
        <w:t>briefly states that</w:t>
      </w:r>
      <w:r w:rsidR="008C0533">
        <w:t xml:space="preserve"> AERS’s and SMP’s </w:t>
      </w:r>
      <w:r w:rsidR="00E851D8">
        <w:t>arguments are</w:t>
      </w:r>
      <w:r w:rsidR="008C0533">
        <w:t xml:space="preserve"> “irrational” and “don’t qualify for a serious response”—pointing out, for example, that out-of-market translators are not </w:t>
      </w:r>
      <w:r w:rsidR="00E851D8">
        <w:t xml:space="preserve">actually </w:t>
      </w:r>
      <w:r w:rsidR="008C0533">
        <w:t>“</w:t>
      </w:r>
      <w:r w:rsidR="00E851D8">
        <w:t>foreign entities</w:t>
      </w:r>
      <w:r w:rsidR="008C0533">
        <w:t>”</w:t>
      </w:r>
      <w:r w:rsidR="00E851D8">
        <w:t xml:space="preserve"> as described in the Assignment Petition to Deny.</w:t>
      </w:r>
      <w:r w:rsidR="008C0533">
        <w:rPr>
          <w:rStyle w:val="FootnoteReference"/>
        </w:rPr>
        <w:footnoteReference w:id="69"/>
      </w:r>
    </w:p>
    <w:p w14:paraId="1CFDD93D" w14:textId="7458CFFA" w:rsidR="0080261D" w:rsidRPr="0080261D" w:rsidRDefault="0014516F" w:rsidP="00211A43">
      <w:pPr>
        <w:pStyle w:val="ParaNum"/>
        <w:numPr>
          <w:ilvl w:val="0"/>
          <w:numId w:val="0"/>
        </w:numPr>
        <w:ind w:firstLine="720"/>
        <w:jc w:val="left"/>
        <w:rPr>
          <w:i/>
        </w:rPr>
      </w:pPr>
      <w:r w:rsidRPr="0014516F">
        <w:rPr>
          <w:i/>
        </w:rPr>
        <w:t>K292ED Assignment Application</w:t>
      </w:r>
      <w:r>
        <w:t xml:space="preserve">.  </w:t>
      </w:r>
      <w:r w:rsidR="00AE6610">
        <w:t>T</w:t>
      </w:r>
      <w:r w:rsidR="000D3F63">
        <w:t xml:space="preserve">he K292ED Assignment Application seeks </w:t>
      </w:r>
      <w:r w:rsidR="00220A16">
        <w:t xml:space="preserve">Commission </w:t>
      </w:r>
      <w:r w:rsidR="000D3F63">
        <w:t xml:space="preserve">consent to assign the license of FM translator station K292ED (K292ED) from Peninsula to Turquoise.  </w:t>
      </w:r>
      <w:r w:rsidR="00AE6610">
        <w:t xml:space="preserve">K292ED is a fill-in translator rebroadcasting the signal of primary station KWVV, and as such, has not been </w:t>
      </w:r>
      <w:r w:rsidR="00220A16">
        <w:t xml:space="preserve">previously </w:t>
      </w:r>
      <w:r w:rsidR="00AE6610">
        <w:t xml:space="preserve">cancelled or reinstated.  </w:t>
      </w:r>
      <w:r w:rsidR="000D3F63">
        <w:t xml:space="preserve">In the </w:t>
      </w:r>
      <w:r w:rsidR="00C57BFB">
        <w:t>K292ED Petitions to Deny, NRI and KSRM claim that Turqu</w:t>
      </w:r>
      <w:r w:rsidR="009B479B">
        <w:t xml:space="preserve">oise, the assignee, </w:t>
      </w:r>
      <w:r w:rsidR="00251526">
        <w:t xml:space="preserve">has violated Section 73.1231(g) of the rules by </w:t>
      </w:r>
      <w:r w:rsidR="009B479B">
        <w:t xml:space="preserve">selling </w:t>
      </w:r>
      <w:r w:rsidR="00C57BFB">
        <w:t>commercial spot announcements</w:t>
      </w:r>
      <w:r w:rsidR="00A320A7">
        <w:t xml:space="preserve"> </w:t>
      </w:r>
      <w:r w:rsidR="00251526">
        <w:t>for its</w:t>
      </w:r>
      <w:r w:rsidR="00A320A7">
        <w:t xml:space="preserve"> translator station K290AA</w:t>
      </w:r>
      <w:r w:rsidR="00251526">
        <w:t xml:space="preserve"> </w:t>
      </w:r>
      <w:r w:rsidR="00E851D8">
        <w:t>using</w:t>
      </w:r>
      <w:r w:rsidR="00251526">
        <w:t xml:space="preserve"> a rate card</w:t>
      </w:r>
      <w:r w:rsidR="009B479B">
        <w:t>.</w:t>
      </w:r>
      <w:r w:rsidR="00251526">
        <w:rPr>
          <w:rStyle w:val="FootnoteReference"/>
        </w:rPr>
        <w:footnoteReference w:id="70"/>
      </w:r>
      <w:r w:rsidR="00F51D0B">
        <w:t xml:space="preserve">  In the K292ED Oppositions, Peninsula and Turquoise argue that NRI lacks standing to file a petition to deny the K292ED Assignment Application because it is neither a listener</w:t>
      </w:r>
      <w:r w:rsidR="00BF7C88">
        <w:t xml:space="preserve"> nor competitor in the </w:t>
      </w:r>
      <w:r w:rsidR="000962BD">
        <w:t xml:space="preserve">Homer </w:t>
      </w:r>
      <w:r w:rsidR="00BF7C88">
        <w:t xml:space="preserve">market.  </w:t>
      </w:r>
    </w:p>
    <w:p w14:paraId="6AD79163" w14:textId="5544CA20" w:rsidR="00A205AA" w:rsidRPr="00A205AA" w:rsidRDefault="00E8120F" w:rsidP="00211A43">
      <w:pPr>
        <w:pStyle w:val="ParaNum"/>
        <w:numPr>
          <w:ilvl w:val="0"/>
          <w:numId w:val="0"/>
        </w:numPr>
        <w:ind w:firstLine="720"/>
        <w:jc w:val="left"/>
      </w:pPr>
      <w:r w:rsidRPr="00A40512">
        <w:rPr>
          <w:b/>
        </w:rPr>
        <w:t xml:space="preserve">Discussion.  </w:t>
      </w:r>
      <w:r w:rsidRPr="00A40512">
        <w:rPr>
          <w:i/>
        </w:rPr>
        <w:t>Procedural issues</w:t>
      </w:r>
      <w:r>
        <w:t xml:space="preserve">.  </w:t>
      </w:r>
      <w:r w:rsidR="00E21AEF">
        <w:t>I</w:t>
      </w:r>
      <w:r w:rsidR="00C70962" w:rsidRPr="00A40512">
        <w:rPr>
          <w:snapToGrid/>
        </w:rPr>
        <w:t>n the broadcast regulatory context, standing is generally obtained by a petitioner in one of three ways: (1) as a competitor in the market suffering signal interference; (2) as a competitor in the market suffering economic harm; or (3) as a resident of the station's service area or regular listener of the station.</w:t>
      </w:r>
      <w:r w:rsidR="00C70962">
        <w:rPr>
          <w:snapToGrid/>
          <w:vertAlign w:val="superscript"/>
        </w:rPr>
        <w:footnoteReference w:id="71"/>
      </w:r>
      <w:r w:rsidR="00557B18" w:rsidRPr="00A40512">
        <w:rPr>
          <w:snapToGrid/>
        </w:rPr>
        <w:t xml:space="preserve">  </w:t>
      </w:r>
      <w:r w:rsidR="00A205AA" w:rsidRPr="00A40512">
        <w:rPr>
          <w:snapToGrid/>
        </w:rPr>
        <w:t xml:space="preserve">In this case, </w:t>
      </w:r>
      <w:r w:rsidR="00611682" w:rsidRPr="00A40512">
        <w:rPr>
          <w:snapToGrid/>
        </w:rPr>
        <w:t xml:space="preserve">AERS holds permits or licenses for broadcast stations in </w:t>
      </w:r>
      <w:r w:rsidR="0040167F" w:rsidRPr="00A40512">
        <w:rPr>
          <w:snapToGrid/>
        </w:rPr>
        <w:t xml:space="preserve">one or more of </w:t>
      </w:r>
      <w:r w:rsidR="00092D1E">
        <w:rPr>
          <w:snapToGrid/>
        </w:rPr>
        <w:t xml:space="preserve">the </w:t>
      </w:r>
      <w:r w:rsidR="00E21AEF" w:rsidRPr="00A40512">
        <w:rPr>
          <w:snapToGrid/>
        </w:rPr>
        <w:t>markets</w:t>
      </w:r>
      <w:r w:rsidR="00092D1E">
        <w:rPr>
          <w:snapToGrid/>
        </w:rPr>
        <w:t xml:space="preserve"> </w:t>
      </w:r>
      <w:r w:rsidR="000962BD">
        <w:rPr>
          <w:snapToGrid/>
        </w:rPr>
        <w:t>involved in</w:t>
      </w:r>
      <w:r w:rsidR="00092D1E">
        <w:rPr>
          <w:snapToGrid/>
        </w:rPr>
        <w:t xml:space="preserve"> the Assignment Applications</w:t>
      </w:r>
      <w:r w:rsidR="00E21AEF" w:rsidRPr="00A40512">
        <w:rPr>
          <w:snapToGrid/>
        </w:rPr>
        <w:t xml:space="preserve"> and therefore has standing as an economic competitor</w:t>
      </w:r>
      <w:r w:rsidR="009D63C1">
        <w:rPr>
          <w:snapToGrid/>
        </w:rPr>
        <w:t xml:space="preserve"> to </w:t>
      </w:r>
      <w:r w:rsidR="003B093E">
        <w:rPr>
          <w:snapToGrid/>
        </w:rPr>
        <w:t>file the Assignment Petition to Deny</w:t>
      </w:r>
      <w:r w:rsidR="00611682" w:rsidRPr="00611682">
        <w:t>.</w:t>
      </w:r>
      <w:r w:rsidR="009A381B">
        <w:rPr>
          <w:rStyle w:val="FootnoteReference"/>
        </w:rPr>
        <w:footnoteReference w:id="72"/>
      </w:r>
      <w:r w:rsidR="00611682">
        <w:t xml:space="preserve"> </w:t>
      </w:r>
      <w:r w:rsidR="002732FA">
        <w:t xml:space="preserve"> </w:t>
      </w:r>
      <w:r w:rsidR="00A40512">
        <w:t xml:space="preserve">Likewise, </w:t>
      </w:r>
      <w:r w:rsidR="00A40512" w:rsidRPr="00A40512">
        <w:rPr>
          <w:szCs w:val="22"/>
        </w:rPr>
        <w:t>KSRM, as the licensee of stations in the Kenai/Soldotna market,</w:t>
      </w:r>
      <w:r w:rsidR="00A40512">
        <w:rPr>
          <w:rStyle w:val="FootnoteReference"/>
          <w:szCs w:val="22"/>
        </w:rPr>
        <w:footnoteReference w:id="73"/>
      </w:r>
      <w:r w:rsidR="00A40512" w:rsidRPr="00A40512">
        <w:rPr>
          <w:szCs w:val="22"/>
        </w:rPr>
        <w:t xml:space="preserve"> has standing to object to the K292ED A</w:t>
      </w:r>
      <w:r w:rsidR="00D70286">
        <w:rPr>
          <w:szCs w:val="22"/>
        </w:rPr>
        <w:t>ssignment Application because KSRM</w:t>
      </w:r>
      <w:r w:rsidR="00A40512" w:rsidRPr="00A40512">
        <w:rPr>
          <w:szCs w:val="22"/>
        </w:rPr>
        <w:t xml:space="preserve"> directly competes with K292ED’s primary station, KWVV, which </w:t>
      </w:r>
      <w:r w:rsidR="009D63C1">
        <w:rPr>
          <w:szCs w:val="22"/>
        </w:rPr>
        <w:t xml:space="preserve">also </w:t>
      </w:r>
      <w:r w:rsidR="00A40512" w:rsidRPr="00A40512">
        <w:rPr>
          <w:szCs w:val="22"/>
        </w:rPr>
        <w:t>rebroadcasts in the Kenai/Soldotna market via translator stations K283AB and K285EF.</w:t>
      </w:r>
      <w:r w:rsidR="00A40512">
        <w:rPr>
          <w:rStyle w:val="FootnoteReference"/>
          <w:szCs w:val="22"/>
        </w:rPr>
        <w:footnoteReference w:id="74"/>
      </w:r>
      <w:r w:rsidR="00A40512" w:rsidRPr="00A40512">
        <w:rPr>
          <w:szCs w:val="22"/>
        </w:rPr>
        <w:t xml:space="preserve"> </w:t>
      </w:r>
      <w:r w:rsidR="00A40512">
        <w:rPr>
          <w:szCs w:val="22"/>
        </w:rPr>
        <w:t xml:space="preserve"> </w:t>
      </w:r>
      <w:r w:rsidR="00A40512" w:rsidRPr="00A40512">
        <w:rPr>
          <w:szCs w:val="22"/>
        </w:rPr>
        <w:t>NRI</w:t>
      </w:r>
      <w:r w:rsidR="009D63C1">
        <w:rPr>
          <w:szCs w:val="22"/>
        </w:rPr>
        <w:t xml:space="preserve">, </w:t>
      </w:r>
      <w:r w:rsidR="009A7993">
        <w:rPr>
          <w:szCs w:val="22"/>
        </w:rPr>
        <w:t xml:space="preserve">however, </w:t>
      </w:r>
      <w:r w:rsidR="009D63C1">
        <w:rPr>
          <w:szCs w:val="22"/>
        </w:rPr>
        <w:t xml:space="preserve">as </w:t>
      </w:r>
      <w:r w:rsidR="00B12935">
        <w:rPr>
          <w:szCs w:val="22"/>
        </w:rPr>
        <w:t>a</w:t>
      </w:r>
      <w:r w:rsidR="00220A16">
        <w:rPr>
          <w:szCs w:val="22"/>
        </w:rPr>
        <w:t xml:space="preserve"> </w:t>
      </w:r>
      <w:r w:rsidR="009A7993">
        <w:rPr>
          <w:szCs w:val="22"/>
        </w:rPr>
        <w:t xml:space="preserve">mere </w:t>
      </w:r>
      <w:r w:rsidR="00220A16">
        <w:rPr>
          <w:szCs w:val="22"/>
        </w:rPr>
        <w:t>a</w:t>
      </w:r>
      <w:r w:rsidR="00857B4E">
        <w:rPr>
          <w:szCs w:val="22"/>
        </w:rPr>
        <w:t>pplicant for new stations that c</w:t>
      </w:r>
      <w:r w:rsidR="00220A16">
        <w:rPr>
          <w:szCs w:val="22"/>
        </w:rPr>
        <w:t>ould potentially compete</w:t>
      </w:r>
      <w:r w:rsidR="009D63C1">
        <w:rPr>
          <w:szCs w:val="22"/>
        </w:rPr>
        <w:t xml:space="preserve"> with </w:t>
      </w:r>
      <w:r w:rsidR="009D63C1" w:rsidRPr="00A40512">
        <w:rPr>
          <w:szCs w:val="22"/>
        </w:rPr>
        <w:t>Turquoise</w:t>
      </w:r>
      <w:r w:rsidR="003954DA">
        <w:rPr>
          <w:szCs w:val="22"/>
        </w:rPr>
        <w:t>,</w:t>
      </w:r>
      <w:r w:rsidR="00A40512" w:rsidRPr="00A40512">
        <w:rPr>
          <w:szCs w:val="22"/>
        </w:rPr>
        <w:t xml:space="preserve"> lacks standing</w:t>
      </w:r>
      <w:r w:rsidR="004063B7">
        <w:rPr>
          <w:szCs w:val="22"/>
        </w:rPr>
        <w:t xml:space="preserve"> as a “direct and current competitor”</w:t>
      </w:r>
      <w:r w:rsidR="00A40512" w:rsidRPr="00A40512">
        <w:rPr>
          <w:szCs w:val="22"/>
        </w:rPr>
        <w:t xml:space="preserve"> to file a petition to deny the K292ED Assignment Application.</w:t>
      </w:r>
      <w:r w:rsidR="00A40512">
        <w:rPr>
          <w:rStyle w:val="FootnoteReference"/>
          <w:szCs w:val="22"/>
        </w:rPr>
        <w:footnoteReference w:id="75"/>
      </w:r>
      <w:r w:rsidR="00A40512" w:rsidRPr="00A40512">
        <w:rPr>
          <w:szCs w:val="22"/>
        </w:rPr>
        <w:t xml:space="preserve"> </w:t>
      </w:r>
      <w:r w:rsidR="008E2C1F" w:rsidRPr="00A40512">
        <w:rPr>
          <w:snapToGrid/>
        </w:rPr>
        <w:t xml:space="preserve"> </w:t>
      </w:r>
      <w:r w:rsidR="003B093E">
        <w:rPr>
          <w:snapToGrid/>
        </w:rPr>
        <w:t>Therefore</w:t>
      </w:r>
      <w:r w:rsidR="00B67CFD">
        <w:t xml:space="preserve">, we </w:t>
      </w:r>
      <w:r w:rsidR="009D63C1">
        <w:t xml:space="preserve">will </w:t>
      </w:r>
      <w:r w:rsidR="000962BD">
        <w:t>consider</w:t>
      </w:r>
      <w:r w:rsidR="00B67CFD">
        <w:t xml:space="preserve"> </w:t>
      </w:r>
      <w:r w:rsidR="008E2C1F">
        <w:t xml:space="preserve">the </w:t>
      </w:r>
      <w:r w:rsidR="00A40512">
        <w:t xml:space="preserve">NRI </w:t>
      </w:r>
      <w:r w:rsidR="008E2C1F">
        <w:t>pleading</w:t>
      </w:r>
      <w:r w:rsidR="00B67CFD">
        <w:t xml:space="preserve"> as</w:t>
      </w:r>
      <w:r w:rsidR="009A7993">
        <w:t xml:space="preserve"> an</w:t>
      </w:r>
      <w:r w:rsidR="00B67CFD">
        <w:t xml:space="preserve"> informal objection.</w:t>
      </w:r>
      <w:bookmarkStart w:id="2" w:name="a0d3e5x2p8_ref"/>
      <w:bookmarkStart w:id="3" w:name="a0d3e5x2p8_reffirst_footref"/>
      <w:bookmarkEnd w:id="2"/>
      <w:bookmarkEnd w:id="3"/>
      <w:r w:rsidR="008E2C1F">
        <w:rPr>
          <w:rStyle w:val="FootnoteReference"/>
        </w:rPr>
        <w:footnoteReference w:id="76"/>
      </w:r>
    </w:p>
    <w:p w14:paraId="628FD8C2" w14:textId="4B0AFDCC" w:rsidR="003D574F" w:rsidRPr="009D7C49" w:rsidRDefault="003D574F" w:rsidP="00211A43">
      <w:pPr>
        <w:pStyle w:val="ParaNum"/>
        <w:numPr>
          <w:ilvl w:val="0"/>
          <w:numId w:val="0"/>
        </w:numPr>
        <w:ind w:firstLine="720"/>
        <w:jc w:val="left"/>
      </w:pPr>
      <w:r>
        <w:rPr>
          <w:i/>
        </w:rPr>
        <w:t xml:space="preserve">Petition for Reconsideration. </w:t>
      </w:r>
      <w:r w:rsidR="00E8120F">
        <w:rPr>
          <w:i/>
        </w:rPr>
        <w:t xml:space="preserve"> </w:t>
      </w:r>
      <w:r w:rsidRPr="00B84F84">
        <w:rPr>
          <w:color w:val="000000"/>
          <w:szCs w:val="22"/>
        </w:rPr>
        <w:t>Reconsideration is warranted only if the petitioner shows an error of fact or law in the Commission’s original order, or raises additional facts not known or existing at the time of the petitioner's last opportunity to present such matters.</w:t>
      </w:r>
      <w:bookmarkStart w:id="4" w:name="FN[FN11]"/>
      <w:bookmarkEnd w:id="4"/>
      <w:r w:rsidRPr="00B84F84">
        <w:rPr>
          <w:color w:val="000000"/>
          <w:szCs w:val="22"/>
          <w:vertAlign w:val="superscript"/>
        </w:rPr>
        <w:footnoteReference w:id="77"/>
      </w:r>
      <w:r w:rsidRPr="00B84F84">
        <w:rPr>
          <w:color w:val="000000"/>
          <w:szCs w:val="22"/>
        </w:rPr>
        <w:t xml:space="preserve">  </w:t>
      </w:r>
      <w:r>
        <w:t xml:space="preserve">It is axiomatic that reconsideration will not be granted for the purpose of debating matters on which the Commission has </w:t>
      </w:r>
      <w:bookmarkStart w:id="5" w:name="ctx1"/>
      <w:bookmarkEnd w:id="5"/>
      <w:r>
        <w:t xml:space="preserve">already </w:t>
      </w:r>
      <w:r>
        <w:rPr>
          <w:noProof/>
          <w:color w:val="0000FF"/>
        </w:rPr>
        <w:drawing>
          <wp:inline distT="0" distB="0" distL="0" distR="0" wp14:anchorId="1ED4449B" wp14:editId="5058BE7B">
            <wp:extent cx="9525" cy="9525"/>
            <wp:effectExtent l="0" t="0" r="0" b="0"/>
            <wp:docPr id="10" name="Picture 10" descr="previous hit">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displayhltextactive"/>
          <w:rFonts w:eastAsiaTheme="majorEastAsia"/>
        </w:rPr>
        <w:t>deliberated</w:t>
      </w:r>
      <w:r>
        <w:rPr>
          <w:noProof/>
          <w:color w:val="0000FF"/>
        </w:rPr>
        <w:drawing>
          <wp:inline distT="0" distB="0" distL="0" distR="0" wp14:anchorId="77905C28" wp14:editId="782C64D0">
            <wp:extent cx="9525" cy="9525"/>
            <wp:effectExtent l="0" t="0" r="0" b="0"/>
            <wp:docPr id="11" name="Picture 11"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and </w:t>
      </w:r>
      <w:bookmarkStart w:id="6" w:name="ctx2"/>
      <w:bookmarkEnd w:id="6"/>
      <w:r>
        <w:rPr>
          <w:noProof/>
          <w:color w:val="0000FF"/>
        </w:rPr>
        <w:drawing>
          <wp:inline distT="0" distB="0" distL="0" distR="0" wp14:anchorId="5A246A2F" wp14:editId="420A7932">
            <wp:extent cx="9525" cy="9525"/>
            <wp:effectExtent l="0" t="0" r="0" b="0"/>
            <wp:docPr id="12" name="Picture 12"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displayhltext"/>
          <w:rFonts w:eastAsiaTheme="majorEastAsia"/>
        </w:rPr>
        <w:t>spoken</w:t>
      </w:r>
      <w:r>
        <w:t>.</w:t>
      </w:r>
      <w:r>
        <w:rPr>
          <w:rStyle w:val="FootnoteReference"/>
        </w:rPr>
        <w:footnoteReference w:id="78"/>
      </w:r>
      <w:r>
        <w:t xml:space="preserve">  Here, </w:t>
      </w:r>
      <w:r w:rsidR="00A1377E">
        <w:t xml:space="preserve">KSRM’s objections regarding </w:t>
      </w:r>
      <w:r w:rsidR="003B093E">
        <w:t xml:space="preserve">Peninsula’s </w:t>
      </w:r>
      <w:r w:rsidR="00A1377E">
        <w:t>character qualifications or the Section 309</w:t>
      </w:r>
      <w:r w:rsidR="004063B7">
        <w:t>(k)</w:t>
      </w:r>
      <w:r w:rsidR="00A1377E">
        <w:t xml:space="preserve"> renewal standard either were or could have been presented earlier in the proceeding and thus are impermissibly raised on reconsideration.  Likewise, KSRM’s additional evidence </w:t>
      </w:r>
      <w:r w:rsidR="002B1BFF">
        <w:t xml:space="preserve">regarding Peninsula’s compliance with the main studio rule is not admissible on reconsideration.  </w:t>
      </w:r>
      <w:r w:rsidR="00885E44" w:rsidRPr="004E1D14">
        <w:rPr>
          <w:szCs w:val="22"/>
        </w:rPr>
        <w:t xml:space="preserve">It is </w:t>
      </w:r>
      <w:r w:rsidR="00885E44" w:rsidRPr="004E1D14">
        <w:rPr>
          <w:noProof/>
          <w:szCs w:val="22"/>
        </w:rPr>
        <w:drawing>
          <wp:inline distT="0" distB="0" distL="0" distR="0" wp14:anchorId="6B0BF512" wp14:editId="44C5A954">
            <wp:extent cx="9525" cy="9525"/>
            <wp:effectExtent l="0" t="0" r="0" b="0"/>
            <wp:docPr id="16" name="Picture 16" descr="previous hit">
              <a:hlinkClick xmlns:a="http://schemas.openxmlformats.org/drawingml/2006/main" r:id="rId1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hit">
                      <a:hlinkClick r:id="rId12"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85E44" w:rsidRPr="004E1D14">
        <w:rPr>
          <w:szCs w:val="22"/>
        </w:rPr>
        <w:t>axiomatic</w:t>
      </w:r>
      <w:r w:rsidR="00885E44" w:rsidRPr="004E1D14">
        <w:rPr>
          <w:noProof/>
          <w:szCs w:val="22"/>
        </w:rPr>
        <w:drawing>
          <wp:inline distT="0" distB="0" distL="0" distR="0" wp14:anchorId="6DFDC3AB" wp14:editId="3B487441">
            <wp:extent cx="9525" cy="9525"/>
            <wp:effectExtent l="0" t="0" r="0" b="0"/>
            <wp:docPr id="15" name="Picture 15"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85E44" w:rsidRPr="004E1D14">
        <w:rPr>
          <w:szCs w:val="22"/>
        </w:rPr>
        <w:t xml:space="preserve"> that a party may not “sit back and hope that a decision will be in its favor and, when it isn't, to </w:t>
      </w:r>
      <w:r w:rsidR="00885E44" w:rsidRPr="004E1D14">
        <w:rPr>
          <w:noProof/>
          <w:szCs w:val="22"/>
        </w:rPr>
        <w:drawing>
          <wp:inline distT="0" distB="0" distL="0" distR="0" wp14:anchorId="65A0A246" wp14:editId="5E7E4E44">
            <wp:extent cx="9525" cy="9525"/>
            <wp:effectExtent l="0" t="0" r="0" b="0"/>
            <wp:docPr id="14" name="Picture 14"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85E44" w:rsidRPr="004E1D14">
        <w:rPr>
          <w:szCs w:val="22"/>
        </w:rPr>
        <w:t>parry</w:t>
      </w:r>
      <w:r w:rsidR="00885E44" w:rsidRPr="004E1D14">
        <w:rPr>
          <w:noProof/>
          <w:szCs w:val="22"/>
        </w:rPr>
        <w:drawing>
          <wp:inline distT="0" distB="0" distL="0" distR="0" wp14:anchorId="2E8D63B1" wp14:editId="013640BE">
            <wp:extent cx="9525" cy="9525"/>
            <wp:effectExtent l="0" t="0" r="0" b="0"/>
            <wp:docPr id="13" name="Picture 13"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xt hit">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85E44" w:rsidRPr="004E1D14">
        <w:rPr>
          <w:szCs w:val="22"/>
        </w:rPr>
        <w:t xml:space="preserve"> with an offer of more evidence.”</w:t>
      </w:r>
      <w:r w:rsidR="002B1BFF">
        <w:rPr>
          <w:rStyle w:val="FootnoteReference"/>
        </w:rPr>
        <w:footnoteReference w:id="79"/>
      </w:r>
      <w:r w:rsidR="002B1BFF">
        <w:t xml:space="preserve">  </w:t>
      </w:r>
      <w:r w:rsidR="004063B7">
        <w:t>Therefore</w:t>
      </w:r>
      <w:r w:rsidR="002B1BFF">
        <w:t xml:space="preserve">, we </w:t>
      </w:r>
      <w:r w:rsidR="003B093E">
        <w:t xml:space="preserve">dismiss the Petition for Reconsideration for failure to meet the standard set out in Section </w:t>
      </w:r>
      <w:r w:rsidR="0072391E">
        <w:t>1</w:t>
      </w:r>
      <w:r w:rsidR="003B093E">
        <w:t xml:space="preserve">.106 and </w:t>
      </w:r>
      <w:r w:rsidR="002B1BFF">
        <w:t xml:space="preserve">affirm the </w:t>
      </w:r>
      <w:r w:rsidR="003954DA">
        <w:t xml:space="preserve">Bureau’s </w:t>
      </w:r>
      <w:r w:rsidR="002B1BFF">
        <w:t xml:space="preserve">character qualifications analysis in the </w:t>
      </w:r>
      <w:r w:rsidR="002B1BFF">
        <w:rPr>
          <w:i/>
        </w:rPr>
        <w:t>Renewal Decision</w:t>
      </w:r>
      <w:r w:rsidR="002B1BFF">
        <w:t xml:space="preserve"> for the reasons stated therein. </w:t>
      </w:r>
    </w:p>
    <w:p w14:paraId="2709AA04" w14:textId="77777777" w:rsidR="00B66A0E" w:rsidRPr="00B66A0E" w:rsidRDefault="00F73736" w:rsidP="00211A43">
      <w:pPr>
        <w:pStyle w:val="ParaNum"/>
        <w:numPr>
          <w:ilvl w:val="0"/>
          <w:numId w:val="0"/>
        </w:numPr>
        <w:ind w:firstLine="720"/>
      </w:pPr>
      <w:r>
        <w:rPr>
          <w:i/>
          <w:szCs w:val="22"/>
        </w:rPr>
        <w:t>Signal delivery waivers</w:t>
      </w:r>
      <w:r w:rsidR="0095698E">
        <w:rPr>
          <w:i/>
          <w:szCs w:val="22"/>
        </w:rPr>
        <w:t xml:space="preserve"> in Seward and Kodiak</w:t>
      </w:r>
      <w:r>
        <w:rPr>
          <w:i/>
          <w:szCs w:val="22"/>
        </w:rPr>
        <w:t xml:space="preserve">.  </w:t>
      </w:r>
      <w:r w:rsidR="000E6F8D" w:rsidRPr="00F73736">
        <w:rPr>
          <w:szCs w:val="22"/>
        </w:rPr>
        <w:t>The Commission's rules may be waived only for good cause shown.</w:t>
      </w:r>
      <w:r w:rsidR="000E6F8D" w:rsidRPr="00D52DEC">
        <w:rPr>
          <w:szCs w:val="22"/>
          <w:vertAlign w:val="superscript"/>
        </w:rPr>
        <w:footnoteReference w:id="80"/>
      </w:r>
      <w:r w:rsidR="000E6F8D" w:rsidRPr="00F73736">
        <w:rPr>
          <w:szCs w:val="22"/>
        </w:rPr>
        <w:t xml:space="preserve">  The Commission must give </w:t>
      </w:r>
      <w:r w:rsidR="000E6F8D" w:rsidRPr="00D52DEC">
        <w:rPr>
          <w:noProof/>
          <w:szCs w:val="22"/>
        </w:rPr>
        <w:drawing>
          <wp:inline distT="0" distB="0" distL="0" distR="0" wp14:anchorId="329FA32D" wp14:editId="64325357">
            <wp:extent cx="9525" cy="9525"/>
            <wp:effectExtent l="0" t="0" r="0" b="0"/>
            <wp:docPr id="30" name="Picture 30" descr="previous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E6F8D" w:rsidRPr="00F73736">
        <w:rPr>
          <w:szCs w:val="22"/>
        </w:rPr>
        <w:t>waiver</w:t>
      </w:r>
      <w:r w:rsidR="000E6F8D" w:rsidRPr="00D52DEC">
        <w:rPr>
          <w:noProof/>
          <w:szCs w:val="22"/>
        </w:rPr>
        <w:drawing>
          <wp:inline distT="0" distB="0" distL="0" distR="0" wp14:anchorId="3143B0B1" wp14:editId="0C1B1585">
            <wp:extent cx="9525" cy="9525"/>
            <wp:effectExtent l="0" t="0" r="0" b="0"/>
            <wp:docPr id="21" name="Picture 21"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E6F8D" w:rsidRPr="00F73736">
        <w:rPr>
          <w:szCs w:val="22"/>
        </w:rPr>
        <w:t xml:space="preserve"> requests “a hard look,” but an applicant for </w:t>
      </w:r>
      <w:bookmarkStart w:id="7" w:name="ctx37"/>
      <w:bookmarkEnd w:id="7"/>
      <w:r w:rsidR="000E6F8D" w:rsidRPr="00D52DEC">
        <w:rPr>
          <w:noProof/>
          <w:szCs w:val="22"/>
        </w:rPr>
        <w:drawing>
          <wp:inline distT="0" distB="0" distL="0" distR="0" wp14:anchorId="0CDE4AC0" wp14:editId="20D1F745">
            <wp:extent cx="9525" cy="9525"/>
            <wp:effectExtent l="0" t="0" r="0" b="0"/>
            <wp:docPr id="20" name="Picture 20"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E6F8D" w:rsidRPr="00F73736">
        <w:rPr>
          <w:szCs w:val="22"/>
        </w:rPr>
        <w:t>waiver</w:t>
      </w:r>
      <w:r w:rsidR="000E6F8D" w:rsidRPr="00D52DEC">
        <w:rPr>
          <w:noProof/>
          <w:szCs w:val="22"/>
        </w:rPr>
        <w:drawing>
          <wp:inline distT="0" distB="0" distL="0" distR="0" wp14:anchorId="46E65010" wp14:editId="4EE7F912">
            <wp:extent cx="9525" cy="9525"/>
            <wp:effectExtent l="0" t="0" r="0" b="0"/>
            <wp:docPr id="19" name="Picture 19"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E6F8D" w:rsidRPr="00F73736">
        <w:rPr>
          <w:szCs w:val="22"/>
        </w:rPr>
        <w:t xml:space="preserve"> “faces a high hurdle even at the starting gate”</w:t>
      </w:r>
      <w:bookmarkStart w:id="8" w:name="a0d3g7u0u8_ref"/>
      <w:bookmarkStart w:id="9" w:name="a0d3g7u0u8_reffirst_footref"/>
      <w:bookmarkEnd w:id="8"/>
      <w:bookmarkEnd w:id="9"/>
      <w:r w:rsidR="000E6F8D" w:rsidRPr="00D52DEC">
        <w:rPr>
          <w:szCs w:val="22"/>
          <w:vertAlign w:val="superscript"/>
        </w:rPr>
        <w:footnoteReference w:id="81"/>
      </w:r>
      <w:r w:rsidR="000E6F8D" w:rsidRPr="00F73736">
        <w:rPr>
          <w:szCs w:val="22"/>
        </w:rPr>
        <w:t xml:space="preserve"> and must support its </w:t>
      </w:r>
      <w:bookmarkStart w:id="10" w:name="ctx38"/>
      <w:bookmarkEnd w:id="10"/>
      <w:r w:rsidR="000E6F8D" w:rsidRPr="00D52DEC">
        <w:rPr>
          <w:noProof/>
          <w:szCs w:val="22"/>
        </w:rPr>
        <w:drawing>
          <wp:inline distT="0" distB="0" distL="0" distR="0" wp14:anchorId="0C9A4504" wp14:editId="7F79CFDA">
            <wp:extent cx="9525" cy="9525"/>
            <wp:effectExtent l="0" t="0" r="0" b="0"/>
            <wp:docPr id="18" name="Picture 18" descr="previous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E6F8D" w:rsidRPr="00F73736">
        <w:rPr>
          <w:szCs w:val="22"/>
        </w:rPr>
        <w:t>waiver</w:t>
      </w:r>
      <w:r w:rsidR="000E6F8D" w:rsidRPr="00D52DEC">
        <w:rPr>
          <w:noProof/>
          <w:szCs w:val="22"/>
        </w:rPr>
        <w:drawing>
          <wp:inline distT="0" distB="0" distL="0" distR="0" wp14:anchorId="15565DB5" wp14:editId="7ED09A99">
            <wp:extent cx="9525" cy="9525"/>
            <wp:effectExtent l="0" t="0" r="0" b="0"/>
            <wp:docPr id="17" name="Picture 17" descr="next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E6F8D" w:rsidRPr="00F73736">
        <w:rPr>
          <w:szCs w:val="22"/>
        </w:rPr>
        <w:t xml:space="preserve"> request with a compelling showing.</w:t>
      </w:r>
      <w:bookmarkStart w:id="11" w:name="a0d3g7u0v0_ref"/>
      <w:bookmarkStart w:id="12" w:name="a0d3g7u0v0_reffirst_footref"/>
      <w:bookmarkEnd w:id="11"/>
      <w:bookmarkEnd w:id="12"/>
      <w:r w:rsidR="000E6F8D" w:rsidRPr="00D52DEC">
        <w:rPr>
          <w:szCs w:val="22"/>
          <w:vertAlign w:val="superscript"/>
        </w:rPr>
        <w:footnoteReference w:id="82"/>
      </w:r>
      <w:bookmarkStart w:id="13" w:name="ctx39"/>
      <w:bookmarkEnd w:id="13"/>
      <w:r w:rsidR="000E6F8D" w:rsidRPr="00F73736">
        <w:rPr>
          <w:szCs w:val="22"/>
        </w:rPr>
        <w:t xml:space="preserve">  Waiver is appropriate only if both: (1) special circumstances warrant a deviation from the general rule; and (2) such deviation better serves the public interest.</w:t>
      </w:r>
      <w:r w:rsidR="000E6F8D" w:rsidRPr="00D52DEC">
        <w:rPr>
          <w:szCs w:val="22"/>
          <w:vertAlign w:val="superscript"/>
        </w:rPr>
        <w:footnoteReference w:id="83"/>
      </w:r>
      <w:r w:rsidR="000E6F8D" w:rsidRPr="00F73736">
        <w:rPr>
          <w:b/>
          <w:szCs w:val="22"/>
        </w:rPr>
        <w:t xml:space="preserve"> </w:t>
      </w:r>
    </w:p>
    <w:p w14:paraId="398F16FB" w14:textId="285C747E" w:rsidR="00F73736" w:rsidRDefault="00B66A0E" w:rsidP="00211A43">
      <w:pPr>
        <w:pStyle w:val="ParaNum"/>
        <w:numPr>
          <w:ilvl w:val="0"/>
          <w:numId w:val="0"/>
        </w:numPr>
        <w:ind w:firstLine="720"/>
        <w:jc w:val="left"/>
      </w:pPr>
      <w:r>
        <w:t xml:space="preserve">Regarding signal delivery waivers, the Commission will favorably consider waiver requests for translators that provide service to a white area, </w:t>
      </w:r>
      <w:r>
        <w:rPr>
          <w:rStyle w:val="Emphasis"/>
        </w:rPr>
        <w:t>i.e.</w:t>
      </w:r>
      <w:r>
        <w:t>, an area outside the coverage contour of any full-time aural broadcast service.</w:t>
      </w:r>
      <w:r>
        <w:rPr>
          <w:rStyle w:val="FootnoteReference"/>
        </w:rPr>
        <w:footnoteReference w:id="84"/>
      </w:r>
      <w:r w:rsidRPr="00B66A0E">
        <w:rPr>
          <w:vertAlign w:val="superscript"/>
        </w:rPr>
        <w:t xml:space="preserve"> </w:t>
      </w:r>
      <w:r>
        <w:t xml:space="preserve"> The Commission has held that the 1990 </w:t>
      </w:r>
      <w:r w:rsidRPr="00B66A0E">
        <w:rPr>
          <w:i/>
        </w:rPr>
        <w:t xml:space="preserve">Translator Order </w:t>
      </w:r>
      <w:r>
        <w:t xml:space="preserve">“left no room for waiver of these rules for the operation of other area translators in Alaska or elsewhere in the absence of </w:t>
      </w:r>
      <w:r w:rsidR="00F545C4">
        <w:t>‘</w:t>
      </w:r>
      <w:r>
        <w:t>white area</w:t>
      </w:r>
      <w:r w:rsidR="00F545C4">
        <w:t>’</w:t>
      </w:r>
      <w:r>
        <w:t xml:space="preserve"> showings.”</w:t>
      </w:r>
      <w:r>
        <w:rPr>
          <w:rStyle w:val="FootnoteReference"/>
        </w:rPr>
        <w:footnoteReference w:id="85"/>
      </w:r>
      <w:r>
        <w:t xml:space="preserve">  We have expressly refused to accept arguments that signal delivery waivers may be based on “either provision of a second service to a ‘gray’ area or the provision of an additional service to an underserved area which received fewer than five aural services.”</w:t>
      </w:r>
      <w:r>
        <w:rPr>
          <w:rStyle w:val="FootnoteReference"/>
        </w:rPr>
        <w:footnoteReference w:id="86"/>
      </w:r>
      <w:r>
        <w:t xml:space="preserve">  By restricting waivers of the signal delivery rule to “white area” situations, the Commission sought to “promote incentives for full service FM and AM broadcast development and prevent such stations from being forced to compete economically with </w:t>
      </w:r>
      <w:r w:rsidR="00211A43">
        <w:t>t</w:t>
      </w:r>
      <w:r>
        <w:t>ranslators.”</w:t>
      </w:r>
      <w:r>
        <w:rPr>
          <w:rStyle w:val="FootnoteReference"/>
        </w:rPr>
        <w:footnoteReference w:id="87"/>
      </w:r>
      <w:r>
        <w:t xml:space="preserve">  S</w:t>
      </w:r>
      <w:r w:rsidR="00380BDB">
        <w:t>ince the mid-2000’s, the Bureau</w:t>
      </w:r>
      <w:r w:rsidR="00465407">
        <w:t xml:space="preserve"> has</w:t>
      </w:r>
      <w:r w:rsidR="003954DA">
        <w:t xml:space="preserve"> in some cases</w:t>
      </w:r>
      <w:r w:rsidR="00465407">
        <w:t xml:space="preserve"> made a distinction between areas served by noncommercial and commercial full-service stations, granting waivers of the signal delivery rule where the translator station would serve a “commercial white area”—i.e., an area “currently receiving no commercial aural signals.”</w:t>
      </w:r>
      <w:r w:rsidR="00465407">
        <w:rPr>
          <w:rStyle w:val="FootnoteReference"/>
        </w:rPr>
        <w:footnoteReference w:id="88"/>
      </w:r>
      <w:r w:rsidR="009216DB">
        <w:t xml:space="preserve"> </w:t>
      </w:r>
      <w:r w:rsidR="00EA3F3D">
        <w:t xml:space="preserve"> </w:t>
      </w:r>
      <w:r w:rsidR="003954DA">
        <w:t>F</w:t>
      </w:r>
      <w:r w:rsidR="00EA3F3D">
        <w:t xml:space="preserve">or the reasons stated below, we find that Peninsula has failed to demonstrate </w:t>
      </w:r>
      <w:r w:rsidR="003954DA">
        <w:t xml:space="preserve">either </w:t>
      </w:r>
      <w:r w:rsidR="00EA3F3D">
        <w:t xml:space="preserve">“special circumstances” </w:t>
      </w:r>
      <w:r w:rsidR="003954DA">
        <w:t xml:space="preserve">or public interest benefits </w:t>
      </w:r>
      <w:r w:rsidR="00EA3F3D">
        <w:t>that would warrant deviation from the Commission’s signal delivery rule</w:t>
      </w:r>
      <w:r w:rsidR="009034D8" w:rsidRPr="009034D8">
        <w:t xml:space="preserve"> </w:t>
      </w:r>
      <w:r w:rsidR="009034D8">
        <w:t>or “white area” precedent</w:t>
      </w:r>
      <w:r w:rsidR="00EA3F3D">
        <w:t>.</w:t>
      </w:r>
      <w:r w:rsidR="003954DA">
        <w:t xml:space="preserve"> </w:t>
      </w:r>
      <w:r w:rsidR="00490A2E">
        <w:t xml:space="preserve"> </w:t>
      </w:r>
      <w:r w:rsidR="00857B4E">
        <w:t>First</w:t>
      </w:r>
      <w:r w:rsidR="00490A2E">
        <w:t>, we addr</w:t>
      </w:r>
      <w:r w:rsidR="00F65BB0">
        <w:t xml:space="preserve">ess Peninsula’s arguments that </w:t>
      </w:r>
      <w:r w:rsidR="00857B4E">
        <w:t xml:space="preserve">either </w:t>
      </w:r>
      <w:r w:rsidR="00490A2E">
        <w:t>Section 307(f)(2)</w:t>
      </w:r>
      <w:r w:rsidR="00F65BB0">
        <w:t xml:space="preserve"> </w:t>
      </w:r>
      <w:r w:rsidR="00857B4E">
        <w:t>or Footnote 59</w:t>
      </w:r>
      <w:r w:rsidR="00490A2E" w:rsidRPr="00490A2E">
        <w:t xml:space="preserve"> </w:t>
      </w:r>
      <w:r w:rsidR="00266676">
        <w:t>dictate the outcome of our waiver analysis</w:t>
      </w:r>
      <w:r w:rsidR="00B356BA">
        <w:t>.</w:t>
      </w:r>
    </w:p>
    <w:p w14:paraId="3FD8BEAC" w14:textId="7AAD013B" w:rsidR="0019732E" w:rsidRDefault="0078177A" w:rsidP="00211A43">
      <w:pPr>
        <w:pStyle w:val="ParaNum"/>
        <w:numPr>
          <w:ilvl w:val="0"/>
          <w:numId w:val="0"/>
        </w:numPr>
        <w:ind w:firstLine="720"/>
        <w:jc w:val="left"/>
      </w:pPr>
      <w:r w:rsidRPr="00E9715E">
        <w:rPr>
          <w:i/>
        </w:rPr>
        <w:t>Effect of Section 307(f)(2) on</w:t>
      </w:r>
      <w:r w:rsidR="00C55DDF" w:rsidRPr="00E9715E">
        <w:rPr>
          <w:i/>
        </w:rPr>
        <w:t xml:space="preserve"> Waiver Requests</w:t>
      </w:r>
      <w:r w:rsidRPr="00E9715E">
        <w:rPr>
          <w:i/>
        </w:rPr>
        <w:t xml:space="preserve">.  </w:t>
      </w:r>
      <w:r w:rsidR="00B917F0">
        <w:t xml:space="preserve">We affirm the Bureau’s conclusion </w:t>
      </w:r>
      <w:r w:rsidR="000762EE">
        <w:t xml:space="preserve">in the </w:t>
      </w:r>
      <w:r w:rsidR="000762EE">
        <w:rPr>
          <w:i/>
        </w:rPr>
        <w:t xml:space="preserve">Renewal Decision </w:t>
      </w:r>
      <w:r w:rsidR="00B917F0">
        <w:t>that Section 307(f)(2)</w:t>
      </w:r>
      <w:r w:rsidR="003954DA">
        <w:t>, by its terms,</w:t>
      </w:r>
      <w:r w:rsidR="00B917F0">
        <w:t xml:space="preserve"> does not apply to any of the Peninsula Stations</w:t>
      </w:r>
      <w:r w:rsidR="00266676">
        <w:t>,</w:t>
      </w:r>
      <w:r w:rsidR="00F65BB0">
        <w:t xml:space="preserve"> because </w:t>
      </w:r>
      <w:r w:rsidR="00E9715E">
        <w:t>none</w:t>
      </w:r>
      <w:r w:rsidR="009C7B31">
        <w:t xml:space="preserve"> of the translators</w:t>
      </w:r>
      <w:r w:rsidR="00E9715E">
        <w:t xml:space="preserve"> “</w:t>
      </w:r>
      <w:r w:rsidR="00F65BB0">
        <w:t xml:space="preserve">initially broadcast to an </w:t>
      </w:r>
      <w:r w:rsidR="00F65BB0" w:rsidRPr="00F65BB0">
        <w:t>area that did not have access to at least one over-the-air aural broadcast service.</w:t>
      </w:r>
      <w:r w:rsidR="00E9715E">
        <w:t>”</w:t>
      </w:r>
      <w:r w:rsidR="00F65BB0">
        <w:rPr>
          <w:rStyle w:val="FootnoteReference"/>
        </w:rPr>
        <w:footnoteReference w:id="89"/>
      </w:r>
      <w:r w:rsidR="00B917F0">
        <w:t xml:space="preserve">  </w:t>
      </w:r>
      <w:r w:rsidR="00054419">
        <w:t xml:space="preserve">There is no </w:t>
      </w:r>
      <w:r w:rsidR="00D96D65">
        <w:t>need</w:t>
      </w:r>
      <w:r w:rsidR="009C7B31">
        <w:t xml:space="preserve"> </w:t>
      </w:r>
      <w:r w:rsidR="00D96D65">
        <w:t xml:space="preserve">to “harmonize” Section 307(f)(2) and our </w:t>
      </w:r>
      <w:r w:rsidR="00C34FE1">
        <w:t xml:space="preserve">current </w:t>
      </w:r>
      <w:r w:rsidR="00D96D65">
        <w:t xml:space="preserve">signal delivery waiver policy.  </w:t>
      </w:r>
      <w:r w:rsidR="001E5BA9">
        <w:t xml:space="preserve">These two provisions are </w:t>
      </w:r>
      <w:r w:rsidR="000C4C3F">
        <w:t xml:space="preserve">already </w:t>
      </w:r>
      <w:r w:rsidR="001E5BA9">
        <w:t>consistent</w:t>
      </w:r>
      <w:r w:rsidR="001D32DD">
        <w:t xml:space="preserve">; </w:t>
      </w:r>
      <w:r w:rsidR="001E5BA9">
        <w:t xml:space="preserve">both </w:t>
      </w:r>
      <w:r w:rsidR="00E9715E">
        <w:t>require a showing of service to a white area</w:t>
      </w:r>
      <w:r w:rsidR="001E5BA9">
        <w:t xml:space="preserve">.  Specifically, </w:t>
      </w:r>
      <w:r w:rsidR="00D96D65">
        <w:t>Section 307(f)(2) applies</w:t>
      </w:r>
      <w:r w:rsidR="00175B82">
        <w:t xml:space="preserve"> only to translator stations that</w:t>
      </w:r>
      <w:r w:rsidR="00D96D65">
        <w:t xml:space="preserve"> have served</w:t>
      </w:r>
      <w:r w:rsidR="00175B82">
        <w:t xml:space="preserve"> </w:t>
      </w:r>
      <w:r w:rsidR="00D96D65" w:rsidRPr="00E9715E">
        <w:rPr>
          <w:szCs w:val="22"/>
        </w:rPr>
        <w:t>“</w:t>
      </w:r>
      <w:r w:rsidR="00D96D65" w:rsidRPr="004E4EFC">
        <w:t>an area of Alaska that did not have access to over the air broadcasts</w:t>
      </w:r>
      <w:r w:rsidR="00D96D65">
        <w:t xml:space="preserve">”—i.e., </w:t>
      </w:r>
      <w:r w:rsidR="007A5E24">
        <w:t>a white area</w:t>
      </w:r>
      <w:r w:rsidR="00493F00">
        <w:t xml:space="preserve">.  Likewise, </w:t>
      </w:r>
      <w:r w:rsidR="003C68A1">
        <w:t>the Commission</w:t>
      </w:r>
      <w:r w:rsidR="00C34FE1">
        <w:t>’s longstanding policy</w:t>
      </w:r>
      <w:r w:rsidR="009C7B31">
        <w:t xml:space="preserve">, as established in the 1990 </w:t>
      </w:r>
      <w:r w:rsidR="009C7B31">
        <w:rPr>
          <w:i/>
        </w:rPr>
        <w:t>Translator Order</w:t>
      </w:r>
      <w:r w:rsidR="009C7B31">
        <w:t>,</w:t>
      </w:r>
      <w:r w:rsidR="00C34FE1">
        <w:t xml:space="preserve"> is that signal delivery waivers are justified only for</w:t>
      </w:r>
      <w:r w:rsidR="00054419">
        <w:t xml:space="preserve"> translators serving a white area</w:t>
      </w:r>
      <w:r w:rsidR="001E5BA9">
        <w:t xml:space="preserve"> (or, </w:t>
      </w:r>
      <w:r w:rsidR="00C34FE1">
        <w:t>more recently</w:t>
      </w:r>
      <w:r w:rsidR="001E5BA9">
        <w:t>, a “commercial white area</w:t>
      </w:r>
      <w:r w:rsidR="007A5E24">
        <w:t>.</w:t>
      </w:r>
      <w:r w:rsidR="001E5BA9">
        <w:t>”)</w:t>
      </w:r>
      <w:r w:rsidR="00E56472">
        <w:t>.</w:t>
      </w:r>
      <w:r w:rsidR="00E9715E">
        <w:rPr>
          <w:rStyle w:val="FootnoteReference"/>
        </w:rPr>
        <w:footnoteReference w:id="90"/>
      </w:r>
      <w:r w:rsidR="00E56472">
        <w:t xml:space="preserve">  </w:t>
      </w:r>
      <w:r w:rsidR="009A4927">
        <w:t xml:space="preserve">Peninsula </w:t>
      </w:r>
      <w:r w:rsidR="009C7B31">
        <w:t>suggests</w:t>
      </w:r>
      <w:r w:rsidR="009A4927">
        <w:t xml:space="preserve"> that we </w:t>
      </w:r>
      <w:r w:rsidR="00C545B5">
        <w:t>“simply apply the conclusion” that</w:t>
      </w:r>
      <w:r w:rsidR="00486608">
        <w:t xml:space="preserve"> </w:t>
      </w:r>
      <w:r w:rsidR="00C545B5">
        <w:t xml:space="preserve">Section 307(f)(2) </w:t>
      </w:r>
      <w:r w:rsidR="001D32DD">
        <w:t>also applies to</w:t>
      </w:r>
      <w:r w:rsidR="00486608" w:rsidRPr="00857B4E">
        <w:rPr>
          <w:i/>
        </w:rPr>
        <w:t xml:space="preserve"> </w:t>
      </w:r>
      <w:r w:rsidR="001E5BA9" w:rsidRPr="00857B4E">
        <w:rPr>
          <w:i/>
        </w:rPr>
        <w:t>underserved</w:t>
      </w:r>
      <w:r w:rsidR="001D32DD">
        <w:t>, or “gray”</w:t>
      </w:r>
      <w:r w:rsidR="001E5BA9" w:rsidRPr="00857B4E">
        <w:rPr>
          <w:i/>
        </w:rPr>
        <w:t xml:space="preserve"> </w:t>
      </w:r>
      <w:r w:rsidR="001E5BA9">
        <w:t>areas, and then</w:t>
      </w:r>
      <w:r w:rsidR="00486608">
        <w:t xml:space="preserve"> </w:t>
      </w:r>
      <w:r w:rsidR="001D32DD">
        <w:t>change</w:t>
      </w:r>
      <w:r w:rsidR="00486608">
        <w:t xml:space="preserve"> </w:t>
      </w:r>
      <w:r w:rsidR="009C7B31">
        <w:t xml:space="preserve">our waiver policy </w:t>
      </w:r>
      <w:r w:rsidR="001D32DD">
        <w:t xml:space="preserve">to “harmonize” </w:t>
      </w:r>
      <w:r w:rsidR="009C7B31">
        <w:t xml:space="preserve">with </w:t>
      </w:r>
      <w:r w:rsidR="00486608">
        <w:t>that interpretation</w:t>
      </w:r>
      <w:r w:rsidR="001E5BA9">
        <w:t>.</w:t>
      </w:r>
      <w:r w:rsidR="007040DE">
        <w:rPr>
          <w:rStyle w:val="FootnoteReference"/>
        </w:rPr>
        <w:footnoteReference w:id="91"/>
      </w:r>
      <w:r w:rsidR="001E5BA9">
        <w:t xml:space="preserve"> </w:t>
      </w:r>
      <w:r w:rsidR="00DB46B6">
        <w:t xml:space="preserve"> </w:t>
      </w:r>
      <w:r w:rsidR="00C545B5">
        <w:t xml:space="preserve">However, </w:t>
      </w:r>
      <w:r w:rsidR="00C34FE1">
        <w:t xml:space="preserve">Peninsula </w:t>
      </w:r>
      <w:r w:rsidR="009C7B31">
        <w:t xml:space="preserve">fails to cite any precedent </w:t>
      </w:r>
      <w:r w:rsidR="00E14808">
        <w:t xml:space="preserve">(other than the </w:t>
      </w:r>
      <w:r w:rsidR="009034D8">
        <w:t xml:space="preserve">original, terminated </w:t>
      </w:r>
      <w:r w:rsidR="00E14808">
        <w:t xml:space="preserve">Seward Waivers) </w:t>
      </w:r>
      <w:r w:rsidR="009C7B31">
        <w:t>or legislative history</w:t>
      </w:r>
      <w:r w:rsidR="00DB46B6">
        <w:t xml:space="preserve"> to justify such </w:t>
      </w:r>
      <w:r w:rsidR="00857B4E">
        <w:t xml:space="preserve">a </w:t>
      </w:r>
      <w:r w:rsidR="00DB46B6">
        <w:t xml:space="preserve">departure from </w:t>
      </w:r>
      <w:r w:rsidR="00C545B5">
        <w:t xml:space="preserve">the language of </w:t>
      </w:r>
      <w:r w:rsidR="009C7B31">
        <w:t>Section 307(f)(2) and</w:t>
      </w:r>
      <w:r w:rsidR="00DB46B6">
        <w:t xml:space="preserve"> the Commission’s </w:t>
      </w:r>
      <w:r w:rsidR="001D32DD">
        <w:t xml:space="preserve">established </w:t>
      </w:r>
      <w:r w:rsidR="00DB46B6">
        <w:t xml:space="preserve">signal delivery waiver </w:t>
      </w:r>
      <w:r w:rsidR="001F1B12">
        <w:t xml:space="preserve">policy and </w:t>
      </w:r>
      <w:r w:rsidR="00DB46B6">
        <w:t>precedent</w:t>
      </w:r>
      <w:r w:rsidR="00E14808">
        <w:t>.  To the contrary—</w:t>
      </w:r>
      <w:r w:rsidR="00857B4E">
        <w:t xml:space="preserve">as discussed below, there are compelling public interest reasons </w:t>
      </w:r>
      <w:r w:rsidR="00E14808">
        <w:t>against granting the Waiver Requests</w:t>
      </w:r>
      <w:r w:rsidR="00DB46B6">
        <w:t xml:space="preserve">. </w:t>
      </w:r>
      <w:r w:rsidR="003A7425">
        <w:t xml:space="preserve"> </w:t>
      </w:r>
    </w:p>
    <w:p w14:paraId="3A2EBECD" w14:textId="1EDE4E6C" w:rsidR="00B42D2F" w:rsidRDefault="0078177A" w:rsidP="00211A43">
      <w:pPr>
        <w:pStyle w:val="ParaNum"/>
        <w:numPr>
          <w:ilvl w:val="0"/>
          <w:numId w:val="0"/>
        </w:numPr>
        <w:ind w:firstLine="720"/>
      </w:pPr>
      <w:r w:rsidRPr="00E23419">
        <w:rPr>
          <w:i/>
        </w:rPr>
        <w:t xml:space="preserve">Effect of “Footnote 59” on </w:t>
      </w:r>
      <w:r w:rsidR="00C55DDF">
        <w:rPr>
          <w:i/>
        </w:rPr>
        <w:t>Waiver Requests</w:t>
      </w:r>
      <w:r w:rsidR="00892424">
        <w:t xml:space="preserve">.  </w:t>
      </w:r>
      <w:r w:rsidR="00490A2E">
        <w:t xml:space="preserve">In its Waiver Requests, </w:t>
      </w:r>
      <w:r w:rsidR="00C55DDF">
        <w:t xml:space="preserve">Peninsula claims that, in </w:t>
      </w:r>
      <w:r w:rsidR="00E1387E">
        <w:t>Footnote 59 of</w:t>
      </w:r>
      <w:r w:rsidR="00C55DDF">
        <w:t xml:space="preserve"> the 1990 </w:t>
      </w:r>
      <w:r w:rsidR="00C55DDF">
        <w:rPr>
          <w:i/>
        </w:rPr>
        <w:t>Translator Order</w:t>
      </w:r>
      <w:r w:rsidR="00C55DDF">
        <w:t xml:space="preserve">, the Commission expressly exempted Alaska from the new waiver requirements. </w:t>
      </w:r>
      <w:r w:rsidR="00C55DDF">
        <w:rPr>
          <w:i/>
        </w:rPr>
        <w:t xml:space="preserve"> </w:t>
      </w:r>
      <w:r w:rsidR="00E1387E">
        <w:t>T</w:t>
      </w:r>
      <w:r w:rsidR="00C55DDF">
        <w:t>he Commission</w:t>
      </w:r>
      <w:r w:rsidR="0016282E">
        <w:t xml:space="preserve"> </w:t>
      </w:r>
      <w:r w:rsidR="001D32DD">
        <w:t xml:space="preserve">previously </w:t>
      </w:r>
      <w:r w:rsidR="00E23419">
        <w:t>addressed</w:t>
      </w:r>
      <w:r w:rsidR="00490A2E">
        <w:t xml:space="preserve"> this</w:t>
      </w:r>
      <w:r w:rsidR="00892424">
        <w:t xml:space="preserve"> </w:t>
      </w:r>
      <w:r w:rsidR="001D32DD">
        <w:t xml:space="preserve">exact </w:t>
      </w:r>
      <w:r w:rsidR="00892424">
        <w:t xml:space="preserve">argument </w:t>
      </w:r>
      <w:r w:rsidR="001D32DD">
        <w:t>in 1998</w:t>
      </w:r>
      <w:r w:rsidR="00B42D2F">
        <w:t>:</w:t>
      </w:r>
      <w:r w:rsidR="00E23419">
        <w:t xml:space="preserve"> </w:t>
      </w:r>
    </w:p>
    <w:p w14:paraId="68C66EED" w14:textId="0778F687" w:rsidR="007E4884" w:rsidRDefault="00E23419" w:rsidP="00B42D2F">
      <w:pPr>
        <w:pStyle w:val="ParaNum"/>
        <w:numPr>
          <w:ilvl w:val="0"/>
          <w:numId w:val="0"/>
        </w:numPr>
        <w:tabs>
          <w:tab w:val="num" w:pos="1080"/>
        </w:tabs>
        <w:ind w:left="720"/>
      </w:pPr>
      <w:r>
        <w:t xml:space="preserve">The Commission did state in a footnote to its signal delivery discussion in the Report and Order that </w:t>
      </w:r>
      <w:r w:rsidR="00E1387E">
        <w:t>“</w:t>
      </w:r>
      <w:r>
        <w:t>[w]e intend that our decisions herein not alter in any fashion the special treatment we accord</w:t>
      </w:r>
      <w:r w:rsidR="0016282E">
        <w:t xml:space="preserve"> Alaska[,]</w:t>
      </w:r>
      <w:r w:rsidR="00E1387E">
        <w:t>”</w:t>
      </w:r>
      <w:r>
        <w:t xml:space="preserve"> citing </w:t>
      </w:r>
      <w:r w:rsidRPr="00E23419">
        <w:rPr>
          <w:i/>
        </w:rPr>
        <w:t>Wrangell</w:t>
      </w:r>
      <w:r>
        <w:t xml:space="preserve">.  Read in context, however, this statement expresses the Commission's willingness to allow Alaskan commercial translators providing fill-in service to use satellite rather than terrestrial delivery of signals upon an appropriate showing that no terrestrial means is available due to the lack of microwave, phone company circuits, dedicated fiber optic cable or other communications services.  </w:t>
      </w:r>
      <w:r w:rsidRPr="00E23419">
        <w:rPr>
          <w:i/>
        </w:rPr>
        <w:t xml:space="preserve">Wrangell </w:t>
      </w:r>
      <w:r>
        <w:t>provides no justification for waiver of the translator rules for other area translators</w:t>
      </w:r>
      <w:r w:rsidR="00E1387E">
        <w:t xml:space="preserve"> operating in non-“</w:t>
      </w:r>
      <w:r w:rsidR="00892424">
        <w:t>white areas.”</w:t>
      </w:r>
      <w:r w:rsidR="00892424">
        <w:rPr>
          <w:rStyle w:val="FootnoteReference"/>
        </w:rPr>
        <w:footnoteReference w:id="92"/>
      </w:r>
      <w:r w:rsidR="00892424">
        <w:t xml:space="preserve">  </w:t>
      </w:r>
    </w:p>
    <w:p w14:paraId="01FEE540" w14:textId="760400DC" w:rsidR="0019732E" w:rsidRDefault="007E4884" w:rsidP="00211A43">
      <w:pPr>
        <w:pStyle w:val="ParaNum"/>
        <w:numPr>
          <w:ilvl w:val="0"/>
          <w:numId w:val="0"/>
        </w:numPr>
        <w:ind w:firstLine="720"/>
      </w:pPr>
      <w:r>
        <w:t xml:space="preserve">We </w:t>
      </w:r>
      <w:r w:rsidR="004D0CED">
        <w:t>affirm</w:t>
      </w:r>
      <w:r w:rsidR="00BA75F2">
        <w:t xml:space="preserve"> </w:t>
      </w:r>
      <w:r>
        <w:t xml:space="preserve">this analysis and </w:t>
      </w:r>
      <w:r w:rsidR="004D0CED">
        <w:t xml:space="preserve">note that the </w:t>
      </w:r>
      <w:r>
        <w:t xml:space="preserve">Commission’s </w:t>
      </w:r>
      <w:r w:rsidR="00E1387E">
        <w:t>resulting</w:t>
      </w:r>
      <w:r w:rsidR="004D0CED">
        <w:t xml:space="preserve"> </w:t>
      </w:r>
      <w:r w:rsidR="00F01F54">
        <w:t>determination</w:t>
      </w:r>
      <w:r w:rsidR="00BA75F2">
        <w:t xml:space="preserve"> that </w:t>
      </w:r>
      <w:r w:rsidR="004D0CED">
        <w:t>waiver grant</w:t>
      </w:r>
      <w:r w:rsidR="003F3033">
        <w:t>s</w:t>
      </w:r>
      <w:r w:rsidR="004D0CED">
        <w:t xml:space="preserve"> in either Kodiak or Seward w</w:t>
      </w:r>
      <w:r w:rsidR="003F3033">
        <w:t>ere</w:t>
      </w:r>
      <w:r w:rsidR="004D0CED">
        <w:t xml:space="preserve"> not justified absent a “white area” showing is long since final</w:t>
      </w:r>
      <w:r w:rsidR="00BA75F2">
        <w:t>.</w:t>
      </w:r>
      <w:r w:rsidR="00BA75F2">
        <w:rPr>
          <w:rStyle w:val="FootnoteReference"/>
        </w:rPr>
        <w:footnoteReference w:id="93"/>
      </w:r>
      <w:r w:rsidR="00E1387E">
        <w:t xml:space="preserve">  </w:t>
      </w:r>
      <w:r w:rsidR="003F3033">
        <w:t>Therefore</w:t>
      </w:r>
      <w:r w:rsidR="00E1387E">
        <w:t xml:space="preserve">, because we reject Peninsula’s arguments that waiver is presumptively justified by either </w:t>
      </w:r>
      <w:r w:rsidR="009740C5">
        <w:t>S</w:t>
      </w:r>
      <w:r w:rsidR="00E1387E">
        <w:t>ection 307(f)(2) or Footnote 59</w:t>
      </w:r>
      <w:r w:rsidR="004D0CED">
        <w:t xml:space="preserve">, </w:t>
      </w:r>
      <w:r w:rsidR="002409FC">
        <w:t>we</w:t>
      </w:r>
      <w:r w:rsidR="00E1387E">
        <w:t xml:space="preserve"> analyze</w:t>
      </w:r>
      <w:r w:rsidR="002409FC">
        <w:t xml:space="preserve"> the Waiver Requests under </w:t>
      </w:r>
      <w:r w:rsidR="003F3033">
        <w:t>the Commission’s</w:t>
      </w:r>
      <w:r w:rsidR="002409FC">
        <w:t xml:space="preserve"> current waiver policy, as established in the 1990 </w:t>
      </w:r>
      <w:r w:rsidR="002409FC">
        <w:rPr>
          <w:i/>
        </w:rPr>
        <w:t>Translator Order</w:t>
      </w:r>
      <w:r w:rsidR="002409FC">
        <w:t xml:space="preserve">, clarified with respect to Alaska in the </w:t>
      </w:r>
      <w:r w:rsidR="002409FC">
        <w:rPr>
          <w:i/>
        </w:rPr>
        <w:t>1998 Omnibus Order</w:t>
      </w:r>
      <w:r w:rsidR="002409FC">
        <w:t xml:space="preserve">, and most recently applied </w:t>
      </w:r>
      <w:r w:rsidR="003F3033">
        <w:t xml:space="preserve">by the Bureau </w:t>
      </w:r>
      <w:r w:rsidR="002409FC">
        <w:t xml:space="preserve">in </w:t>
      </w:r>
      <w:r w:rsidR="00FF7D83">
        <w:t>the</w:t>
      </w:r>
      <w:r w:rsidR="003F3033">
        <w:t xml:space="preserve"> </w:t>
      </w:r>
      <w:r w:rsidR="00FF7D83">
        <w:rPr>
          <w:i/>
        </w:rPr>
        <w:t xml:space="preserve">Midland </w:t>
      </w:r>
      <w:r w:rsidR="00FF7D83">
        <w:t>Decision.</w:t>
      </w:r>
      <w:r w:rsidR="003F3033">
        <w:rPr>
          <w:rStyle w:val="FootnoteReference"/>
        </w:rPr>
        <w:footnoteReference w:id="94"/>
      </w:r>
      <w:r w:rsidR="00A43874">
        <w:t xml:space="preserve"> </w:t>
      </w:r>
      <w:r w:rsidR="00256F6D">
        <w:t xml:space="preserve"> </w:t>
      </w:r>
    </w:p>
    <w:p w14:paraId="153164F6" w14:textId="394DE86A" w:rsidR="00EA3F3D" w:rsidRDefault="0078177A" w:rsidP="009740C5">
      <w:pPr>
        <w:pStyle w:val="ParaNum"/>
        <w:numPr>
          <w:ilvl w:val="0"/>
          <w:numId w:val="0"/>
        </w:numPr>
        <w:ind w:firstLine="720"/>
        <w:jc w:val="left"/>
      </w:pPr>
      <w:r>
        <w:rPr>
          <w:i/>
        </w:rPr>
        <w:t xml:space="preserve">Kodiak waivers.  </w:t>
      </w:r>
      <w:r w:rsidR="004B4568">
        <w:t>In the absence of a “white area” showing, Pe</w:t>
      </w:r>
      <w:r w:rsidR="00317689">
        <w:t>ninsula’s waiver request for the</w:t>
      </w:r>
      <w:r w:rsidR="004B4568">
        <w:t xml:space="preserve"> Kodiak Translators rests on an argument of technical necessity.  </w:t>
      </w:r>
      <w:r w:rsidR="00EA3F3D">
        <w:t>In 1998, we rejected an almost identical request for waiver of the signal delivery rule</w:t>
      </w:r>
      <w:r w:rsidR="004B4568">
        <w:t xml:space="preserve"> for the Kodiak Translators.</w:t>
      </w:r>
      <w:r w:rsidR="009F727F">
        <w:rPr>
          <w:rStyle w:val="FootnoteReference"/>
        </w:rPr>
        <w:footnoteReference w:id="95"/>
      </w:r>
      <w:r w:rsidR="004B4568">
        <w:t xml:space="preserve">  At that time, the</w:t>
      </w:r>
      <w:r w:rsidR="00EA3F3D">
        <w:t xml:space="preserve"> proposed assignee of the Kodiak Translators had requested signal delivery waivers because “the two off-air</w:t>
      </w:r>
      <w:r w:rsidR="009737B9">
        <w:t xml:space="preserve"> </w:t>
      </w:r>
      <w:r w:rsidR="00EA3F3D">
        <w:t xml:space="preserve">reception antennas that were used to deliver the translators' signals to </w:t>
      </w:r>
      <w:bookmarkStart w:id="15" w:name="ctx89"/>
      <w:bookmarkEnd w:id="15"/>
      <w:r w:rsidR="00EA3F3D">
        <w:rPr>
          <w:noProof/>
          <w:color w:val="0000FF"/>
        </w:rPr>
        <w:drawing>
          <wp:inline distT="0" distB="0" distL="0" distR="0" wp14:anchorId="22FAE9B7" wp14:editId="0EE4DBBD">
            <wp:extent cx="9525" cy="9525"/>
            <wp:effectExtent l="0" t="0" r="0" b="0"/>
            <wp:docPr id="29" name="Picture 29" descr="previous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revious hi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A3F3D">
        <w:rPr>
          <w:rStyle w:val="displayhltext"/>
        </w:rPr>
        <w:t>Kodiak</w:t>
      </w:r>
      <w:r w:rsidR="00EA3F3D">
        <w:rPr>
          <w:noProof/>
          <w:color w:val="0000FF"/>
        </w:rPr>
        <w:drawing>
          <wp:inline distT="0" distB="0" distL="0" distR="0" wp14:anchorId="7CCE955B" wp14:editId="1C44D100">
            <wp:extent cx="9525" cy="9525"/>
            <wp:effectExtent l="0" t="0" r="0" b="0"/>
            <wp:docPr id="28" name="Picture 28" descr="next h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next hit">
                      <a:hlinkClick r:id="rId2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A3F3D">
        <w:t xml:space="preserve"> for the past 12 years recently were destroyed,</w:t>
      </w:r>
      <w:r w:rsidR="004B4568">
        <w:t>”</w:t>
      </w:r>
      <w:r w:rsidR="00EA3F3D">
        <w:t xml:space="preserve"> </w:t>
      </w:r>
      <w:r w:rsidR="004B4568">
        <w:t>so that a signal delivery waiver would be</w:t>
      </w:r>
      <w:r w:rsidR="00EA3F3D">
        <w:t xml:space="preserve"> </w:t>
      </w:r>
      <w:r w:rsidR="004B4568">
        <w:t>“</w:t>
      </w:r>
      <w:r w:rsidR="00EA3F3D">
        <w:t>the only means by which the translators can continue to retransmit their respective primary stations.”</w:t>
      </w:r>
      <w:r w:rsidR="00EA3F3D">
        <w:rPr>
          <w:rStyle w:val="FootnoteReference"/>
        </w:rPr>
        <w:footnoteReference w:id="96"/>
      </w:r>
      <w:r w:rsidR="00EA3F3D">
        <w:t xml:space="preserve">  </w:t>
      </w:r>
      <w:r w:rsidR="004B4568">
        <w:t>T</w:t>
      </w:r>
      <w:r w:rsidR="00EA3F3D">
        <w:t>he Commission denied these waiver requests</w:t>
      </w:r>
      <w:r w:rsidR="009F727F">
        <w:t xml:space="preserve"> on the basis that</w:t>
      </w:r>
      <w:r w:rsidR="00317689">
        <w:t xml:space="preserve"> </w:t>
      </w:r>
      <w:r w:rsidR="00EA3F3D">
        <w:t>the Kodiak Translator</w:t>
      </w:r>
      <w:r w:rsidR="009F727F">
        <w:t>s did not provide service to a</w:t>
      </w:r>
      <w:r w:rsidR="00EA3F3D">
        <w:t xml:space="preserve"> “white area</w:t>
      </w:r>
      <w:r w:rsidR="004B4568">
        <w:t>.”</w:t>
      </w:r>
      <w:r w:rsidR="00EA3F3D">
        <w:rPr>
          <w:rStyle w:val="FootnoteReference"/>
        </w:rPr>
        <w:footnoteReference w:id="97"/>
      </w:r>
      <w:r w:rsidR="00EA3F3D">
        <w:t xml:space="preserve">  </w:t>
      </w:r>
      <w:r w:rsidR="000B1DBF">
        <w:t xml:space="preserve">For the same reasons, </w:t>
      </w:r>
      <w:r w:rsidR="00BB2F2F">
        <w:t xml:space="preserve">Turquoise requested and was denied </w:t>
      </w:r>
      <w:r w:rsidR="000B1DBF">
        <w:t xml:space="preserve">“technical necessity” </w:t>
      </w:r>
      <w:r w:rsidR="00BB2F2F">
        <w:t>signal delivery waivers for three of its Kodiak translators in 2008.</w:t>
      </w:r>
      <w:r w:rsidR="00BB2F2F">
        <w:rPr>
          <w:rStyle w:val="FootnoteReference"/>
        </w:rPr>
        <w:footnoteReference w:id="98"/>
      </w:r>
      <w:r w:rsidR="000B1DBF" w:rsidRPr="000B1DBF">
        <w:t xml:space="preserve"> </w:t>
      </w:r>
      <w:r w:rsidR="000B1DBF">
        <w:t xml:space="preserve"> The situation has not changed.  Kodiak is currently well served by both commercial and noncommercial full service stations, as well as numerous translators (including other Turquoise stations already rebroadcasting KPEN and KWVV).</w:t>
      </w:r>
      <w:r w:rsidR="000B1DBF">
        <w:rPr>
          <w:rStyle w:val="FootnoteReference"/>
        </w:rPr>
        <w:footnoteReference w:id="99"/>
      </w:r>
      <w:r w:rsidR="000B1DBF">
        <w:t xml:space="preserve">  </w:t>
      </w:r>
    </w:p>
    <w:p w14:paraId="45ECF38D" w14:textId="2B5DAD6C" w:rsidR="00E024FD" w:rsidRDefault="00CD506C" w:rsidP="009740C5">
      <w:pPr>
        <w:pStyle w:val="ParaNum"/>
        <w:numPr>
          <w:ilvl w:val="0"/>
          <w:numId w:val="0"/>
        </w:numPr>
        <w:ind w:firstLine="720"/>
        <w:jc w:val="left"/>
      </w:pPr>
      <w:r>
        <w:t>Even if</w:t>
      </w:r>
      <w:r w:rsidR="008E35E6">
        <w:t xml:space="preserve"> </w:t>
      </w:r>
      <w:r w:rsidR="004A6598">
        <w:t>“</w:t>
      </w:r>
      <w:r w:rsidR="008E35E6">
        <w:t xml:space="preserve">technical necessity” </w:t>
      </w:r>
      <w:r>
        <w:t xml:space="preserve">were </w:t>
      </w:r>
      <w:r w:rsidR="008E35E6">
        <w:t>an adequate justification for waiver of the signal delivery rule</w:t>
      </w:r>
      <w:r>
        <w:t>,</w:t>
      </w:r>
      <w:r w:rsidR="006247EF">
        <w:t xml:space="preserve"> Peninsula has failed to </w:t>
      </w:r>
      <w:r>
        <w:t xml:space="preserve">support its Waiver Requests on that basis.  </w:t>
      </w:r>
      <w:r w:rsidR="003825DC">
        <w:t>I</w:t>
      </w:r>
      <w:r w:rsidR="009B60D4">
        <w:t xml:space="preserve">nformation contained in </w:t>
      </w:r>
      <w:r w:rsidR="00E30123">
        <w:t>CDBS licensing records</w:t>
      </w:r>
      <w:r w:rsidR="003825DC">
        <w:t xml:space="preserve"> indicates that</w:t>
      </w:r>
      <w:r w:rsidR="00E30123">
        <w:t xml:space="preserve"> t</w:t>
      </w:r>
      <w:r w:rsidR="006247EF">
        <w:t xml:space="preserve">here are </w:t>
      </w:r>
      <w:r w:rsidR="00E30123">
        <w:t>several</w:t>
      </w:r>
      <w:r w:rsidR="006247EF">
        <w:t xml:space="preserve"> other communications </w:t>
      </w:r>
      <w:r w:rsidR="00566B20">
        <w:t>sites</w:t>
      </w:r>
      <w:r w:rsidR="006247EF">
        <w:t xml:space="preserve"> along Pillar Mountain Road that appear </w:t>
      </w:r>
      <w:r w:rsidR="00566B20">
        <w:t xml:space="preserve">not to be affected by </w:t>
      </w:r>
      <w:r w:rsidR="006247EF">
        <w:t>environmental contamination issues, including</w:t>
      </w:r>
      <w:r w:rsidR="00566B20">
        <w:t xml:space="preserve"> three</w:t>
      </w:r>
      <w:r w:rsidR="006247EF">
        <w:t xml:space="preserve"> </w:t>
      </w:r>
      <w:r w:rsidR="00566B20">
        <w:t>currently used</w:t>
      </w:r>
      <w:r w:rsidR="006247EF">
        <w:t xml:space="preserve"> by Turquoise (K271BF, K282AU, and K300BZ).  </w:t>
      </w:r>
      <w:r w:rsidR="009034D8">
        <w:t>Moreover,</w:t>
      </w:r>
      <w:r>
        <w:t xml:space="preserve"> </w:t>
      </w:r>
      <w:r w:rsidR="008E35E6">
        <w:t>Peninsula</w:t>
      </w:r>
      <w:r>
        <w:t xml:space="preserve"> </w:t>
      </w:r>
      <w:r w:rsidR="009034D8">
        <w:t xml:space="preserve">does not </w:t>
      </w:r>
      <w:r w:rsidR="00566B20">
        <w:t>address</w:t>
      </w:r>
      <w:r w:rsidR="008E35E6">
        <w:t xml:space="preserve"> the technical feasibility of </w:t>
      </w:r>
      <w:r w:rsidR="006247EF">
        <w:t>alternative receive antenna sites other than on Pillar Mountain</w:t>
      </w:r>
      <w:r w:rsidR="008E35E6">
        <w:t xml:space="preserve">.  </w:t>
      </w:r>
      <w:r w:rsidR="006247EF">
        <w:t>Finally</w:t>
      </w:r>
      <w:r w:rsidR="008E35E6">
        <w:t>, we note th</w:t>
      </w:r>
      <w:r w:rsidR="006247EF">
        <w:t xml:space="preserve">at after the Commission </w:t>
      </w:r>
      <w:r w:rsidR="004A6598">
        <w:t xml:space="preserve">previously </w:t>
      </w:r>
      <w:r w:rsidR="006247EF">
        <w:t xml:space="preserve">denied </w:t>
      </w:r>
      <w:r w:rsidR="009034D8">
        <w:t>the</w:t>
      </w:r>
      <w:r w:rsidR="004A6598">
        <w:t xml:space="preserve"> </w:t>
      </w:r>
      <w:r w:rsidR="00F00F3D">
        <w:t xml:space="preserve">“technical necessity” </w:t>
      </w:r>
      <w:r w:rsidR="008E35E6">
        <w:t>signal delivery waiver request for the Kodiak Trans</w:t>
      </w:r>
      <w:r w:rsidR="006247EF">
        <w:t>lators</w:t>
      </w:r>
      <w:r w:rsidR="008E35E6">
        <w:t>,</w:t>
      </w:r>
      <w:r w:rsidR="004A6598">
        <w:t xml:space="preserve"> Peninsula </w:t>
      </w:r>
      <w:r w:rsidR="00566B20">
        <w:t xml:space="preserve">was able to make </w:t>
      </w:r>
      <w:r w:rsidR="00365852">
        <w:t>arrangements for</w:t>
      </w:r>
      <w:r w:rsidR="001F1B12">
        <w:t xml:space="preserve"> alternative receive antenna facilities</w:t>
      </w:r>
      <w:r w:rsidR="008E35E6">
        <w:t>.</w:t>
      </w:r>
      <w:r w:rsidR="008E35E6">
        <w:rPr>
          <w:rStyle w:val="FootnoteReference"/>
        </w:rPr>
        <w:footnoteReference w:id="100"/>
      </w:r>
      <w:r w:rsidR="00F00F3D">
        <w:t xml:space="preserve">  For </w:t>
      </w:r>
      <w:r w:rsidR="004A6598">
        <w:t>all</w:t>
      </w:r>
    </w:p>
    <w:p w14:paraId="244F1AAB" w14:textId="77777777" w:rsidR="00E024FD" w:rsidRDefault="00E024FD">
      <w:pPr>
        <w:rPr>
          <w:snapToGrid w:val="0"/>
          <w:kern w:val="28"/>
          <w:sz w:val="22"/>
        </w:rPr>
      </w:pPr>
      <w:r>
        <w:br w:type="page"/>
      </w:r>
    </w:p>
    <w:p w14:paraId="272B70AE" w14:textId="55AA4C2B" w:rsidR="001E658B" w:rsidRDefault="004A6598" w:rsidP="00E024FD">
      <w:pPr>
        <w:pStyle w:val="ParaNum"/>
        <w:numPr>
          <w:ilvl w:val="0"/>
          <w:numId w:val="0"/>
        </w:numPr>
        <w:jc w:val="left"/>
      </w:pPr>
      <w:r>
        <w:t xml:space="preserve">of </w:t>
      </w:r>
      <w:r w:rsidR="00F00F3D">
        <w:t>these reasons, w</w:t>
      </w:r>
      <w:r w:rsidR="00A879AD" w:rsidRPr="00230021">
        <w:t xml:space="preserve">e conclude that grant of </w:t>
      </w:r>
      <w:bookmarkStart w:id="16" w:name="ctx95"/>
      <w:bookmarkEnd w:id="16"/>
      <w:r w:rsidR="00F00F3D">
        <w:t xml:space="preserve">signal delivery </w:t>
      </w:r>
      <w:r w:rsidR="00A879AD" w:rsidRPr="00230021">
        <w:rPr>
          <w:noProof/>
        </w:rPr>
        <w:drawing>
          <wp:inline distT="0" distB="0" distL="0" distR="0" wp14:anchorId="0EB08722" wp14:editId="253CECA2">
            <wp:extent cx="9525" cy="9525"/>
            <wp:effectExtent l="0" t="0" r="0" b="0"/>
            <wp:docPr id="25" name="Picture 25" descr="previous hi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revious hit">
                      <a:hlinkClick r:id="rId2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879AD" w:rsidRPr="00230021">
        <w:t>waivers</w:t>
      </w:r>
      <w:r w:rsidR="00A879AD" w:rsidRPr="00230021">
        <w:rPr>
          <w:noProof/>
        </w:rPr>
        <w:drawing>
          <wp:inline distT="0" distB="0" distL="0" distR="0" wp14:anchorId="2D4ECF0E" wp14:editId="436A1B83">
            <wp:extent cx="9525" cy="9525"/>
            <wp:effectExtent l="0" t="0" r="0" b="0"/>
            <wp:docPr id="24" name="Picture 24" descr="next h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ext hit">
                      <a:hlinkClick r:id="rId2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D506C">
        <w:t xml:space="preserve"> </w:t>
      </w:r>
      <w:r w:rsidR="00A879AD" w:rsidRPr="00230021">
        <w:t xml:space="preserve">for the </w:t>
      </w:r>
      <w:bookmarkStart w:id="17" w:name="ctx96"/>
      <w:bookmarkEnd w:id="17"/>
      <w:r w:rsidR="00A879AD" w:rsidRPr="00230021">
        <w:rPr>
          <w:noProof/>
        </w:rPr>
        <w:drawing>
          <wp:inline distT="0" distB="0" distL="0" distR="0" wp14:anchorId="58AE38BF" wp14:editId="2EC3CE28">
            <wp:extent cx="9525" cy="9525"/>
            <wp:effectExtent l="0" t="0" r="0" b="0"/>
            <wp:docPr id="23" name="Picture 23" descr="previous h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revious hit">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879AD" w:rsidRPr="00230021">
        <w:t>Kodiak</w:t>
      </w:r>
      <w:r w:rsidR="00A879AD" w:rsidRPr="00230021">
        <w:rPr>
          <w:noProof/>
        </w:rPr>
        <w:drawing>
          <wp:inline distT="0" distB="0" distL="0" distR="0" wp14:anchorId="28C8950C" wp14:editId="320AAFE6">
            <wp:extent cx="9525" cy="9525"/>
            <wp:effectExtent l="0" t="0" r="0" b="0"/>
            <wp:docPr id="22" name="Picture 22" descr="next hi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ext hit">
                      <a:hlinkClick r:id="rId2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00F3D">
        <w:t xml:space="preserve"> T</w:t>
      </w:r>
      <w:r w:rsidR="00A879AD" w:rsidRPr="00230021">
        <w:t>ranslators is not warranted.</w:t>
      </w:r>
      <w:r w:rsidR="000762EE">
        <w:t xml:space="preserve">  Therefore, because the Kodiak Translators are currently in compliance with the signal delivery rule, there is no need for conditional grant of the Assignment Applications with respect to the Kodiak Translators.</w:t>
      </w:r>
    </w:p>
    <w:p w14:paraId="08B2A6E1" w14:textId="4AE65C23" w:rsidR="00B315DA" w:rsidRDefault="0078177A" w:rsidP="009740C5">
      <w:pPr>
        <w:pStyle w:val="ParaNum"/>
        <w:numPr>
          <w:ilvl w:val="0"/>
          <w:numId w:val="0"/>
        </w:numPr>
        <w:ind w:firstLine="720"/>
        <w:jc w:val="left"/>
      </w:pPr>
      <w:r w:rsidRPr="00445394">
        <w:rPr>
          <w:i/>
        </w:rPr>
        <w:t>Seward waivers.</w:t>
      </w:r>
      <w:r w:rsidR="008E35E6" w:rsidRPr="00445394">
        <w:rPr>
          <w:i/>
        </w:rPr>
        <w:t xml:space="preserve"> </w:t>
      </w:r>
      <w:r w:rsidRPr="00445394">
        <w:rPr>
          <w:i/>
        </w:rPr>
        <w:t xml:space="preserve"> </w:t>
      </w:r>
      <w:r w:rsidR="001575F8">
        <w:t xml:space="preserve">As </w:t>
      </w:r>
      <w:r w:rsidR="00F00F3D">
        <w:t>with the Kodiak Translators, t</w:t>
      </w:r>
      <w:r w:rsidR="001575F8">
        <w:t>he Seward Translators do not serve, and have never served, a white area.</w:t>
      </w:r>
      <w:r w:rsidR="001575F8">
        <w:rPr>
          <w:rStyle w:val="FootnoteReference"/>
        </w:rPr>
        <w:footnoteReference w:id="101"/>
      </w:r>
      <w:r w:rsidR="001575F8">
        <w:t xml:space="preserve">  Although it appears that Seward has</w:t>
      </w:r>
      <w:r w:rsidR="001C4BE5">
        <w:t xml:space="preserve"> now</w:t>
      </w:r>
      <w:r w:rsidR="001575F8">
        <w:t xml:space="preserve"> become a “commercial white area” in that its remaining full service stations are NCE stations, we nonetheless</w:t>
      </w:r>
      <w:r w:rsidR="00E84B36">
        <w:t xml:space="preserve"> </w:t>
      </w:r>
      <w:r w:rsidR="001575F8">
        <w:t>conclude that in these circumst</w:t>
      </w:r>
      <w:r w:rsidR="00B315DA">
        <w:t>ances waiver is not warranted</w:t>
      </w:r>
      <w:r w:rsidR="00B356BA">
        <w:t>, for the following reasons</w:t>
      </w:r>
      <w:r w:rsidR="00B315DA">
        <w:t xml:space="preserve">. </w:t>
      </w:r>
    </w:p>
    <w:p w14:paraId="0480D62B" w14:textId="57C2728A" w:rsidR="00445394" w:rsidRDefault="00B315DA" w:rsidP="009740C5">
      <w:pPr>
        <w:pStyle w:val="ParaNum"/>
        <w:numPr>
          <w:ilvl w:val="0"/>
          <w:numId w:val="0"/>
        </w:numPr>
        <w:ind w:firstLine="720"/>
        <w:jc w:val="left"/>
      </w:pPr>
      <w:r>
        <w:t>T</w:t>
      </w:r>
      <w:r w:rsidR="001575F8">
        <w:t>he signal delivery rule</w:t>
      </w:r>
      <w:r w:rsidR="00E84B36">
        <w:t xml:space="preserve"> </w:t>
      </w:r>
      <w:r w:rsidR="00F43817">
        <w:t>imposes</w:t>
      </w:r>
      <w:r w:rsidR="001575F8">
        <w:t xml:space="preserve"> a geographic l</w:t>
      </w:r>
      <w:r w:rsidR="00791B4D">
        <w:t xml:space="preserve">imitation on the expansion of </w:t>
      </w:r>
      <w:r w:rsidR="001575F8">
        <w:t>primary station</w:t>
      </w:r>
      <w:r w:rsidR="00791B4D">
        <w:t>s</w:t>
      </w:r>
      <w:r w:rsidR="001575F8">
        <w:t xml:space="preserve"> </w:t>
      </w:r>
      <w:r w:rsidR="00791B4D">
        <w:t xml:space="preserve">into other markets </w:t>
      </w:r>
      <w:r w:rsidR="00F43817">
        <w:t>via</w:t>
      </w:r>
      <w:r w:rsidR="002C7475">
        <w:t xml:space="preserve"> “other area” translators</w:t>
      </w:r>
      <w:r w:rsidR="00791B4D">
        <w:t>.</w:t>
      </w:r>
      <w:r w:rsidR="000E77FD">
        <w:t xml:space="preserve">  </w:t>
      </w:r>
      <w:r w:rsidR="00AE150C" w:rsidRPr="00AE150C">
        <w:t>The purpose of this and the other translator rules adopted</w:t>
      </w:r>
      <w:r w:rsidR="00AE150C">
        <w:t xml:space="preserve"> or revised in 1990 </w:t>
      </w:r>
      <w:r w:rsidR="00EF0569">
        <w:t>was</w:t>
      </w:r>
      <w:r w:rsidR="00377303">
        <w:t xml:space="preserve"> to ensure that </w:t>
      </w:r>
      <w:r w:rsidR="00EF0569">
        <w:t xml:space="preserve">the </w:t>
      </w:r>
      <w:r w:rsidR="00377303">
        <w:t xml:space="preserve">translator service </w:t>
      </w:r>
      <w:r w:rsidR="00EF0569">
        <w:t>“</w:t>
      </w:r>
      <w:r w:rsidR="00377303">
        <w:t>does not adversely affect the operation of [full service] FM radio broadcast stations</w:t>
      </w:r>
      <w:r w:rsidR="00AE150C">
        <w:t>.”</w:t>
      </w:r>
      <w:r w:rsidR="00AE150C">
        <w:rPr>
          <w:rStyle w:val="FootnoteReference"/>
        </w:rPr>
        <w:footnoteReference w:id="102"/>
      </w:r>
      <w:r w:rsidR="00AE150C" w:rsidRPr="00AE150C">
        <w:t xml:space="preserve"> </w:t>
      </w:r>
      <w:r w:rsidR="00AE150C">
        <w:t xml:space="preserve"> </w:t>
      </w:r>
      <w:r w:rsidR="00AE150C" w:rsidRPr="00AE150C">
        <w:t xml:space="preserve">The Commission has held that ‘to the </w:t>
      </w:r>
      <w:r w:rsidR="009740C5">
        <w:t>e</w:t>
      </w:r>
      <w:r w:rsidR="00AE150C" w:rsidRPr="00AE150C">
        <w:t>xtent that translator service is desirable beyond a station's predicted service contour, the over-the-air signal will generally be suitable for rebroadcast.</w:t>
      </w:r>
      <w:r w:rsidR="00AE150C">
        <w:t>”</w:t>
      </w:r>
      <w:r w:rsidR="00AE150C">
        <w:rPr>
          <w:rStyle w:val="FootnoteReference"/>
        </w:rPr>
        <w:footnoteReference w:id="103"/>
      </w:r>
      <w:r w:rsidR="00AE150C" w:rsidRPr="00AE150C">
        <w:t xml:space="preserve">  </w:t>
      </w:r>
      <w:r w:rsidR="001575F8">
        <w:t>For years, the Seward Translators operated in violation of</w:t>
      </w:r>
      <w:r w:rsidR="00E84B36">
        <w:t xml:space="preserve"> this and other translator restrictions</w:t>
      </w:r>
      <w:r w:rsidR="001575F8">
        <w:t xml:space="preserve">, </w:t>
      </w:r>
      <w:r w:rsidR="00F43817">
        <w:t>placing “</w:t>
      </w:r>
      <w:r w:rsidR="001575F8" w:rsidRPr="00F11865">
        <w:t>its own economic interests ahead of the Commission's regulatory</w:t>
      </w:r>
      <w:r w:rsidR="001575F8">
        <w:t xml:space="preserve"> </w:t>
      </w:r>
      <w:r w:rsidR="001575F8" w:rsidRPr="00F11865">
        <w:t>scheme and the public interest in having honest competition.</w:t>
      </w:r>
      <w:r w:rsidR="001575F8">
        <w:t>”</w:t>
      </w:r>
      <w:r w:rsidR="001575F8">
        <w:rPr>
          <w:rStyle w:val="FootnoteReference"/>
        </w:rPr>
        <w:footnoteReference w:id="104"/>
      </w:r>
      <w:r w:rsidR="001575F8">
        <w:t xml:space="preserve">  </w:t>
      </w:r>
      <w:r w:rsidR="00F43817">
        <w:t>Predictably</w:t>
      </w:r>
      <w:r w:rsidR="0087558C">
        <w:t>,</w:t>
      </w:r>
      <w:r w:rsidR="00F43817">
        <w:t xml:space="preserve"> these </w:t>
      </w:r>
      <w:r w:rsidR="0087558C">
        <w:t xml:space="preserve">long term </w:t>
      </w:r>
      <w:r w:rsidR="00F43817">
        <w:t xml:space="preserve">rule violations resulted in </w:t>
      </w:r>
      <w:r w:rsidR="0087558C">
        <w:t xml:space="preserve">substantial </w:t>
      </w:r>
      <w:r w:rsidR="00F43817">
        <w:t xml:space="preserve">economic damage to local full service stations in </w:t>
      </w:r>
      <w:r w:rsidR="0015034B">
        <w:t>Seward,</w:t>
      </w:r>
      <w:r w:rsidR="00F43817">
        <w:t xml:space="preserve"> as amply </w:t>
      </w:r>
      <w:r w:rsidR="00D12EDA">
        <w:t>demonstrated</w:t>
      </w:r>
      <w:r w:rsidR="00F43817">
        <w:t xml:space="preserve"> on the record</w:t>
      </w:r>
      <w:r w:rsidR="0015034B">
        <w:t xml:space="preserve"> by </w:t>
      </w:r>
      <w:r w:rsidR="00B051F9">
        <w:t xml:space="preserve">at least </w:t>
      </w:r>
      <w:r w:rsidR="0015034B">
        <w:t>three different full service licensees</w:t>
      </w:r>
      <w:r w:rsidR="00F43817">
        <w:t>.</w:t>
      </w:r>
      <w:r w:rsidR="00F43817">
        <w:rPr>
          <w:rStyle w:val="FootnoteReference"/>
        </w:rPr>
        <w:footnoteReference w:id="105"/>
      </w:r>
      <w:r w:rsidR="0087558C">
        <w:t xml:space="preserve">  </w:t>
      </w:r>
      <w:r w:rsidR="0015034B">
        <w:t xml:space="preserve">Ultimately, the licensee of </w:t>
      </w:r>
      <w:r w:rsidR="00720B79">
        <w:t>K</w:t>
      </w:r>
      <w:r w:rsidR="00213C0D">
        <w:t>PFN</w:t>
      </w:r>
      <w:r w:rsidR="00720B79">
        <w:t xml:space="preserve"> </w:t>
      </w:r>
      <w:r w:rsidR="00213C0D">
        <w:t xml:space="preserve">(now KKNI) </w:t>
      </w:r>
      <w:r w:rsidR="00B051F9">
        <w:t>moved KPFN</w:t>
      </w:r>
      <w:r w:rsidR="00720B79">
        <w:t xml:space="preserve"> to Sterling, Alaska, citing financial difficulties </w:t>
      </w:r>
      <w:r w:rsidR="00FE4D85">
        <w:t>caused by</w:t>
      </w:r>
      <w:r w:rsidR="00D12EDA">
        <w:t>, inter alia, translator</w:t>
      </w:r>
      <w:r w:rsidR="00FE4D85">
        <w:t xml:space="preserve"> competition for the “limited revenue” available in Seward.</w:t>
      </w:r>
      <w:r w:rsidR="00FE4D85">
        <w:rPr>
          <w:rStyle w:val="FootnoteReference"/>
        </w:rPr>
        <w:footnoteReference w:id="106"/>
      </w:r>
      <w:r w:rsidR="00FE4D85">
        <w:t xml:space="preserve">  </w:t>
      </w:r>
      <w:r w:rsidR="00AD5BA6">
        <w:t>The license for KSWD (now DKSEW) terminated on February 1, 2014</w:t>
      </w:r>
      <w:r w:rsidR="00CD3B07">
        <w:t>, apparently also due to financial distress</w:t>
      </w:r>
      <w:r w:rsidR="00AD5BA6">
        <w:t>.</w:t>
      </w:r>
      <w:r w:rsidR="00AD5BA6">
        <w:rPr>
          <w:rStyle w:val="FootnoteReference"/>
        </w:rPr>
        <w:footnoteReference w:id="107"/>
      </w:r>
      <w:r w:rsidR="00AD5BA6">
        <w:t xml:space="preserve">  </w:t>
      </w:r>
      <w:r w:rsidR="00B051F9">
        <w:t>Given this history, w</w:t>
      </w:r>
      <w:r w:rsidR="001575F8">
        <w:t>e conclude that Peninsula should not</w:t>
      </w:r>
      <w:r w:rsidR="00B051F9">
        <w:t xml:space="preserve"> </w:t>
      </w:r>
      <w:r w:rsidR="00925841">
        <w:t>be allowed to</w:t>
      </w:r>
      <w:r w:rsidR="00B051F9">
        <w:t xml:space="preserve"> reap the</w:t>
      </w:r>
      <w:r w:rsidR="001575F8">
        <w:t xml:space="preserve"> benefit </w:t>
      </w:r>
      <w:r w:rsidR="00B051F9">
        <w:t xml:space="preserve">of </w:t>
      </w:r>
      <w:r w:rsidR="00D12EDA">
        <w:t xml:space="preserve">a </w:t>
      </w:r>
      <w:r w:rsidR="00B356BA">
        <w:t>s</w:t>
      </w:r>
      <w:r w:rsidR="00D12EDA">
        <w:t xml:space="preserve">ituation </w:t>
      </w:r>
      <w:r w:rsidR="00B051F9">
        <w:t>caused, at least in part, by</w:t>
      </w:r>
      <w:r w:rsidR="001575F8">
        <w:t xml:space="preserve"> its own </w:t>
      </w:r>
      <w:r w:rsidR="00DF65C4">
        <w:t>non</w:t>
      </w:r>
      <w:r w:rsidR="00CD3B07">
        <w:t>-</w:t>
      </w:r>
      <w:r w:rsidR="00DF65C4">
        <w:t>compliant</w:t>
      </w:r>
      <w:r w:rsidR="001575F8">
        <w:t xml:space="preserve"> translator operations.  </w:t>
      </w:r>
    </w:p>
    <w:p w14:paraId="43E90DA2" w14:textId="21FC7BA1" w:rsidR="001E658B" w:rsidRDefault="00B051F9" w:rsidP="009740C5">
      <w:pPr>
        <w:pStyle w:val="ParaNum"/>
        <w:numPr>
          <w:ilvl w:val="0"/>
          <w:numId w:val="0"/>
        </w:numPr>
        <w:ind w:firstLine="720"/>
        <w:jc w:val="left"/>
      </w:pPr>
      <w:r>
        <w:t>Moreover</w:t>
      </w:r>
      <w:r w:rsidR="00B315DA">
        <w:t>, Peninsula can</w:t>
      </w:r>
      <w:r w:rsidR="004D5901">
        <w:t>not</w:t>
      </w:r>
      <w:r w:rsidR="00B315DA">
        <w:t xml:space="preserve"> </w:t>
      </w:r>
      <w:r>
        <w:t xml:space="preserve">now </w:t>
      </w:r>
      <w:r w:rsidR="00B315DA">
        <w:t>claim to provide first or even second commercial FM coverage to Seward</w:t>
      </w:r>
      <w:r w:rsidR="00B356BA">
        <w:t>, as that</w:t>
      </w:r>
      <w:r w:rsidR="00B315DA">
        <w:t xml:space="preserve"> community is currently served by at least </w:t>
      </w:r>
      <w:r w:rsidR="00C27C9F">
        <w:t>f</w:t>
      </w:r>
      <w:r w:rsidR="00993C26">
        <w:t>our</w:t>
      </w:r>
      <w:r w:rsidR="00B315DA">
        <w:t xml:space="preserve"> other</w:t>
      </w:r>
      <w:r w:rsidR="00C27C9F">
        <w:t xml:space="preserve"> commercial</w:t>
      </w:r>
      <w:r w:rsidR="00B315DA">
        <w:t xml:space="preserve"> FM translators, including translators already rebroadcasting Peninsula primary stations KXBA and KPEN.</w:t>
      </w:r>
      <w:r w:rsidR="00B315DA">
        <w:rPr>
          <w:rStyle w:val="FootnoteReference"/>
        </w:rPr>
        <w:footnoteReference w:id="108"/>
      </w:r>
      <w:r w:rsidR="00B315DA">
        <w:t xml:space="preserve">  </w:t>
      </w:r>
      <w:r w:rsidR="00925841">
        <w:t>We find that</w:t>
      </w:r>
      <w:r w:rsidR="0047451E">
        <w:t xml:space="preserve"> </w:t>
      </w:r>
      <w:r>
        <w:t>the</w:t>
      </w:r>
      <w:r w:rsidR="00B315DA">
        <w:t xml:space="preserve"> public interest in </w:t>
      </w:r>
      <w:r w:rsidR="00B356BA">
        <w:t xml:space="preserve">grant of </w:t>
      </w:r>
      <w:r w:rsidR="00D12EDA">
        <w:t xml:space="preserve">a waiver to </w:t>
      </w:r>
      <w:r w:rsidR="0047451E">
        <w:t xml:space="preserve">provide two additional translator signals to a community already well supplied with </w:t>
      </w:r>
      <w:r w:rsidR="00B8125A">
        <w:t xml:space="preserve">out-of-market </w:t>
      </w:r>
      <w:r w:rsidR="0047451E">
        <w:t>programming</w:t>
      </w:r>
      <w:r w:rsidR="00D12EDA">
        <w:t xml:space="preserve"> is minimal</w:t>
      </w:r>
      <w:r w:rsidR="008E7C8E">
        <w:t>, especially considering the concomitant risk to t</w:t>
      </w:r>
      <w:r w:rsidR="00B8125A">
        <w:t>he viability of local full service</w:t>
      </w:r>
      <w:r w:rsidR="008E7C8E">
        <w:t xml:space="preserve"> stations</w:t>
      </w:r>
      <w:r w:rsidR="00B315DA">
        <w:t>.</w:t>
      </w:r>
    </w:p>
    <w:p w14:paraId="4670218C" w14:textId="0DBA75E0" w:rsidR="00F34D87" w:rsidRPr="00FC0E43" w:rsidRDefault="009740C5" w:rsidP="009740C5">
      <w:pPr>
        <w:pStyle w:val="ParaNum"/>
        <w:numPr>
          <w:ilvl w:val="0"/>
          <w:numId w:val="0"/>
        </w:numPr>
        <w:ind w:firstLine="720"/>
        <w:jc w:val="left"/>
        <w:rPr>
          <w:i/>
        </w:rPr>
      </w:pPr>
      <w:r>
        <w:t>Finally, w</w:t>
      </w:r>
      <w:r w:rsidR="004C4346">
        <w:t xml:space="preserve">e </w:t>
      </w:r>
      <w:r w:rsidR="00C358A4">
        <w:t xml:space="preserve">reject </w:t>
      </w:r>
      <w:r w:rsidR="004C4346">
        <w:t xml:space="preserve">Peninsula’s contention that </w:t>
      </w:r>
      <w:r w:rsidR="00C358A4">
        <w:t xml:space="preserve">its </w:t>
      </w:r>
      <w:r w:rsidR="0062222F">
        <w:t>initial</w:t>
      </w:r>
      <w:r w:rsidR="00C358A4">
        <w:t xml:space="preserve"> expenditures </w:t>
      </w:r>
      <w:r w:rsidR="0062222F">
        <w:t xml:space="preserve">on the Seward translator and satellite facilities </w:t>
      </w:r>
      <w:r w:rsidR="00C358A4">
        <w:t xml:space="preserve">justify its </w:t>
      </w:r>
      <w:r w:rsidR="001A7240">
        <w:t>W</w:t>
      </w:r>
      <w:r w:rsidR="004C4346">
        <w:t>aiver</w:t>
      </w:r>
      <w:r w:rsidR="001A7240">
        <w:t xml:space="preserve"> R</w:t>
      </w:r>
      <w:r w:rsidR="00C358A4">
        <w:t>equests.</w:t>
      </w:r>
      <w:r w:rsidR="002B6FB3">
        <w:t xml:space="preserve">  </w:t>
      </w:r>
      <w:r w:rsidR="0062222F">
        <w:t>First, t</w:t>
      </w:r>
      <w:r w:rsidR="00C358A4">
        <w:t>hese expenditures occurred well before the Commission terminated the Seward Waivers in 2003</w:t>
      </w:r>
      <w:r w:rsidR="0062222F">
        <w:t xml:space="preserve">.  Therefore, </w:t>
      </w:r>
      <w:r w:rsidR="00C358A4">
        <w:t xml:space="preserve">Peninsula’s </w:t>
      </w:r>
      <w:r>
        <w:t xml:space="preserve">equitable reliance </w:t>
      </w:r>
      <w:r w:rsidR="00C358A4">
        <w:t xml:space="preserve">argument </w:t>
      </w:r>
      <w:r w:rsidR="0062222F">
        <w:t>is more appropriately c</w:t>
      </w:r>
      <w:r>
        <w:t>haracterized as</w:t>
      </w:r>
      <w:r w:rsidR="0062222F">
        <w:t xml:space="preserve"> </w:t>
      </w:r>
      <w:r w:rsidR="00C358A4">
        <w:t xml:space="preserve">an untimely petition for reconsideration of the </w:t>
      </w:r>
      <w:r w:rsidR="00C358A4">
        <w:rPr>
          <w:i/>
        </w:rPr>
        <w:t>Seward Waiver Termination Order</w:t>
      </w:r>
      <w:r w:rsidR="0062222F">
        <w:rPr>
          <w:i/>
        </w:rPr>
        <w:t xml:space="preserve"> </w:t>
      </w:r>
      <w:r w:rsidR="0062222F">
        <w:t>than a justification for a new waiver</w:t>
      </w:r>
      <w:r w:rsidR="00C358A4">
        <w:rPr>
          <w:i/>
        </w:rPr>
        <w:t>.</w:t>
      </w:r>
      <w:r w:rsidR="00C358A4" w:rsidRPr="00485BDB">
        <w:rPr>
          <w:rStyle w:val="FootnoteReference"/>
        </w:rPr>
        <w:footnoteReference w:id="109"/>
      </w:r>
      <w:r w:rsidR="00B442EC">
        <w:t xml:space="preserve">  </w:t>
      </w:r>
      <w:r w:rsidR="0062222F">
        <w:rPr>
          <w:szCs w:val="22"/>
        </w:rPr>
        <w:t>Moreover</w:t>
      </w:r>
      <w:r w:rsidR="00F34D87">
        <w:rPr>
          <w:szCs w:val="22"/>
        </w:rPr>
        <w:t>, it appears that the only C-band satellite earth station (SES) currently licensed to Peninsula is call sign E970280, Homer, Alaska (Homer SES).</w:t>
      </w:r>
      <w:r w:rsidR="00F34D87">
        <w:rPr>
          <w:rStyle w:val="FootnoteReference"/>
          <w:szCs w:val="22"/>
        </w:rPr>
        <w:footnoteReference w:id="110"/>
      </w:r>
      <w:r w:rsidR="00F34D87">
        <w:rPr>
          <w:szCs w:val="22"/>
        </w:rPr>
        <w:t xml:space="preserve">  The Homer SES is co-located with Peninsula station KGTL, more than 80 miles from Seward across extremely mountainous terrain, and </w:t>
      </w:r>
      <w:r w:rsidR="00390382">
        <w:rPr>
          <w:szCs w:val="22"/>
        </w:rPr>
        <w:t xml:space="preserve">therefore cannot be said </w:t>
      </w:r>
      <w:r w:rsidR="00F34D87">
        <w:rPr>
          <w:szCs w:val="22"/>
        </w:rPr>
        <w:t xml:space="preserve">to “link Seward.” </w:t>
      </w:r>
      <w:r w:rsidR="00390382">
        <w:rPr>
          <w:szCs w:val="22"/>
        </w:rPr>
        <w:t xml:space="preserve"> </w:t>
      </w:r>
      <w:r w:rsidR="00485BDB">
        <w:rPr>
          <w:szCs w:val="22"/>
        </w:rPr>
        <w:t>T</w:t>
      </w:r>
      <w:r w:rsidR="00F34D87">
        <w:rPr>
          <w:szCs w:val="22"/>
        </w:rPr>
        <w:t>he Homer SES was licensed in 1997, after the Commission had</w:t>
      </w:r>
      <w:r w:rsidR="00390382">
        <w:rPr>
          <w:szCs w:val="22"/>
        </w:rPr>
        <w:t xml:space="preserve"> </w:t>
      </w:r>
      <w:r w:rsidR="00485BDB">
        <w:rPr>
          <w:szCs w:val="22"/>
        </w:rPr>
        <w:t>determined</w:t>
      </w:r>
      <w:r w:rsidR="00390382">
        <w:rPr>
          <w:szCs w:val="22"/>
        </w:rPr>
        <w:t xml:space="preserve"> </w:t>
      </w:r>
      <w:r w:rsidR="00F34D87">
        <w:rPr>
          <w:szCs w:val="22"/>
        </w:rPr>
        <w:t>that “neither continuation of the ownership waivers previously granted to Peninsula’s two Seward translators, nor a grant of waivers in the first instance to seven other translators, is warranted.”</w:t>
      </w:r>
      <w:r w:rsidR="00F34D87">
        <w:rPr>
          <w:rStyle w:val="FootnoteReference"/>
          <w:szCs w:val="22"/>
        </w:rPr>
        <w:footnoteReference w:id="111"/>
      </w:r>
      <w:r w:rsidR="00F34D87">
        <w:rPr>
          <w:szCs w:val="22"/>
        </w:rPr>
        <w:t xml:space="preserve">  Therefore, </w:t>
      </w:r>
      <w:r w:rsidR="00974EDC">
        <w:rPr>
          <w:szCs w:val="22"/>
        </w:rPr>
        <w:t>we cannot credit Peninsula’s assertion that it built its satellite facilities “without ever suspecting that FCC permission to serve Seward would ever be arbitrarily denied or rescinded in the future</w:t>
      </w:r>
      <w:r w:rsidR="00F34D87">
        <w:rPr>
          <w:szCs w:val="22"/>
        </w:rPr>
        <w:t>.</w:t>
      </w:r>
      <w:r w:rsidR="00974EDC">
        <w:rPr>
          <w:szCs w:val="22"/>
        </w:rPr>
        <w:t>”</w:t>
      </w:r>
      <w:r w:rsidR="00974EDC">
        <w:rPr>
          <w:rStyle w:val="FootnoteReference"/>
          <w:szCs w:val="22"/>
        </w:rPr>
        <w:footnoteReference w:id="112"/>
      </w:r>
      <w:r w:rsidR="0062222F">
        <w:rPr>
          <w:szCs w:val="22"/>
        </w:rPr>
        <w:t xml:space="preserve"> </w:t>
      </w:r>
      <w:r w:rsidR="00390382">
        <w:rPr>
          <w:szCs w:val="22"/>
        </w:rPr>
        <w:t xml:space="preserve"> For these reasons, </w:t>
      </w:r>
      <w:r w:rsidR="001A7240">
        <w:rPr>
          <w:szCs w:val="22"/>
        </w:rPr>
        <w:t xml:space="preserve">we find that </w:t>
      </w:r>
      <w:r w:rsidR="00390382">
        <w:rPr>
          <w:szCs w:val="22"/>
        </w:rPr>
        <w:t xml:space="preserve">Peninsula’s equitable reliance argument </w:t>
      </w:r>
      <w:r w:rsidR="001F1B12">
        <w:rPr>
          <w:szCs w:val="22"/>
        </w:rPr>
        <w:t>does not support its Waiver Requests</w:t>
      </w:r>
      <w:r w:rsidR="00390382">
        <w:rPr>
          <w:szCs w:val="22"/>
        </w:rPr>
        <w:t>.</w:t>
      </w:r>
    </w:p>
    <w:p w14:paraId="5CA78DCA" w14:textId="431EB51C" w:rsidR="003E04BD" w:rsidRDefault="00A0682A" w:rsidP="009740C5">
      <w:pPr>
        <w:pStyle w:val="ParaNum"/>
        <w:numPr>
          <w:ilvl w:val="0"/>
          <w:numId w:val="0"/>
        </w:numPr>
        <w:ind w:firstLine="720"/>
        <w:jc w:val="left"/>
        <w:rPr>
          <w:szCs w:val="22"/>
        </w:rPr>
      </w:pPr>
      <w:r>
        <w:t xml:space="preserve">In conclusion, </w:t>
      </w:r>
      <w:r w:rsidR="00485BDB">
        <w:t>in the absence of a “white area” showing,</w:t>
      </w:r>
      <w:r>
        <w:t xml:space="preserve"> </w:t>
      </w:r>
      <w:r w:rsidR="001A7240">
        <w:t>we find that the Waiver Requests</w:t>
      </w:r>
      <w:r w:rsidR="00485BDB">
        <w:t xml:space="preserve"> are</w:t>
      </w:r>
      <w:r w:rsidR="007127EE">
        <w:t xml:space="preserve"> not </w:t>
      </w:r>
      <w:r w:rsidR="0002241A">
        <w:t>justified</w:t>
      </w:r>
      <w:r w:rsidR="007127EE">
        <w:t xml:space="preserve"> by Peninsula’s </w:t>
      </w:r>
      <w:r w:rsidR="0047451E">
        <w:t>remaining arguments, especially given the demonstrated risk to local full service</w:t>
      </w:r>
      <w:r w:rsidR="008D02DA">
        <w:t xml:space="preserve"> stations</w:t>
      </w:r>
      <w:r w:rsidR="0047451E">
        <w:t xml:space="preserve">.  </w:t>
      </w:r>
      <w:r w:rsidR="00255B60">
        <w:t>In this respect</w:t>
      </w:r>
      <w:r w:rsidR="00255B60">
        <w:rPr>
          <w:szCs w:val="22"/>
        </w:rPr>
        <w:t xml:space="preserve">, we note </w:t>
      </w:r>
      <w:r w:rsidR="009034D8">
        <w:rPr>
          <w:szCs w:val="22"/>
        </w:rPr>
        <w:t xml:space="preserve">record evidence </w:t>
      </w:r>
      <w:r w:rsidR="00255B60">
        <w:rPr>
          <w:szCs w:val="22"/>
        </w:rPr>
        <w:t xml:space="preserve">that </w:t>
      </w:r>
      <w:r w:rsidR="00255B60">
        <w:t>when Peninsula’s Kodiak Translators were previously silent (or rebroadcasting programming of the Kodiak Community Church), competing full power commercial stations licensed to Kodiak increased their advertising revenues.</w:t>
      </w:r>
      <w:r w:rsidR="00255B60">
        <w:rPr>
          <w:rStyle w:val="FootnoteReference"/>
        </w:rPr>
        <w:footnoteReference w:id="113"/>
      </w:r>
      <w:r w:rsidR="00255B60">
        <w:t xml:space="preserve">  </w:t>
      </w:r>
      <w:r w:rsidR="00695695">
        <w:t xml:space="preserve">In keeping with the Commission’s longstanding policy that the translator rules “will best serve the public interest by promoting incentives for primary station development,” we anticipate </w:t>
      </w:r>
      <w:r w:rsidR="00695695">
        <w:rPr>
          <w:szCs w:val="22"/>
        </w:rPr>
        <w:t>that our action today</w:t>
      </w:r>
      <w:r w:rsidR="00255B60">
        <w:rPr>
          <w:szCs w:val="22"/>
        </w:rPr>
        <w:t xml:space="preserve"> will help restore a healthy competitive ecosystem in Seward</w:t>
      </w:r>
      <w:r w:rsidR="00D8126E">
        <w:rPr>
          <w:szCs w:val="22"/>
        </w:rPr>
        <w:t xml:space="preserve"> and facilitate</w:t>
      </w:r>
      <w:r w:rsidR="008D02DA">
        <w:rPr>
          <w:szCs w:val="22"/>
        </w:rPr>
        <w:t xml:space="preserve"> the re-establishment of </w:t>
      </w:r>
      <w:r w:rsidR="00255B60">
        <w:rPr>
          <w:szCs w:val="22"/>
        </w:rPr>
        <w:t>local full power radio service.</w:t>
      </w:r>
      <w:r w:rsidR="00695695">
        <w:rPr>
          <w:rStyle w:val="FootnoteReference"/>
          <w:szCs w:val="22"/>
        </w:rPr>
        <w:footnoteReference w:id="114"/>
      </w:r>
    </w:p>
    <w:p w14:paraId="3FB7BDCE" w14:textId="4D63FA22" w:rsidR="00F545C4" w:rsidRDefault="00347F49" w:rsidP="00734FAE">
      <w:pPr>
        <w:pStyle w:val="ParaNum"/>
        <w:numPr>
          <w:ilvl w:val="0"/>
          <w:numId w:val="0"/>
        </w:numPr>
        <w:ind w:firstLine="720"/>
        <w:jc w:val="left"/>
      </w:pPr>
      <w:r>
        <w:rPr>
          <w:i/>
        </w:rPr>
        <w:t xml:space="preserve">Compliance </w:t>
      </w:r>
      <w:r w:rsidR="00AB5232">
        <w:rPr>
          <w:i/>
        </w:rPr>
        <w:t>affidavits</w:t>
      </w:r>
      <w:r>
        <w:rPr>
          <w:i/>
        </w:rPr>
        <w:t xml:space="preserve">.  </w:t>
      </w:r>
      <w:r w:rsidR="00045212">
        <w:t>With</w:t>
      </w:r>
      <w:r w:rsidR="003825DC">
        <w:t xml:space="preserve"> respect to the Seward Translators, </w:t>
      </w:r>
      <w:r w:rsidR="00734FAE">
        <w:t xml:space="preserve">Peninsula has not </w:t>
      </w:r>
      <w:r w:rsidR="009B60D4">
        <w:t xml:space="preserve">yet </w:t>
      </w:r>
      <w:r w:rsidR="00734FAE">
        <w:t xml:space="preserve">satisfied </w:t>
      </w:r>
      <w:r w:rsidR="009B60D4">
        <w:t xml:space="preserve">the renewal </w:t>
      </w:r>
      <w:r w:rsidR="00734FAE">
        <w:t>condition that it certify “under penalty of perjury that all translator stations associated with the 2005 and 2013 KPEN and KWVV Renewal Applications, respectively are now operating in compliance with Section 74.1231(b), stating in detail how such compliance was achieved (i.e., the method by which each translator currently receives its rebroadcast signal), and/or certifying that any non-compliant translator stations have ceased operations.”</w:t>
      </w:r>
      <w:r w:rsidR="00B8125A">
        <w:rPr>
          <w:rStyle w:val="FootnoteReference"/>
        </w:rPr>
        <w:footnoteReference w:id="115"/>
      </w:r>
      <w:r w:rsidR="00734FAE">
        <w:t xml:space="preserve">  </w:t>
      </w:r>
      <w:r w:rsidR="00607B4D">
        <w:t xml:space="preserve">Although the </w:t>
      </w:r>
      <w:r w:rsidR="00607B4D">
        <w:rPr>
          <w:i/>
        </w:rPr>
        <w:t>Renewal Decision</w:t>
      </w:r>
      <w:r w:rsidR="008B4C91">
        <w:t>, by its terms,</w:t>
      </w:r>
      <w:r w:rsidR="00607B4D">
        <w:rPr>
          <w:i/>
        </w:rPr>
        <w:t xml:space="preserve"> </w:t>
      </w:r>
      <w:r w:rsidR="00607B4D">
        <w:t xml:space="preserve">requires a </w:t>
      </w:r>
      <w:r w:rsidR="008B4C91">
        <w:t xml:space="preserve">single </w:t>
      </w:r>
      <w:r w:rsidR="00607B4D">
        <w:t xml:space="preserve">compliance showing </w:t>
      </w:r>
      <w:r w:rsidR="00F545C4">
        <w:t>covering</w:t>
      </w:r>
      <w:r w:rsidR="00607B4D">
        <w:t xml:space="preserve"> </w:t>
      </w:r>
      <w:r w:rsidR="00607B4D" w:rsidRPr="00F545C4">
        <w:t xml:space="preserve">all </w:t>
      </w:r>
      <w:r w:rsidR="00607B4D">
        <w:t>Stations, we consider it appropriate and equitable</w:t>
      </w:r>
      <w:r w:rsidR="008B4C91">
        <w:t xml:space="preserve"> at this point</w:t>
      </w:r>
      <w:r w:rsidR="00607B4D">
        <w:t xml:space="preserve"> to accept </w:t>
      </w:r>
      <w:r w:rsidR="008B4C91">
        <w:t>Peninsula’s compliance showings</w:t>
      </w:r>
      <w:r w:rsidR="00607B4D">
        <w:t xml:space="preserve"> with respect to the non-Seward Translators and </w:t>
      </w:r>
      <w:r w:rsidR="008B4C91">
        <w:t xml:space="preserve">to </w:t>
      </w:r>
      <w:r w:rsidR="00607B4D">
        <w:t>address</w:t>
      </w:r>
      <w:r w:rsidR="008B4C91">
        <w:t xml:space="preserve"> compliance issues relating specifically</w:t>
      </w:r>
      <w:r w:rsidR="00607B4D">
        <w:t xml:space="preserve"> to the Seward Translators separately.  </w:t>
      </w:r>
      <w:r w:rsidR="00734FAE">
        <w:t>Accordingly,</w:t>
      </w:r>
      <w:r w:rsidR="001B1AE2">
        <w:t xml:space="preserve"> we condition grant of the </w:t>
      </w:r>
      <w:r w:rsidR="003825DC">
        <w:t>Seward</w:t>
      </w:r>
      <w:r w:rsidR="001E4F55">
        <w:t xml:space="preserve"> Translators’</w:t>
      </w:r>
      <w:r w:rsidR="003825DC">
        <w:t xml:space="preserve"> </w:t>
      </w:r>
      <w:r w:rsidR="001B1AE2">
        <w:t xml:space="preserve">Assignment Applications on </w:t>
      </w:r>
      <w:r w:rsidR="009B60D4">
        <w:t xml:space="preserve">Peninsula submitting the required certifications </w:t>
      </w:r>
      <w:r w:rsidR="001B1AE2">
        <w:t>within 30 days of the issuance of this letter decision.</w:t>
      </w:r>
      <w:r w:rsidR="00BB41F1">
        <w:rPr>
          <w:rStyle w:val="FootnoteReference"/>
        </w:rPr>
        <w:footnoteReference w:id="116"/>
      </w:r>
      <w:r w:rsidR="001B1AE2">
        <w:t xml:space="preserve">  Grant of the </w:t>
      </w:r>
      <w:r w:rsidR="008B4C91">
        <w:t xml:space="preserve">Seward </w:t>
      </w:r>
      <w:r w:rsidR="0035388C">
        <w:t xml:space="preserve">Translators’ </w:t>
      </w:r>
      <w:r w:rsidR="001B1AE2">
        <w:t xml:space="preserve">Assignment Applications will not be effective until </w:t>
      </w:r>
      <w:r w:rsidR="009B60D4">
        <w:t xml:space="preserve">the Bureau </w:t>
      </w:r>
      <w:r w:rsidR="001B1AE2">
        <w:t>receive</w:t>
      </w:r>
      <w:r w:rsidR="009B60D4">
        <w:t>s</w:t>
      </w:r>
      <w:r w:rsidR="001B1AE2">
        <w:t xml:space="preserve"> and </w:t>
      </w:r>
      <w:r w:rsidR="00D618D5">
        <w:t xml:space="preserve">issues its concurrence to the </w:t>
      </w:r>
      <w:r w:rsidR="008B4C91">
        <w:t>required</w:t>
      </w:r>
      <w:r w:rsidR="003825DC">
        <w:t xml:space="preserve"> compliance </w:t>
      </w:r>
      <w:r w:rsidR="009B60D4">
        <w:t>certifications.</w:t>
      </w:r>
      <w:r w:rsidR="001B1AE2">
        <w:t xml:space="preserve">  </w:t>
      </w:r>
      <w:r w:rsidR="00F545C4">
        <w:t xml:space="preserve">Failure to submit these certifications as directed will result in rescission of the grant of the relevant Seward </w:t>
      </w:r>
      <w:r w:rsidR="0035388C">
        <w:t xml:space="preserve">Translator’s </w:t>
      </w:r>
      <w:r w:rsidR="00F545C4">
        <w:t>Assignment and Renewal Application</w:t>
      </w:r>
      <w:r w:rsidR="00706F87">
        <w:t>s</w:t>
      </w:r>
      <w:r w:rsidR="00F545C4">
        <w:t xml:space="preserve"> and cancellation of any non-compliant Seward Translator license for failure to comply with conditions of renewal.</w:t>
      </w:r>
    </w:p>
    <w:p w14:paraId="0C16CD9D" w14:textId="36483E6F" w:rsidR="001B1AE2" w:rsidRPr="001B1AE2" w:rsidRDefault="00AB5232" w:rsidP="00734FAE">
      <w:pPr>
        <w:pStyle w:val="ParaNum"/>
        <w:numPr>
          <w:ilvl w:val="0"/>
          <w:numId w:val="0"/>
        </w:numPr>
        <w:ind w:firstLine="720"/>
        <w:jc w:val="left"/>
      </w:pPr>
      <w:r>
        <w:rPr>
          <w:i/>
        </w:rPr>
        <w:t xml:space="preserve">Consummation deadlines.  </w:t>
      </w:r>
      <w:r w:rsidR="009B60D4">
        <w:t>In addition, a</w:t>
      </w:r>
      <w:r w:rsidR="00734FAE">
        <w:t xml:space="preserve">s </w:t>
      </w:r>
      <w:r w:rsidR="00ED7B03">
        <w:t xml:space="preserve">set out </w:t>
      </w:r>
      <w:r w:rsidR="00734FAE">
        <w:t xml:space="preserve">in the </w:t>
      </w:r>
      <w:r w:rsidR="00734FAE">
        <w:rPr>
          <w:i/>
        </w:rPr>
        <w:t>Renewal Decision</w:t>
      </w:r>
      <w:r w:rsidR="00734FAE">
        <w:t>, consummation of</w:t>
      </w:r>
      <w:r w:rsidR="008B4C91">
        <w:t xml:space="preserve"> </w:t>
      </w:r>
      <w:r w:rsidR="00CD3846">
        <w:t>all</w:t>
      </w:r>
      <w:r w:rsidR="00734FAE">
        <w:t xml:space="preserve"> the proposed transactions must take place within 60 days of the effective date of the grant of the Assignment Applications.</w:t>
      </w:r>
      <w:r w:rsidR="00BB41F1">
        <w:t xml:space="preserve">  In the case of the Seward Assignment Applications, that deadline is 60 days from the date that the Bureau issues its concurrence to the Seward compliance certifications.  In the case of the remaining Assignment Applications, the consummation deadline is 60 days from the date of this letter decision. </w:t>
      </w:r>
      <w:r w:rsidR="00734FAE">
        <w:t xml:space="preserve"> </w:t>
      </w:r>
      <w:r w:rsidR="00E23DDD">
        <w:t>Failure to consummate as directed will result in rescission of the grant of the relevant Assignment and Renewal Application and cancellation of any non-compliant license for failure to comply with a condition of renewal.</w:t>
      </w:r>
      <w:r w:rsidR="001B1AE2">
        <w:t xml:space="preserve">  </w:t>
      </w:r>
    </w:p>
    <w:p w14:paraId="478E9136" w14:textId="4FC4A97E" w:rsidR="009822B6" w:rsidRDefault="001E658B" w:rsidP="009740C5">
      <w:pPr>
        <w:pStyle w:val="ParaNum"/>
        <w:numPr>
          <w:ilvl w:val="0"/>
          <w:numId w:val="0"/>
        </w:numPr>
        <w:ind w:firstLine="720"/>
        <w:jc w:val="left"/>
      </w:pPr>
      <w:r>
        <w:rPr>
          <w:i/>
        </w:rPr>
        <w:t>Relationship between Peninsula and Turquoise</w:t>
      </w:r>
      <w:r w:rsidR="00057725">
        <w:t>.  Section 74.1232(e) prohibits</w:t>
      </w:r>
      <w:r w:rsidR="00BF5F12">
        <w:t xml:space="preserve"> an </w:t>
      </w:r>
      <w:r w:rsidR="00E46A1B">
        <w:t>“</w:t>
      </w:r>
      <w:r w:rsidR="00BF5F12">
        <w:t>other area</w:t>
      </w:r>
      <w:r w:rsidR="00E46A1B">
        <w:t>”</w:t>
      </w:r>
      <w:r w:rsidR="00BF5F12">
        <w:t xml:space="preserve"> </w:t>
      </w:r>
      <w:r w:rsidR="00057725">
        <w:t xml:space="preserve">translator station </w:t>
      </w:r>
      <w:r w:rsidR="00BF5F12">
        <w:t>from</w:t>
      </w:r>
      <w:r w:rsidR="00057725">
        <w:t xml:space="preserve"> receiv</w:t>
      </w:r>
      <w:r w:rsidR="00BF5F12">
        <w:t>ing</w:t>
      </w:r>
      <w:r w:rsidR="00057725">
        <w:t xml:space="preserve"> any support, before or after construction, either directly or indirectly, from the commercial primary FM radio broadcast station.</w:t>
      </w:r>
      <w:r w:rsidR="00BF5F12">
        <w:t xml:space="preserve">  In this case, </w:t>
      </w:r>
      <w:r w:rsidR="001A7240">
        <w:t xml:space="preserve">albeit </w:t>
      </w:r>
      <w:r w:rsidR="00BF5F12">
        <w:t>with some reservations, we</w:t>
      </w:r>
      <w:r w:rsidR="00AF44C7">
        <w:t xml:space="preserve"> find that the Petitioners have not provide</w:t>
      </w:r>
      <w:r w:rsidR="00F35969">
        <w:t>d</w:t>
      </w:r>
      <w:r w:rsidR="00AF44C7">
        <w:t xml:space="preserve"> sufficient evidence </w:t>
      </w:r>
      <w:r w:rsidR="00BF5F12">
        <w:t xml:space="preserve">to raise a substantial and material question of fact </w:t>
      </w:r>
      <w:r w:rsidR="001E417D">
        <w:t>that</w:t>
      </w:r>
      <w:r w:rsidR="00BF5F12">
        <w:t xml:space="preserve"> Peninsula exercises </w:t>
      </w:r>
      <w:r w:rsidR="00BF5F12">
        <w:rPr>
          <w:i/>
        </w:rPr>
        <w:t xml:space="preserve">de facto </w:t>
      </w:r>
      <w:r w:rsidR="00BF5F12">
        <w:t>control over the Turquoise st</w:t>
      </w:r>
      <w:r w:rsidR="00AF44C7">
        <w:t>ations or pr</w:t>
      </w:r>
      <w:r w:rsidR="00BF5F12">
        <w:t xml:space="preserve">ovides </w:t>
      </w:r>
      <w:r w:rsidR="00AF44C7">
        <w:t>support in violation of Sec</w:t>
      </w:r>
      <w:r w:rsidR="00390382">
        <w:t>tion 74.1232(e).  A</w:t>
      </w:r>
      <w:r w:rsidR="00AF44C7">
        <w:t xml:space="preserve">lthough all Turquoise translators rebroadcast Peninsula primary stations and in some cases are located on property or tower structures owned by Peninsula, Petitioners have not adduced any </w:t>
      </w:r>
      <w:r w:rsidR="00024214">
        <w:t xml:space="preserve">non-circumstantial </w:t>
      </w:r>
      <w:r w:rsidR="00AF44C7">
        <w:t>evidence to show that these arrangements are not arm</w:t>
      </w:r>
      <w:r w:rsidR="009034D8">
        <w:t>’</w:t>
      </w:r>
      <w:r w:rsidR="00AF44C7">
        <w:t>s-length contracts at market rates.</w:t>
      </w:r>
      <w:r w:rsidR="00AF44C7">
        <w:rPr>
          <w:rStyle w:val="FootnoteReference"/>
        </w:rPr>
        <w:footnoteReference w:id="117"/>
      </w:r>
      <w:r w:rsidR="001538A0">
        <w:t xml:space="preserve">  Therefore, we </w:t>
      </w:r>
      <w:r w:rsidR="00390382">
        <w:t xml:space="preserve">properly </w:t>
      </w:r>
      <w:r w:rsidR="001538A0">
        <w:t xml:space="preserve">rely on Peninsula’s certifications in the Renewal Applications that it </w:t>
      </w:r>
      <w:r w:rsidR="008D02DA">
        <w:t>complies</w:t>
      </w:r>
      <w:r w:rsidR="001538A0">
        <w:t xml:space="preserve"> with Section 74.1232(e).</w:t>
      </w:r>
      <w:r w:rsidR="001538A0">
        <w:rPr>
          <w:rStyle w:val="FootnoteReference"/>
        </w:rPr>
        <w:footnoteReference w:id="118"/>
      </w:r>
    </w:p>
    <w:p w14:paraId="4CC37EE8" w14:textId="0C900A1C" w:rsidR="00D618D5" w:rsidRDefault="00D618D5" w:rsidP="00D618D5">
      <w:pPr>
        <w:pStyle w:val="ParaNum"/>
        <w:numPr>
          <w:ilvl w:val="0"/>
          <w:numId w:val="0"/>
        </w:numPr>
        <w:ind w:firstLine="720"/>
        <w:jc w:val="left"/>
      </w:pPr>
      <w:r>
        <w:rPr>
          <w:i/>
        </w:rPr>
        <w:t>Assignment Petition to Deny</w:t>
      </w:r>
      <w:r>
        <w:t>.  In the discussion above, we agree with certain of the general public interest arguments set out in the Assignment Petition to Deny, such as the value of local full service broadcasting and the detriment posed to such service by translators rebroadcasting distant market stations.  We also agree that Seward and Kodiak already have abundant FM translator service, including other translators rebroadcasting KXBA and KPEN.  These considerations form part of the basis for our denial of the Waiver Requests.  However, as discussed in more detail above, we conclude that AERS and SMP’s allegations of improper collusion between Peninsula and Turquoise lack an adequate legal or factual foundation.  Moreover, to the extent that the Assignment Petition to Deny requests outright dismissal of the Assignment Applications</w:t>
      </w:r>
      <w:r w:rsidR="00CD3846">
        <w:t xml:space="preserve"> for non-compliant Stations</w:t>
      </w:r>
      <w:r>
        <w:t>, it is denied in favor of the conditional grant approach described herein.</w:t>
      </w:r>
    </w:p>
    <w:p w14:paraId="1E52F0CE" w14:textId="273E8BF9" w:rsidR="00881263" w:rsidRDefault="00881263" w:rsidP="009740C5">
      <w:pPr>
        <w:pStyle w:val="ParaNum"/>
        <w:numPr>
          <w:ilvl w:val="0"/>
          <w:numId w:val="0"/>
        </w:numPr>
        <w:ind w:firstLine="720"/>
        <w:jc w:val="left"/>
      </w:pPr>
      <w:r>
        <w:rPr>
          <w:i/>
        </w:rPr>
        <w:t>K292ED Assignment Application</w:t>
      </w:r>
      <w:r>
        <w:t xml:space="preserve">.  The issues raised by the K292ED Assignment Application </w:t>
      </w:r>
      <w:r w:rsidR="00024214">
        <w:t>were</w:t>
      </w:r>
      <w:r>
        <w:t xml:space="preserve"> fully addressed and resolved by the Commission in the 2008 </w:t>
      </w:r>
      <w:r>
        <w:rPr>
          <w:i/>
        </w:rPr>
        <w:t>Rate Card Declaratory Ruling</w:t>
      </w:r>
      <w:r w:rsidR="002843A7">
        <w:t>, which governs our analysis here</w:t>
      </w:r>
      <w:r>
        <w:t xml:space="preserve">.  In the </w:t>
      </w:r>
      <w:r>
        <w:rPr>
          <w:i/>
        </w:rPr>
        <w:t>Rate Card Declaratory Ruling</w:t>
      </w:r>
      <w:r>
        <w:t xml:space="preserve">, the Commission </w:t>
      </w:r>
      <w:r w:rsidR="002843A7">
        <w:t>held that Turquoise’s practice of using rate cards does not “constitute either a violation of the Rules or raise a substantial and material question of fact regarding TBC's qualifications to remain a Commission licensee</w:t>
      </w:r>
      <w:r w:rsidR="00251526">
        <w:t xml:space="preserve"> . . . </w:t>
      </w:r>
      <w:r w:rsidR="002843A7">
        <w:t xml:space="preserve">the use of rate cards by an FM translator station is not a </w:t>
      </w:r>
      <w:r w:rsidR="002843A7">
        <w:rPr>
          <w:rStyle w:val="Emphasis"/>
        </w:rPr>
        <w:t>per se</w:t>
      </w:r>
      <w:r w:rsidR="002843A7">
        <w:t xml:space="preserve"> violation of Section 74.1231(g) of the Rules.”</w:t>
      </w:r>
      <w:r w:rsidR="002843A7">
        <w:rPr>
          <w:rStyle w:val="FootnoteReference"/>
        </w:rPr>
        <w:footnoteReference w:id="119"/>
      </w:r>
      <w:r w:rsidR="00024214">
        <w:t xml:space="preserve">  Therefore, we deny the K292ED Petitions to Deny. </w:t>
      </w:r>
    </w:p>
    <w:p w14:paraId="4DACBD00" w14:textId="54FBAF0E" w:rsidR="003C35C0" w:rsidRPr="000840E8" w:rsidRDefault="00E8120F" w:rsidP="009740C5">
      <w:pPr>
        <w:pStyle w:val="ParaNum"/>
        <w:numPr>
          <w:ilvl w:val="0"/>
          <w:numId w:val="0"/>
        </w:numPr>
        <w:ind w:firstLine="720"/>
        <w:jc w:val="left"/>
        <w:rPr>
          <w:szCs w:val="22"/>
        </w:rPr>
      </w:pPr>
      <w:r w:rsidRPr="005A49F1">
        <w:rPr>
          <w:b/>
          <w:szCs w:val="22"/>
        </w:rPr>
        <w:t xml:space="preserve">Conclusion/Actions.  </w:t>
      </w:r>
      <w:r w:rsidR="00271937">
        <w:rPr>
          <w:szCs w:val="22"/>
        </w:rPr>
        <w:t xml:space="preserve">For the reasons stated above, </w:t>
      </w:r>
      <w:r w:rsidR="00251DE4">
        <w:rPr>
          <w:szCs w:val="22"/>
        </w:rPr>
        <w:t>IT IS ORDERED that the joint Petition to D</w:t>
      </w:r>
      <w:r w:rsidR="003C35C0">
        <w:rPr>
          <w:szCs w:val="22"/>
        </w:rPr>
        <w:t>eny filed by AER</w:t>
      </w:r>
      <w:r w:rsidR="000766A6">
        <w:rPr>
          <w:szCs w:val="22"/>
        </w:rPr>
        <w:t>S</w:t>
      </w:r>
      <w:r w:rsidR="003C35C0">
        <w:rPr>
          <w:szCs w:val="22"/>
        </w:rPr>
        <w:t xml:space="preserve"> a</w:t>
      </w:r>
      <w:r w:rsidR="00251DE4">
        <w:rPr>
          <w:szCs w:val="22"/>
        </w:rPr>
        <w:t>nd SMP on December 20, 2016, IS</w:t>
      </w:r>
      <w:r w:rsidR="003C35C0">
        <w:rPr>
          <w:szCs w:val="22"/>
        </w:rPr>
        <w:t xml:space="preserve"> GRANTED to the extent indicated </w:t>
      </w:r>
      <w:r w:rsidR="00AD2910">
        <w:rPr>
          <w:szCs w:val="22"/>
        </w:rPr>
        <w:t>above</w:t>
      </w:r>
      <w:r w:rsidR="003C35C0">
        <w:rPr>
          <w:szCs w:val="22"/>
        </w:rPr>
        <w:t xml:space="preserve"> and denied in all </w:t>
      </w:r>
      <w:r w:rsidR="003C35C0" w:rsidRPr="003C35C0">
        <w:t>other</w:t>
      </w:r>
      <w:r w:rsidR="003C35C0" w:rsidRPr="000840E8">
        <w:rPr>
          <w:szCs w:val="22"/>
        </w:rPr>
        <w:t xml:space="preserve"> respects.</w:t>
      </w:r>
    </w:p>
    <w:p w14:paraId="4EF36171" w14:textId="43AE0BFD" w:rsidR="000840E8" w:rsidRDefault="000840E8" w:rsidP="009740C5">
      <w:pPr>
        <w:pStyle w:val="ParaNum"/>
        <w:numPr>
          <w:ilvl w:val="0"/>
          <w:numId w:val="0"/>
        </w:numPr>
        <w:ind w:firstLine="720"/>
        <w:jc w:val="left"/>
      </w:pPr>
      <w:r w:rsidRPr="000840E8">
        <w:t xml:space="preserve">IT IS FURTHER ORDERED that Peninsula’s </w:t>
      </w:r>
      <w:r w:rsidR="001F73BC">
        <w:t>Waiver Requests are</w:t>
      </w:r>
      <w:r w:rsidRPr="000840E8">
        <w:t xml:space="preserve"> DENIED</w:t>
      </w:r>
      <w:r w:rsidR="001B683B">
        <w:t>.</w:t>
      </w:r>
    </w:p>
    <w:p w14:paraId="38CDE674" w14:textId="5B9E2619" w:rsidR="002D5ABE" w:rsidRDefault="000840E8" w:rsidP="009740C5">
      <w:pPr>
        <w:pStyle w:val="ParaNum"/>
        <w:numPr>
          <w:ilvl w:val="0"/>
          <w:numId w:val="0"/>
        </w:numPr>
        <w:ind w:firstLine="720"/>
        <w:jc w:val="left"/>
      </w:pPr>
      <w:r>
        <w:rPr>
          <w:szCs w:val="22"/>
        </w:rPr>
        <w:t xml:space="preserve">IT IS FURTHER ORDERED that the Assignment Applications filed by Peninsula on November 29, 2016, </w:t>
      </w:r>
      <w:r w:rsidR="00B8792D">
        <w:rPr>
          <w:szCs w:val="22"/>
        </w:rPr>
        <w:t xml:space="preserve">for stations </w:t>
      </w:r>
      <w:r w:rsidR="00B8792D">
        <w:t>K</w:t>
      </w:r>
      <w:r w:rsidR="00B8792D" w:rsidRPr="00241463">
        <w:t>272CN</w:t>
      </w:r>
      <w:r w:rsidR="00B8792D">
        <w:t xml:space="preserve"> (File No. </w:t>
      </w:r>
      <w:r w:rsidR="00B8792D">
        <w:rPr>
          <w:szCs w:val="22"/>
        </w:rPr>
        <w:t>BALFT-20161129AFA)</w:t>
      </w:r>
      <w:r w:rsidR="00B8792D" w:rsidRPr="00241463">
        <w:t>, K274AB</w:t>
      </w:r>
      <w:r w:rsidR="002D5ABE">
        <w:t xml:space="preserve"> (</w:t>
      </w:r>
      <w:r w:rsidR="002D5ABE" w:rsidRPr="005A49F1">
        <w:rPr>
          <w:szCs w:val="22"/>
        </w:rPr>
        <w:t xml:space="preserve">File No. </w:t>
      </w:r>
      <w:r w:rsidR="002D5ABE">
        <w:rPr>
          <w:szCs w:val="22"/>
        </w:rPr>
        <w:t>BALFT-20161129AFC)</w:t>
      </w:r>
      <w:r w:rsidR="00B8792D" w:rsidRPr="00241463">
        <w:t>, K285EF</w:t>
      </w:r>
      <w:r w:rsidR="002D5ABE">
        <w:t xml:space="preserve"> (</w:t>
      </w:r>
      <w:r w:rsidR="002D5ABE" w:rsidRPr="005A49F1">
        <w:rPr>
          <w:szCs w:val="22"/>
        </w:rPr>
        <w:t xml:space="preserve">File No. </w:t>
      </w:r>
      <w:r w:rsidR="002D5ABE">
        <w:rPr>
          <w:szCs w:val="22"/>
        </w:rPr>
        <w:t>BALFT-20161129AFB)</w:t>
      </w:r>
      <w:r w:rsidR="00B8792D" w:rsidRPr="00241463">
        <w:t>, K283AB</w:t>
      </w:r>
      <w:r w:rsidR="002D5ABE">
        <w:t xml:space="preserve"> (</w:t>
      </w:r>
      <w:r w:rsidR="002D5ABE" w:rsidRPr="005A49F1">
        <w:rPr>
          <w:szCs w:val="22"/>
        </w:rPr>
        <w:t xml:space="preserve">File No. </w:t>
      </w:r>
      <w:r w:rsidR="002D5ABE">
        <w:rPr>
          <w:szCs w:val="22"/>
        </w:rPr>
        <w:t>BALFT-20161129AF</w:t>
      </w:r>
      <w:r w:rsidR="006C2646">
        <w:rPr>
          <w:szCs w:val="22"/>
        </w:rPr>
        <w:t>G</w:t>
      </w:r>
      <w:r w:rsidR="002D5ABE">
        <w:rPr>
          <w:szCs w:val="22"/>
        </w:rPr>
        <w:t>)</w:t>
      </w:r>
      <w:r w:rsidR="00B8792D" w:rsidRPr="00241463">
        <w:t xml:space="preserve">, </w:t>
      </w:r>
      <w:r w:rsidR="00E555DE">
        <w:t>K257DB (</w:t>
      </w:r>
      <w:r w:rsidR="00E555DE" w:rsidRPr="005A49F1">
        <w:rPr>
          <w:szCs w:val="22"/>
        </w:rPr>
        <w:t xml:space="preserve">File No. </w:t>
      </w:r>
      <w:r w:rsidR="00E555DE">
        <w:rPr>
          <w:szCs w:val="22"/>
        </w:rPr>
        <w:t>BALFT-20161129AEZ</w:t>
      </w:r>
      <w:r w:rsidR="00E555DE">
        <w:t xml:space="preserve">) </w:t>
      </w:r>
      <w:r w:rsidR="00B8792D">
        <w:t xml:space="preserve">and </w:t>
      </w:r>
      <w:r w:rsidR="00B8792D" w:rsidRPr="00241463">
        <w:t>K2</w:t>
      </w:r>
      <w:r w:rsidR="00B8792D">
        <w:t>8</w:t>
      </w:r>
      <w:r w:rsidR="00B8792D" w:rsidRPr="00241463">
        <w:t>5AA</w:t>
      </w:r>
      <w:r w:rsidR="00B8792D">
        <w:t xml:space="preserve"> </w:t>
      </w:r>
      <w:r>
        <w:rPr>
          <w:szCs w:val="22"/>
        </w:rPr>
        <w:t>(</w:t>
      </w:r>
      <w:r>
        <w:t xml:space="preserve">File No. </w:t>
      </w:r>
      <w:r w:rsidRPr="00F23C04">
        <w:t>BALFT-20161129A</w:t>
      </w:r>
      <w:r w:rsidR="002D5ABE">
        <w:t>FD</w:t>
      </w:r>
      <w:r>
        <w:t>) ARE GRANTED</w:t>
      </w:r>
      <w:r w:rsidR="00B52F1F">
        <w:t xml:space="preserve"> subject to the condition that the proposed transactions must be consummated within 60 days of the release of this letter decision</w:t>
      </w:r>
      <w:r w:rsidR="001B683B">
        <w:t>.</w:t>
      </w:r>
    </w:p>
    <w:p w14:paraId="2905811A" w14:textId="0C6FC70F" w:rsidR="002D5ABE" w:rsidRDefault="002D5ABE" w:rsidP="009740C5">
      <w:pPr>
        <w:pStyle w:val="ParaNum"/>
        <w:numPr>
          <w:ilvl w:val="0"/>
          <w:numId w:val="0"/>
        </w:numPr>
        <w:ind w:firstLine="720"/>
        <w:jc w:val="left"/>
      </w:pPr>
      <w:r>
        <w:t xml:space="preserve">IT IS FURTHER ORDERED that the Assignment Applications filed by Peninsula on November 29, 2016, for stations </w:t>
      </w:r>
      <w:r w:rsidRPr="002D5ABE">
        <w:t>K272DG</w:t>
      </w:r>
      <w:r w:rsidR="001B683B">
        <w:t xml:space="preserve"> </w:t>
      </w:r>
      <w:r>
        <w:t>(</w:t>
      </w:r>
      <w:r w:rsidRPr="005A49F1">
        <w:rPr>
          <w:szCs w:val="22"/>
        </w:rPr>
        <w:t xml:space="preserve">File No. </w:t>
      </w:r>
      <w:r>
        <w:rPr>
          <w:szCs w:val="22"/>
        </w:rPr>
        <w:t>BALFT-20161129AFE)</w:t>
      </w:r>
      <w:r>
        <w:t xml:space="preserve"> and </w:t>
      </w:r>
      <w:r w:rsidRPr="002D5ABE">
        <w:t>K285EG</w:t>
      </w:r>
      <w:r>
        <w:t xml:space="preserve"> (</w:t>
      </w:r>
      <w:r w:rsidRPr="005A49F1">
        <w:rPr>
          <w:szCs w:val="22"/>
        </w:rPr>
        <w:t xml:space="preserve">File No. </w:t>
      </w:r>
      <w:r>
        <w:rPr>
          <w:szCs w:val="22"/>
        </w:rPr>
        <w:t>BALFT-20161129AFF)</w:t>
      </w:r>
      <w:r w:rsidR="001B683B">
        <w:t xml:space="preserve"> </w:t>
      </w:r>
      <w:r>
        <w:t xml:space="preserve">(Seward Assignment Applications) ARE GRANTED subject to the following condition: </w:t>
      </w:r>
    </w:p>
    <w:p w14:paraId="19F48C97" w14:textId="58358DD7" w:rsidR="00B8792D" w:rsidRPr="00254D0B" w:rsidRDefault="002D5ABE" w:rsidP="00254D0B">
      <w:pPr>
        <w:pStyle w:val="ParaNum"/>
        <w:numPr>
          <w:ilvl w:val="0"/>
          <w:numId w:val="0"/>
        </w:numPr>
        <w:ind w:firstLine="720"/>
        <w:jc w:val="left"/>
      </w:pPr>
      <w:r>
        <w:t>GRANT OF THE SEWARD ASSIGNMENT APPLICATIONS IS CONDITIONED</w:t>
      </w:r>
      <w:r w:rsidR="001B683B">
        <w:t xml:space="preserve"> on Peninsula certifying within 30 days of </w:t>
      </w:r>
      <w:r w:rsidR="0096564A">
        <w:t>issuance</w:t>
      </w:r>
      <w:r w:rsidR="001B683B">
        <w:t xml:space="preserve"> of this letter decision that </w:t>
      </w:r>
      <w:r>
        <w:t>ea</w:t>
      </w:r>
      <w:r w:rsidR="00254D0B">
        <w:t>ch Seward Translator</w:t>
      </w:r>
      <w:r>
        <w:t xml:space="preserve"> is </w:t>
      </w:r>
      <w:r w:rsidR="001B683B">
        <w:t>now operating in compliance with Section 74.1231(b), stating in detail how such compliance was achieved (i.e., the method by which each translator currently receives its rebroadcast signal), and/or certifying that any non-compliant translator station ha</w:t>
      </w:r>
      <w:r w:rsidR="00254D0B">
        <w:t>s</w:t>
      </w:r>
      <w:r w:rsidR="001B683B">
        <w:t xml:space="preserve"> ceased operation. </w:t>
      </w:r>
      <w:r w:rsidR="00D22A91">
        <w:t xml:space="preserve"> </w:t>
      </w:r>
      <w:r w:rsidR="00690B31">
        <w:t>Grant of the Assignment Applications will be effective once the Bureau issues its formal concurrence to the submitted certifications</w:t>
      </w:r>
      <w:r w:rsidR="00664266">
        <w:t xml:space="preserve">.  </w:t>
      </w:r>
      <w:r w:rsidR="001B683B">
        <w:t xml:space="preserve">Failure to submit these certifications as directed will result in rescission of the grant of the relevant </w:t>
      </w:r>
      <w:r w:rsidR="00254D0B">
        <w:t xml:space="preserve">Seward </w:t>
      </w:r>
      <w:r w:rsidR="001B683B">
        <w:t>Assignment and Renewal Appl</w:t>
      </w:r>
      <w:r w:rsidR="0096564A">
        <w:t>ication and cancellation of any</w:t>
      </w:r>
      <w:r w:rsidR="001B683B">
        <w:t xml:space="preserve"> non-compliant </w:t>
      </w:r>
      <w:r w:rsidR="00254D0B">
        <w:t xml:space="preserve">Seward Translator </w:t>
      </w:r>
      <w:r w:rsidR="001B683B">
        <w:t>license</w:t>
      </w:r>
      <w:r w:rsidR="0096564A">
        <w:t xml:space="preserve"> for failure to comply with </w:t>
      </w:r>
      <w:r w:rsidR="001B683B">
        <w:t>condition</w:t>
      </w:r>
      <w:r w:rsidR="0096564A">
        <w:t>s</w:t>
      </w:r>
      <w:r w:rsidR="001B683B">
        <w:t xml:space="preserve"> of renewal.</w:t>
      </w:r>
      <w:r w:rsidR="00B52F1F">
        <w:t xml:space="preserve">  Grant is likewise conditioned on the proposed transactions being consummated within 60 days of the Bureau’s formal concurrence to the required certifications. </w:t>
      </w:r>
    </w:p>
    <w:p w14:paraId="30FE7E5A" w14:textId="5C4E2C10" w:rsidR="003C35C0" w:rsidRPr="000840E8" w:rsidRDefault="00251DE4" w:rsidP="009740C5">
      <w:pPr>
        <w:pStyle w:val="ParaNum"/>
        <w:numPr>
          <w:ilvl w:val="0"/>
          <w:numId w:val="0"/>
        </w:numPr>
        <w:ind w:firstLine="720"/>
        <w:jc w:val="left"/>
        <w:rPr>
          <w:szCs w:val="22"/>
        </w:rPr>
      </w:pPr>
      <w:r>
        <w:rPr>
          <w:szCs w:val="22"/>
        </w:rPr>
        <w:t>IT IS FURTHER ORDERED that the Petition for R</w:t>
      </w:r>
      <w:r w:rsidR="003C35C0" w:rsidRPr="000840E8">
        <w:rPr>
          <w:szCs w:val="22"/>
        </w:rPr>
        <w:t>econsideration filed by KSR</w:t>
      </w:r>
      <w:r>
        <w:rPr>
          <w:szCs w:val="22"/>
        </w:rPr>
        <w:t>M on October 31, 2016, IS DISMISSED</w:t>
      </w:r>
      <w:r w:rsidR="003C35C0" w:rsidRPr="000840E8">
        <w:rPr>
          <w:szCs w:val="22"/>
        </w:rPr>
        <w:t>.</w:t>
      </w:r>
    </w:p>
    <w:p w14:paraId="635B3719" w14:textId="77777777" w:rsidR="00937700" w:rsidRDefault="00937700">
      <w:pPr>
        <w:rPr>
          <w:snapToGrid w:val="0"/>
          <w:kern w:val="28"/>
          <w:sz w:val="22"/>
          <w:szCs w:val="22"/>
        </w:rPr>
      </w:pPr>
      <w:r>
        <w:rPr>
          <w:szCs w:val="22"/>
        </w:rPr>
        <w:br w:type="page"/>
      </w:r>
    </w:p>
    <w:p w14:paraId="777233D9" w14:textId="72E55783" w:rsidR="00E8120F" w:rsidRPr="001F73BC" w:rsidRDefault="003C35C0" w:rsidP="009740C5">
      <w:pPr>
        <w:pStyle w:val="ParaNum"/>
        <w:numPr>
          <w:ilvl w:val="0"/>
          <w:numId w:val="0"/>
        </w:numPr>
        <w:ind w:firstLine="720"/>
        <w:jc w:val="left"/>
        <w:rPr>
          <w:szCs w:val="22"/>
        </w:rPr>
      </w:pPr>
      <w:r w:rsidRPr="000840E8">
        <w:rPr>
          <w:szCs w:val="22"/>
        </w:rPr>
        <w:t xml:space="preserve">IT IS FURTHER ORDERED that </w:t>
      </w:r>
      <w:r w:rsidR="00024214">
        <w:rPr>
          <w:szCs w:val="22"/>
        </w:rPr>
        <w:t>the informal objection</w:t>
      </w:r>
      <w:r w:rsidR="00697068">
        <w:rPr>
          <w:szCs w:val="22"/>
        </w:rPr>
        <w:t xml:space="preserve"> filed on August 23, 2004, by NRI and</w:t>
      </w:r>
      <w:r w:rsidR="00024214">
        <w:rPr>
          <w:szCs w:val="22"/>
        </w:rPr>
        <w:t xml:space="preserve"> the petition to deny filed</w:t>
      </w:r>
      <w:r w:rsidR="00697068">
        <w:rPr>
          <w:szCs w:val="22"/>
        </w:rPr>
        <w:t xml:space="preserve"> on September 7, 2004, by KSRM ARE DENIED and the </w:t>
      </w:r>
      <w:r w:rsidR="00BC0B44">
        <w:rPr>
          <w:szCs w:val="22"/>
        </w:rPr>
        <w:t xml:space="preserve">K292ED Assignment </w:t>
      </w:r>
      <w:r w:rsidR="00024214">
        <w:rPr>
          <w:szCs w:val="22"/>
        </w:rPr>
        <w:t xml:space="preserve">Application </w:t>
      </w:r>
      <w:r w:rsidR="006202D3">
        <w:rPr>
          <w:szCs w:val="22"/>
        </w:rPr>
        <w:t xml:space="preserve">(File No. </w:t>
      </w:r>
      <w:r w:rsidR="006C2646">
        <w:rPr>
          <w:szCs w:val="22"/>
        </w:rPr>
        <w:t xml:space="preserve">BALFT-20040802BKI) </w:t>
      </w:r>
      <w:r w:rsidR="00024214">
        <w:rPr>
          <w:szCs w:val="22"/>
        </w:rPr>
        <w:t>IS</w:t>
      </w:r>
      <w:r w:rsidR="00697068">
        <w:rPr>
          <w:szCs w:val="22"/>
        </w:rPr>
        <w:t xml:space="preserve"> GRANTED</w:t>
      </w:r>
      <w:r w:rsidR="00024214">
        <w:rPr>
          <w:szCs w:val="22"/>
        </w:rPr>
        <w:t>.</w:t>
      </w:r>
    </w:p>
    <w:p w14:paraId="733BFC12" w14:textId="77777777" w:rsidR="00E8120F" w:rsidRPr="005A49F1" w:rsidRDefault="00E8120F" w:rsidP="00E8120F">
      <w:pPr>
        <w:ind w:firstLine="720"/>
        <w:rPr>
          <w:sz w:val="22"/>
          <w:szCs w:val="22"/>
        </w:rPr>
      </w:pP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t>Sincerely,</w:t>
      </w:r>
    </w:p>
    <w:p w14:paraId="5F4242A3" w14:textId="77777777" w:rsidR="00E8120F" w:rsidRPr="005A49F1" w:rsidRDefault="00E8120F" w:rsidP="00E8120F">
      <w:pPr>
        <w:tabs>
          <w:tab w:val="left" w:pos="0"/>
        </w:tabs>
        <w:suppressAutoHyphens/>
        <w:rPr>
          <w:sz w:val="22"/>
          <w:szCs w:val="22"/>
        </w:rPr>
      </w:pPr>
    </w:p>
    <w:p w14:paraId="0C034A0C" w14:textId="3447A1CF" w:rsidR="00E8120F" w:rsidRDefault="00E8120F" w:rsidP="00E8120F">
      <w:pPr>
        <w:tabs>
          <w:tab w:val="left" w:pos="0"/>
        </w:tabs>
        <w:suppressAutoHyphens/>
        <w:rPr>
          <w:sz w:val="22"/>
          <w:szCs w:val="22"/>
        </w:rPr>
      </w:pPr>
    </w:p>
    <w:p w14:paraId="3B174629" w14:textId="77777777" w:rsidR="009740C5" w:rsidRPr="005A49F1" w:rsidRDefault="009740C5" w:rsidP="00E8120F">
      <w:pPr>
        <w:tabs>
          <w:tab w:val="left" w:pos="0"/>
        </w:tabs>
        <w:suppressAutoHyphens/>
        <w:rPr>
          <w:sz w:val="22"/>
          <w:szCs w:val="22"/>
        </w:rPr>
      </w:pPr>
    </w:p>
    <w:p w14:paraId="753C783C" w14:textId="77777777" w:rsidR="00E8120F" w:rsidRPr="005A49F1" w:rsidRDefault="00E8120F" w:rsidP="00E8120F">
      <w:pPr>
        <w:tabs>
          <w:tab w:val="left" w:pos="0"/>
        </w:tabs>
        <w:suppressAutoHyphens/>
        <w:rPr>
          <w:sz w:val="22"/>
          <w:szCs w:val="22"/>
        </w:rPr>
      </w:pPr>
    </w:p>
    <w:p w14:paraId="2BDD99BF" w14:textId="77777777" w:rsidR="00E8120F" w:rsidRPr="005A49F1" w:rsidRDefault="00E8120F" w:rsidP="00E8120F">
      <w:pPr>
        <w:tabs>
          <w:tab w:val="left" w:pos="0"/>
        </w:tabs>
        <w:suppressAutoHyphens/>
        <w:rPr>
          <w:sz w:val="22"/>
          <w:szCs w:val="22"/>
        </w:rPr>
      </w:pP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t>Peter H. Doyle</w:t>
      </w:r>
    </w:p>
    <w:p w14:paraId="6F600947" w14:textId="77777777" w:rsidR="00E8120F" w:rsidRPr="005A49F1" w:rsidRDefault="00E8120F" w:rsidP="00E8120F">
      <w:pPr>
        <w:tabs>
          <w:tab w:val="left" w:pos="0"/>
        </w:tabs>
        <w:suppressAutoHyphens/>
        <w:rPr>
          <w:sz w:val="22"/>
          <w:szCs w:val="22"/>
        </w:rPr>
      </w:pP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t>Chief, Audio Division</w:t>
      </w:r>
    </w:p>
    <w:p w14:paraId="5250E147" w14:textId="77777777" w:rsidR="00E8120F" w:rsidRPr="005A49F1" w:rsidRDefault="00E8120F" w:rsidP="00E8120F">
      <w:pPr>
        <w:tabs>
          <w:tab w:val="left" w:pos="0"/>
        </w:tabs>
        <w:suppressAutoHyphens/>
        <w:rPr>
          <w:sz w:val="22"/>
          <w:szCs w:val="22"/>
        </w:rPr>
      </w:pP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r>
      <w:r w:rsidRPr="005A49F1">
        <w:rPr>
          <w:sz w:val="22"/>
          <w:szCs w:val="22"/>
        </w:rPr>
        <w:tab/>
        <w:t>Media Bureau</w:t>
      </w:r>
    </w:p>
    <w:p w14:paraId="03D726D3" w14:textId="37915208" w:rsidR="00FD3BE6" w:rsidRPr="00E8120F" w:rsidRDefault="00FD3BE6" w:rsidP="00E8120F"/>
    <w:sectPr w:rsidR="00FD3BE6" w:rsidRPr="00E8120F" w:rsidSect="006F0D9F">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93A2" w14:textId="77777777" w:rsidR="00F545C4" w:rsidRDefault="00F545C4">
      <w:r>
        <w:separator/>
      </w:r>
    </w:p>
  </w:endnote>
  <w:endnote w:type="continuationSeparator" w:id="0">
    <w:p w14:paraId="10C993A9" w14:textId="77777777" w:rsidR="00F545C4" w:rsidRDefault="00F5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F07B" w14:textId="77777777" w:rsidR="00F545C4" w:rsidRDefault="00F54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58483" w14:textId="77777777" w:rsidR="00F545C4" w:rsidRDefault="00F54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4A97" w14:textId="006901E9" w:rsidR="00F545C4" w:rsidRDefault="00F54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6E3">
      <w:rPr>
        <w:rStyle w:val="PageNumber"/>
        <w:noProof/>
      </w:rPr>
      <w:t>2</w:t>
    </w:r>
    <w:r>
      <w:rPr>
        <w:rStyle w:val="PageNumber"/>
      </w:rPr>
      <w:fldChar w:fldCharType="end"/>
    </w:r>
  </w:p>
  <w:p w14:paraId="796566A8" w14:textId="77777777" w:rsidR="00F545C4" w:rsidRDefault="00F545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B51D" w14:textId="77777777" w:rsidR="00722D3E" w:rsidRDefault="00722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02DA0" w14:textId="77777777" w:rsidR="00F545C4" w:rsidRDefault="00F545C4">
      <w:r>
        <w:separator/>
      </w:r>
    </w:p>
  </w:footnote>
  <w:footnote w:type="continuationSeparator" w:id="0">
    <w:p w14:paraId="525867B4" w14:textId="77777777" w:rsidR="00F545C4" w:rsidRDefault="00F545C4">
      <w:r>
        <w:continuationSeparator/>
      </w:r>
    </w:p>
  </w:footnote>
  <w:footnote w:id="1">
    <w:p w14:paraId="4539EB96" w14:textId="4FA9C140" w:rsidR="00F545C4" w:rsidRPr="00241463" w:rsidRDefault="00F545C4" w:rsidP="00BB41F1">
      <w:pPr>
        <w:pStyle w:val="FootnoteText"/>
        <w:spacing w:after="120"/>
      </w:pPr>
      <w:r w:rsidRPr="00241463">
        <w:rPr>
          <w:rStyle w:val="FootnoteReference"/>
        </w:rPr>
        <w:footnoteRef/>
      </w:r>
      <w:r w:rsidRPr="00241463">
        <w:t xml:space="preserve"> The eight stations proposed to be assigned are: K257DB, Anchor Point, Alaska; K272CN, Homer, Alaska; K272DG, Seward, Alaska; K274AB, Kodiak, Alaska; K285EF, Kenai, Alaska; K283AB, Soldotna, Alaska; K2</w:t>
      </w:r>
      <w:r>
        <w:t>8</w:t>
      </w:r>
      <w:r w:rsidRPr="00241463">
        <w:t xml:space="preserve">5AA, Kodiak, Alaska; and K285EG, Seward, Alaska.  </w:t>
      </w:r>
      <w:r>
        <w:t>File</w:t>
      </w:r>
      <w:r w:rsidRPr="00241463">
        <w:t xml:space="preserve"> Nos. BALFT-20161129AEZ-AFG.  On December 20, 2016, Alaska Educational Radio System, Inc. (AERS) and Seward Media Partners, LLC (SMP) jointly filed a petition to deny the Assignment Applications (Assignment Petition to Deny).  On January 4, 2017, Peninsula filed an opposition to the Assignment Petition to Deny (Assignment Opposition).</w:t>
      </w:r>
    </w:p>
  </w:footnote>
  <w:footnote w:id="2">
    <w:p w14:paraId="36D5BE5E" w14:textId="3E678B64" w:rsidR="00F545C4" w:rsidRPr="00241463" w:rsidRDefault="00F545C4" w:rsidP="00BB41F1">
      <w:pPr>
        <w:pStyle w:val="FootnoteText"/>
        <w:spacing w:after="120"/>
      </w:pPr>
      <w:r w:rsidRPr="00241463">
        <w:rPr>
          <w:rStyle w:val="FootnoteReference"/>
        </w:rPr>
        <w:footnoteRef/>
      </w:r>
      <w:r>
        <w:t xml:space="preserve"> </w:t>
      </w:r>
      <w:r w:rsidRPr="00241463">
        <w:t xml:space="preserve">File No. BALFT-20040802BKI; </w:t>
      </w:r>
      <w:r w:rsidRPr="00241463">
        <w:rPr>
          <w:i/>
        </w:rPr>
        <w:t>Broadcast Applications</w:t>
      </w:r>
      <w:r w:rsidRPr="00241463">
        <w:t>, Public Notice, Report No. 25793 (MB Aug. 6, 200</w:t>
      </w:r>
      <w:r>
        <w:t>4</w:t>
      </w:r>
      <w:r w:rsidRPr="00241463">
        <w:t xml:space="preserve">).  On August 23, 2004, NRI filed an informal objection to the K292ED Assignment Application (K292ED NRI Informal Objection).  On September 7, 2004, KSRM, Inc. (KSRM) filed a petition to deny the K292ED Assignment Application (K292ED KSRM Petition) (collectively, K292ED Petitions to Deny).  On September 7, 2004, Turquoise filed an opposition to the K292ED NRI Informal Objection.  On September 9, 2004, Peninsula filed an opposition to the K292ED NRI Informal Objection, to which NRI replied on October 6, 2004.  On September 27, 2004, Turquoise filed an opposition to the K292ED KSRM Petition, to which KSRM replied on October 4, 2004.  </w:t>
      </w:r>
    </w:p>
  </w:footnote>
  <w:footnote w:id="3">
    <w:p w14:paraId="4DF3982C" w14:textId="61F75720"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 xml:space="preserve">Jeffrey D. Southmayd, </w:t>
      </w:r>
      <w:r w:rsidRPr="00241463">
        <w:t xml:space="preserve">Letter, </w:t>
      </w:r>
      <w:r w:rsidRPr="00241463">
        <w:rPr>
          <w:iCs/>
        </w:rPr>
        <w:t xml:space="preserve">31 FCC Rcd </w:t>
      </w:r>
      <w:r w:rsidRPr="00241463">
        <w:t>10912</w:t>
      </w:r>
      <w:r w:rsidRPr="00241463">
        <w:rPr>
          <w:iCs/>
        </w:rPr>
        <w:t xml:space="preserve"> (MB 2016) (</w:t>
      </w:r>
      <w:r w:rsidRPr="00241463">
        <w:rPr>
          <w:i/>
          <w:iCs/>
        </w:rPr>
        <w:t>Renewal Decision</w:t>
      </w:r>
      <w:r w:rsidRPr="00241463">
        <w:rPr>
          <w:iCs/>
        </w:rPr>
        <w:t>).</w:t>
      </w:r>
    </w:p>
  </w:footnote>
  <w:footnote w:id="4">
    <w:p w14:paraId="40F4EEDF" w14:textId="44B53B93" w:rsidR="00F545C4" w:rsidRPr="00241463" w:rsidRDefault="00F545C4" w:rsidP="00BB41F1">
      <w:pPr>
        <w:pStyle w:val="FootnoteText"/>
        <w:spacing w:after="120"/>
      </w:pPr>
      <w:r w:rsidRPr="00241463">
        <w:rPr>
          <w:rStyle w:val="FootnoteReference"/>
        </w:rPr>
        <w:footnoteRef/>
      </w:r>
      <w:r w:rsidRPr="00241463">
        <w:t xml:space="preserve"> File Nos. BR-20050919AEZ (2005 KGTL Renewal Application) and BR-20130830AMW (2013 KGTL Renewal Application).  The 2013 KGTL Renewal Application included the renewal of KGTL fill-in FM translator station K265CK, Kachemak City, Alaska.</w:t>
      </w:r>
    </w:p>
  </w:footnote>
  <w:footnote w:id="5">
    <w:p w14:paraId="0F7CA8DF" w14:textId="01428693" w:rsidR="00F545C4" w:rsidRPr="00241463" w:rsidRDefault="00F545C4" w:rsidP="00BB41F1">
      <w:pPr>
        <w:pStyle w:val="FootnoteText"/>
        <w:spacing w:after="120"/>
      </w:pPr>
      <w:r w:rsidRPr="00241463">
        <w:rPr>
          <w:rStyle w:val="FootnoteReference"/>
        </w:rPr>
        <w:footnoteRef/>
      </w:r>
      <w:r w:rsidRPr="00241463">
        <w:t xml:space="preserve"> File Nos. BRH-20050919ACU (2005 KXBA Renewal Application) and BRH-20130830AMJ (2013 KXBA Renewal Application).</w:t>
      </w:r>
    </w:p>
  </w:footnote>
  <w:footnote w:id="6">
    <w:p w14:paraId="3C672DE8" w14:textId="03186DCD" w:rsidR="00F545C4" w:rsidRPr="00241463" w:rsidRDefault="00F545C4" w:rsidP="00BB41F1">
      <w:pPr>
        <w:pStyle w:val="FootnoteText"/>
        <w:spacing w:after="120"/>
      </w:pPr>
      <w:r w:rsidRPr="00241463">
        <w:rPr>
          <w:rStyle w:val="FootnoteReference"/>
        </w:rPr>
        <w:footnoteRef/>
      </w:r>
      <w:r w:rsidRPr="00241463">
        <w:t xml:space="preserve"> File Nos. BRH-20050919AEM (2005 KPEN Renewal Application) and BRH-20130830AMR (2013 KPEN Renewal Application).  The 2005 and 2013 KPEN Renewal Applications included the renewals of the following </w:t>
      </w:r>
      <w:r>
        <w:t xml:space="preserve">four </w:t>
      </w:r>
      <w:r w:rsidRPr="00241463">
        <w:t xml:space="preserve">FM translator stations: K257DB, Anchor Point, Alaska; K272CN, Homer, Alaska; K272DG, Seward, Alaska; and K274AB, Kodiak, Alaska.  </w:t>
      </w:r>
    </w:p>
  </w:footnote>
  <w:footnote w:id="7">
    <w:p w14:paraId="5D58EE47" w14:textId="255B5EAF" w:rsidR="00F545C4" w:rsidRPr="00241463" w:rsidRDefault="00F545C4" w:rsidP="00BB41F1">
      <w:pPr>
        <w:pStyle w:val="FootnoteText"/>
        <w:spacing w:after="120"/>
      </w:pPr>
      <w:r w:rsidRPr="00241463">
        <w:rPr>
          <w:rStyle w:val="FootnoteReference"/>
        </w:rPr>
        <w:footnoteRef/>
      </w:r>
      <w:r w:rsidRPr="00241463">
        <w:t xml:space="preserve"> File Nos.  BRH-20050919AES (2005 KWVV Renewal Application) and BRH-20130830AMK (2013 KWVV Renewal Application).  The 2005 and 2013 KWVV Renewal Applications include the renewals of the following </w:t>
      </w:r>
      <w:r>
        <w:t xml:space="preserve">six </w:t>
      </w:r>
      <w:r w:rsidRPr="00241463">
        <w:t>FM translator stations: K285EF, Kenai, Alaska; K283AB, Soldotna, Alaska; K285DU, Homer, Alaska; K2</w:t>
      </w:r>
      <w:r>
        <w:t>8</w:t>
      </w:r>
      <w:r w:rsidRPr="00241463">
        <w:t xml:space="preserve">5AA, Kodiak, Alaska; K292ED, Kachemak City, Alaska; and K285EG, Seward, Alaska.  </w:t>
      </w:r>
    </w:p>
  </w:footnote>
  <w:footnote w:id="8">
    <w:p w14:paraId="37BA0132" w14:textId="70316DF8" w:rsidR="00F545C4" w:rsidRPr="00241463" w:rsidRDefault="00F545C4" w:rsidP="00BB41F1">
      <w:pPr>
        <w:pStyle w:val="FootnoteText"/>
        <w:spacing w:after="120"/>
      </w:pPr>
      <w:r w:rsidRPr="00241463">
        <w:rPr>
          <w:rStyle w:val="FootnoteReference"/>
        </w:rPr>
        <w:footnoteRef/>
      </w:r>
      <w:r w:rsidRPr="00241463">
        <w:t xml:space="preserve"> 2005 KGTL Renewal Application; 2005 KXBA Renewal Application; 2005 KPEN Renewal Application; and 2005 KWVV Renewal Application.</w:t>
      </w:r>
    </w:p>
  </w:footnote>
  <w:footnote w:id="9">
    <w:p w14:paraId="75CCA81D" w14:textId="3354C89E" w:rsidR="00F545C4" w:rsidRPr="00241463" w:rsidRDefault="00F545C4" w:rsidP="00BB41F1">
      <w:pPr>
        <w:pStyle w:val="FootnoteText"/>
        <w:spacing w:after="120"/>
      </w:pPr>
      <w:r w:rsidRPr="00241463">
        <w:rPr>
          <w:rStyle w:val="FootnoteReference"/>
        </w:rPr>
        <w:footnoteRef/>
      </w:r>
      <w:r w:rsidRPr="00241463">
        <w:t xml:space="preserve"> 2013 KGTL Renewal Application; 2013 KXBA Renewal Application; 2013 KPEN Renewal Application; 2013 KWVV Renewal Application. </w:t>
      </w:r>
    </w:p>
  </w:footnote>
  <w:footnote w:id="10">
    <w:p w14:paraId="389E8BBF" w14:textId="7F578D46" w:rsidR="00F545C4" w:rsidRPr="00241463" w:rsidRDefault="00F545C4" w:rsidP="00BB41F1">
      <w:pPr>
        <w:pStyle w:val="FootnoteText"/>
        <w:spacing w:after="120"/>
      </w:pPr>
      <w:r w:rsidRPr="00241463">
        <w:rPr>
          <w:rStyle w:val="FootnoteReference"/>
        </w:rPr>
        <w:footnoteRef/>
      </w:r>
      <w:r w:rsidRPr="00241463">
        <w:t xml:space="preserve"> On November 14, 2016, Peninsula filed an opposition to the Petition for Reconsideration (Reconsideration Opposition), and on December 1, 2016, KSRM filed a reply to the Reconsideration Opposition (Reconsideration Reply).</w:t>
      </w:r>
    </w:p>
  </w:footnote>
  <w:footnote w:id="11">
    <w:p w14:paraId="6F5939C3" w14:textId="371D8FB8" w:rsidR="00F545C4" w:rsidRPr="00241463" w:rsidRDefault="00F545C4" w:rsidP="00BB41F1">
      <w:pPr>
        <w:pStyle w:val="FootnoteText"/>
        <w:spacing w:after="120"/>
      </w:pPr>
      <w:r w:rsidRPr="00241463">
        <w:rPr>
          <w:rStyle w:val="FootnoteReference"/>
        </w:rPr>
        <w:footnoteRef/>
      </w:r>
      <w:r w:rsidRPr="00241463">
        <w:t xml:space="preserve"> 47 CFR § 74.1231(b) (Section 74.1231(b)</w:t>
      </w:r>
      <w:r>
        <w:t xml:space="preserve"> or signal delivery rule</w:t>
      </w:r>
      <w:r w:rsidRPr="00241463">
        <w:t xml:space="preserve">). </w:t>
      </w:r>
    </w:p>
  </w:footnote>
  <w:footnote w:id="12">
    <w:p w14:paraId="71F16456" w14:textId="74E322D7" w:rsidR="00F545C4" w:rsidRPr="00241463" w:rsidRDefault="00F545C4" w:rsidP="00BB41F1">
      <w:pPr>
        <w:pStyle w:val="FootnoteText"/>
        <w:spacing w:after="120"/>
      </w:pPr>
      <w:r w:rsidRPr="00241463">
        <w:rPr>
          <w:rStyle w:val="FootnoteReference"/>
        </w:rPr>
        <w:footnoteRef/>
      </w:r>
      <w:r w:rsidRPr="00241463">
        <w:t xml:space="preserve"> KWVV and KPEN Renewal Applications, Affidavits of Compliance, filed by Peninsula on November 29, 2016 (KWVV Compliance Affidavit and KPEN Compliance Affidavit) (collectively, Compliance Affidavits).  The Compliance Affidavits are substantially identical; therefore, citations herein to “Compliance Affidavits” mean the same page number in each document. </w:t>
      </w:r>
    </w:p>
  </w:footnote>
  <w:footnote w:id="13">
    <w:p w14:paraId="0A3A4256" w14:textId="4EBDB8BD" w:rsidR="00F545C4" w:rsidRPr="00241463" w:rsidRDefault="00F545C4" w:rsidP="00BB41F1">
      <w:pPr>
        <w:pStyle w:val="FootnoteText"/>
        <w:spacing w:after="120"/>
      </w:pPr>
      <w:r w:rsidRPr="00241463">
        <w:rPr>
          <w:rStyle w:val="FootnoteReference"/>
        </w:rPr>
        <w:footnoteRef/>
      </w:r>
      <w:r w:rsidRPr="00241463">
        <w:t xml:space="preserve"> We continue to defer further action on: (1) The K272CN Modification Application (</w:t>
      </w:r>
      <w:r>
        <w:t>File</w:t>
      </w:r>
      <w:r w:rsidRPr="00241463">
        <w:t xml:space="preserve"> No. BPFT-20141112AMU); (2) the KWVV Modification Application (</w:t>
      </w:r>
      <w:r>
        <w:t>File</w:t>
      </w:r>
      <w:r w:rsidRPr="00241463">
        <w:t xml:space="preserve"> No. BPH-20141219AAA); and (3) Peninsula’s requests for special temporary authority for stations KGTL, KXBA, KPEN, and KWVV, seeking to reduce each station’s ERP (</w:t>
      </w:r>
      <w:r>
        <w:t>File</w:t>
      </w:r>
      <w:r w:rsidRPr="00241463">
        <w:t xml:space="preserve"> Nos. BSTA-20090213CPS; BSTA-20090213DAT; BSTA-20090213DAX; and BSTA-20090213DAZ) pending resolution of the present renewal proceeding. </w:t>
      </w:r>
    </w:p>
  </w:footnote>
  <w:footnote w:id="14">
    <w:p w14:paraId="7F45C6C7" w14:textId="0E354CD4" w:rsidR="00F545C4" w:rsidRPr="00B8125A" w:rsidRDefault="00F545C4" w:rsidP="00BB41F1">
      <w:pPr>
        <w:pStyle w:val="FootnoteText"/>
        <w:spacing w:after="120"/>
      </w:pPr>
      <w:r>
        <w:rPr>
          <w:rStyle w:val="FootnoteReference"/>
        </w:rPr>
        <w:footnoteRef/>
      </w:r>
      <w:r>
        <w:t xml:space="preserve"> </w:t>
      </w:r>
      <w:r>
        <w:rPr>
          <w:i/>
        </w:rPr>
        <w:t>Renewal Decision</w:t>
      </w:r>
      <w:r>
        <w:t>, 31 FCC Rcd at 10926.</w:t>
      </w:r>
    </w:p>
  </w:footnote>
  <w:footnote w:id="15">
    <w:p w14:paraId="68830216" w14:textId="25316BC9" w:rsidR="00F545C4" w:rsidRPr="00490D13" w:rsidRDefault="00F545C4" w:rsidP="00BB41F1">
      <w:pPr>
        <w:pStyle w:val="FootnoteText"/>
        <w:spacing w:after="120"/>
      </w:pPr>
      <w:r>
        <w:rPr>
          <w:rStyle w:val="FootnoteReference"/>
        </w:rPr>
        <w:footnoteRef/>
      </w:r>
      <w:r>
        <w:t xml:space="preserve"> </w:t>
      </w:r>
      <w:r>
        <w:rPr>
          <w:i/>
        </w:rPr>
        <w:t xml:space="preserve">See </w:t>
      </w:r>
      <w:r w:rsidRPr="002415DE">
        <w:rPr>
          <w:i/>
        </w:rPr>
        <w:t>Peninsula Communications</w:t>
      </w:r>
      <w:r>
        <w:rPr>
          <w:i/>
        </w:rPr>
        <w:t>, Inc.</w:t>
      </w:r>
      <w:r>
        <w:t xml:space="preserve">, Order to Show Cause, 17 FCC Rcd 2838, 2841 (2002) (“Peninsula had received and accepted a conditional grant of its 1995 renewal applications for the translators in 1997.  Having failed to fulfill the condition despite having years to do so, Peninsula forfeited its licenses and has no entitlement to a hearing.”); </w:t>
      </w:r>
      <w:r>
        <w:rPr>
          <w:i/>
        </w:rPr>
        <w:t>P&amp;R Temmer v. FCC</w:t>
      </w:r>
      <w:r>
        <w:t xml:space="preserve">, </w:t>
      </w:r>
      <w:r w:rsidRPr="00490D13">
        <w:t>743 F.2d 918</w:t>
      </w:r>
      <w:r>
        <w:t>, 928</w:t>
      </w:r>
      <w:r w:rsidRPr="00490D13">
        <w:t xml:space="preserve"> (</w:t>
      </w:r>
      <w:r>
        <w:t xml:space="preserve">D.C. Cir. </w:t>
      </w:r>
      <w:r w:rsidRPr="00490D13">
        <w:t>1984)</w:t>
      </w:r>
      <w:r>
        <w:t xml:space="preserve"> (termination of license for failure to meet license </w:t>
      </w:r>
      <w:bookmarkStart w:id="1" w:name="ctx4"/>
      <w:bookmarkEnd w:id="1"/>
      <w:r>
        <w:rPr>
          <w:noProof/>
          <w:color w:val="0000FF"/>
        </w:rPr>
        <w:drawing>
          <wp:inline distT="0" distB="0" distL="0" distR="0" wp14:anchorId="31DF6843" wp14:editId="69F46BCA">
            <wp:extent cx="9525" cy="9525"/>
            <wp:effectExtent l="0" t="0" r="0" b="0"/>
            <wp:docPr id="3" name="Picture 3" descr="previous h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vious h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displayhltext"/>
        </w:rPr>
        <w:t>condition</w:t>
      </w:r>
      <w:r>
        <w:rPr>
          <w:noProof/>
          <w:color w:val="0000FF"/>
        </w:rPr>
        <w:drawing>
          <wp:inline distT="0" distB="0" distL="0" distR="0" wp14:anchorId="62AF9BC5" wp14:editId="0238E716">
            <wp:extent cx="9525" cy="9525"/>
            <wp:effectExtent l="0" t="0" r="0" b="0"/>
            <wp:docPr id="7" name="Picture 7" descr="next hi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xt hit">
                      <a:hlinkClick r:id="rId3"/>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does not require hearing).</w:t>
      </w:r>
    </w:p>
  </w:footnote>
  <w:footnote w:id="16">
    <w:p w14:paraId="1ADA86D5" w14:textId="0FB83341" w:rsidR="00F545C4" w:rsidRPr="00241463" w:rsidRDefault="00F545C4" w:rsidP="00BB41F1">
      <w:pPr>
        <w:pStyle w:val="FootnoteText"/>
        <w:spacing w:after="120"/>
        <w:rPr>
          <w:i/>
        </w:rPr>
      </w:pPr>
      <w:r w:rsidRPr="00241463">
        <w:rPr>
          <w:rStyle w:val="FootnoteReference"/>
        </w:rPr>
        <w:footnoteRef/>
      </w:r>
      <w:r w:rsidRPr="00241463">
        <w:t xml:space="preserve"> Peninsula was originally required to divest these translators by June 1, 1993.  For a comprehensive history of the various Commission and court proceedings relating to this matter, see </w:t>
      </w:r>
      <w:r w:rsidRPr="00241463">
        <w:rPr>
          <w:i/>
        </w:rPr>
        <w:t>Peninsula Communications, Inc.</w:t>
      </w:r>
      <w:r w:rsidRPr="00241463">
        <w:t>, Initial Decision, 18 FCC Rcd 12349, 12352 (2005) (</w:t>
      </w:r>
      <w:r w:rsidRPr="00241463">
        <w:rPr>
          <w:i/>
        </w:rPr>
        <w:t>Initial Decision</w:t>
      </w:r>
      <w:r w:rsidRPr="00241463">
        <w:t xml:space="preserve">).  Although the </w:t>
      </w:r>
      <w:r w:rsidRPr="00241463">
        <w:rPr>
          <w:i/>
        </w:rPr>
        <w:t xml:space="preserve">Initial Decision </w:t>
      </w:r>
      <w:r w:rsidRPr="00241463">
        <w:t xml:space="preserve">was later vacated, this action was based purely on the </w:t>
      </w:r>
      <w:r>
        <w:t xml:space="preserve">reinstatement </w:t>
      </w:r>
      <w:r w:rsidRPr="00241463">
        <w:t>mandate of Section 31</w:t>
      </w:r>
      <w:r>
        <w:t>2</w:t>
      </w:r>
      <w:r w:rsidRPr="00241463">
        <w:t>(</w:t>
      </w:r>
      <w:r>
        <w:t>g</w:t>
      </w:r>
      <w:r w:rsidRPr="00241463">
        <w:t xml:space="preserve">) and does not repudiate the factual findings developed on the record in the </w:t>
      </w:r>
      <w:r w:rsidRPr="00241463">
        <w:rPr>
          <w:i/>
        </w:rPr>
        <w:t xml:space="preserve">Initial Decision </w:t>
      </w:r>
      <w:r w:rsidRPr="00241463">
        <w:t>proceeding.</w:t>
      </w:r>
    </w:p>
  </w:footnote>
  <w:footnote w:id="17">
    <w:p w14:paraId="1FDB9858" w14:textId="0CD8CC4C" w:rsidR="00F545C4" w:rsidRPr="00241463" w:rsidRDefault="00F545C4" w:rsidP="00BB41F1">
      <w:pPr>
        <w:pStyle w:val="FootnoteText"/>
        <w:spacing w:after="120"/>
      </w:pPr>
      <w:r w:rsidRPr="00241463">
        <w:rPr>
          <w:rStyle w:val="FootnoteReference"/>
        </w:rPr>
        <w:footnoteRef/>
      </w:r>
      <w:r w:rsidRPr="00241463">
        <w:t xml:space="preserve"> 47 CFR § 74.1232(d) (Section 74.1232(d) or rule</w:t>
      </w:r>
      <w:r>
        <w:t xml:space="preserve"> prohibiting co-ownership of other area translators</w:t>
      </w:r>
      <w:r w:rsidRPr="00241463">
        <w:t xml:space="preserve">) (“An authorization for an FM translator whose coverage contour extends beyond the protected contour of the commercial primary station will not be granted to the licensee or permittee of a commercial FM radio broadcast station.  Similarly, such authorization will not be granted to any person or entity having any interest whatsoever, or any connection with a primary FM station.”); </w:t>
      </w:r>
      <w:r w:rsidRPr="00241463">
        <w:rPr>
          <w:i/>
        </w:rPr>
        <w:t>Amendment of Part 74 of the Commission's Rules Concerning FM Translator Stations</w:t>
      </w:r>
      <w:r w:rsidRPr="00241463">
        <w:t>, Report and Order, 5 FCC Rcd 7212, 7215 (1990) (</w:t>
      </w:r>
      <w:r w:rsidRPr="00241463">
        <w:rPr>
          <w:i/>
        </w:rPr>
        <w:t>Translator Order</w:t>
      </w:r>
      <w:r w:rsidRPr="00241463">
        <w:t>).  A primary station is the full service station whose signal a translator retransmits.  Section 74.1232(d) permits “fill-in” stations—those located entirely within the protected service contour of the primary station—to be co-owned.</w:t>
      </w:r>
    </w:p>
  </w:footnote>
  <w:footnote w:id="18">
    <w:p w14:paraId="70217640" w14:textId="2F2701EC"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 xml:space="preserve">See, e.g., </w:t>
      </w:r>
      <w:r>
        <w:rPr>
          <w:i/>
        </w:rPr>
        <w:t>Initial Decision</w:t>
      </w:r>
      <w:r w:rsidRPr="00241463">
        <w:t xml:space="preserve">, 18 FCC Rcd </w:t>
      </w:r>
      <w:r>
        <w:t>at</w:t>
      </w:r>
      <w:r w:rsidRPr="00241463">
        <w:t xml:space="preserve"> 12352; </w:t>
      </w:r>
      <w:r w:rsidRPr="00241463">
        <w:rPr>
          <w:i/>
        </w:rPr>
        <w:t>Monroe County Commn'rs</w:t>
      </w:r>
      <w:r w:rsidRPr="00241463">
        <w:t>., 72 FCC 2d 683, 685 (1979) (“The purpose of the [VH</w:t>
      </w:r>
      <w:r>
        <w:t>F translator co-ownership rule]</w:t>
      </w:r>
      <w:r w:rsidRPr="00241463">
        <w:t xml:space="preserve"> is to prevent VHF licensees from using translators as competitive weapons by extending their signals beyond their primary service area into the service area of competitors.  The rule is consistent with the purpose of translators to provide service to communities without it, and to improve reception within a station's primary service area.”); </w:t>
      </w:r>
      <w:r w:rsidRPr="00241463">
        <w:rPr>
          <w:i/>
        </w:rPr>
        <w:t>BER-TEC Broadcasting, Inc.</w:t>
      </w:r>
      <w:r w:rsidRPr="00241463">
        <w:t>, Memorandum Opinion and Order, 101 FCC 2d 570, 573 (1985) (</w:t>
      </w:r>
      <w:r w:rsidRPr="00241463">
        <w:rPr>
          <w:i/>
        </w:rPr>
        <w:t>BER-TEC</w:t>
      </w:r>
      <w:r w:rsidRPr="00241463">
        <w:t>) (“The underlying rationale for [Section 74.1232(d)(1)’s] inclusion was to prevent FM station licensees from using FM translators as a competitive means for extending their stations' service areas.”).</w:t>
      </w:r>
    </w:p>
  </w:footnote>
  <w:footnote w:id="19">
    <w:p w14:paraId="4F3C7811" w14:textId="7777777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Translator Order</w:t>
      </w:r>
      <w:r w:rsidRPr="00241463">
        <w:t xml:space="preserve">, 5 FCC Rcd at 7232; </w:t>
      </w:r>
      <w:r w:rsidRPr="00241463">
        <w:rPr>
          <w:i/>
        </w:rPr>
        <w:t>see also</w:t>
      </w:r>
      <w:r w:rsidRPr="00241463">
        <w:t xml:space="preserve"> </w:t>
      </w:r>
      <w:r w:rsidRPr="00241463">
        <w:rPr>
          <w:i/>
        </w:rPr>
        <w:t>Amendment of Service and Eligibility Rules for FM Broadcast Translator Stations</w:t>
      </w:r>
      <w:r w:rsidRPr="00241463">
        <w:t>, Report and Order, 4 FCC Rcd 9642 (2009) (adopting changes to FM translator rules allowing AM stations to use FM translators to rebroadcast AM programming as a fill-in service).</w:t>
      </w:r>
    </w:p>
  </w:footnote>
  <w:footnote w:id="20">
    <w:p w14:paraId="2F827B86" w14:textId="7D428328"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e.g</w:t>
      </w:r>
      <w:r>
        <w:rPr>
          <w:i/>
        </w:rPr>
        <w:t>.</w:t>
      </w:r>
      <w:r w:rsidRPr="00241463">
        <w:rPr>
          <w:i/>
        </w:rPr>
        <w:t>, BER-TEC</w:t>
      </w:r>
      <w:r w:rsidRPr="00241463">
        <w:t>, 101 FCC 2d at 573.</w:t>
      </w:r>
    </w:p>
  </w:footnote>
  <w:footnote w:id="21">
    <w:p w14:paraId="13482B6C" w14:textId="5C176439"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Peninsula Communications, Inc.</w:t>
      </w:r>
      <w:r w:rsidRPr="00241463">
        <w:t>, Memorandum Opinion and Order and Order to Show Cause, 16 FCC Rcd 11364, 11369-70 (2001) (</w:t>
      </w:r>
      <w:r w:rsidRPr="00241463">
        <w:rPr>
          <w:i/>
        </w:rPr>
        <w:t>Cancellation Order</w:t>
      </w:r>
      <w:r w:rsidRPr="00241463">
        <w:t>).</w:t>
      </w:r>
    </w:p>
  </w:footnote>
  <w:footnote w:id="22">
    <w:p w14:paraId="12040E77" w14:textId="518EDF5B"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Initial Decision</w:t>
      </w:r>
      <w:r w:rsidRPr="00241463">
        <w:t>, 18 FCC Rcd at 12369.</w:t>
      </w:r>
    </w:p>
  </w:footnote>
  <w:footnote w:id="23">
    <w:p w14:paraId="2FDFF8E1" w14:textId="3978E8AC" w:rsidR="00F545C4" w:rsidRPr="00241463" w:rsidRDefault="00F545C4" w:rsidP="00BB41F1">
      <w:pPr>
        <w:pStyle w:val="FootnoteText"/>
        <w:spacing w:after="120"/>
      </w:pPr>
      <w:r w:rsidRPr="00241463">
        <w:rPr>
          <w:rStyle w:val="FootnoteReference"/>
        </w:rPr>
        <w:footnoteRef/>
      </w:r>
      <w:r w:rsidRPr="00241463">
        <w:t xml:space="preserve"> </w:t>
      </w:r>
      <w:r w:rsidR="001C3669" w:rsidRPr="001C3669">
        <w:rPr>
          <w:i/>
        </w:rPr>
        <w:t>Id.</w:t>
      </w:r>
      <w:r w:rsidR="001C3669">
        <w:rPr>
          <w:i/>
        </w:rPr>
        <w:t xml:space="preserve"> </w:t>
      </w:r>
      <w:r w:rsidRPr="00241463">
        <w:t>at 12368-71.</w:t>
      </w:r>
    </w:p>
  </w:footnote>
  <w:footnote w:id="24">
    <w:p w14:paraId="1C25381F" w14:textId="3CDF47BD" w:rsidR="00F545C4" w:rsidRPr="00241463" w:rsidRDefault="00F545C4" w:rsidP="00BB41F1">
      <w:pPr>
        <w:pStyle w:val="FootnoteText"/>
        <w:spacing w:after="120"/>
      </w:pPr>
      <w:r w:rsidRPr="00241463">
        <w:rPr>
          <w:rStyle w:val="FootnoteReference"/>
        </w:rPr>
        <w:footnoteRef/>
      </w:r>
      <w:r w:rsidRPr="00241463">
        <w:t xml:space="preserve"> Consolidated Appropriations Act of 2005, Pub. Law 108-447.  Title IX of that Act is the Satellite Home Viewer Extension and Reauthorization Act of 2004 (SHVERA).  Section 213 of SHVERA modified Section 312(g) of the Act, 47 U.S.C. § 312(g) and adds new Section 307(f)(2), 47 U.S.C. § 307(f)(2) (collectively, SHVERA Amendments).</w:t>
      </w:r>
    </w:p>
  </w:footnote>
  <w:footnote w:id="25">
    <w:p w14:paraId="3A80177D" w14:textId="71E23866" w:rsidR="00F545C4" w:rsidRPr="00241463" w:rsidRDefault="00F545C4" w:rsidP="00BB41F1">
      <w:pPr>
        <w:pStyle w:val="FootnoteText"/>
        <w:spacing w:after="120"/>
      </w:pPr>
      <w:r w:rsidRPr="00241463">
        <w:rPr>
          <w:rStyle w:val="FootnoteReference"/>
        </w:rPr>
        <w:footnoteRef/>
      </w:r>
      <w:r w:rsidRPr="00241463">
        <w:t xml:space="preserve"> 47 U.S.C. § 312(g). </w:t>
      </w:r>
    </w:p>
  </w:footnote>
  <w:footnote w:id="26">
    <w:p w14:paraId="43E76695" w14:textId="758A48E0"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Peninsula Communications, Inc.</w:t>
      </w:r>
      <w:r w:rsidRPr="00241463">
        <w:t xml:space="preserve">, Memorandum Opinion and Order, 20 FCC Rcd 11408 (2005); </w:t>
      </w:r>
      <w:r w:rsidRPr="00241463">
        <w:rPr>
          <w:i/>
        </w:rPr>
        <w:t>Peninsula Communications, Inc.</w:t>
      </w:r>
      <w:r w:rsidRPr="00241463">
        <w:t xml:space="preserve">, Memorandum Opinion and Order, 20 FCC Rcd 16919, 16921 (2005) (collectively, </w:t>
      </w:r>
      <w:r w:rsidRPr="00241463">
        <w:rPr>
          <w:i/>
        </w:rPr>
        <w:t>Reinstatement Orders</w:t>
      </w:r>
      <w:r w:rsidRPr="00241463">
        <w:t>).</w:t>
      </w:r>
    </w:p>
  </w:footnote>
  <w:footnote w:id="27">
    <w:p w14:paraId="56CE6694" w14:textId="622631EA" w:rsidR="00F545C4" w:rsidRPr="00241463" w:rsidRDefault="00F545C4" w:rsidP="00BB41F1">
      <w:pPr>
        <w:pStyle w:val="FootnoteText"/>
        <w:spacing w:after="120"/>
      </w:pPr>
      <w:r w:rsidRPr="00241463">
        <w:rPr>
          <w:rStyle w:val="FootnoteReference"/>
        </w:rPr>
        <w:footnoteRef/>
      </w:r>
      <w:r w:rsidRPr="00241463">
        <w:t xml:space="preserve"> 47 U.S.C. § 307(f)(2) states that “any holder of a broadcast license who has broadcast to an area of Alaska that did not have access to over the air broadcasts via translator, microwave, or other alternative signal delivery may continue providing such service even if another holder of a broadcast license begins broadcasting to such an area, and shall not be fined or subject to any other penalty, forfeiture, or revocation related to providing such service including any fine, penalty, forfeiture, or revocation for continuing to operate notwithstanding orders to the contrary.”</w:t>
      </w:r>
    </w:p>
  </w:footnote>
  <w:footnote w:id="28">
    <w:p w14:paraId="5642510C" w14:textId="53918954"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 xml:space="preserve">See Renewal Decision, </w:t>
      </w:r>
      <w:r w:rsidRPr="00241463">
        <w:t>31 FCC Rcd at 10920.</w:t>
      </w:r>
    </w:p>
  </w:footnote>
  <w:footnote w:id="29">
    <w:p w14:paraId="088FAE7C" w14:textId="25EED5B1" w:rsidR="00F545C4" w:rsidRPr="00241463" w:rsidRDefault="00F545C4" w:rsidP="00BB41F1">
      <w:pPr>
        <w:pStyle w:val="FootnoteText"/>
        <w:spacing w:after="120"/>
      </w:pPr>
      <w:r w:rsidRPr="00241463">
        <w:rPr>
          <w:rStyle w:val="FootnoteReference"/>
        </w:rPr>
        <w:footnoteRef/>
      </w:r>
      <w:r w:rsidRPr="00241463">
        <w:t xml:space="preserve"> </w:t>
      </w:r>
      <w:r w:rsidR="001C3669" w:rsidRPr="001C3669">
        <w:rPr>
          <w:i/>
        </w:rPr>
        <w:t>Id.</w:t>
      </w:r>
      <w:r w:rsidRPr="00241463">
        <w:t xml:space="preserve"> at 10921-22.</w:t>
      </w:r>
    </w:p>
  </w:footnote>
  <w:footnote w:id="30">
    <w:p w14:paraId="5A75B806" w14:textId="5844BD81" w:rsidR="00F545C4" w:rsidRPr="00241463" w:rsidRDefault="00F545C4" w:rsidP="00BB41F1">
      <w:pPr>
        <w:pStyle w:val="FootnoteText"/>
        <w:spacing w:after="120"/>
      </w:pPr>
      <w:r w:rsidRPr="00241463">
        <w:rPr>
          <w:rStyle w:val="FootnoteReference"/>
        </w:rPr>
        <w:footnoteRef/>
      </w:r>
      <w:r w:rsidRPr="00241463">
        <w:t xml:space="preserve"> </w:t>
      </w:r>
      <w:r w:rsidR="001C3669" w:rsidRPr="001C3669">
        <w:rPr>
          <w:i/>
        </w:rPr>
        <w:t>Id.</w:t>
      </w:r>
      <w:r w:rsidRPr="00241463">
        <w:t xml:space="preserve"> at 10923.  </w:t>
      </w:r>
    </w:p>
  </w:footnote>
  <w:footnote w:id="31">
    <w:p w14:paraId="4636A3E8" w14:textId="43EFB184" w:rsidR="00F545C4" w:rsidRPr="00241463" w:rsidRDefault="00F545C4" w:rsidP="00BB41F1">
      <w:pPr>
        <w:pStyle w:val="FootnoteText"/>
        <w:spacing w:after="120"/>
      </w:pPr>
      <w:r w:rsidRPr="00241463">
        <w:rPr>
          <w:rStyle w:val="FootnoteReference"/>
        </w:rPr>
        <w:footnoteRef/>
      </w:r>
      <w:r w:rsidRPr="00241463">
        <w:t xml:space="preserve"> </w:t>
      </w:r>
      <w:r w:rsidR="001C3669" w:rsidRPr="001C3669">
        <w:rPr>
          <w:i/>
        </w:rPr>
        <w:t>Id.</w:t>
      </w:r>
      <w:r w:rsidR="001C3669">
        <w:rPr>
          <w:i/>
        </w:rPr>
        <w:t xml:space="preserve"> </w:t>
      </w:r>
      <w:r w:rsidRPr="00241463">
        <w:rPr>
          <w:iCs/>
        </w:rPr>
        <w:t>at 10918.</w:t>
      </w:r>
    </w:p>
  </w:footnote>
  <w:footnote w:id="32">
    <w:p w14:paraId="490FB7BB" w14:textId="42362B55"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Renewal Decision</w:t>
      </w:r>
      <w:r w:rsidR="001C3669">
        <w:t>, 31 FCC Rcd at 10918</w:t>
      </w:r>
      <w:r w:rsidRPr="00241463">
        <w:t xml:space="preserve">; 47 CFR § 74.1231(b) (Section 74.1231(b) or signal delivery rule) (“An FM translator may be used for the purpose of retransmitting the signals of a primary AM or FM radio broadcast station or another translator station the signal of which is received directly through space, converted, and suitably amplified ... [h]owever, an FM translator providing fill-in service may use any terrestrial facilities to receive the signal that is being rebroadcast.”); </w:t>
      </w:r>
      <w:r w:rsidRPr="00241463">
        <w:rPr>
          <w:i/>
        </w:rPr>
        <w:t>Translator Order</w:t>
      </w:r>
      <w:r w:rsidRPr="00241463">
        <w:t>, 5 FCC Rcd at 7221.</w:t>
      </w:r>
    </w:p>
  </w:footnote>
  <w:footnote w:id="33">
    <w:p w14:paraId="53F7B99D" w14:textId="5047CFBC" w:rsidR="00F545C4" w:rsidRDefault="00F545C4" w:rsidP="00BB41F1">
      <w:pPr>
        <w:pStyle w:val="FootnoteText"/>
        <w:spacing w:after="120"/>
      </w:pPr>
      <w:r>
        <w:rPr>
          <w:rStyle w:val="FootnoteReference"/>
        </w:rPr>
        <w:footnoteRef/>
      </w:r>
      <w:r>
        <w:t xml:space="preserve"> </w:t>
      </w:r>
      <w:r>
        <w:rPr>
          <w:i/>
        </w:rPr>
        <w:t>See</w:t>
      </w:r>
      <w:r>
        <w:t xml:space="preserve"> </w:t>
      </w:r>
      <w:r w:rsidRPr="00241463">
        <w:rPr>
          <w:i/>
        </w:rPr>
        <w:t>Jefferson Radio Co. v. FCC</w:t>
      </w:r>
      <w:r w:rsidRPr="00241463">
        <w:t xml:space="preserve">, 340 F.2d 781 (D.C. Cir. 1964) </w:t>
      </w:r>
      <w:r>
        <w:t>(</w:t>
      </w:r>
      <w:r>
        <w:rPr>
          <w:i/>
        </w:rPr>
        <w:t>Jefferson Radio</w:t>
      </w:r>
      <w:r>
        <w:t xml:space="preserve">) </w:t>
      </w:r>
      <w:r w:rsidRPr="00241463">
        <w:t xml:space="preserve">(holding that action on an assignment or transfer application generally must be deferred where there are unresolved basic character qualifications issues concerning the seller in a renewal proceeding for the station sought to be transferred); </w:t>
      </w:r>
      <w:r w:rsidRPr="00241463">
        <w:rPr>
          <w:i/>
        </w:rPr>
        <w:t xml:space="preserve">Virginia RSA 6 Cellular Ltd. Partnership, </w:t>
      </w:r>
      <w:r w:rsidRPr="00241463">
        <w:t>Memorandum Opinion and Order and Notice of Apparent Liability, 6 FCC Rcd 405, 407 (1991) (issuing a notice of apparent liability for premature construction on the basis that not all rule violations warrant a hearing to determine the licensee’s basic character qualifications).</w:t>
      </w:r>
    </w:p>
  </w:footnote>
  <w:footnote w:id="34">
    <w:p w14:paraId="75D0ADF5" w14:textId="1C94DDAE" w:rsidR="00F545C4" w:rsidRPr="00241463" w:rsidRDefault="00F545C4" w:rsidP="00BB41F1">
      <w:pPr>
        <w:pStyle w:val="FootnoteText"/>
        <w:spacing w:after="120"/>
      </w:pPr>
      <w:r w:rsidRPr="00241463">
        <w:rPr>
          <w:rStyle w:val="FootnoteReference"/>
        </w:rPr>
        <w:footnoteRef/>
      </w:r>
      <w:r w:rsidRPr="00241463">
        <w:t xml:space="preserve"> </w:t>
      </w:r>
      <w:r>
        <w:t xml:space="preserve">47 U.S.C. § 303(r) (authorizing the Commission to “prescribe such restrictions and conditions” as may be necessary to carry out its duties); </w:t>
      </w:r>
      <w:r>
        <w:rPr>
          <w:i/>
        </w:rPr>
        <w:t>The Petroleum V. Nasby Corp</w:t>
      </w:r>
      <w:r>
        <w:t>, 10 FCC Rcd 6029, 6030 (Rev. Bd. 1995) (</w:t>
      </w:r>
      <w:r w:rsidRPr="00DD6393">
        <w:t>conditioning grant of license renewal and transfer applications on divestiture of stock ownership and</w:t>
      </w:r>
      <w:r>
        <w:t xml:space="preserve"> corporate membership resulting from illegal transfers); </w:t>
      </w:r>
      <w:r w:rsidRPr="003F4514">
        <w:rPr>
          <w:i/>
        </w:rPr>
        <w:t>Spanish Int'l Communications Corp.</w:t>
      </w:r>
      <w:r>
        <w:t xml:space="preserve">, Memorandum Opinion and Order, 1 FCC Rcd 92, 92 (1987) (renewing license despite violation of </w:t>
      </w:r>
      <w:r w:rsidRPr="00BA074E">
        <w:t>Section 310(b)</w:t>
      </w:r>
      <w:r>
        <w:t xml:space="preserve"> alien ownership restrictions conditioned upon prompt transfer to qualified, unrelated buyers); </w:t>
      </w:r>
      <w:r w:rsidRPr="00BA074E">
        <w:rPr>
          <w:i/>
        </w:rPr>
        <w:t xml:space="preserve">Fox Television Stations, Inc., </w:t>
      </w:r>
      <w:r w:rsidRPr="00BA074E">
        <w:t xml:space="preserve">Memorandum Opinion and Order, </w:t>
      </w:r>
      <w:r>
        <w:t xml:space="preserve">10 FCC Rcd 8452 (1995) (renewing license despite violation of </w:t>
      </w:r>
      <w:r w:rsidRPr="00BA074E">
        <w:t>Section 310(b)</w:t>
      </w:r>
      <w:r>
        <w:t xml:space="preserve"> alien ownership restrictions conditioned upon submission by licensee of public interest showing justifying non-compliance or statement demonstrating future compliance). </w:t>
      </w:r>
      <w:r>
        <w:rPr>
          <w:i/>
        </w:rPr>
        <w:t xml:space="preserve"> </w:t>
      </w:r>
    </w:p>
  </w:footnote>
  <w:footnote w:id="35">
    <w:p w14:paraId="280AA193" w14:textId="2BF7D243"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Renewal Decision</w:t>
      </w:r>
      <w:r w:rsidRPr="00241463">
        <w:t>, 31 FCC Rcd at 10925.</w:t>
      </w:r>
    </w:p>
  </w:footnote>
  <w:footnote w:id="36">
    <w:p w14:paraId="0722F412" w14:textId="77777777" w:rsidR="00F545C4" w:rsidRPr="00241463" w:rsidRDefault="00F545C4" w:rsidP="00BB41F1">
      <w:pPr>
        <w:pStyle w:val="FootnoteText"/>
        <w:spacing w:after="120"/>
      </w:pPr>
      <w:r w:rsidRPr="00241463">
        <w:rPr>
          <w:rStyle w:val="FootnoteReference"/>
        </w:rPr>
        <w:footnoteRef/>
      </w:r>
      <w:r w:rsidRPr="00241463">
        <w:t xml:space="preserve"> 47 CFR § 73.1125(a) and 47 CFR § 74.1231(b), respectively. </w:t>
      </w:r>
    </w:p>
  </w:footnote>
  <w:footnote w:id="37">
    <w:p w14:paraId="38701245" w14:textId="604FCDCA" w:rsidR="00F545C4" w:rsidRPr="00241463" w:rsidRDefault="00F545C4" w:rsidP="00BB41F1">
      <w:pPr>
        <w:pStyle w:val="FootnoteText"/>
        <w:spacing w:after="120"/>
      </w:pPr>
      <w:r w:rsidRPr="00241463">
        <w:rPr>
          <w:rStyle w:val="FootnoteReference"/>
        </w:rPr>
        <w:footnoteRef/>
      </w:r>
      <w:r w:rsidRPr="00241463">
        <w:t xml:space="preserve"> Petition for Reconsideration at 6.</w:t>
      </w:r>
    </w:p>
  </w:footnote>
  <w:footnote w:id="38">
    <w:p w14:paraId="5E519E2F" w14:textId="26FB899E" w:rsidR="00F545C4" w:rsidRPr="008F5EDE" w:rsidRDefault="00F545C4" w:rsidP="00BB41F1">
      <w:pPr>
        <w:pStyle w:val="FootnoteText"/>
        <w:spacing w:after="120"/>
        <w:rPr>
          <w:i/>
        </w:rPr>
      </w:pPr>
      <w:r w:rsidRPr="00241463">
        <w:rPr>
          <w:rStyle w:val="FootnoteReference"/>
        </w:rPr>
        <w:footnoteRef/>
      </w:r>
      <w:r w:rsidRPr="00241463">
        <w:t xml:space="preserve"> Petition for Reconsideration at 6, 9 (citing </w:t>
      </w:r>
      <w:r w:rsidRPr="00241463">
        <w:rPr>
          <w:i/>
        </w:rPr>
        <w:t>Jefferson Radio</w:t>
      </w:r>
      <w:r w:rsidRPr="00241463">
        <w:t xml:space="preserve">, 340 F.2d </w:t>
      </w:r>
      <w:r>
        <w:t xml:space="preserve">at 783 </w:t>
      </w:r>
      <w:r w:rsidRPr="00241463">
        <w:t>(prohibiting the assignment of a license while basic qualifications issues raised against the licensee remain unresolved, thus serving as a deterrent to licensee misconduct by preventing a licensee from “selling out” from under a potential disqualification)).</w:t>
      </w:r>
      <w:r>
        <w:t xml:space="preserve">  </w:t>
      </w:r>
      <w:r>
        <w:rPr>
          <w:i/>
        </w:rPr>
        <w:t xml:space="preserve">See also, e.g., </w:t>
      </w:r>
      <w:r w:rsidRPr="00A53137">
        <w:rPr>
          <w:i/>
        </w:rPr>
        <w:t xml:space="preserve">Cellular System One of Tulsa, Inc., </w:t>
      </w:r>
      <w:r w:rsidRPr="008F5EDE">
        <w:t>Memorandum Opinion and Order, 102 FCC 2d 86, 89-90 (1985)</w:t>
      </w:r>
      <w:r>
        <w:t>.</w:t>
      </w:r>
    </w:p>
  </w:footnote>
  <w:footnote w:id="39">
    <w:p w14:paraId="52F6F641" w14:textId="60678DF4" w:rsidR="00F545C4" w:rsidRPr="00241463" w:rsidRDefault="00F545C4" w:rsidP="00BB41F1">
      <w:pPr>
        <w:pStyle w:val="FootnoteText"/>
        <w:spacing w:after="120"/>
      </w:pPr>
      <w:r w:rsidRPr="00241463">
        <w:rPr>
          <w:rStyle w:val="FootnoteReference"/>
        </w:rPr>
        <w:footnoteRef/>
      </w:r>
      <w:r w:rsidRPr="00241463">
        <w:t xml:space="preserve"> Petition for Reconsideration at 4. </w:t>
      </w:r>
    </w:p>
  </w:footnote>
  <w:footnote w:id="40">
    <w:p w14:paraId="1FE0CF26" w14:textId="20F50711" w:rsidR="00F545C4" w:rsidRPr="00241463" w:rsidRDefault="00F545C4" w:rsidP="00BB41F1">
      <w:pPr>
        <w:pStyle w:val="FootnoteText"/>
        <w:spacing w:after="120"/>
      </w:pPr>
      <w:r w:rsidRPr="00241463">
        <w:rPr>
          <w:rStyle w:val="FootnoteReference"/>
        </w:rPr>
        <w:footnoteRef/>
      </w:r>
      <w:r>
        <w:t xml:space="preserve"> </w:t>
      </w:r>
      <w:r w:rsidRPr="00241463">
        <w:t>Petition for Reconsideration at 8-9; Reconsideration Reply at 7-8.</w:t>
      </w:r>
    </w:p>
  </w:footnote>
  <w:footnote w:id="41">
    <w:p w14:paraId="31439F9A" w14:textId="3808EBF7" w:rsidR="00F545C4" w:rsidRPr="00241463" w:rsidRDefault="00F545C4" w:rsidP="00BB41F1">
      <w:pPr>
        <w:pStyle w:val="FootnoteText"/>
        <w:spacing w:after="120"/>
      </w:pPr>
      <w:r w:rsidRPr="00241463">
        <w:rPr>
          <w:rStyle w:val="FootnoteReference"/>
        </w:rPr>
        <w:footnoteRef/>
      </w:r>
      <w:r w:rsidRPr="00241463">
        <w:t xml:space="preserve"> Reconsideration Opposition at 2-3.</w:t>
      </w:r>
    </w:p>
  </w:footnote>
  <w:footnote w:id="42">
    <w:p w14:paraId="3FB953D4" w14:textId="69661921" w:rsidR="00F545C4" w:rsidRPr="00241463" w:rsidRDefault="00F545C4" w:rsidP="00BB41F1">
      <w:pPr>
        <w:pStyle w:val="FootnoteText"/>
        <w:spacing w:after="120"/>
      </w:pPr>
      <w:r w:rsidRPr="00241463">
        <w:rPr>
          <w:rStyle w:val="FootnoteReference"/>
        </w:rPr>
        <w:footnoteRef/>
      </w:r>
      <w:r w:rsidRPr="00241463">
        <w:t xml:space="preserve"> Compliance Affidavits at 2. </w:t>
      </w:r>
    </w:p>
  </w:footnote>
  <w:footnote w:id="43">
    <w:p w14:paraId="13B994D4" w14:textId="5FEFAB63"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Peninsula Communications, Inc.</w:t>
      </w:r>
      <w:r w:rsidRPr="00241463">
        <w:t>, Letter Decision, Ref. No. 8930-MER (MMB 1992) (</w:t>
      </w:r>
      <w:r w:rsidRPr="00241463">
        <w:rPr>
          <w:i/>
        </w:rPr>
        <w:t>Seward Waiver Letter</w:t>
      </w:r>
      <w:r w:rsidRPr="00241463">
        <w:t xml:space="preserve">) (granting waivers of Sections 74.1232(d) and 74.1231(b)). </w:t>
      </w:r>
    </w:p>
  </w:footnote>
  <w:footnote w:id="44">
    <w:p w14:paraId="065C8F74" w14:textId="5F1F397D"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Peninsula Communications, Inc. Order to Show Cause Why the Licenses for Translator Stations K272DG and K285EG, Seward, Alaska, Should Not Be Modified</w:t>
      </w:r>
      <w:r w:rsidRPr="00241463">
        <w:t>, Memorandum Opinion and Order, 18 FCC Rcd 4027, 4029-30 (2003) (</w:t>
      </w:r>
      <w:r w:rsidRPr="00241463">
        <w:rPr>
          <w:i/>
        </w:rPr>
        <w:t>Seward Waiver Termination Order</w:t>
      </w:r>
      <w:r w:rsidRPr="00241463">
        <w:t>).</w:t>
      </w:r>
    </w:p>
  </w:footnote>
  <w:footnote w:id="45">
    <w:p w14:paraId="7E9939CC" w14:textId="13C8FB99" w:rsidR="00F545C4" w:rsidRPr="00241463" w:rsidRDefault="00F545C4" w:rsidP="00BB41F1">
      <w:pPr>
        <w:pStyle w:val="FootnoteText"/>
        <w:spacing w:after="120"/>
      </w:pPr>
      <w:r w:rsidRPr="00241463">
        <w:rPr>
          <w:rStyle w:val="FootnoteReference"/>
        </w:rPr>
        <w:footnoteRef/>
      </w:r>
      <w:r w:rsidRPr="00241463">
        <w:t xml:space="preserve"> The Kodiak Translators never received a signal delivery waiver.  </w:t>
      </w:r>
      <w:r w:rsidRPr="00241463">
        <w:rPr>
          <w:i/>
        </w:rPr>
        <w:t xml:space="preserve">See </w:t>
      </w:r>
      <w:r w:rsidRPr="00241463">
        <w:t>Compliance Affidavits at 10.</w:t>
      </w:r>
    </w:p>
  </w:footnote>
  <w:footnote w:id="46">
    <w:p w14:paraId="4F2153B9" w14:textId="5BA369CC" w:rsidR="00F545C4" w:rsidRPr="00241463" w:rsidRDefault="00F545C4" w:rsidP="00BB41F1">
      <w:pPr>
        <w:pStyle w:val="FootnoteText"/>
        <w:spacing w:after="120"/>
      </w:pPr>
      <w:r w:rsidRPr="00241463">
        <w:rPr>
          <w:rStyle w:val="FootnoteReference"/>
        </w:rPr>
        <w:footnoteRef/>
      </w:r>
      <w:r w:rsidRPr="00241463">
        <w:t xml:space="preserve"> </w:t>
      </w:r>
      <w:r>
        <w:t xml:space="preserve">Compliance Affidavits at 10.  </w:t>
      </w:r>
      <w:r w:rsidRPr="00241463">
        <w:t>K272CN, which rebroadcasts KPEN in the Homer market, also receives the signal of primary station KPEN via K257DB.  KPEN Compliance Affidavit at 1.</w:t>
      </w:r>
    </w:p>
  </w:footnote>
  <w:footnote w:id="47">
    <w:p w14:paraId="2972B6BA" w14:textId="67FD3008" w:rsidR="00F545C4" w:rsidRPr="00241463" w:rsidRDefault="00F545C4" w:rsidP="00BB41F1">
      <w:pPr>
        <w:pStyle w:val="FootnoteText"/>
        <w:spacing w:after="120"/>
      </w:pPr>
      <w:r w:rsidRPr="00241463">
        <w:rPr>
          <w:rStyle w:val="FootnoteReference"/>
        </w:rPr>
        <w:footnoteRef/>
      </w:r>
      <w:r w:rsidRPr="00241463">
        <w:t xml:space="preserve"> Compliance Affidavits at 10-13.</w:t>
      </w:r>
    </w:p>
  </w:footnote>
  <w:footnote w:id="48">
    <w:p w14:paraId="1895AEDC" w14:textId="6EDC982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Wrangell Radio Group</w:t>
      </w:r>
      <w:r w:rsidRPr="00241463">
        <w:t>, Memorandum Opinion and Order, 75 FCC 2d 404, 407 (1980) (</w:t>
      </w:r>
      <w:r w:rsidRPr="00241463">
        <w:rPr>
          <w:i/>
        </w:rPr>
        <w:t>Wrangell</w:t>
      </w:r>
      <w:r w:rsidRPr="00241463">
        <w:t xml:space="preserve">).  </w:t>
      </w:r>
    </w:p>
  </w:footnote>
  <w:footnote w:id="49">
    <w:p w14:paraId="7C87D4C6" w14:textId="4C56D778"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 xml:space="preserve">Seward Waiver Letter </w:t>
      </w:r>
      <w:r w:rsidRPr="00241463">
        <w:t>at 2.</w:t>
      </w:r>
    </w:p>
  </w:footnote>
  <w:footnote w:id="50">
    <w:p w14:paraId="0BA1F437" w14:textId="1F29FC1E"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Peninsula Communications, Inc.</w:t>
      </w:r>
      <w:r w:rsidRPr="00241463">
        <w:t>, Memorandum Opinion and Order, 13 FCC Rcd 23992, 23998 n.12 (1998) (</w:t>
      </w:r>
      <w:r w:rsidRPr="00241463">
        <w:rPr>
          <w:i/>
        </w:rPr>
        <w:t>1998 Omnibus Order</w:t>
      </w:r>
      <w:r w:rsidRPr="00241463">
        <w:t xml:space="preserve">).  Despite finding that “initial </w:t>
      </w:r>
      <w:r w:rsidRPr="00241463">
        <w:rPr>
          <w:i/>
        </w:rPr>
        <w:t xml:space="preserve">grant </w:t>
      </w:r>
      <w:r w:rsidRPr="00241463">
        <w:t xml:space="preserve">of a waiver would not be justified here absent a showing that the Seward Translators provide ‘white area’ service,” the Commission noted that six years had passed since the new rules had taken effect and thus extended the Seward Waivers in order to preserve “existing service,” with the caveat that “if and when the unbuilt, nonoperational full service FM station authorized in Seward commences operation . . . we may consider whether the circumstances under which the waivers were granted have so changed as to warrant termination of the Seward translator operations.”  </w:t>
      </w:r>
      <w:r w:rsidRPr="00241463">
        <w:rPr>
          <w:i/>
        </w:rPr>
        <w:t>1998 Omnibus Order</w:t>
      </w:r>
      <w:r w:rsidRPr="00241463">
        <w:t>, at 23998-99.</w:t>
      </w:r>
    </w:p>
  </w:footnote>
  <w:footnote w:id="51">
    <w:p w14:paraId="7F5F9A4C" w14:textId="217CEC0F"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Seward Waiver Termination Order</w:t>
      </w:r>
      <w:r w:rsidRPr="00241463">
        <w:t xml:space="preserve">, 18 FCC Rcd at 4029-31 (finding that “waiver of 47 CFR § 74.1231(b), permitting Peninsula to continue to deliver a distant signal to Seward, would be a clear detriment to the continued viability of full service broadcast stations licensed to Seward.”).  The Commission initially terminated the Seward Waivers in 2000, when a new FM station licensed to Seward commenced operations.  </w:t>
      </w:r>
      <w:r w:rsidRPr="00241463">
        <w:rPr>
          <w:i/>
        </w:rPr>
        <w:t>Peninsula Communications, Inc.</w:t>
      </w:r>
      <w:r w:rsidRPr="00241463">
        <w:t>, Memorandum Opinion and Order, 15 FCC Rcd 3293, 3295 (2000) (</w:t>
      </w:r>
      <w:r w:rsidRPr="00241463">
        <w:rPr>
          <w:i/>
        </w:rPr>
        <w:t>Initial Waiver Termination Order</w:t>
      </w:r>
      <w:r w:rsidRPr="00241463">
        <w:t xml:space="preserve">).  However, after Peninsula challenged this and other Commission actions in court, the Commission took a different approach, deciding that “section 316 of the Act affords the most direct and expedient means of resolving the matter” and ordering Peninsula to show cause why the Seward translators’ licenses should not be modified.  </w:t>
      </w:r>
      <w:r w:rsidRPr="00241463">
        <w:rPr>
          <w:i/>
        </w:rPr>
        <w:t>Cancellation Order</w:t>
      </w:r>
      <w:r w:rsidRPr="00241463">
        <w:t>, 16 FCC Rcd at 11370.</w:t>
      </w:r>
    </w:p>
  </w:footnote>
  <w:footnote w:id="52">
    <w:p w14:paraId="11AF4FD2" w14:textId="4CD61E49"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Renewal Decision</w:t>
      </w:r>
      <w:r w:rsidRPr="00241463">
        <w:t>, 13 FCC Rcd at 10916.</w:t>
      </w:r>
    </w:p>
  </w:footnote>
  <w:footnote w:id="53">
    <w:p w14:paraId="1E3B6938" w14:textId="17BA70A8"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Renewal Decision</w:t>
      </w:r>
      <w:r w:rsidRPr="00241463">
        <w:t xml:space="preserve">, 13 FCC Rcd at 10923, n.90 (internal citations omitted). </w:t>
      </w:r>
    </w:p>
  </w:footnote>
  <w:footnote w:id="54">
    <w:p w14:paraId="3E7443B9" w14:textId="6E6E2AEF" w:rsidR="00F545C4" w:rsidRPr="00241463" w:rsidRDefault="00F545C4" w:rsidP="00BB41F1">
      <w:pPr>
        <w:pStyle w:val="FootnoteText"/>
        <w:spacing w:after="120"/>
      </w:pPr>
      <w:r w:rsidRPr="00241463">
        <w:rPr>
          <w:rStyle w:val="FootnoteReference"/>
        </w:rPr>
        <w:footnoteRef/>
      </w:r>
      <w:r w:rsidRPr="00241463">
        <w:t xml:space="preserve"> Compliance Affidavits at 3, 5, 8-10.  To the extent that, by this argument, Peninsula seeks reconsideration of the </w:t>
      </w:r>
      <w:r w:rsidRPr="00241463">
        <w:rPr>
          <w:i/>
        </w:rPr>
        <w:t>Renewal Decision</w:t>
      </w:r>
      <w:r w:rsidRPr="00241463">
        <w:t xml:space="preserve">, it is untimely.  47 CFR § 1.106(f), 1.4(b) (petitions for reconsideration must be filed within 30 days of the release date of a non-rulemaking document release by Commission or staff). Therefore, we consider Peninsula’s Section 307(f)(2) arguments purely in the context of its waiver requests. </w:t>
      </w:r>
    </w:p>
  </w:footnote>
  <w:footnote w:id="55">
    <w:p w14:paraId="130EDEFA" w14:textId="2E7DF34F" w:rsidR="00F545C4" w:rsidRPr="00241463" w:rsidRDefault="00F545C4" w:rsidP="00BB41F1">
      <w:pPr>
        <w:pStyle w:val="FootnoteText"/>
        <w:spacing w:after="120"/>
      </w:pPr>
      <w:r w:rsidRPr="00241463">
        <w:rPr>
          <w:rStyle w:val="FootnoteReference"/>
        </w:rPr>
        <w:footnoteRef/>
      </w:r>
      <w:r w:rsidRPr="00241463">
        <w:t xml:space="preserve"> Compliance Affidavits at 3.</w:t>
      </w:r>
    </w:p>
  </w:footnote>
  <w:footnote w:id="56">
    <w:p w14:paraId="05754233" w14:textId="6813DF92" w:rsidR="00F545C4" w:rsidRPr="00241463" w:rsidRDefault="00F545C4" w:rsidP="00BB41F1">
      <w:pPr>
        <w:pStyle w:val="FootnoteText"/>
        <w:spacing w:after="120"/>
      </w:pPr>
      <w:r w:rsidRPr="00241463">
        <w:rPr>
          <w:rStyle w:val="FootnoteReference"/>
        </w:rPr>
        <w:footnoteRef/>
      </w:r>
      <w:r w:rsidRPr="00241463">
        <w:t xml:space="preserve"> Compliance Affidavits at 4, 10. </w:t>
      </w:r>
    </w:p>
  </w:footnote>
  <w:footnote w:id="57">
    <w:p w14:paraId="0353B075" w14:textId="48B959BD" w:rsidR="00F545C4" w:rsidRPr="00241463" w:rsidRDefault="00F545C4" w:rsidP="00BB41F1">
      <w:pPr>
        <w:pStyle w:val="FootnoteText"/>
        <w:spacing w:after="120"/>
      </w:pPr>
      <w:r w:rsidRPr="00241463">
        <w:rPr>
          <w:rStyle w:val="FootnoteReference"/>
        </w:rPr>
        <w:footnoteRef/>
      </w:r>
      <w:r w:rsidRPr="00241463">
        <w:t xml:space="preserve"> Compliance Affidavits at 4.  The license for KSEW(AM), Seward, Alaska, was terminated by the Commission on February 5, 2014.</w:t>
      </w:r>
      <w:r w:rsidRPr="00241463">
        <w:rPr>
          <w:i/>
          <w:iCs/>
        </w:rPr>
        <w:t xml:space="preserve">  Letter to Mr. Wolfgang Kurtz, </w:t>
      </w:r>
      <w:r w:rsidRPr="00241463">
        <w:t xml:space="preserve">Ref. 1800B3-VM (MB rel. Feb. </w:t>
      </w:r>
      <w:r w:rsidRPr="00241463">
        <w:rPr>
          <w:iCs/>
        </w:rPr>
        <w:t xml:space="preserve">5, </w:t>
      </w:r>
      <w:r w:rsidRPr="00241463">
        <w:t xml:space="preserve">2014).  Seward’s sole FM station, now KKNI-FM, Sterling, Alaska, relocated its community of license to Sterling on February 2, 2012.  </w:t>
      </w:r>
      <w:r w:rsidRPr="00241463">
        <w:rPr>
          <w:i/>
        </w:rPr>
        <w:t xml:space="preserve">See </w:t>
      </w:r>
      <w:r w:rsidRPr="00241463">
        <w:t xml:space="preserve">File No. BLH-20120314ACN, Exh. 1; </w:t>
      </w:r>
      <w:r w:rsidRPr="00241463">
        <w:rPr>
          <w:i/>
        </w:rPr>
        <w:t>Broadcast Actions</w:t>
      </w:r>
      <w:r w:rsidRPr="00241463">
        <w:t xml:space="preserve">, Public Notice, Report No. 47706 (MB Mar. 30, 2012). </w:t>
      </w:r>
    </w:p>
  </w:footnote>
  <w:footnote w:id="58">
    <w:p w14:paraId="1028052D" w14:textId="64A1E490"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Translator Order</w:t>
      </w:r>
      <w:r w:rsidRPr="00241463">
        <w:t>, 5 FCC Rcd at 7245.</w:t>
      </w:r>
    </w:p>
  </w:footnote>
  <w:footnote w:id="59">
    <w:p w14:paraId="339A1209" w14:textId="618DC8F1" w:rsidR="00F545C4" w:rsidRPr="00241463" w:rsidRDefault="00F545C4" w:rsidP="00BB41F1">
      <w:pPr>
        <w:pStyle w:val="FootnoteText"/>
        <w:spacing w:after="120"/>
      </w:pPr>
      <w:r w:rsidRPr="00241463">
        <w:rPr>
          <w:rStyle w:val="FootnoteReference"/>
        </w:rPr>
        <w:footnoteRef/>
      </w:r>
      <w:r w:rsidRPr="00241463">
        <w:t xml:space="preserve"> Compliance Affidavits at 11. </w:t>
      </w:r>
    </w:p>
  </w:footnote>
  <w:footnote w:id="60">
    <w:p w14:paraId="50E45140" w14:textId="77777777" w:rsidR="00F545C4" w:rsidRPr="00241463" w:rsidRDefault="00F545C4" w:rsidP="00BB41F1">
      <w:pPr>
        <w:pStyle w:val="FootnoteText"/>
        <w:spacing w:after="120"/>
      </w:pPr>
      <w:r w:rsidRPr="00241463">
        <w:rPr>
          <w:rStyle w:val="FootnoteReference"/>
        </w:rPr>
        <w:footnoteRef/>
      </w:r>
      <w:r w:rsidRPr="00241463">
        <w:t xml:space="preserve"> Compliance Affidavits at 7.  </w:t>
      </w:r>
    </w:p>
  </w:footnote>
  <w:footnote w:id="61">
    <w:p w14:paraId="343E6289" w14:textId="266C6D3C" w:rsidR="00F545C4" w:rsidRPr="00241463" w:rsidRDefault="00F545C4" w:rsidP="00BB41F1">
      <w:pPr>
        <w:pStyle w:val="FootnoteText"/>
        <w:spacing w:after="120"/>
      </w:pPr>
      <w:r w:rsidRPr="00241463">
        <w:rPr>
          <w:rStyle w:val="FootnoteReference"/>
        </w:rPr>
        <w:footnoteRef/>
      </w:r>
      <w:r w:rsidRPr="00241463">
        <w:t xml:space="preserve"> Assignment Petition to Deny at 6.</w:t>
      </w:r>
    </w:p>
  </w:footnote>
  <w:footnote w:id="62">
    <w:p w14:paraId="0F36EC9A" w14:textId="30B8B4B9" w:rsidR="00F545C4" w:rsidRPr="00241463" w:rsidRDefault="00F545C4" w:rsidP="00BB41F1">
      <w:pPr>
        <w:pStyle w:val="FootnoteText"/>
        <w:spacing w:after="120"/>
      </w:pPr>
      <w:r w:rsidRPr="00241463">
        <w:rPr>
          <w:rStyle w:val="FootnoteReference"/>
        </w:rPr>
        <w:footnoteRef/>
      </w:r>
      <w:r w:rsidRPr="00241463">
        <w:t xml:space="preserve"> Assignment Petition to Deny at 4-6.</w:t>
      </w:r>
    </w:p>
  </w:footnote>
  <w:footnote w:id="63">
    <w:p w14:paraId="36059877" w14:textId="3217F8E4" w:rsidR="00F545C4" w:rsidRPr="00241463" w:rsidRDefault="00F545C4" w:rsidP="00BB41F1">
      <w:pPr>
        <w:pStyle w:val="FootnoteText"/>
        <w:spacing w:after="120"/>
      </w:pPr>
      <w:r w:rsidRPr="00241463">
        <w:rPr>
          <w:rStyle w:val="FootnoteReference"/>
        </w:rPr>
        <w:footnoteRef/>
      </w:r>
      <w:r w:rsidRPr="00241463">
        <w:t xml:space="preserve"> Assignment Petition to Deny at 2; </w:t>
      </w:r>
      <w:r w:rsidRPr="00241463">
        <w:rPr>
          <w:i/>
        </w:rPr>
        <w:t>see also Translator Order</w:t>
      </w:r>
      <w:r w:rsidRPr="00241463">
        <w:t>, at 7213 (“Emergency warnings of imminent danger remain permissible with no local service obligations.”).</w:t>
      </w:r>
    </w:p>
  </w:footnote>
  <w:footnote w:id="64">
    <w:p w14:paraId="3CEC432C" w14:textId="752D9680" w:rsidR="00F545C4" w:rsidRDefault="00F545C4" w:rsidP="00BB41F1">
      <w:pPr>
        <w:pStyle w:val="FootnoteText"/>
        <w:spacing w:after="120"/>
      </w:pPr>
      <w:r>
        <w:rPr>
          <w:rStyle w:val="FootnoteReference"/>
        </w:rPr>
        <w:footnoteRef/>
      </w:r>
      <w:r>
        <w:t xml:space="preserve"> Assignment Petition to Deny at 3.</w:t>
      </w:r>
    </w:p>
  </w:footnote>
  <w:footnote w:id="65">
    <w:p w14:paraId="18D1EB33" w14:textId="558FEE19" w:rsidR="00F545C4" w:rsidRPr="00241463" w:rsidRDefault="00F545C4" w:rsidP="00BB41F1">
      <w:pPr>
        <w:pStyle w:val="FootnoteText"/>
        <w:spacing w:after="120"/>
      </w:pPr>
      <w:r w:rsidRPr="00241463">
        <w:rPr>
          <w:rStyle w:val="FootnoteReference"/>
        </w:rPr>
        <w:footnoteRef/>
      </w:r>
      <w:r w:rsidRPr="00241463">
        <w:t xml:space="preserve"> Assignment Petition to Deny at 1-4.  With respect to the allegation of AERS and SMP that K272DG is in violation of 47 CFR § 73.207(b) with respect to KIBH-FM, Seward</w:t>
      </w:r>
      <w:r>
        <w:t xml:space="preserve">, we observe that </w:t>
      </w:r>
      <w:r w:rsidRPr="00241463">
        <w:t xml:space="preserve">Section 73.207(b) does not apply to translators. </w:t>
      </w:r>
    </w:p>
  </w:footnote>
  <w:footnote w:id="66">
    <w:p w14:paraId="74672BF8" w14:textId="0188F324" w:rsidR="00F545C4" w:rsidRPr="00241463" w:rsidRDefault="00F545C4" w:rsidP="00BB41F1">
      <w:pPr>
        <w:pStyle w:val="FootnoteText"/>
        <w:spacing w:after="120"/>
      </w:pPr>
      <w:r w:rsidRPr="00241463">
        <w:rPr>
          <w:rStyle w:val="FootnoteReference"/>
        </w:rPr>
        <w:footnoteRef/>
      </w:r>
      <w:r w:rsidRPr="00241463">
        <w:t xml:space="preserve"> Assignment Petition to Deny at 4.</w:t>
      </w:r>
    </w:p>
  </w:footnote>
  <w:footnote w:id="67">
    <w:p w14:paraId="6596E56D" w14:textId="17853AA7" w:rsidR="00F545C4" w:rsidRPr="00241463" w:rsidRDefault="00F545C4" w:rsidP="00BB41F1">
      <w:pPr>
        <w:pStyle w:val="FootnoteText"/>
        <w:spacing w:after="120"/>
      </w:pPr>
      <w:r w:rsidRPr="00241463">
        <w:rPr>
          <w:rStyle w:val="FootnoteReference"/>
        </w:rPr>
        <w:footnoteRef/>
      </w:r>
      <w:r w:rsidRPr="00241463">
        <w:t xml:space="preserve"> Assignment Opposition at 1-2, n.2. </w:t>
      </w:r>
    </w:p>
  </w:footnote>
  <w:footnote w:id="68">
    <w:p w14:paraId="13394444" w14:textId="240810E7" w:rsidR="00F545C4" w:rsidRPr="00241463" w:rsidRDefault="00F545C4" w:rsidP="00BB41F1">
      <w:pPr>
        <w:pStyle w:val="FootnoteText"/>
        <w:spacing w:after="120"/>
      </w:pPr>
      <w:r w:rsidRPr="00241463">
        <w:rPr>
          <w:rStyle w:val="FootnoteReference"/>
        </w:rPr>
        <w:footnoteRef/>
      </w:r>
      <w:r w:rsidRPr="00241463">
        <w:t xml:space="preserve"> Assignment Opposition at 2. </w:t>
      </w:r>
    </w:p>
  </w:footnote>
  <w:footnote w:id="69">
    <w:p w14:paraId="34954711" w14:textId="5BF406E3" w:rsidR="00F545C4" w:rsidRPr="00241463" w:rsidRDefault="00F545C4" w:rsidP="00BB41F1">
      <w:pPr>
        <w:pStyle w:val="FootnoteText"/>
        <w:spacing w:after="120"/>
      </w:pPr>
      <w:r w:rsidRPr="00241463">
        <w:rPr>
          <w:rStyle w:val="FootnoteReference"/>
        </w:rPr>
        <w:footnoteRef/>
      </w:r>
      <w:r w:rsidRPr="00241463">
        <w:t xml:space="preserve"> Assignment Opposition at 3. </w:t>
      </w:r>
    </w:p>
  </w:footnote>
  <w:footnote w:id="70">
    <w:p w14:paraId="7496AEE9" w14:textId="336954F0" w:rsidR="00F545C4" w:rsidRPr="00241463" w:rsidRDefault="00F545C4" w:rsidP="00BB41F1">
      <w:pPr>
        <w:pStyle w:val="FootnoteText"/>
        <w:spacing w:after="120"/>
      </w:pPr>
      <w:r w:rsidRPr="00241463">
        <w:rPr>
          <w:rStyle w:val="FootnoteReference"/>
        </w:rPr>
        <w:footnoteRef/>
      </w:r>
      <w:r w:rsidRPr="00241463">
        <w:t xml:space="preserve"> 47 CFR § 74.1231(g).</w:t>
      </w:r>
    </w:p>
  </w:footnote>
  <w:footnote w:id="71">
    <w:p w14:paraId="12742372" w14:textId="1EB9B9A1"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e.g., Melodie Virtue, Esq.</w:t>
      </w:r>
      <w:r w:rsidRPr="00241463">
        <w:t xml:space="preserve">, Letter Decision, 30 FCC Rcd 6045, 6049 (MB 2015) (citing 47 U.S.C. § 309(d)(1); 47 CFR § 73.3584(a); </w:t>
      </w:r>
      <w:r w:rsidRPr="00241463">
        <w:rPr>
          <w:i/>
        </w:rPr>
        <w:t>MCI Communications Corp.</w:t>
      </w:r>
      <w:r w:rsidRPr="00241463">
        <w:t>, Memorandum Opinion and Order, 12 FCC Rcd 7790, 7794 (1997)).</w:t>
      </w:r>
    </w:p>
  </w:footnote>
  <w:footnote w:id="72">
    <w:p w14:paraId="3EAB0CA6" w14:textId="7056346B" w:rsidR="00F545C4" w:rsidRPr="00241463" w:rsidRDefault="00F545C4" w:rsidP="00BB41F1">
      <w:pPr>
        <w:pStyle w:val="FootnoteText"/>
        <w:spacing w:after="120"/>
      </w:pPr>
      <w:r w:rsidRPr="00241463">
        <w:rPr>
          <w:rStyle w:val="FootnoteReference"/>
        </w:rPr>
        <w:footnoteRef/>
      </w:r>
      <w:r w:rsidRPr="00241463">
        <w:t xml:space="preserve"> AERS is the licensee of: KABN-FM, Kasilof, Alaska (Kenai/Soldotna market); K223BJ, Eagle River, Alaska; K279BC, Kasilof, Alaska; K283AZ, Anchorage, Alaska; K300BY, Willow Creek, Alaska; K241CD, Moose Pass, Alaska; K246CD, Moose Pass, Alaska; and K291CP, Bear Creek, Alaska.  AERS is also the permittee of: K296GW, Primrose, Alaska, and K260CY, Hope, Alaska.  With the cancellation of the KSEW license, it appears that SMP no longer has any broadcast interests and therefore lacks standing to file a petition to deny the Assignment Applications.  Therefore, we consider SMP an informal objector but accept the Assignment Petition to Deny based on the standing of joint petitioner AERS.  </w:t>
      </w:r>
      <w:r w:rsidRPr="00241463">
        <w:rPr>
          <w:i/>
        </w:rPr>
        <w:t>See</w:t>
      </w:r>
      <w:r w:rsidRPr="00241463">
        <w:t xml:space="preserve"> 47 CFR § 73.3587.</w:t>
      </w:r>
    </w:p>
  </w:footnote>
  <w:footnote w:id="73">
    <w:p w14:paraId="6C3214AE" w14:textId="77777777" w:rsidR="00F545C4" w:rsidRPr="00241463" w:rsidRDefault="00F545C4" w:rsidP="00BB41F1">
      <w:pPr>
        <w:pStyle w:val="FootnoteText"/>
        <w:spacing w:after="120"/>
      </w:pPr>
      <w:r w:rsidRPr="00241463">
        <w:rPr>
          <w:rStyle w:val="FootnoteReference"/>
        </w:rPr>
        <w:footnoteRef/>
      </w:r>
      <w:r w:rsidRPr="00241463">
        <w:t xml:space="preserve"> KSRM is the licensee of stations KSRM(AM), Soldotna, Alaska; KFSE(FM), Kasilof, Alaska; KSLD(AM), Soldotna, Alaska; KWHQ-FM, Kenai, Alaska; and KKIS-FM, Soldotna, Alaska. </w:t>
      </w:r>
    </w:p>
  </w:footnote>
  <w:footnote w:id="74">
    <w:p w14:paraId="58504AE6" w14:textId="7777777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Gregory L. Masters, Esq.</w:t>
      </w:r>
      <w:r w:rsidRPr="00241463">
        <w:t>, Letter, 28 FCC Rcd 15881, 15882 (MB 2013) (“In this case, Backyard has properly alleged that its interests are adversely affected because it competes in the Olean Arbitron Metro with Station W254BQ's primary station, WBYB(FM), Eldred, Pennsylvania.”)</w:t>
      </w:r>
    </w:p>
  </w:footnote>
  <w:footnote w:id="75">
    <w:p w14:paraId="1CAEA45C" w14:textId="53D89AF8"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e.g., New World Radio</w:t>
      </w:r>
      <w:r w:rsidRPr="00241463">
        <w:t xml:space="preserve">, 294 F.3d 164 (D.C. Cir. 2002) (holding that the seminal case on competitor standing, </w:t>
      </w:r>
      <w:r w:rsidRPr="00241463">
        <w:rPr>
          <w:i/>
        </w:rPr>
        <w:t>FCC v. Sanders Brothers Radio Station</w:t>
      </w:r>
      <w:r w:rsidRPr="00241463">
        <w:t>, 309 U.S. 470, 477 (1940)</w:t>
      </w:r>
      <w:r>
        <w:t>,</w:t>
      </w:r>
      <w:r w:rsidRPr="00241463">
        <w:t xml:space="preserve"> was “premised on the petitioner's status as a </w:t>
      </w:r>
      <w:r w:rsidRPr="00241463">
        <w:rPr>
          <w:rStyle w:val="Emphasis"/>
        </w:rPr>
        <w:t>direct</w:t>
      </w:r>
      <w:r w:rsidRPr="00241463">
        <w:t xml:space="preserve"> and </w:t>
      </w:r>
      <w:r w:rsidRPr="00241463">
        <w:rPr>
          <w:rStyle w:val="Emphasis"/>
        </w:rPr>
        <w:t>current</w:t>
      </w:r>
      <w:r w:rsidRPr="00241463">
        <w:t xml:space="preserve"> competitor whose bottom line may be adversely affected by the challenged government action”); </w:t>
      </w:r>
      <w:r w:rsidRPr="00241463">
        <w:rPr>
          <w:i/>
        </w:rPr>
        <w:t>Taft Broadcasting Co. (WIBF)</w:t>
      </w:r>
      <w:r w:rsidRPr="00241463">
        <w:t xml:space="preserve">, 17 FCC 2d 876 (1969) (“In our view, </w:t>
      </w:r>
      <w:r w:rsidRPr="00241463">
        <w:rPr>
          <w:i/>
        </w:rPr>
        <w:t>Sanders</w:t>
      </w:r>
      <w:r w:rsidRPr="00241463">
        <w:t xml:space="preserve"> standing assumes an actual state of competition, not the future prospect thereof.”).</w:t>
      </w:r>
    </w:p>
  </w:footnote>
  <w:footnote w:id="76">
    <w:p w14:paraId="08B24C3A" w14:textId="1539E5C7" w:rsidR="00F545C4" w:rsidRPr="00241463" w:rsidRDefault="00F545C4" w:rsidP="00BB41F1">
      <w:pPr>
        <w:pStyle w:val="FootnoteText"/>
        <w:spacing w:after="120"/>
      </w:pPr>
      <w:r w:rsidRPr="00241463">
        <w:rPr>
          <w:rStyle w:val="FootnoteReference"/>
        </w:rPr>
        <w:footnoteRef/>
      </w:r>
      <w:r w:rsidRPr="00241463">
        <w:t xml:space="preserve"> 47 CFR § 73.3587.</w:t>
      </w:r>
    </w:p>
  </w:footnote>
  <w:footnote w:id="77">
    <w:p w14:paraId="26D85120" w14:textId="10291B2A" w:rsidR="00F545C4" w:rsidRPr="00241463" w:rsidRDefault="00F545C4" w:rsidP="00BB41F1">
      <w:pPr>
        <w:pStyle w:val="FootnoteText"/>
        <w:spacing w:after="120"/>
      </w:pPr>
      <w:r w:rsidRPr="00241463">
        <w:rPr>
          <w:rStyle w:val="FootnoteReference"/>
        </w:rPr>
        <w:footnoteRef/>
      </w:r>
      <w:r w:rsidRPr="00241463">
        <w:t xml:space="preserve"> 47 CFR § 1.106(c) and (d) (Section 1.106); </w:t>
      </w:r>
      <w:r w:rsidRPr="00241463">
        <w:rPr>
          <w:i/>
          <w:iCs/>
        </w:rPr>
        <w:t>WWIZ, Inc</w:t>
      </w:r>
      <w:r w:rsidRPr="00241463">
        <w:rPr>
          <w:iCs/>
        </w:rPr>
        <w:t>.,</w:t>
      </w:r>
      <w:r w:rsidRPr="00241463">
        <w:t xml:space="preserve"> Memorandum Opinion and Order, 37 FCC 685, 686 (1964) (</w:t>
      </w:r>
      <w:r w:rsidRPr="00241463">
        <w:rPr>
          <w:i/>
        </w:rPr>
        <w:t>WWIZ</w:t>
      </w:r>
      <w:r w:rsidRPr="00241463">
        <w:t>).</w:t>
      </w:r>
    </w:p>
  </w:footnote>
  <w:footnote w:id="78">
    <w:p w14:paraId="53AD09EC" w14:textId="7777777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e.g., WWIZ</w:t>
      </w:r>
      <w:r w:rsidRPr="00241463">
        <w:t xml:space="preserve">, 37 FCC 685 at 686; </w:t>
      </w:r>
      <w:r w:rsidRPr="00241463">
        <w:rPr>
          <w:i/>
        </w:rPr>
        <w:t>Shaw Communications</w:t>
      </w:r>
      <w:r w:rsidRPr="00241463">
        <w:t>, Letter Order, 27 FCC Rcd 6995, 6996, para. 5 (MB 2012).</w:t>
      </w:r>
    </w:p>
  </w:footnote>
  <w:footnote w:id="79">
    <w:p w14:paraId="0BDFBFA5" w14:textId="29A7A5C3" w:rsidR="00F545C4" w:rsidRPr="00241463" w:rsidRDefault="00F545C4" w:rsidP="00BB41F1">
      <w:pPr>
        <w:pStyle w:val="FootnoteText"/>
        <w:spacing w:after="120"/>
      </w:pPr>
      <w:r w:rsidRPr="00241463">
        <w:rPr>
          <w:rStyle w:val="FootnoteReference"/>
        </w:rPr>
        <w:footnoteRef/>
      </w:r>
      <w:r w:rsidRPr="00241463">
        <w:t xml:space="preserve"> </w:t>
      </w:r>
      <w:r w:rsidRPr="00241463">
        <w:rPr>
          <w:rStyle w:val="emphi"/>
          <w:i/>
        </w:rPr>
        <w:t>See, e.g., Canyon Area Residents for the Environment</w:t>
      </w:r>
      <w:r w:rsidRPr="00241463">
        <w:rPr>
          <w:rStyle w:val="emphi"/>
        </w:rPr>
        <w:t>,</w:t>
      </w:r>
      <w:r w:rsidRPr="00241463">
        <w:t xml:space="preserve"> Memorandum Opinion and Order, 14 FCC Rcd 8152, 8154 (1999) (quoting </w:t>
      </w:r>
      <w:r w:rsidRPr="00241463">
        <w:rPr>
          <w:i/>
        </w:rPr>
        <w:t>Colorado Radio Corp. v. FCC</w:t>
      </w:r>
      <w:r w:rsidRPr="00241463">
        <w:t>, 118 F.2d 24, 26 (D.C. Cir. 1941)).</w:t>
      </w:r>
    </w:p>
  </w:footnote>
  <w:footnote w:id="80">
    <w:p w14:paraId="438410A4" w14:textId="763E2BDA" w:rsidR="00F545C4" w:rsidRPr="00241463" w:rsidRDefault="00F545C4" w:rsidP="00BB41F1">
      <w:pPr>
        <w:pStyle w:val="FootnoteText"/>
        <w:spacing w:after="120"/>
      </w:pPr>
      <w:r w:rsidRPr="00241463">
        <w:rPr>
          <w:rStyle w:val="FootnoteReference"/>
        </w:rPr>
        <w:footnoteRef/>
      </w:r>
      <w:r w:rsidRPr="00241463">
        <w:t xml:space="preserve"> 47 CFR § 1.3.</w:t>
      </w:r>
    </w:p>
  </w:footnote>
  <w:footnote w:id="81">
    <w:p w14:paraId="3C7F39E5" w14:textId="7777777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WAIT Radio v. FCC</w:t>
      </w:r>
      <w:r w:rsidRPr="00241463">
        <w:t>, 418 F.2d 1153, 1157 (D.C. Cir. 1969) (subsequent history omitted).</w:t>
      </w:r>
    </w:p>
  </w:footnote>
  <w:footnote w:id="82">
    <w:p w14:paraId="77DCE99E" w14:textId="7777777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Greater Media Radio Co., Inc</w:t>
      </w:r>
      <w:r w:rsidRPr="00241463">
        <w:t xml:space="preserve">., Memorandum Opinion and Order, 15 FCC Rcd 7090 (1999) (citing </w:t>
      </w:r>
      <w:r w:rsidRPr="00241463">
        <w:rPr>
          <w:i/>
        </w:rPr>
        <w:t>Stoner Broadcasting System, Inc.</w:t>
      </w:r>
      <w:r w:rsidRPr="00241463">
        <w:t>, Memorandum Opinion and Order, 49 FCC 2d 1011, 1012 (1974)).</w:t>
      </w:r>
    </w:p>
  </w:footnote>
  <w:footnote w:id="83">
    <w:p w14:paraId="70FB5406" w14:textId="35667074"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NetworkIP, LLC v. FCC</w:t>
      </w:r>
      <w:r w:rsidRPr="00241463">
        <w:t xml:space="preserve">, 548 F.3d 116, 125-128 (D.C. Cir. 2008); </w:t>
      </w:r>
      <w:r w:rsidRPr="00241463">
        <w:rPr>
          <w:i/>
        </w:rPr>
        <w:t>Northeast Cellular</w:t>
      </w:r>
      <w:bookmarkStart w:id="14" w:name="a0e3a6q7z1"/>
      <w:bookmarkEnd w:id="14"/>
      <w:r>
        <w:t xml:space="preserve"> </w:t>
      </w:r>
      <w:r w:rsidRPr="00241463">
        <w:rPr>
          <w:i/>
        </w:rPr>
        <w:t>Telephone Co. v. FCC</w:t>
      </w:r>
      <w:r w:rsidRPr="00241463">
        <w:t>,</w:t>
      </w:r>
      <w:r w:rsidRPr="00241463">
        <w:rPr>
          <w:i/>
        </w:rPr>
        <w:t xml:space="preserve"> </w:t>
      </w:r>
      <w:r w:rsidRPr="00241463">
        <w:t>897 F.2d 1164, 1166 (D.C. Cir. 1990).</w:t>
      </w:r>
    </w:p>
  </w:footnote>
  <w:footnote w:id="84">
    <w:p w14:paraId="4EDAAFDB" w14:textId="5407196C"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Translator Order</w:t>
      </w:r>
      <w:r w:rsidRPr="00241463">
        <w:t xml:space="preserve">, 5 FCC Rcd at 7221; </w:t>
      </w:r>
    </w:p>
  </w:footnote>
  <w:footnote w:id="85">
    <w:p w14:paraId="78183F36" w14:textId="1246EF30"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1998 Omnibus Order</w:t>
      </w:r>
      <w:r w:rsidRPr="00241463">
        <w:t>,</w:t>
      </w:r>
      <w:r w:rsidRPr="00241463">
        <w:rPr>
          <w:i/>
        </w:rPr>
        <w:t xml:space="preserve"> </w:t>
      </w:r>
      <w:r w:rsidRPr="00241463">
        <w:t xml:space="preserve">13 FCC Rcd at 23993; </w:t>
      </w:r>
      <w:r w:rsidRPr="00241463">
        <w:rPr>
          <w:i/>
        </w:rPr>
        <w:t xml:space="preserve">Ernest Sanchez, Esq., </w:t>
      </w:r>
      <w:r w:rsidRPr="00241463">
        <w:t>Letter Decision, 32 FCC Rcd 2132, 2133-34 (MB 2017) (</w:t>
      </w:r>
      <w:r w:rsidRPr="00241463">
        <w:rPr>
          <w:i/>
        </w:rPr>
        <w:t>Midland</w:t>
      </w:r>
      <w:r w:rsidRPr="00241463">
        <w:t>).</w:t>
      </w:r>
    </w:p>
  </w:footnote>
  <w:footnote w:id="86">
    <w:p w14:paraId="553DE610" w14:textId="4FAE0881"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Translator Order</w:t>
      </w:r>
      <w:r w:rsidRPr="00241463">
        <w:t xml:space="preserve">, 5 FCC Rcd at 7221; </w:t>
      </w:r>
      <w:r w:rsidRPr="00241463">
        <w:rPr>
          <w:i/>
        </w:rPr>
        <w:t>Seward Waiver Termination Order</w:t>
      </w:r>
      <w:r w:rsidRPr="00241463">
        <w:t xml:space="preserve">, 18 FCC Rcd at 4028; </w:t>
      </w:r>
      <w:r w:rsidRPr="00241463">
        <w:rPr>
          <w:rStyle w:val="Emphasis"/>
        </w:rPr>
        <w:t xml:space="preserve">Kevin C. Boyle, Esq., </w:t>
      </w:r>
      <w:r w:rsidRPr="00241463">
        <w:rPr>
          <w:rStyle w:val="Emphasis"/>
          <w:i w:val="0"/>
        </w:rPr>
        <w:t>Letter Decision, 1</w:t>
      </w:r>
      <w:r w:rsidR="001D5069">
        <w:rPr>
          <w:rStyle w:val="Emphasis"/>
          <w:i w:val="0"/>
        </w:rPr>
        <w:t>1 FCC Rcd 2348, 2350 (MMB 1996)</w:t>
      </w:r>
      <w:r w:rsidRPr="00241463">
        <w:rPr>
          <w:rStyle w:val="Emphasis"/>
        </w:rPr>
        <w:t>.</w:t>
      </w:r>
    </w:p>
  </w:footnote>
  <w:footnote w:id="87">
    <w:p w14:paraId="42AFDFEF" w14:textId="16BCC21B"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1998 Omnibus Order</w:t>
      </w:r>
      <w:r w:rsidRPr="00241463">
        <w:t>,</w:t>
      </w:r>
      <w:r w:rsidRPr="00241463">
        <w:rPr>
          <w:i/>
        </w:rPr>
        <w:t xml:space="preserve"> </w:t>
      </w:r>
      <w:r w:rsidRPr="00241463">
        <w:t>13 FCC Rcd at 23998.</w:t>
      </w:r>
    </w:p>
  </w:footnote>
  <w:footnote w:id="88">
    <w:p w14:paraId="5F5628C4" w14:textId="74223241"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Turquoise Broadcasting Company, LLC</w:t>
      </w:r>
      <w:r w:rsidRPr="00241463">
        <w:t>, Memorandum Opinion and Order and Declaratory Ruling, 23 FCC Rcd 2507, 2509 n.9 (2008) (</w:t>
      </w:r>
      <w:r w:rsidRPr="00241463">
        <w:rPr>
          <w:i/>
        </w:rPr>
        <w:t>Rate Card Declaratory Ruling</w:t>
      </w:r>
      <w:r w:rsidRPr="00241463">
        <w:t>).</w:t>
      </w:r>
    </w:p>
  </w:footnote>
  <w:footnote w:id="89">
    <w:p w14:paraId="618D0AA6" w14:textId="5ABCFF79"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Renewal Decision</w:t>
      </w:r>
      <w:r w:rsidRPr="00241463">
        <w:t>, 31 FCC Rcd at 10923.</w:t>
      </w:r>
    </w:p>
  </w:footnote>
  <w:footnote w:id="90">
    <w:p w14:paraId="0F33D7EE" w14:textId="332987F1"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Translator Order</w:t>
      </w:r>
      <w:r w:rsidRPr="00241463">
        <w:t xml:space="preserve">, 5 FCC Rcd at 7221; </w:t>
      </w:r>
      <w:r w:rsidRPr="00241463">
        <w:rPr>
          <w:i/>
        </w:rPr>
        <w:t>Rate Card Declaratory Ruling</w:t>
      </w:r>
      <w:r w:rsidRPr="00241463">
        <w:t>, 23 FCC Rcd at 2509 n.9.</w:t>
      </w:r>
    </w:p>
  </w:footnote>
  <w:footnote w:id="91">
    <w:p w14:paraId="7CD9F71A" w14:textId="1A7885DB" w:rsidR="00F545C4" w:rsidRPr="00241463" w:rsidRDefault="00F545C4" w:rsidP="00BB41F1">
      <w:pPr>
        <w:pStyle w:val="FootnoteText"/>
        <w:spacing w:after="120"/>
      </w:pPr>
      <w:r w:rsidRPr="00241463">
        <w:rPr>
          <w:rStyle w:val="FootnoteReference"/>
        </w:rPr>
        <w:footnoteRef/>
      </w:r>
      <w:r w:rsidRPr="00241463">
        <w:t xml:space="preserve"> Compliance Affidavits at 3.</w:t>
      </w:r>
    </w:p>
  </w:footnote>
  <w:footnote w:id="92">
    <w:p w14:paraId="675F0BE0" w14:textId="5A5E1CA3"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1998 Omnibus Order</w:t>
      </w:r>
      <w:r w:rsidRPr="00241463">
        <w:t xml:space="preserve">, 13 FCC Rcd at 23998, n.12 (internal citations omitted). </w:t>
      </w:r>
    </w:p>
  </w:footnote>
  <w:footnote w:id="93">
    <w:p w14:paraId="18A38B31" w14:textId="4969A3A5"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1998 Omnibus Order</w:t>
      </w:r>
      <w:r w:rsidRPr="00241463">
        <w:t xml:space="preserve">, 13 FCC Rcd at 23997-98 (extending the Seward Waivers for other reasons).  </w:t>
      </w:r>
    </w:p>
  </w:footnote>
  <w:footnote w:id="94">
    <w:p w14:paraId="41AD8EC5" w14:textId="1D20D149"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supra</w:t>
      </w:r>
      <w:r w:rsidRPr="00241463">
        <w:t xml:space="preserve">, </w:t>
      </w:r>
      <w:r>
        <w:t>note 8</w:t>
      </w:r>
      <w:r w:rsidR="001D5069">
        <w:t>5</w:t>
      </w:r>
      <w:r w:rsidRPr="00241463">
        <w:t>.</w:t>
      </w:r>
    </w:p>
  </w:footnote>
  <w:footnote w:id="95">
    <w:p w14:paraId="3645E933" w14:textId="2A7415A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1998 Omnibus Order</w:t>
      </w:r>
      <w:r w:rsidRPr="00241463">
        <w:t>, 13 FCC Rcd at 23997-98.</w:t>
      </w:r>
    </w:p>
  </w:footnote>
  <w:footnote w:id="96">
    <w:p w14:paraId="1712BA1B" w14:textId="4727062E"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1998 Omnibus Order</w:t>
      </w:r>
      <w:r w:rsidRPr="00241463">
        <w:t>, 13 FCC Rcd at 23997-98.</w:t>
      </w:r>
    </w:p>
  </w:footnote>
  <w:footnote w:id="97">
    <w:p w14:paraId="447A4DC3" w14:textId="080F1DD4"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1998 Omnibus Order</w:t>
      </w:r>
      <w:r w:rsidRPr="00241463">
        <w:t>, 13 FCC Rcd at 23997-98.</w:t>
      </w:r>
    </w:p>
  </w:footnote>
  <w:footnote w:id="98">
    <w:p w14:paraId="175C859C" w14:textId="17260D5E"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Turquoise Broadcasting Company, L.L.C.</w:t>
      </w:r>
      <w:r w:rsidRPr="00241463">
        <w:t>, Letter Decision, Ref. No. 1800B3-LH (Oct. 23, 2008) (finding that technical impediments to receiving a clear input signal do not justify waiver of the signal delivery rule).</w:t>
      </w:r>
    </w:p>
  </w:footnote>
  <w:footnote w:id="99">
    <w:p w14:paraId="55E61F36" w14:textId="77777777" w:rsidR="00F545C4" w:rsidRPr="00241463" w:rsidRDefault="00F545C4" w:rsidP="00BB41F1">
      <w:pPr>
        <w:pStyle w:val="FootnoteText"/>
        <w:spacing w:after="120"/>
      </w:pPr>
      <w:r w:rsidRPr="00241463">
        <w:rPr>
          <w:rStyle w:val="FootnoteReference"/>
        </w:rPr>
        <w:footnoteRef/>
      </w:r>
      <w:r w:rsidRPr="00241463">
        <w:t xml:space="preserve"> See, e.g., KBKO(FM) (NCE); KODK(FM) (NCE); KMXT(FM) (NCE); KRXX(FM) (commercial); as well as translators K210CF, K216DF, K254BA, K271BF (rebroadcasting KPEN), K282AU (rebroadcasting KWVV), K296DC, and K300BZ; all licensed to Kodiak, Alaska. </w:t>
      </w:r>
    </w:p>
  </w:footnote>
  <w:footnote w:id="100">
    <w:p w14:paraId="32B575F1" w14:textId="7777777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1998 Omnibus Order</w:t>
      </w:r>
      <w:r w:rsidRPr="00241463">
        <w:t>, 13 FCC Rcd at 23997.</w:t>
      </w:r>
    </w:p>
  </w:footnote>
  <w:footnote w:id="101">
    <w:p w14:paraId="48229969" w14:textId="5E12FF54" w:rsidR="00F545C4" w:rsidRPr="00241463" w:rsidRDefault="00F545C4" w:rsidP="00BB41F1">
      <w:pPr>
        <w:pStyle w:val="FootnoteText"/>
        <w:spacing w:after="120"/>
      </w:pPr>
      <w:r w:rsidRPr="00241463">
        <w:rPr>
          <w:rStyle w:val="FootnoteReference"/>
        </w:rPr>
        <w:footnoteRef/>
      </w:r>
      <w:r w:rsidRPr="00241463">
        <w:t xml:space="preserve"> Compliance Affidavits at 4, 10; </w:t>
      </w:r>
      <w:r w:rsidRPr="00241463">
        <w:rPr>
          <w:i/>
        </w:rPr>
        <w:t>Seward Waiver Termination Order</w:t>
      </w:r>
      <w:r w:rsidRPr="00241463">
        <w:t>,</w:t>
      </w:r>
      <w:r w:rsidRPr="00241463">
        <w:rPr>
          <w:i/>
        </w:rPr>
        <w:t xml:space="preserve"> </w:t>
      </w:r>
      <w:r w:rsidRPr="00241463">
        <w:t>18 FCC Rcd 4027 at 4028.</w:t>
      </w:r>
    </w:p>
  </w:footnote>
  <w:footnote w:id="102">
    <w:p w14:paraId="0A01A938" w14:textId="59DF3103"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Translator Order</w:t>
      </w:r>
      <w:r w:rsidRPr="00241463">
        <w:t>, 5 FCC Rcd at 7213.</w:t>
      </w:r>
    </w:p>
  </w:footnote>
  <w:footnote w:id="103">
    <w:p w14:paraId="2A5D0ECB" w14:textId="1F5EB3BE"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Amendment of Part 74 of the Commission’s Rules Regarding Translator Stations</w:t>
      </w:r>
      <w:r w:rsidRPr="00241463">
        <w:t>, Memorandum Opinion and Order, 8 FCC Rcd 5093, 5098 (1993) (</w:t>
      </w:r>
      <w:r w:rsidRPr="00241463">
        <w:rPr>
          <w:i/>
        </w:rPr>
        <w:t>Reconsideration Order</w:t>
      </w:r>
      <w:r w:rsidRPr="00241463">
        <w:t>).</w:t>
      </w:r>
    </w:p>
  </w:footnote>
  <w:footnote w:id="104">
    <w:p w14:paraId="098F632D" w14:textId="00E7B8E1"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Initial Decision</w:t>
      </w:r>
      <w:r w:rsidRPr="00241463">
        <w:t>, 18 FCC Rcd at 12372.</w:t>
      </w:r>
    </w:p>
  </w:footnote>
  <w:footnote w:id="105">
    <w:p w14:paraId="29FB70D0" w14:textId="49DA1D2A" w:rsidR="00F545C4" w:rsidRPr="00241463" w:rsidRDefault="00F545C4" w:rsidP="00BB41F1">
      <w:pPr>
        <w:pStyle w:val="FootnoteText"/>
        <w:spacing w:after="120"/>
      </w:pPr>
      <w:r w:rsidRPr="00241463">
        <w:rPr>
          <w:rStyle w:val="FootnoteReference"/>
        </w:rPr>
        <w:footnoteRef/>
      </w:r>
      <w:r w:rsidRPr="00241463">
        <w:t xml:space="preserve"> In 1996, KSWD licensee White Falcon stated, “The “available radio advertising dollars in a community of this size are obviously limited.  The local advertising dollars that Peninsula draws out of Seward with its two translators leave too few radio advertising dollars in the market to support Seward’s local station, KSWD.  Consequently, in mid-1995 White Falcon was forced to suspend broadcast operations by KSWD due to continuing financial losses.”  Petition to deny filed by White Falcon on February 20, 1996, against Peninsula’s 1995 renewal application for K285EG (File No. BRFT-951124ZK).  In 1998, subsequent KSWD licensee Glacier Communications, Inc. testified that the Seward Translators took between $4,000 and $5,000 per month in radio revenues </w:t>
      </w:r>
      <w:r>
        <w:t>from</w:t>
      </w:r>
      <w:r w:rsidRPr="00241463">
        <w:t xml:space="preserve"> Seward, and that “competition from the Seward translators makes it difficult for KSWD to survive and prosper in a community as small as Seward.”  </w:t>
      </w:r>
      <w:r w:rsidRPr="00241463">
        <w:rPr>
          <w:i/>
        </w:rPr>
        <w:t>1998 Omnibus Order</w:t>
      </w:r>
      <w:r w:rsidRPr="00241463">
        <w:t xml:space="preserve">, 13 FCC Rcd at 23997.  In 2003, Phoenix Broadcasting, Inc., then licensee of both KSWD and KPFN, stated that the </w:t>
      </w:r>
      <w:bookmarkStart w:id="18" w:name="ctx68"/>
      <w:bookmarkEnd w:id="18"/>
      <w:r w:rsidRPr="00241463">
        <w:rPr>
          <w:noProof/>
          <w:color w:val="0000FF"/>
        </w:rPr>
        <w:drawing>
          <wp:inline distT="0" distB="0" distL="0" distR="0" wp14:anchorId="78EDF61E" wp14:editId="6A770242">
            <wp:extent cx="9525" cy="9525"/>
            <wp:effectExtent l="0" t="0" r="0" b="0"/>
            <wp:docPr id="8" name="Picture 8" descr="previous h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ous hit">
                      <a:hlinkClick r:id="rId4"/>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1463">
        <w:rPr>
          <w:rStyle w:val="displayhltext"/>
        </w:rPr>
        <w:t>Seward</w:t>
      </w:r>
      <w:r w:rsidRPr="00241463">
        <w:rPr>
          <w:noProof/>
          <w:color w:val="0000FF"/>
        </w:rPr>
        <w:drawing>
          <wp:inline distT="0" distB="0" distL="0" distR="0" wp14:anchorId="5C07C4D3" wp14:editId="4CFBD580">
            <wp:extent cx="9525" cy="9525"/>
            <wp:effectExtent l="0" t="0" r="0" b="0"/>
            <wp:docPr id="9" name="Picture 9" descr="next h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 hit">
                      <a:hlinkClick r:id="rId5"/>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1463">
        <w:t xml:space="preserve"> translators continue to have an adverse economic impact on Seward's full service stations, “siphoning” substantial advertising revenues out of </w:t>
      </w:r>
      <w:bookmarkStart w:id="19" w:name="ctx69"/>
      <w:bookmarkEnd w:id="19"/>
      <w:r w:rsidRPr="00241463">
        <w:rPr>
          <w:noProof/>
          <w:color w:val="0000FF"/>
        </w:rPr>
        <w:drawing>
          <wp:inline distT="0" distB="0" distL="0" distR="0" wp14:anchorId="3116AA18" wp14:editId="04C24043">
            <wp:extent cx="9525" cy="9525"/>
            <wp:effectExtent l="0" t="0" r="0" b="0"/>
            <wp:docPr id="31" name="Picture 31" descr="previous h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ous hit">
                      <a:hlinkClick r:id="rId6"/>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1463">
        <w:rPr>
          <w:rStyle w:val="displayhltext"/>
        </w:rPr>
        <w:t>Seward</w:t>
      </w:r>
      <w:r w:rsidRPr="00241463">
        <w:t>.</w:t>
      </w:r>
      <w:bookmarkStart w:id="20" w:name="ctx70"/>
      <w:bookmarkEnd w:id="20"/>
      <w:r w:rsidRPr="00241463">
        <w:rPr>
          <w:noProof/>
          <w:color w:val="0000FF"/>
        </w:rPr>
        <w:drawing>
          <wp:inline distT="0" distB="0" distL="0" distR="0" wp14:anchorId="7D2FC54D" wp14:editId="6B119833">
            <wp:extent cx="9525" cy="9525"/>
            <wp:effectExtent l="0" t="0" r="0" b="0"/>
            <wp:docPr id="32" name="Picture 32" descr="previous h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ous hit">
                      <a:hlinkClick r:id="rId7"/>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1463">
        <w:t xml:space="preserve">  </w:t>
      </w:r>
      <w:r w:rsidRPr="00241463">
        <w:rPr>
          <w:i/>
        </w:rPr>
        <w:t>Seward Waiver Termination Order</w:t>
      </w:r>
      <w:r w:rsidRPr="00241463">
        <w:t xml:space="preserve">, 18 FCC Rcd at 4031.  </w:t>
      </w:r>
    </w:p>
  </w:footnote>
  <w:footnote w:id="106">
    <w:p w14:paraId="20C21B5D" w14:textId="21788F84" w:rsidR="00F545C4" w:rsidRPr="00241463" w:rsidRDefault="00F545C4" w:rsidP="00BB41F1">
      <w:pPr>
        <w:pStyle w:val="FootnoteText"/>
        <w:spacing w:after="120"/>
      </w:pPr>
      <w:r w:rsidRPr="00241463">
        <w:rPr>
          <w:rStyle w:val="FootnoteReference"/>
        </w:rPr>
        <w:footnoteRef/>
      </w:r>
      <w:r w:rsidRPr="00241463">
        <w:t xml:space="preserve"> File No. BPH-20071108AET, Exh. 36 (application for change in community of license from Seward to Sterling, Alaska).  The construction permit was granted on February 2, 2009.  </w:t>
      </w:r>
      <w:r w:rsidRPr="00241463">
        <w:rPr>
          <w:i/>
        </w:rPr>
        <w:t>Broadcast Actions</w:t>
      </w:r>
      <w:r w:rsidRPr="00241463">
        <w:t xml:space="preserve">, Public Notice, Report No. 46916 (Feb. 5, 2009).  A license to cover was filed on March 14, 2012, and granted on March 27, 2012.  File No. BLH-20120314ACN; </w:t>
      </w:r>
      <w:r w:rsidRPr="00241463">
        <w:rPr>
          <w:i/>
        </w:rPr>
        <w:t>Broadcast Actions</w:t>
      </w:r>
      <w:r w:rsidRPr="00241463">
        <w:t xml:space="preserve">, Public Notice, Report No. 47706 (March 30, 2012). </w:t>
      </w:r>
    </w:p>
  </w:footnote>
  <w:footnote w:id="107">
    <w:p w14:paraId="3AEEB84B" w14:textId="54F43F56"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Wolfgang Kurtz</w:t>
      </w:r>
      <w:r w:rsidRPr="00241463">
        <w:t xml:space="preserve">, Letter Decision, Ref. No. 1800B3-VM (Feb. 5, 2014); </w:t>
      </w:r>
      <w:r w:rsidRPr="00241463">
        <w:rPr>
          <w:i/>
        </w:rPr>
        <w:t>Seward Media Partners, LLC</w:t>
      </w:r>
      <w:r w:rsidRPr="00241463">
        <w:t xml:space="preserve">, Letter Decision, Ref. No. 1800B3-SS (Oct. 6, 2016).  This </w:t>
      </w:r>
      <w:r>
        <w:t>termination is now final</w:t>
      </w:r>
      <w:r w:rsidRPr="00241463">
        <w:t xml:space="preserve">.  </w:t>
      </w:r>
      <w:r w:rsidRPr="00241463">
        <w:rPr>
          <w:i/>
        </w:rPr>
        <w:t>See Seward Media Partners, Inc.</w:t>
      </w:r>
      <w:r w:rsidRPr="00241463">
        <w:t>, Letter Decision, Ref. No. 1800B3-SS (Apr. 11, 2017).</w:t>
      </w:r>
    </w:p>
  </w:footnote>
  <w:footnote w:id="108">
    <w:p w14:paraId="47769ADD" w14:textId="3FDF9F70" w:rsidR="00F545C4" w:rsidRPr="00241463" w:rsidRDefault="00F545C4" w:rsidP="00BB41F1">
      <w:pPr>
        <w:pStyle w:val="FootnoteText"/>
        <w:spacing w:after="120"/>
      </w:pPr>
      <w:r w:rsidRPr="00241463">
        <w:rPr>
          <w:rStyle w:val="FootnoteReference"/>
        </w:rPr>
        <w:footnoteRef/>
      </w:r>
      <w:r w:rsidRPr="00241463">
        <w:t xml:space="preserve"> Namely, </w:t>
      </w:r>
      <w:r>
        <w:t xml:space="preserve">Seward is served by: </w:t>
      </w:r>
      <w:r w:rsidRPr="00241463">
        <w:t>K224DX, Seward, Alaska (rebroadcasting KXBA); K236CC, Seward, Alaska (rebroadcasting KPEN); K276FF, Seward, Alaska (rebroadcasting KXBA); K281AZ, Seward, Alaska (rebroadcasting KXBA)</w:t>
      </w:r>
      <w:r>
        <w:t>.  The community is also served by NCE translators</w:t>
      </w:r>
      <w:r w:rsidRPr="00241463">
        <w:t xml:space="preserve"> K201AO, Seward, Alaska (rebroadcasting NCE </w:t>
      </w:r>
      <w:r>
        <w:t xml:space="preserve">station </w:t>
      </w:r>
      <w:r w:rsidRPr="00241463">
        <w:t>KSKA, Anchorage, Alaska);</w:t>
      </w:r>
      <w:r w:rsidRPr="00993C26">
        <w:t xml:space="preserve"> </w:t>
      </w:r>
      <w:r w:rsidRPr="00241463">
        <w:t xml:space="preserve">K259BK, Seward, Alaska (rebroadcasting NCE </w:t>
      </w:r>
      <w:r>
        <w:t xml:space="preserve">station </w:t>
      </w:r>
      <w:r w:rsidRPr="00241463">
        <w:t>WJSO(FM), Pikeville, Kentucky);</w:t>
      </w:r>
      <w:r w:rsidRPr="00993C26">
        <w:t xml:space="preserve"> </w:t>
      </w:r>
      <w:r w:rsidRPr="00241463">
        <w:t>K291CP, Bear Creek, Alaska (rebroadcasting NCE station KIBH-FM);</w:t>
      </w:r>
      <w:r w:rsidRPr="00993C26">
        <w:t xml:space="preserve"> </w:t>
      </w:r>
      <w:r w:rsidRPr="00241463">
        <w:t>K296GW, Primrose, Alaska (</w:t>
      </w:r>
      <w:r>
        <w:t xml:space="preserve">also </w:t>
      </w:r>
      <w:r w:rsidRPr="00241463">
        <w:t>rebroadcasting KIBH-FM).</w:t>
      </w:r>
    </w:p>
  </w:footnote>
  <w:footnote w:id="109">
    <w:p w14:paraId="003D90EA" w14:textId="39AC7432" w:rsidR="00F545C4" w:rsidRPr="00241463" w:rsidRDefault="00F545C4" w:rsidP="00BB41F1">
      <w:pPr>
        <w:pStyle w:val="FootnoteText"/>
        <w:spacing w:after="120"/>
      </w:pPr>
      <w:r w:rsidRPr="00241463">
        <w:rPr>
          <w:rStyle w:val="FootnoteReference"/>
        </w:rPr>
        <w:footnoteRef/>
      </w:r>
      <w:r w:rsidRPr="00241463">
        <w:t xml:space="preserve"> The “show cause” procedure utilized by the Commission included notification to the affected licensee and 30 days within which to protest the proposed order of modification. </w:t>
      </w:r>
      <w:r w:rsidRPr="00241463">
        <w:rPr>
          <w:i/>
        </w:rPr>
        <w:t xml:space="preserve"> 2001 Cancellation Order </w:t>
      </w:r>
      <w:r w:rsidRPr="00241463">
        <w:t>at 11370 (citing 47 U.S.C. § 316; 47 CFR § 1.87).</w:t>
      </w:r>
    </w:p>
  </w:footnote>
  <w:footnote w:id="110">
    <w:p w14:paraId="30ACB912" w14:textId="77777777" w:rsidR="00F545C4" w:rsidRPr="00241463" w:rsidRDefault="00F545C4" w:rsidP="00BB41F1">
      <w:pPr>
        <w:pStyle w:val="FootnoteText"/>
        <w:spacing w:after="120"/>
      </w:pPr>
      <w:r w:rsidRPr="00241463">
        <w:rPr>
          <w:rStyle w:val="FootnoteReference"/>
        </w:rPr>
        <w:footnoteRef/>
      </w:r>
      <w:r w:rsidRPr="00241463">
        <w:t xml:space="preserve"> Peninsula does not provide a call sign or other identifying information for its satellite facility.</w:t>
      </w:r>
    </w:p>
  </w:footnote>
  <w:footnote w:id="111">
    <w:p w14:paraId="6D44C5A6" w14:textId="30302AA6" w:rsidR="00F545C4" w:rsidRPr="00241463" w:rsidRDefault="00F545C4" w:rsidP="00BB41F1">
      <w:pPr>
        <w:pStyle w:val="FootnoteText"/>
        <w:spacing w:after="120"/>
        <w:rPr>
          <w:i/>
        </w:rPr>
      </w:pPr>
      <w:r w:rsidRPr="00241463">
        <w:rPr>
          <w:rStyle w:val="FootnoteReference"/>
        </w:rPr>
        <w:footnoteRef/>
      </w:r>
      <w:r w:rsidRPr="00241463">
        <w:t xml:space="preserve"> </w:t>
      </w:r>
      <w:r w:rsidRPr="00241463">
        <w:rPr>
          <w:i/>
        </w:rPr>
        <w:t>Peninsula Communications, Inc.</w:t>
      </w:r>
      <w:r w:rsidRPr="00241463">
        <w:t>, Letter, Ref. No. 1800B4-AJS (Sept. 11, 1996) at 9.</w:t>
      </w:r>
    </w:p>
  </w:footnote>
  <w:footnote w:id="112">
    <w:p w14:paraId="413CE835" w14:textId="4D62F1BE" w:rsidR="00F545C4" w:rsidRPr="00241463" w:rsidRDefault="00F545C4" w:rsidP="00BB41F1">
      <w:pPr>
        <w:pStyle w:val="FootnoteText"/>
        <w:spacing w:after="120"/>
      </w:pPr>
      <w:r w:rsidRPr="00241463">
        <w:rPr>
          <w:rStyle w:val="FootnoteReference"/>
        </w:rPr>
        <w:footnoteRef/>
      </w:r>
      <w:r w:rsidRPr="00241463">
        <w:t xml:space="preserve"> Compliance Affidavits at 7.</w:t>
      </w:r>
    </w:p>
  </w:footnote>
  <w:footnote w:id="113">
    <w:p w14:paraId="77390055" w14:textId="77777777"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Initial Decision</w:t>
      </w:r>
      <w:r w:rsidRPr="00241463">
        <w:t>, 18 FCC Rcd at 12358.</w:t>
      </w:r>
    </w:p>
  </w:footnote>
  <w:footnote w:id="114">
    <w:p w14:paraId="32F98F40" w14:textId="18DCA2DB"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Reconsideration Order</w:t>
      </w:r>
      <w:r w:rsidRPr="00241463">
        <w:t>, 8 FCC Rcd at 5094.</w:t>
      </w:r>
    </w:p>
  </w:footnote>
  <w:footnote w:id="115">
    <w:p w14:paraId="4710B8E9" w14:textId="6BC01C40" w:rsidR="00F545C4" w:rsidRPr="009B60D4" w:rsidRDefault="00F545C4" w:rsidP="00BB41F1">
      <w:pPr>
        <w:pStyle w:val="FootnoteText"/>
        <w:spacing w:after="120"/>
        <w:rPr>
          <w:i/>
        </w:rPr>
      </w:pPr>
      <w:r>
        <w:rPr>
          <w:rStyle w:val="FootnoteReference"/>
        </w:rPr>
        <w:footnoteRef/>
      </w:r>
      <w:r>
        <w:t xml:space="preserve"> </w:t>
      </w:r>
      <w:r>
        <w:rPr>
          <w:i/>
        </w:rPr>
        <w:t>See Renewal Decision</w:t>
      </w:r>
      <w:r>
        <w:t>, 31 FCC Rcd at 10926.</w:t>
      </w:r>
    </w:p>
  </w:footnote>
  <w:footnote w:id="116">
    <w:p w14:paraId="42610FE3" w14:textId="0B7B8E53" w:rsidR="00F545C4" w:rsidRDefault="00F545C4" w:rsidP="00BB41F1">
      <w:pPr>
        <w:pStyle w:val="FootnoteText"/>
        <w:spacing w:after="120"/>
      </w:pPr>
      <w:r>
        <w:rPr>
          <w:rStyle w:val="FootnoteReference"/>
        </w:rPr>
        <w:footnoteRef/>
      </w:r>
      <w:r w:rsidR="001C3669">
        <w:t xml:space="preserve"> T</w:t>
      </w:r>
      <w:r>
        <w:t xml:space="preserve">he record does not establish </w:t>
      </w:r>
      <w:r w:rsidR="005D0B6D">
        <w:t xml:space="preserve">a </w:t>
      </w:r>
      <w:r w:rsidR="003115B1">
        <w:t xml:space="preserve">substantial and material question of fact whether Peninsula is currently in violation of </w:t>
      </w:r>
      <w:r>
        <w:t>the translator relay rule,</w:t>
      </w:r>
      <w:r w:rsidR="001C3669">
        <w:t xml:space="preserve"> and</w:t>
      </w:r>
      <w:r>
        <w:t xml:space="preserve"> </w:t>
      </w:r>
      <w:r w:rsidR="001C3669">
        <w:t xml:space="preserve">we note that the 60 dBµ signal contour of relay station </w:t>
      </w:r>
      <w:r w:rsidR="001C3669" w:rsidRPr="001C3669">
        <w:t xml:space="preserve">K257DB </w:t>
      </w:r>
      <w:r w:rsidR="001C3669">
        <w:t xml:space="preserve">encompasses the community of Homer, Alaska.  However, </w:t>
      </w:r>
      <w:r>
        <w:t>we remind Peninsula that t</w:t>
      </w:r>
      <w:r w:rsidRPr="00D00258">
        <w:t>h</w:t>
      </w:r>
      <w:r w:rsidR="00B16690">
        <w:t>at rule</w:t>
      </w:r>
      <w:r w:rsidRPr="00D00258">
        <w:t xml:space="preserve"> permit</w:t>
      </w:r>
      <w:r w:rsidR="00B16690">
        <w:t>s</w:t>
      </w:r>
      <w:r w:rsidRPr="00D00258">
        <w:t xml:space="preserve"> </w:t>
      </w:r>
      <w:r>
        <w:t xml:space="preserve">an </w:t>
      </w:r>
      <w:r w:rsidRPr="00D00258">
        <w:t>FM translator</w:t>
      </w:r>
      <w:r w:rsidR="00053C36">
        <w:t xml:space="preserve"> to</w:t>
      </w:r>
      <w:r w:rsidRPr="00D00258">
        <w:t xml:space="preserve"> retransmi</w:t>
      </w:r>
      <w:r>
        <w:t>t</w:t>
      </w:r>
      <w:r w:rsidRPr="00D00258">
        <w:t xml:space="preserve"> the s</w:t>
      </w:r>
      <w:r>
        <w:t xml:space="preserve">ignal of another FM translator only </w:t>
      </w:r>
      <w:r w:rsidRPr="00D00258">
        <w:t xml:space="preserve">if the relaying translator is not used solely to relay the signal of the primary station to a more distant facility.  </w:t>
      </w:r>
      <w:r w:rsidR="001C3669">
        <w:rPr>
          <w:i/>
        </w:rPr>
        <w:t xml:space="preserve">See </w:t>
      </w:r>
      <w:r w:rsidR="001C3669">
        <w:t xml:space="preserve">47 CFR 74.1231(c). </w:t>
      </w:r>
    </w:p>
  </w:footnote>
  <w:footnote w:id="117">
    <w:p w14:paraId="58132B0C" w14:textId="729FC51A"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See, e.g., Gerald A. Turro</w:t>
      </w:r>
      <w:r w:rsidRPr="00241463">
        <w:t>, Decision, 14 FCC Rcd 15649 (2000) (holding that a time brokerage agreement between translator and primary station licensees is permissible where: (1) the time brokerage contract is kept at the primary station and made available for Commission inspection upon request per 47 CFR § 73.3613(d); (2) there is a bona fide, arm's-length transaction between the primary station and the translator; (3) the licensee of the translator station pays the primary station a rate charge comparable to the amount charged other purchasers of brokered airtime, or an amount consistent with such charges in the local broadcast community; and (4) at no time does the translator station receive financial support, directly or indirectly, from the primary station to cover any costs associated with the operation and maintenance of the translator station).</w:t>
      </w:r>
    </w:p>
  </w:footnote>
  <w:footnote w:id="118">
    <w:p w14:paraId="7060F476" w14:textId="45CEE9AA" w:rsidR="00F545C4" w:rsidRPr="00241463" w:rsidRDefault="00F545C4" w:rsidP="00BB41F1">
      <w:pPr>
        <w:pStyle w:val="FootnoteText"/>
        <w:spacing w:after="120"/>
      </w:pPr>
      <w:r w:rsidRPr="00241463">
        <w:rPr>
          <w:rStyle w:val="FootnoteReference"/>
        </w:rPr>
        <w:footnoteRef/>
      </w:r>
      <w:r w:rsidRPr="00241463">
        <w:t xml:space="preserve"> Renewal Applications, Section V, Exh. 33, Question 3.b.</w:t>
      </w:r>
    </w:p>
  </w:footnote>
  <w:footnote w:id="119">
    <w:p w14:paraId="3B149C7E" w14:textId="0C101D86" w:rsidR="00F545C4" w:rsidRPr="00241463" w:rsidRDefault="00F545C4" w:rsidP="00BB41F1">
      <w:pPr>
        <w:pStyle w:val="FootnoteText"/>
        <w:spacing w:after="120"/>
      </w:pPr>
      <w:r w:rsidRPr="00241463">
        <w:rPr>
          <w:rStyle w:val="FootnoteReference"/>
        </w:rPr>
        <w:footnoteRef/>
      </w:r>
      <w:r w:rsidRPr="00241463">
        <w:t xml:space="preserve"> </w:t>
      </w:r>
      <w:r w:rsidRPr="00241463">
        <w:rPr>
          <w:i/>
        </w:rPr>
        <w:t>Rate Card Declaratory Ruling</w:t>
      </w:r>
      <w:r w:rsidRPr="00241463">
        <w:t>, 23 FCC Rcd at 2511.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C131" w14:textId="77777777" w:rsidR="00722D3E" w:rsidRDefault="00722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1DD2" w14:textId="77777777" w:rsidR="00722D3E" w:rsidRDefault="00722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C22A" w14:textId="77777777" w:rsidR="00F545C4" w:rsidRDefault="00F545C4">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383A63A3" wp14:editId="330D2FBE">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14:paraId="5AF1A5EA" w14:textId="77777777" w:rsidR="00F545C4" w:rsidRDefault="00F545C4">
    <w:pPr>
      <w:jc w:val="center"/>
      <w:rPr>
        <w:b/>
        <w:sz w:val="22"/>
      </w:rPr>
    </w:pPr>
    <w:r>
      <w:rPr>
        <w:b/>
        <w:sz w:val="22"/>
      </w:rPr>
      <w:t>Washington, D.C. 20554</w:t>
    </w:r>
  </w:p>
  <w:p w14:paraId="0376E7FD" w14:textId="77777777" w:rsidR="00F545C4" w:rsidRDefault="00F545C4">
    <w:pPr>
      <w:jc w:val="center"/>
      <w:rPr>
        <w:b/>
        <w:sz w:val="22"/>
      </w:rPr>
    </w:pPr>
  </w:p>
  <w:p w14:paraId="03AE908F" w14:textId="35EA3AFA" w:rsidR="00F545C4" w:rsidRPr="00E75174" w:rsidRDefault="00937700">
    <w:pPr>
      <w:jc w:val="center"/>
      <w:rPr>
        <w:sz w:val="22"/>
      </w:rPr>
    </w:pPr>
    <w:r>
      <w:t>September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7F9614C"/>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A714F"/>
    <w:multiLevelType w:val="hybridMultilevel"/>
    <w:tmpl w:val="A4B4329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A90899"/>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B11E88"/>
    <w:multiLevelType w:val="hybridMultilevel"/>
    <w:tmpl w:val="0E5C64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 w:numId="8">
    <w:abstractNumId w:val="7"/>
  </w:num>
  <w:num w:numId="9">
    <w:abstractNumId w:val="2"/>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4A2A"/>
    <w:rsid w:val="00005710"/>
    <w:rsid w:val="0000610A"/>
    <w:rsid w:val="00006A21"/>
    <w:rsid w:val="0000707C"/>
    <w:rsid w:val="000103E7"/>
    <w:rsid w:val="0001128F"/>
    <w:rsid w:val="000119BF"/>
    <w:rsid w:val="00012858"/>
    <w:rsid w:val="00012915"/>
    <w:rsid w:val="00012AF2"/>
    <w:rsid w:val="00013E03"/>
    <w:rsid w:val="0001473E"/>
    <w:rsid w:val="00014A21"/>
    <w:rsid w:val="00015521"/>
    <w:rsid w:val="0001660E"/>
    <w:rsid w:val="00016775"/>
    <w:rsid w:val="00020065"/>
    <w:rsid w:val="00020AA5"/>
    <w:rsid w:val="0002241A"/>
    <w:rsid w:val="00022812"/>
    <w:rsid w:val="0002293D"/>
    <w:rsid w:val="00022B37"/>
    <w:rsid w:val="00022E9A"/>
    <w:rsid w:val="00022EA6"/>
    <w:rsid w:val="000240A9"/>
    <w:rsid w:val="00024214"/>
    <w:rsid w:val="000256EC"/>
    <w:rsid w:val="00027B73"/>
    <w:rsid w:val="0003044C"/>
    <w:rsid w:val="000307B3"/>
    <w:rsid w:val="000368C6"/>
    <w:rsid w:val="00037668"/>
    <w:rsid w:val="00041063"/>
    <w:rsid w:val="00041350"/>
    <w:rsid w:val="00041440"/>
    <w:rsid w:val="00041BEB"/>
    <w:rsid w:val="000431FA"/>
    <w:rsid w:val="00043AB7"/>
    <w:rsid w:val="00045212"/>
    <w:rsid w:val="00046BBE"/>
    <w:rsid w:val="0004797C"/>
    <w:rsid w:val="00047A46"/>
    <w:rsid w:val="00051C4B"/>
    <w:rsid w:val="00052BEC"/>
    <w:rsid w:val="00053C36"/>
    <w:rsid w:val="00053FC6"/>
    <w:rsid w:val="00054419"/>
    <w:rsid w:val="00056F5B"/>
    <w:rsid w:val="00057725"/>
    <w:rsid w:val="00060E3B"/>
    <w:rsid w:val="00062ED8"/>
    <w:rsid w:val="000633BA"/>
    <w:rsid w:val="0006416E"/>
    <w:rsid w:val="00064346"/>
    <w:rsid w:val="00065B19"/>
    <w:rsid w:val="00065D9D"/>
    <w:rsid w:val="00066593"/>
    <w:rsid w:val="00067AAE"/>
    <w:rsid w:val="00072772"/>
    <w:rsid w:val="00073421"/>
    <w:rsid w:val="00073CE8"/>
    <w:rsid w:val="00075EC9"/>
    <w:rsid w:val="000762EE"/>
    <w:rsid w:val="000766A6"/>
    <w:rsid w:val="0007780F"/>
    <w:rsid w:val="00081743"/>
    <w:rsid w:val="00081FB3"/>
    <w:rsid w:val="00082CC6"/>
    <w:rsid w:val="00083843"/>
    <w:rsid w:val="00083E8E"/>
    <w:rsid w:val="000840E8"/>
    <w:rsid w:val="00084506"/>
    <w:rsid w:val="00085745"/>
    <w:rsid w:val="00087321"/>
    <w:rsid w:val="000875CD"/>
    <w:rsid w:val="00087BE0"/>
    <w:rsid w:val="00092486"/>
    <w:rsid w:val="00092D1E"/>
    <w:rsid w:val="000939E5"/>
    <w:rsid w:val="0009441A"/>
    <w:rsid w:val="000962BD"/>
    <w:rsid w:val="00096365"/>
    <w:rsid w:val="00097942"/>
    <w:rsid w:val="000A049B"/>
    <w:rsid w:val="000A064E"/>
    <w:rsid w:val="000A375A"/>
    <w:rsid w:val="000A3F1F"/>
    <w:rsid w:val="000A4AB8"/>
    <w:rsid w:val="000A5D8C"/>
    <w:rsid w:val="000A78DE"/>
    <w:rsid w:val="000B0588"/>
    <w:rsid w:val="000B1DBF"/>
    <w:rsid w:val="000B1E2E"/>
    <w:rsid w:val="000B2D78"/>
    <w:rsid w:val="000B42B9"/>
    <w:rsid w:val="000B4A20"/>
    <w:rsid w:val="000B4A6D"/>
    <w:rsid w:val="000B7906"/>
    <w:rsid w:val="000C0D5F"/>
    <w:rsid w:val="000C28BC"/>
    <w:rsid w:val="000C46EE"/>
    <w:rsid w:val="000C4C3F"/>
    <w:rsid w:val="000C60D1"/>
    <w:rsid w:val="000C6F79"/>
    <w:rsid w:val="000C703F"/>
    <w:rsid w:val="000C73CD"/>
    <w:rsid w:val="000D1EF1"/>
    <w:rsid w:val="000D34AB"/>
    <w:rsid w:val="000D3F63"/>
    <w:rsid w:val="000D509F"/>
    <w:rsid w:val="000D598E"/>
    <w:rsid w:val="000D6C6C"/>
    <w:rsid w:val="000D7CA3"/>
    <w:rsid w:val="000E0114"/>
    <w:rsid w:val="000E4034"/>
    <w:rsid w:val="000E5561"/>
    <w:rsid w:val="000E5B07"/>
    <w:rsid w:val="000E5C7C"/>
    <w:rsid w:val="000E6F8D"/>
    <w:rsid w:val="000E76E1"/>
    <w:rsid w:val="000E77FD"/>
    <w:rsid w:val="000F5282"/>
    <w:rsid w:val="000F79BE"/>
    <w:rsid w:val="001002F7"/>
    <w:rsid w:val="00103982"/>
    <w:rsid w:val="00103DD0"/>
    <w:rsid w:val="0010483F"/>
    <w:rsid w:val="00105B45"/>
    <w:rsid w:val="001065DA"/>
    <w:rsid w:val="0010665E"/>
    <w:rsid w:val="00107F12"/>
    <w:rsid w:val="00111C04"/>
    <w:rsid w:val="00112F9D"/>
    <w:rsid w:val="001134A9"/>
    <w:rsid w:val="00114169"/>
    <w:rsid w:val="00115461"/>
    <w:rsid w:val="001213D4"/>
    <w:rsid w:val="00122FF6"/>
    <w:rsid w:val="0012300A"/>
    <w:rsid w:val="00124234"/>
    <w:rsid w:val="00124842"/>
    <w:rsid w:val="00124BDD"/>
    <w:rsid w:val="00124F90"/>
    <w:rsid w:val="001302AE"/>
    <w:rsid w:val="00130EFC"/>
    <w:rsid w:val="00133B4E"/>
    <w:rsid w:val="0013452C"/>
    <w:rsid w:val="001348E1"/>
    <w:rsid w:val="00134933"/>
    <w:rsid w:val="00135274"/>
    <w:rsid w:val="001365AA"/>
    <w:rsid w:val="00137A98"/>
    <w:rsid w:val="00137B6D"/>
    <w:rsid w:val="00137E34"/>
    <w:rsid w:val="00140A2A"/>
    <w:rsid w:val="00142767"/>
    <w:rsid w:val="001427A4"/>
    <w:rsid w:val="0014386F"/>
    <w:rsid w:val="001447C3"/>
    <w:rsid w:val="0014516F"/>
    <w:rsid w:val="00145724"/>
    <w:rsid w:val="00147146"/>
    <w:rsid w:val="0015034B"/>
    <w:rsid w:val="001512E5"/>
    <w:rsid w:val="001515B4"/>
    <w:rsid w:val="00152AF0"/>
    <w:rsid w:val="001535C7"/>
    <w:rsid w:val="001538A0"/>
    <w:rsid w:val="00154F2C"/>
    <w:rsid w:val="00156A0E"/>
    <w:rsid w:val="001572D7"/>
    <w:rsid w:val="001575E8"/>
    <w:rsid w:val="001575F8"/>
    <w:rsid w:val="00161F96"/>
    <w:rsid w:val="0016247C"/>
    <w:rsid w:val="001625CF"/>
    <w:rsid w:val="0016282E"/>
    <w:rsid w:val="001634A9"/>
    <w:rsid w:val="00164FDF"/>
    <w:rsid w:val="00166FD4"/>
    <w:rsid w:val="00167DA5"/>
    <w:rsid w:val="0017334B"/>
    <w:rsid w:val="00173365"/>
    <w:rsid w:val="001737E6"/>
    <w:rsid w:val="001757C1"/>
    <w:rsid w:val="00175B82"/>
    <w:rsid w:val="001761C5"/>
    <w:rsid w:val="0017666E"/>
    <w:rsid w:val="00176DE7"/>
    <w:rsid w:val="00177D0B"/>
    <w:rsid w:val="00180CAF"/>
    <w:rsid w:val="00181813"/>
    <w:rsid w:val="0018272A"/>
    <w:rsid w:val="00182A9F"/>
    <w:rsid w:val="00182B92"/>
    <w:rsid w:val="00182E7B"/>
    <w:rsid w:val="00183DE4"/>
    <w:rsid w:val="00184C03"/>
    <w:rsid w:val="00187787"/>
    <w:rsid w:val="001911C0"/>
    <w:rsid w:val="00192040"/>
    <w:rsid w:val="00196904"/>
    <w:rsid w:val="0019721A"/>
    <w:rsid w:val="0019732E"/>
    <w:rsid w:val="001A0F54"/>
    <w:rsid w:val="001A25D4"/>
    <w:rsid w:val="001A34CA"/>
    <w:rsid w:val="001A634F"/>
    <w:rsid w:val="001A71AB"/>
    <w:rsid w:val="001A7240"/>
    <w:rsid w:val="001A7A18"/>
    <w:rsid w:val="001B0A30"/>
    <w:rsid w:val="001B1AE2"/>
    <w:rsid w:val="001B29B9"/>
    <w:rsid w:val="001B513D"/>
    <w:rsid w:val="001B683B"/>
    <w:rsid w:val="001B7B74"/>
    <w:rsid w:val="001C004C"/>
    <w:rsid w:val="001C03F9"/>
    <w:rsid w:val="001C1080"/>
    <w:rsid w:val="001C1CA5"/>
    <w:rsid w:val="001C2CC1"/>
    <w:rsid w:val="001C3669"/>
    <w:rsid w:val="001C3B50"/>
    <w:rsid w:val="001C4B16"/>
    <w:rsid w:val="001C4B97"/>
    <w:rsid w:val="001C4BE5"/>
    <w:rsid w:val="001D07FB"/>
    <w:rsid w:val="001D1F19"/>
    <w:rsid w:val="001D32DD"/>
    <w:rsid w:val="001D451B"/>
    <w:rsid w:val="001D45C4"/>
    <w:rsid w:val="001D47E4"/>
    <w:rsid w:val="001D5069"/>
    <w:rsid w:val="001D6DF8"/>
    <w:rsid w:val="001E1466"/>
    <w:rsid w:val="001E189F"/>
    <w:rsid w:val="001E2317"/>
    <w:rsid w:val="001E2AD4"/>
    <w:rsid w:val="001E2C66"/>
    <w:rsid w:val="001E31D1"/>
    <w:rsid w:val="001E417D"/>
    <w:rsid w:val="001E4F55"/>
    <w:rsid w:val="001E5BA9"/>
    <w:rsid w:val="001E5C49"/>
    <w:rsid w:val="001E658B"/>
    <w:rsid w:val="001E66C8"/>
    <w:rsid w:val="001E6E40"/>
    <w:rsid w:val="001E73A1"/>
    <w:rsid w:val="001E759E"/>
    <w:rsid w:val="001F009B"/>
    <w:rsid w:val="001F122D"/>
    <w:rsid w:val="001F1B12"/>
    <w:rsid w:val="001F20E8"/>
    <w:rsid w:val="001F67CC"/>
    <w:rsid w:val="001F73BC"/>
    <w:rsid w:val="00200A1E"/>
    <w:rsid w:val="0020107B"/>
    <w:rsid w:val="00202100"/>
    <w:rsid w:val="002026FB"/>
    <w:rsid w:val="002027A9"/>
    <w:rsid w:val="00205512"/>
    <w:rsid w:val="00206A30"/>
    <w:rsid w:val="002079E5"/>
    <w:rsid w:val="00207ED6"/>
    <w:rsid w:val="002110D9"/>
    <w:rsid w:val="0021188E"/>
    <w:rsid w:val="00211A43"/>
    <w:rsid w:val="00211E02"/>
    <w:rsid w:val="00213427"/>
    <w:rsid w:val="00213C0D"/>
    <w:rsid w:val="00213CC3"/>
    <w:rsid w:val="00215256"/>
    <w:rsid w:val="00220981"/>
    <w:rsid w:val="00220A16"/>
    <w:rsid w:val="0022137C"/>
    <w:rsid w:val="00222868"/>
    <w:rsid w:val="002232C0"/>
    <w:rsid w:val="0022468F"/>
    <w:rsid w:val="00224E6E"/>
    <w:rsid w:val="002250A2"/>
    <w:rsid w:val="002256D4"/>
    <w:rsid w:val="002260D2"/>
    <w:rsid w:val="0022676D"/>
    <w:rsid w:val="002273D1"/>
    <w:rsid w:val="00227E83"/>
    <w:rsid w:val="00230021"/>
    <w:rsid w:val="002320CA"/>
    <w:rsid w:val="002371A5"/>
    <w:rsid w:val="002374CC"/>
    <w:rsid w:val="00237CF6"/>
    <w:rsid w:val="002409FC"/>
    <w:rsid w:val="00240BBA"/>
    <w:rsid w:val="00240D65"/>
    <w:rsid w:val="00240E07"/>
    <w:rsid w:val="00241463"/>
    <w:rsid w:val="002414C9"/>
    <w:rsid w:val="002415DE"/>
    <w:rsid w:val="002418B2"/>
    <w:rsid w:val="002425B9"/>
    <w:rsid w:val="00243E1E"/>
    <w:rsid w:val="0024513A"/>
    <w:rsid w:val="0024579D"/>
    <w:rsid w:val="002459A0"/>
    <w:rsid w:val="00246667"/>
    <w:rsid w:val="002476D6"/>
    <w:rsid w:val="0025094D"/>
    <w:rsid w:val="00251526"/>
    <w:rsid w:val="002515DD"/>
    <w:rsid w:val="00251D3B"/>
    <w:rsid w:val="00251DE4"/>
    <w:rsid w:val="0025309F"/>
    <w:rsid w:val="00253721"/>
    <w:rsid w:val="00254339"/>
    <w:rsid w:val="002546EF"/>
    <w:rsid w:val="00254D0B"/>
    <w:rsid w:val="00255B60"/>
    <w:rsid w:val="00256F6D"/>
    <w:rsid w:val="00261475"/>
    <w:rsid w:val="002626BB"/>
    <w:rsid w:val="002630B6"/>
    <w:rsid w:val="00263F4F"/>
    <w:rsid w:val="00266676"/>
    <w:rsid w:val="00271729"/>
    <w:rsid w:val="00271937"/>
    <w:rsid w:val="00271A71"/>
    <w:rsid w:val="002721F5"/>
    <w:rsid w:val="002732FA"/>
    <w:rsid w:val="002767A9"/>
    <w:rsid w:val="00277306"/>
    <w:rsid w:val="002809A8"/>
    <w:rsid w:val="00281607"/>
    <w:rsid w:val="002836E0"/>
    <w:rsid w:val="002843A7"/>
    <w:rsid w:val="00284DF8"/>
    <w:rsid w:val="00286E35"/>
    <w:rsid w:val="002901A5"/>
    <w:rsid w:val="0029159D"/>
    <w:rsid w:val="002926EC"/>
    <w:rsid w:val="002953E0"/>
    <w:rsid w:val="00295A32"/>
    <w:rsid w:val="00296629"/>
    <w:rsid w:val="002A3CBE"/>
    <w:rsid w:val="002A536C"/>
    <w:rsid w:val="002A658C"/>
    <w:rsid w:val="002A790F"/>
    <w:rsid w:val="002B1615"/>
    <w:rsid w:val="002B1BFF"/>
    <w:rsid w:val="002B2F2C"/>
    <w:rsid w:val="002B6B90"/>
    <w:rsid w:val="002B6FB3"/>
    <w:rsid w:val="002C09D8"/>
    <w:rsid w:val="002C1101"/>
    <w:rsid w:val="002C2E88"/>
    <w:rsid w:val="002C45CE"/>
    <w:rsid w:val="002C4CD0"/>
    <w:rsid w:val="002C513A"/>
    <w:rsid w:val="002C57B5"/>
    <w:rsid w:val="002C7475"/>
    <w:rsid w:val="002C7F03"/>
    <w:rsid w:val="002D066A"/>
    <w:rsid w:val="002D10A4"/>
    <w:rsid w:val="002D20C6"/>
    <w:rsid w:val="002D3EFC"/>
    <w:rsid w:val="002D44D6"/>
    <w:rsid w:val="002D5ABE"/>
    <w:rsid w:val="002D6FFC"/>
    <w:rsid w:val="002D77AC"/>
    <w:rsid w:val="002E02D7"/>
    <w:rsid w:val="002E16C6"/>
    <w:rsid w:val="002E665B"/>
    <w:rsid w:val="002E76DB"/>
    <w:rsid w:val="002F1692"/>
    <w:rsid w:val="002F1F14"/>
    <w:rsid w:val="002F3037"/>
    <w:rsid w:val="002F4DC9"/>
    <w:rsid w:val="002F68C8"/>
    <w:rsid w:val="002F6D62"/>
    <w:rsid w:val="003003D7"/>
    <w:rsid w:val="003011A2"/>
    <w:rsid w:val="003012AF"/>
    <w:rsid w:val="00302DE0"/>
    <w:rsid w:val="00304DA9"/>
    <w:rsid w:val="0030796A"/>
    <w:rsid w:val="003115B1"/>
    <w:rsid w:val="00311AF3"/>
    <w:rsid w:val="00314D94"/>
    <w:rsid w:val="00316CD9"/>
    <w:rsid w:val="00317110"/>
    <w:rsid w:val="00317689"/>
    <w:rsid w:val="00317D98"/>
    <w:rsid w:val="003207A5"/>
    <w:rsid w:val="00322A9E"/>
    <w:rsid w:val="00323585"/>
    <w:rsid w:val="00323ABD"/>
    <w:rsid w:val="0032437D"/>
    <w:rsid w:val="00324875"/>
    <w:rsid w:val="00325776"/>
    <w:rsid w:val="003261F5"/>
    <w:rsid w:val="0032674E"/>
    <w:rsid w:val="00330AB7"/>
    <w:rsid w:val="00332E7A"/>
    <w:rsid w:val="00341875"/>
    <w:rsid w:val="00343C76"/>
    <w:rsid w:val="00345D0E"/>
    <w:rsid w:val="00347F49"/>
    <w:rsid w:val="00351D2D"/>
    <w:rsid w:val="00352910"/>
    <w:rsid w:val="0035388C"/>
    <w:rsid w:val="003569F7"/>
    <w:rsid w:val="00360D0B"/>
    <w:rsid w:val="00361152"/>
    <w:rsid w:val="003629D2"/>
    <w:rsid w:val="00363625"/>
    <w:rsid w:val="00363DBD"/>
    <w:rsid w:val="00364747"/>
    <w:rsid w:val="003651F5"/>
    <w:rsid w:val="00365852"/>
    <w:rsid w:val="00366591"/>
    <w:rsid w:val="0037116C"/>
    <w:rsid w:val="00372DB7"/>
    <w:rsid w:val="00373482"/>
    <w:rsid w:val="003768E3"/>
    <w:rsid w:val="00377303"/>
    <w:rsid w:val="003775D3"/>
    <w:rsid w:val="00377705"/>
    <w:rsid w:val="00380BDB"/>
    <w:rsid w:val="00382126"/>
    <w:rsid w:val="003825DC"/>
    <w:rsid w:val="003832A2"/>
    <w:rsid w:val="00384742"/>
    <w:rsid w:val="00384C97"/>
    <w:rsid w:val="003850FD"/>
    <w:rsid w:val="003857D5"/>
    <w:rsid w:val="00385FAB"/>
    <w:rsid w:val="00390382"/>
    <w:rsid w:val="00390BB4"/>
    <w:rsid w:val="00391DF2"/>
    <w:rsid w:val="00393448"/>
    <w:rsid w:val="003938D2"/>
    <w:rsid w:val="00393976"/>
    <w:rsid w:val="00393BF4"/>
    <w:rsid w:val="0039507C"/>
    <w:rsid w:val="003954DA"/>
    <w:rsid w:val="00397258"/>
    <w:rsid w:val="003A1026"/>
    <w:rsid w:val="003A2C9B"/>
    <w:rsid w:val="003A4216"/>
    <w:rsid w:val="003A4896"/>
    <w:rsid w:val="003A4E99"/>
    <w:rsid w:val="003A53D1"/>
    <w:rsid w:val="003A5649"/>
    <w:rsid w:val="003A5CB9"/>
    <w:rsid w:val="003A7425"/>
    <w:rsid w:val="003B06A5"/>
    <w:rsid w:val="003B093E"/>
    <w:rsid w:val="003B11C8"/>
    <w:rsid w:val="003B1C70"/>
    <w:rsid w:val="003B5A4A"/>
    <w:rsid w:val="003B6E9C"/>
    <w:rsid w:val="003B7549"/>
    <w:rsid w:val="003B7BFC"/>
    <w:rsid w:val="003C01E4"/>
    <w:rsid w:val="003C10AC"/>
    <w:rsid w:val="003C35C0"/>
    <w:rsid w:val="003C4206"/>
    <w:rsid w:val="003C46D0"/>
    <w:rsid w:val="003C4A05"/>
    <w:rsid w:val="003C68A1"/>
    <w:rsid w:val="003C69BC"/>
    <w:rsid w:val="003D12E7"/>
    <w:rsid w:val="003D1413"/>
    <w:rsid w:val="003D3570"/>
    <w:rsid w:val="003D50A7"/>
    <w:rsid w:val="003D574F"/>
    <w:rsid w:val="003D635E"/>
    <w:rsid w:val="003D649C"/>
    <w:rsid w:val="003D7A50"/>
    <w:rsid w:val="003E04BD"/>
    <w:rsid w:val="003E189F"/>
    <w:rsid w:val="003E247B"/>
    <w:rsid w:val="003E2A1E"/>
    <w:rsid w:val="003E4103"/>
    <w:rsid w:val="003E5AFA"/>
    <w:rsid w:val="003E5FE2"/>
    <w:rsid w:val="003E7B49"/>
    <w:rsid w:val="003F2F34"/>
    <w:rsid w:val="003F3033"/>
    <w:rsid w:val="003F4101"/>
    <w:rsid w:val="003F420D"/>
    <w:rsid w:val="003F4514"/>
    <w:rsid w:val="003F4639"/>
    <w:rsid w:val="003F4C70"/>
    <w:rsid w:val="003F4F8B"/>
    <w:rsid w:val="003F543B"/>
    <w:rsid w:val="003F767B"/>
    <w:rsid w:val="00400BB7"/>
    <w:rsid w:val="0040167F"/>
    <w:rsid w:val="00403996"/>
    <w:rsid w:val="00403B0E"/>
    <w:rsid w:val="004045F4"/>
    <w:rsid w:val="004056A6"/>
    <w:rsid w:val="004063B7"/>
    <w:rsid w:val="004070F2"/>
    <w:rsid w:val="00410C23"/>
    <w:rsid w:val="00412F0C"/>
    <w:rsid w:val="0041379B"/>
    <w:rsid w:val="00413F45"/>
    <w:rsid w:val="004142F1"/>
    <w:rsid w:val="00414647"/>
    <w:rsid w:val="00414D2B"/>
    <w:rsid w:val="00415063"/>
    <w:rsid w:val="004156F9"/>
    <w:rsid w:val="00416E76"/>
    <w:rsid w:val="00416EF4"/>
    <w:rsid w:val="00417CFF"/>
    <w:rsid w:val="00420842"/>
    <w:rsid w:val="00421AC0"/>
    <w:rsid w:val="004224D1"/>
    <w:rsid w:val="00423069"/>
    <w:rsid w:val="00425C5B"/>
    <w:rsid w:val="004325F4"/>
    <w:rsid w:val="00435E79"/>
    <w:rsid w:val="004405B1"/>
    <w:rsid w:val="0044253E"/>
    <w:rsid w:val="004427AA"/>
    <w:rsid w:val="00442A1B"/>
    <w:rsid w:val="00444498"/>
    <w:rsid w:val="00445394"/>
    <w:rsid w:val="00445BAF"/>
    <w:rsid w:val="00452083"/>
    <w:rsid w:val="00452BA2"/>
    <w:rsid w:val="00453444"/>
    <w:rsid w:val="00455AFC"/>
    <w:rsid w:val="00455EBC"/>
    <w:rsid w:val="004578A1"/>
    <w:rsid w:val="00461163"/>
    <w:rsid w:val="0046175B"/>
    <w:rsid w:val="00463198"/>
    <w:rsid w:val="00465407"/>
    <w:rsid w:val="00466777"/>
    <w:rsid w:val="0047078D"/>
    <w:rsid w:val="00471629"/>
    <w:rsid w:val="0047194F"/>
    <w:rsid w:val="004731B9"/>
    <w:rsid w:val="00473381"/>
    <w:rsid w:val="0047340D"/>
    <w:rsid w:val="00473D9B"/>
    <w:rsid w:val="0047451E"/>
    <w:rsid w:val="00476F7E"/>
    <w:rsid w:val="00477091"/>
    <w:rsid w:val="004776E3"/>
    <w:rsid w:val="00481C0E"/>
    <w:rsid w:val="00482C78"/>
    <w:rsid w:val="00483158"/>
    <w:rsid w:val="00485BDB"/>
    <w:rsid w:val="00486608"/>
    <w:rsid w:val="004873C1"/>
    <w:rsid w:val="00490A2E"/>
    <w:rsid w:val="00490D13"/>
    <w:rsid w:val="004931C9"/>
    <w:rsid w:val="00493F00"/>
    <w:rsid w:val="004949FD"/>
    <w:rsid w:val="00494CB0"/>
    <w:rsid w:val="00495E22"/>
    <w:rsid w:val="00496401"/>
    <w:rsid w:val="004978A9"/>
    <w:rsid w:val="00497D57"/>
    <w:rsid w:val="004A1612"/>
    <w:rsid w:val="004A4D3B"/>
    <w:rsid w:val="004A6598"/>
    <w:rsid w:val="004A682B"/>
    <w:rsid w:val="004A697E"/>
    <w:rsid w:val="004A6A85"/>
    <w:rsid w:val="004A6CD0"/>
    <w:rsid w:val="004B29AD"/>
    <w:rsid w:val="004B3711"/>
    <w:rsid w:val="004B3C56"/>
    <w:rsid w:val="004B4568"/>
    <w:rsid w:val="004B5C16"/>
    <w:rsid w:val="004C0750"/>
    <w:rsid w:val="004C0909"/>
    <w:rsid w:val="004C0E37"/>
    <w:rsid w:val="004C18EC"/>
    <w:rsid w:val="004C1AEB"/>
    <w:rsid w:val="004C222E"/>
    <w:rsid w:val="004C4346"/>
    <w:rsid w:val="004C4845"/>
    <w:rsid w:val="004C73F1"/>
    <w:rsid w:val="004C7706"/>
    <w:rsid w:val="004D09D4"/>
    <w:rsid w:val="004D0CED"/>
    <w:rsid w:val="004D19F7"/>
    <w:rsid w:val="004D4BAD"/>
    <w:rsid w:val="004D5901"/>
    <w:rsid w:val="004D6779"/>
    <w:rsid w:val="004D7423"/>
    <w:rsid w:val="004D7CA1"/>
    <w:rsid w:val="004E0B53"/>
    <w:rsid w:val="004E29D2"/>
    <w:rsid w:val="004E2D85"/>
    <w:rsid w:val="004E51F6"/>
    <w:rsid w:val="004E5DE8"/>
    <w:rsid w:val="004E66DB"/>
    <w:rsid w:val="004F0EDF"/>
    <w:rsid w:val="004F20F9"/>
    <w:rsid w:val="004F492B"/>
    <w:rsid w:val="005002B9"/>
    <w:rsid w:val="005010AB"/>
    <w:rsid w:val="00501A5B"/>
    <w:rsid w:val="0050653F"/>
    <w:rsid w:val="00510923"/>
    <w:rsid w:val="00511423"/>
    <w:rsid w:val="005179BC"/>
    <w:rsid w:val="00520841"/>
    <w:rsid w:val="00520CAA"/>
    <w:rsid w:val="00521413"/>
    <w:rsid w:val="0052792E"/>
    <w:rsid w:val="00527ACD"/>
    <w:rsid w:val="00532C6C"/>
    <w:rsid w:val="0053474A"/>
    <w:rsid w:val="00535D9A"/>
    <w:rsid w:val="005360BF"/>
    <w:rsid w:val="00537AF9"/>
    <w:rsid w:val="00537D5E"/>
    <w:rsid w:val="00541DD0"/>
    <w:rsid w:val="00541E2A"/>
    <w:rsid w:val="00542597"/>
    <w:rsid w:val="005456B4"/>
    <w:rsid w:val="00546C8A"/>
    <w:rsid w:val="00547E8D"/>
    <w:rsid w:val="0055026C"/>
    <w:rsid w:val="00550362"/>
    <w:rsid w:val="005519E5"/>
    <w:rsid w:val="0055255A"/>
    <w:rsid w:val="00555B94"/>
    <w:rsid w:val="00556C3B"/>
    <w:rsid w:val="00556F55"/>
    <w:rsid w:val="00557566"/>
    <w:rsid w:val="00557B18"/>
    <w:rsid w:val="00562934"/>
    <w:rsid w:val="005648DA"/>
    <w:rsid w:val="00564986"/>
    <w:rsid w:val="005661F9"/>
    <w:rsid w:val="00566453"/>
    <w:rsid w:val="00566B20"/>
    <w:rsid w:val="00570062"/>
    <w:rsid w:val="005733DF"/>
    <w:rsid w:val="00575097"/>
    <w:rsid w:val="00575583"/>
    <w:rsid w:val="00575FB7"/>
    <w:rsid w:val="00576FF1"/>
    <w:rsid w:val="00577419"/>
    <w:rsid w:val="00581A31"/>
    <w:rsid w:val="00582FF1"/>
    <w:rsid w:val="00583441"/>
    <w:rsid w:val="00583567"/>
    <w:rsid w:val="0058383F"/>
    <w:rsid w:val="0058393A"/>
    <w:rsid w:val="0058414F"/>
    <w:rsid w:val="005860F2"/>
    <w:rsid w:val="0059016C"/>
    <w:rsid w:val="005907D6"/>
    <w:rsid w:val="00591379"/>
    <w:rsid w:val="005923E7"/>
    <w:rsid w:val="00592CA4"/>
    <w:rsid w:val="005962EC"/>
    <w:rsid w:val="00597379"/>
    <w:rsid w:val="005A2DBF"/>
    <w:rsid w:val="005A5CAE"/>
    <w:rsid w:val="005A5F06"/>
    <w:rsid w:val="005A69DF"/>
    <w:rsid w:val="005A7158"/>
    <w:rsid w:val="005B039F"/>
    <w:rsid w:val="005B2055"/>
    <w:rsid w:val="005B43E4"/>
    <w:rsid w:val="005B5975"/>
    <w:rsid w:val="005C1296"/>
    <w:rsid w:val="005C12CE"/>
    <w:rsid w:val="005C2E54"/>
    <w:rsid w:val="005C46FB"/>
    <w:rsid w:val="005C5D8E"/>
    <w:rsid w:val="005D0B6D"/>
    <w:rsid w:val="005D1C5D"/>
    <w:rsid w:val="005D322E"/>
    <w:rsid w:val="005D4614"/>
    <w:rsid w:val="005D5C0F"/>
    <w:rsid w:val="005E0410"/>
    <w:rsid w:val="005E0911"/>
    <w:rsid w:val="005E280E"/>
    <w:rsid w:val="005E3E1F"/>
    <w:rsid w:val="005F0490"/>
    <w:rsid w:val="005F0F17"/>
    <w:rsid w:val="005F5397"/>
    <w:rsid w:val="00600276"/>
    <w:rsid w:val="0060202B"/>
    <w:rsid w:val="0060212B"/>
    <w:rsid w:val="00602B9D"/>
    <w:rsid w:val="00604791"/>
    <w:rsid w:val="00604FDA"/>
    <w:rsid w:val="00606BA8"/>
    <w:rsid w:val="00606D3E"/>
    <w:rsid w:val="00607B4D"/>
    <w:rsid w:val="00607E90"/>
    <w:rsid w:val="00610DD6"/>
    <w:rsid w:val="0061138B"/>
    <w:rsid w:val="00611682"/>
    <w:rsid w:val="00614CC4"/>
    <w:rsid w:val="00615D74"/>
    <w:rsid w:val="006202D3"/>
    <w:rsid w:val="00621013"/>
    <w:rsid w:val="006211A7"/>
    <w:rsid w:val="00621EFF"/>
    <w:rsid w:val="0062222F"/>
    <w:rsid w:val="006238E1"/>
    <w:rsid w:val="00623FA1"/>
    <w:rsid w:val="006247EF"/>
    <w:rsid w:val="00624A6A"/>
    <w:rsid w:val="00624B2E"/>
    <w:rsid w:val="00624F3F"/>
    <w:rsid w:val="00624F70"/>
    <w:rsid w:val="00626E87"/>
    <w:rsid w:val="006301A2"/>
    <w:rsid w:val="00630332"/>
    <w:rsid w:val="00632309"/>
    <w:rsid w:val="00633E71"/>
    <w:rsid w:val="00634949"/>
    <w:rsid w:val="0063516C"/>
    <w:rsid w:val="00635293"/>
    <w:rsid w:val="006365F6"/>
    <w:rsid w:val="00636C97"/>
    <w:rsid w:val="00636D78"/>
    <w:rsid w:val="00637499"/>
    <w:rsid w:val="0063771E"/>
    <w:rsid w:val="00640E70"/>
    <w:rsid w:val="00641AFE"/>
    <w:rsid w:val="00647978"/>
    <w:rsid w:val="00651BA0"/>
    <w:rsid w:val="00654123"/>
    <w:rsid w:val="006541F9"/>
    <w:rsid w:val="00654872"/>
    <w:rsid w:val="0065594F"/>
    <w:rsid w:val="00657192"/>
    <w:rsid w:val="0065760D"/>
    <w:rsid w:val="006576E8"/>
    <w:rsid w:val="00660105"/>
    <w:rsid w:val="00660F5E"/>
    <w:rsid w:val="006618E8"/>
    <w:rsid w:val="00662AB7"/>
    <w:rsid w:val="00663492"/>
    <w:rsid w:val="00664266"/>
    <w:rsid w:val="00664485"/>
    <w:rsid w:val="006648D3"/>
    <w:rsid w:val="00666C8E"/>
    <w:rsid w:val="006711B2"/>
    <w:rsid w:val="00671289"/>
    <w:rsid w:val="006714CB"/>
    <w:rsid w:val="00672306"/>
    <w:rsid w:val="00672EA0"/>
    <w:rsid w:val="00672EA6"/>
    <w:rsid w:val="00673590"/>
    <w:rsid w:val="006741BA"/>
    <w:rsid w:val="00676565"/>
    <w:rsid w:val="00677A7B"/>
    <w:rsid w:val="00682156"/>
    <w:rsid w:val="00682BC4"/>
    <w:rsid w:val="00683D9C"/>
    <w:rsid w:val="00683FF7"/>
    <w:rsid w:val="006858BE"/>
    <w:rsid w:val="00685C9F"/>
    <w:rsid w:val="00687B38"/>
    <w:rsid w:val="00690596"/>
    <w:rsid w:val="00690B31"/>
    <w:rsid w:val="00690BCE"/>
    <w:rsid w:val="00691E32"/>
    <w:rsid w:val="006922CA"/>
    <w:rsid w:val="00692974"/>
    <w:rsid w:val="00692F1F"/>
    <w:rsid w:val="00693236"/>
    <w:rsid w:val="006947D9"/>
    <w:rsid w:val="00694DFF"/>
    <w:rsid w:val="00695695"/>
    <w:rsid w:val="00695B21"/>
    <w:rsid w:val="00697068"/>
    <w:rsid w:val="00697B5C"/>
    <w:rsid w:val="006A1A69"/>
    <w:rsid w:val="006A1C8D"/>
    <w:rsid w:val="006A3938"/>
    <w:rsid w:val="006A4C04"/>
    <w:rsid w:val="006A7A03"/>
    <w:rsid w:val="006A7FD3"/>
    <w:rsid w:val="006B1994"/>
    <w:rsid w:val="006B3243"/>
    <w:rsid w:val="006B424A"/>
    <w:rsid w:val="006B45A3"/>
    <w:rsid w:val="006B4AE8"/>
    <w:rsid w:val="006B4F68"/>
    <w:rsid w:val="006B5EE3"/>
    <w:rsid w:val="006B6BEC"/>
    <w:rsid w:val="006C0BBE"/>
    <w:rsid w:val="006C2646"/>
    <w:rsid w:val="006C2D1D"/>
    <w:rsid w:val="006C4076"/>
    <w:rsid w:val="006C49E1"/>
    <w:rsid w:val="006C6F18"/>
    <w:rsid w:val="006D0B1A"/>
    <w:rsid w:val="006D48F0"/>
    <w:rsid w:val="006D4F82"/>
    <w:rsid w:val="006D51AF"/>
    <w:rsid w:val="006D6A99"/>
    <w:rsid w:val="006D6DAE"/>
    <w:rsid w:val="006D6DEC"/>
    <w:rsid w:val="006E468C"/>
    <w:rsid w:val="006E5DF6"/>
    <w:rsid w:val="006E6586"/>
    <w:rsid w:val="006E6BB4"/>
    <w:rsid w:val="006E786B"/>
    <w:rsid w:val="006E7ED5"/>
    <w:rsid w:val="006F02CD"/>
    <w:rsid w:val="006F0D9F"/>
    <w:rsid w:val="006F1899"/>
    <w:rsid w:val="006F2A77"/>
    <w:rsid w:val="006F2EF0"/>
    <w:rsid w:val="006F3249"/>
    <w:rsid w:val="006F362C"/>
    <w:rsid w:val="006F5FE9"/>
    <w:rsid w:val="006F70DE"/>
    <w:rsid w:val="007040DE"/>
    <w:rsid w:val="0070496E"/>
    <w:rsid w:val="00705946"/>
    <w:rsid w:val="00705C6C"/>
    <w:rsid w:val="00706F87"/>
    <w:rsid w:val="0071163A"/>
    <w:rsid w:val="007120A8"/>
    <w:rsid w:val="007127EE"/>
    <w:rsid w:val="00713411"/>
    <w:rsid w:val="00713B17"/>
    <w:rsid w:val="007144E0"/>
    <w:rsid w:val="007150B5"/>
    <w:rsid w:val="00720B79"/>
    <w:rsid w:val="007218E0"/>
    <w:rsid w:val="0072254E"/>
    <w:rsid w:val="00722AC1"/>
    <w:rsid w:val="00722D3E"/>
    <w:rsid w:val="00722EBD"/>
    <w:rsid w:val="0072391E"/>
    <w:rsid w:val="00724009"/>
    <w:rsid w:val="0072481A"/>
    <w:rsid w:val="00724DF2"/>
    <w:rsid w:val="00727FD9"/>
    <w:rsid w:val="007324E8"/>
    <w:rsid w:val="00732898"/>
    <w:rsid w:val="00734FAE"/>
    <w:rsid w:val="00734FBF"/>
    <w:rsid w:val="00735BF6"/>
    <w:rsid w:val="00736B40"/>
    <w:rsid w:val="007425E7"/>
    <w:rsid w:val="00742A96"/>
    <w:rsid w:val="00742F2C"/>
    <w:rsid w:val="00744036"/>
    <w:rsid w:val="00744FB7"/>
    <w:rsid w:val="007462B4"/>
    <w:rsid w:val="00747CE6"/>
    <w:rsid w:val="007510F4"/>
    <w:rsid w:val="00752E2F"/>
    <w:rsid w:val="0075346F"/>
    <w:rsid w:val="00756258"/>
    <w:rsid w:val="00760158"/>
    <w:rsid w:val="007602D3"/>
    <w:rsid w:val="00761824"/>
    <w:rsid w:val="007627BA"/>
    <w:rsid w:val="00763B1E"/>
    <w:rsid w:val="00763F0F"/>
    <w:rsid w:val="00764148"/>
    <w:rsid w:val="00764DC1"/>
    <w:rsid w:val="00765894"/>
    <w:rsid w:val="00765D93"/>
    <w:rsid w:val="00766C7C"/>
    <w:rsid w:val="007768A1"/>
    <w:rsid w:val="0078108A"/>
    <w:rsid w:val="007814C4"/>
    <w:rsid w:val="0078177A"/>
    <w:rsid w:val="00782F47"/>
    <w:rsid w:val="0078329E"/>
    <w:rsid w:val="00783A3A"/>
    <w:rsid w:val="00787D54"/>
    <w:rsid w:val="007914E0"/>
    <w:rsid w:val="00791B4D"/>
    <w:rsid w:val="00792597"/>
    <w:rsid w:val="00793462"/>
    <w:rsid w:val="007939DE"/>
    <w:rsid w:val="00793CAE"/>
    <w:rsid w:val="007944B9"/>
    <w:rsid w:val="00795041"/>
    <w:rsid w:val="0079712D"/>
    <w:rsid w:val="007A1E2E"/>
    <w:rsid w:val="007A2108"/>
    <w:rsid w:val="007A4F67"/>
    <w:rsid w:val="007A5A12"/>
    <w:rsid w:val="007A5E24"/>
    <w:rsid w:val="007A638B"/>
    <w:rsid w:val="007A642B"/>
    <w:rsid w:val="007B010D"/>
    <w:rsid w:val="007B096F"/>
    <w:rsid w:val="007B2D4D"/>
    <w:rsid w:val="007B3016"/>
    <w:rsid w:val="007B4216"/>
    <w:rsid w:val="007B6ABF"/>
    <w:rsid w:val="007C0490"/>
    <w:rsid w:val="007C14B0"/>
    <w:rsid w:val="007C1823"/>
    <w:rsid w:val="007C58DB"/>
    <w:rsid w:val="007C7EC6"/>
    <w:rsid w:val="007D01C9"/>
    <w:rsid w:val="007D020C"/>
    <w:rsid w:val="007D147D"/>
    <w:rsid w:val="007D14EF"/>
    <w:rsid w:val="007D1EF1"/>
    <w:rsid w:val="007D2C08"/>
    <w:rsid w:val="007D32A1"/>
    <w:rsid w:val="007E284F"/>
    <w:rsid w:val="007E2B79"/>
    <w:rsid w:val="007E4138"/>
    <w:rsid w:val="007E4884"/>
    <w:rsid w:val="007E4FD2"/>
    <w:rsid w:val="007E53AB"/>
    <w:rsid w:val="007E6C52"/>
    <w:rsid w:val="007E75EA"/>
    <w:rsid w:val="007F1395"/>
    <w:rsid w:val="007F1ECB"/>
    <w:rsid w:val="007F3463"/>
    <w:rsid w:val="007F38A1"/>
    <w:rsid w:val="007F5AF1"/>
    <w:rsid w:val="0080261D"/>
    <w:rsid w:val="00802EBA"/>
    <w:rsid w:val="0080553A"/>
    <w:rsid w:val="00806A57"/>
    <w:rsid w:val="00806BA9"/>
    <w:rsid w:val="00807D21"/>
    <w:rsid w:val="00813DEC"/>
    <w:rsid w:val="008147BF"/>
    <w:rsid w:val="00815634"/>
    <w:rsid w:val="008160EF"/>
    <w:rsid w:val="00816FF2"/>
    <w:rsid w:val="00817B77"/>
    <w:rsid w:val="00821659"/>
    <w:rsid w:val="0082235C"/>
    <w:rsid w:val="008252AF"/>
    <w:rsid w:val="0082686C"/>
    <w:rsid w:val="00827CD1"/>
    <w:rsid w:val="008321D6"/>
    <w:rsid w:val="00833685"/>
    <w:rsid w:val="008337C0"/>
    <w:rsid w:val="00833990"/>
    <w:rsid w:val="008353C8"/>
    <w:rsid w:val="008367BA"/>
    <w:rsid w:val="008448A5"/>
    <w:rsid w:val="00847AB1"/>
    <w:rsid w:val="00853FB4"/>
    <w:rsid w:val="00854DDC"/>
    <w:rsid w:val="00855137"/>
    <w:rsid w:val="00855900"/>
    <w:rsid w:val="00857B4E"/>
    <w:rsid w:val="008603DD"/>
    <w:rsid w:val="00860537"/>
    <w:rsid w:val="00861C7E"/>
    <w:rsid w:val="00866070"/>
    <w:rsid w:val="008662FE"/>
    <w:rsid w:val="008708B2"/>
    <w:rsid w:val="008750C0"/>
    <w:rsid w:val="0087539F"/>
    <w:rsid w:val="0087558C"/>
    <w:rsid w:val="00875D0D"/>
    <w:rsid w:val="00876091"/>
    <w:rsid w:val="00876B83"/>
    <w:rsid w:val="00881263"/>
    <w:rsid w:val="0088282A"/>
    <w:rsid w:val="00882A1A"/>
    <w:rsid w:val="00882A9E"/>
    <w:rsid w:val="00882E1D"/>
    <w:rsid w:val="00883859"/>
    <w:rsid w:val="00883B03"/>
    <w:rsid w:val="00883D06"/>
    <w:rsid w:val="00885E44"/>
    <w:rsid w:val="00886381"/>
    <w:rsid w:val="0088646A"/>
    <w:rsid w:val="008911DE"/>
    <w:rsid w:val="00892424"/>
    <w:rsid w:val="0089626F"/>
    <w:rsid w:val="008A2C47"/>
    <w:rsid w:val="008A3746"/>
    <w:rsid w:val="008A40C7"/>
    <w:rsid w:val="008A4A41"/>
    <w:rsid w:val="008A7945"/>
    <w:rsid w:val="008B0AB4"/>
    <w:rsid w:val="008B13AE"/>
    <w:rsid w:val="008B1EA9"/>
    <w:rsid w:val="008B2B40"/>
    <w:rsid w:val="008B2B71"/>
    <w:rsid w:val="008B3A0E"/>
    <w:rsid w:val="008B4283"/>
    <w:rsid w:val="008B4C91"/>
    <w:rsid w:val="008B5D28"/>
    <w:rsid w:val="008B635F"/>
    <w:rsid w:val="008B6EED"/>
    <w:rsid w:val="008B7F15"/>
    <w:rsid w:val="008C0533"/>
    <w:rsid w:val="008C06FA"/>
    <w:rsid w:val="008C22BF"/>
    <w:rsid w:val="008C23EC"/>
    <w:rsid w:val="008C30E8"/>
    <w:rsid w:val="008C6CEC"/>
    <w:rsid w:val="008C790F"/>
    <w:rsid w:val="008D02DA"/>
    <w:rsid w:val="008D2E6C"/>
    <w:rsid w:val="008D3234"/>
    <w:rsid w:val="008D3AF8"/>
    <w:rsid w:val="008D4AC7"/>
    <w:rsid w:val="008D56E3"/>
    <w:rsid w:val="008D79DA"/>
    <w:rsid w:val="008E2410"/>
    <w:rsid w:val="008E26FD"/>
    <w:rsid w:val="008E2C1F"/>
    <w:rsid w:val="008E35E6"/>
    <w:rsid w:val="008E51CA"/>
    <w:rsid w:val="008E58EE"/>
    <w:rsid w:val="008E596F"/>
    <w:rsid w:val="008E6B67"/>
    <w:rsid w:val="008E7C8E"/>
    <w:rsid w:val="008F1656"/>
    <w:rsid w:val="008F1833"/>
    <w:rsid w:val="008F1AF8"/>
    <w:rsid w:val="008F2723"/>
    <w:rsid w:val="008F2EA7"/>
    <w:rsid w:val="008F5EDE"/>
    <w:rsid w:val="008F5EE3"/>
    <w:rsid w:val="008F5F17"/>
    <w:rsid w:val="00900730"/>
    <w:rsid w:val="009034D8"/>
    <w:rsid w:val="00905177"/>
    <w:rsid w:val="009072EF"/>
    <w:rsid w:val="00910338"/>
    <w:rsid w:val="00910FA9"/>
    <w:rsid w:val="009110A3"/>
    <w:rsid w:val="00911D21"/>
    <w:rsid w:val="00915BA9"/>
    <w:rsid w:val="00916784"/>
    <w:rsid w:val="00920A11"/>
    <w:rsid w:val="00921614"/>
    <w:rsid w:val="009216DB"/>
    <w:rsid w:val="00921EF7"/>
    <w:rsid w:val="009222BF"/>
    <w:rsid w:val="00923873"/>
    <w:rsid w:val="00924715"/>
    <w:rsid w:val="00924B1D"/>
    <w:rsid w:val="00925841"/>
    <w:rsid w:val="009274FB"/>
    <w:rsid w:val="009276C7"/>
    <w:rsid w:val="009338EE"/>
    <w:rsid w:val="00933C0D"/>
    <w:rsid w:val="00934716"/>
    <w:rsid w:val="00936454"/>
    <w:rsid w:val="00937266"/>
    <w:rsid w:val="00937700"/>
    <w:rsid w:val="00937A89"/>
    <w:rsid w:val="00941490"/>
    <w:rsid w:val="009429F6"/>
    <w:rsid w:val="00944530"/>
    <w:rsid w:val="009508E0"/>
    <w:rsid w:val="00952A06"/>
    <w:rsid w:val="00953B4B"/>
    <w:rsid w:val="009540A2"/>
    <w:rsid w:val="0095698E"/>
    <w:rsid w:val="00957035"/>
    <w:rsid w:val="00963720"/>
    <w:rsid w:val="009640C4"/>
    <w:rsid w:val="009641B3"/>
    <w:rsid w:val="00964200"/>
    <w:rsid w:val="00964463"/>
    <w:rsid w:val="0096564A"/>
    <w:rsid w:val="00966502"/>
    <w:rsid w:val="0096658A"/>
    <w:rsid w:val="00966D1D"/>
    <w:rsid w:val="00970D40"/>
    <w:rsid w:val="00972FCC"/>
    <w:rsid w:val="009737B9"/>
    <w:rsid w:val="009740C5"/>
    <w:rsid w:val="00974E14"/>
    <w:rsid w:val="00974EDC"/>
    <w:rsid w:val="00975083"/>
    <w:rsid w:val="00975274"/>
    <w:rsid w:val="00975BEB"/>
    <w:rsid w:val="00977910"/>
    <w:rsid w:val="00981427"/>
    <w:rsid w:val="009822B6"/>
    <w:rsid w:val="009822C8"/>
    <w:rsid w:val="00982609"/>
    <w:rsid w:val="009842BB"/>
    <w:rsid w:val="00984F61"/>
    <w:rsid w:val="0099056F"/>
    <w:rsid w:val="00991A7E"/>
    <w:rsid w:val="00993C26"/>
    <w:rsid w:val="00994358"/>
    <w:rsid w:val="0099581C"/>
    <w:rsid w:val="00997D6A"/>
    <w:rsid w:val="009A1EA7"/>
    <w:rsid w:val="009A381B"/>
    <w:rsid w:val="009A46E2"/>
    <w:rsid w:val="009A4927"/>
    <w:rsid w:val="009A5CAA"/>
    <w:rsid w:val="009A7993"/>
    <w:rsid w:val="009B3206"/>
    <w:rsid w:val="009B479B"/>
    <w:rsid w:val="009B583F"/>
    <w:rsid w:val="009B60D4"/>
    <w:rsid w:val="009B631A"/>
    <w:rsid w:val="009B677D"/>
    <w:rsid w:val="009B7401"/>
    <w:rsid w:val="009B7951"/>
    <w:rsid w:val="009C0E92"/>
    <w:rsid w:val="009C173B"/>
    <w:rsid w:val="009C4EC4"/>
    <w:rsid w:val="009C5CC4"/>
    <w:rsid w:val="009C7B31"/>
    <w:rsid w:val="009D1605"/>
    <w:rsid w:val="009D63C1"/>
    <w:rsid w:val="009D7C49"/>
    <w:rsid w:val="009E04CA"/>
    <w:rsid w:val="009E53B3"/>
    <w:rsid w:val="009E6A42"/>
    <w:rsid w:val="009E73A0"/>
    <w:rsid w:val="009E7415"/>
    <w:rsid w:val="009F1AB6"/>
    <w:rsid w:val="009F34E7"/>
    <w:rsid w:val="009F3530"/>
    <w:rsid w:val="009F727F"/>
    <w:rsid w:val="00A00276"/>
    <w:rsid w:val="00A006DB"/>
    <w:rsid w:val="00A03C04"/>
    <w:rsid w:val="00A04C3E"/>
    <w:rsid w:val="00A04F3E"/>
    <w:rsid w:val="00A0682A"/>
    <w:rsid w:val="00A11989"/>
    <w:rsid w:val="00A123AA"/>
    <w:rsid w:val="00A1377E"/>
    <w:rsid w:val="00A1663C"/>
    <w:rsid w:val="00A205AA"/>
    <w:rsid w:val="00A20AF8"/>
    <w:rsid w:val="00A21608"/>
    <w:rsid w:val="00A21B31"/>
    <w:rsid w:val="00A23295"/>
    <w:rsid w:val="00A24842"/>
    <w:rsid w:val="00A269AD"/>
    <w:rsid w:val="00A275FD"/>
    <w:rsid w:val="00A31E14"/>
    <w:rsid w:val="00A320A7"/>
    <w:rsid w:val="00A3229E"/>
    <w:rsid w:val="00A33388"/>
    <w:rsid w:val="00A33909"/>
    <w:rsid w:val="00A3465A"/>
    <w:rsid w:val="00A35A1C"/>
    <w:rsid w:val="00A37876"/>
    <w:rsid w:val="00A40512"/>
    <w:rsid w:val="00A405C7"/>
    <w:rsid w:val="00A40753"/>
    <w:rsid w:val="00A40774"/>
    <w:rsid w:val="00A43874"/>
    <w:rsid w:val="00A43A4E"/>
    <w:rsid w:val="00A43C2C"/>
    <w:rsid w:val="00A43C5D"/>
    <w:rsid w:val="00A45541"/>
    <w:rsid w:val="00A53137"/>
    <w:rsid w:val="00A6187B"/>
    <w:rsid w:val="00A618CA"/>
    <w:rsid w:val="00A618FC"/>
    <w:rsid w:val="00A619AD"/>
    <w:rsid w:val="00A6249F"/>
    <w:rsid w:val="00A62DAB"/>
    <w:rsid w:val="00A62EAC"/>
    <w:rsid w:val="00A62FC0"/>
    <w:rsid w:val="00A630C6"/>
    <w:rsid w:val="00A663AD"/>
    <w:rsid w:val="00A66DE4"/>
    <w:rsid w:val="00A6733A"/>
    <w:rsid w:val="00A67513"/>
    <w:rsid w:val="00A6758C"/>
    <w:rsid w:val="00A676D5"/>
    <w:rsid w:val="00A67B66"/>
    <w:rsid w:val="00A705F8"/>
    <w:rsid w:val="00A70AD4"/>
    <w:rsid w:val="00A71796"/>
    <w:rsid w:val="00A779B5"/>
    <w:rsid w:val="00A77D23"/>
    <w:rsid w:val="00A80603"/>
    <w:rsid w:val="00A80912"/>
    <w:rsid w:val="00A81D49"/>
    <w:rsid w:val="00A83513"/>
    <w:rsid w:val="00A8390E"/>
    <w:rsid w:val="00A83C78"/>
    <w:rsid w:val="00A879AD"/>
    <w:rsid w:val="00A90797"/>
    <w:rsid w:val="00A91E98"/>
    <w:rsid w:val="00A92334"/>
    <w:rsid w:val="00A925C9"/>
    <w:rsid w:val="00A9352F"/>
    <w:rsid w:val="00A93F45"/>
    <w:rsid w:val="00A958E6"/>
    <w:rsid w:val="00A9674E"/>
    <w:rsid w:val="00AA162A"/>
    <w:rsid w:val="00AA23AA"/>
    <w:rsid w:val="00AA7DF1"/>
    <w:rsid w:val="00AB04F2"/>
    <w:rsid w:val="00AB0811"/>
    <w:rsid w:val="00AB0C9C"/>
    <w:rsid w:val="00AB0F1A"/>
    <w:rsid w:val="00AB193B"/>
    <w:rsid w:val="00AB1A5A"/>
    <w:rsid w:val="00AB4A37"/>
    <w:rsid w:val="00AB4F17"/>
    <w:rsid w:val="00AB5232"/>
    <w:rsid w:val="00AB64AC"/>
    <w:rsid w:val="00AB6944"/>
    <w:rsid w:val="00AB6ED4"/>
    <w:rsid w:val="00AC28A4"/>
    <w:rsid w:val="00AC3797"/>
    <w:rsid w:val="00AC72EF"/>
    <w:rsid w:val="00AC75C1"/>
    <w:rsid w:val="00AD2910"/>
    <w:rsid w:val="00AD4BB0"/>
    <w:rsid w:val="00AD5B30"/>
    <w:rsid w:val="00AD5BA6"/>
    <w:rsid w:val="00AD6D71"/>
    <w:rsid w:val="00AD71B5"/>
    <w:rsid w:val="00AE150C"/>
    <w:rsid w:val="00AE3B79"/>
    <w:rsid w:val="00AE6610"/>
    <w:rsid w:val="00AE6E46"/>
    <w:rsid w:val="00AE71CC"/>
    <w:rsid w:val="00AE761C"/>
    <w:rsid w:val="00AF120C"/>
    <w:rsid w:val="00AF233E"/>
    <w:rsid w:val="00AF2AF0"/>
    <w:rsid w:val="00AF44C7"/>
    <w:rsid w:val="00AF6B8B"/>
    <w:rsid w:val="00AF73C1"/>
    <w:rsid w:val="00B010E4"/>
    <w:rsid w:val="00B01562"/>
    <w:rsid w:val="00B016E3"/>
    <w:rsid w:val="00B051F9"/>
    <w:rsid w:val="00B11099"/>
    <w:rsid w:val="00B12935"/>
    <w:rsid w:val="00B16690"/>
    <w:rsid w:val="00B17A6A"/>
    <w:rsid w:val="00B17C46"/>
    <w:rsid w:val="00B204ED"/>
    <w:rsid w:val="00B225C2"/>
    <w:rsid w:val="00B22C2A"/>
    <w:rsid w:val="00B237CF"/>
    <w:rsid w:val="00B25850"/>
    <w:rsid w:val="00B3013E"/>
    <w:rsid w:val="00B30CB3"/>
    <w:rsid w:val="00B3148B"/>
    <w:rsid w:val="00B315DA"/>
    <w:rsid w:val="00B344B7"/>
    <w:rsid w:val="00B356BA"/>
    <w:rsid w:val="00B428E9"/>
    <w:rsid w:val="00B42D2F"/>
    <w:rsid w:val="00B4342E"/>
    <w:rsid w:val="00B43F8A"/>
    <w:rsid w:val="00B442EC"/>
    <w:rsid w:val="00B45059"/>
    <w:rsid w:val="00B45895"/>
    <w:rsid w:val="00B45D71"/>
    <w:rsid w:val="00B47EAA"/>
    <w:rsid w:val="00B51A36"/>
    <w:rsid w:val="00B52F1F"/>
    <w:rsid w:val="00B532D1"/>
    <w:rsid w:val="00B54FC7"/>
    <w:rsid w:val="00B5666B"/>
    <w:rsid w:val="00B56EB3"/>
    <w:rsid w:val="00B60643"/>
    <w:rsid w:val="00B625CD"/>
    <w:rsid w:val="00B665AD"/>
    <w:rsid w:val="00B66A0E"/>
    <w:rsid w:val="00B6781A"/>
    <w:rsid w:val="00B67CFD"/>
    <w:rsid w:val="00B67D9D"/>
    <w:rsid w:val="00B70BC4"/>
    <w:rsid w:val="00B71CC3"/>
    <w:rsid w:val="00B71D64"/>
    <w:rsid w:val="00B72A7B"/>
    <w:rsid w:val="00B735FA"/>
    <w:rsid w:val="00B73961"/>
    <w:rsid w:val="00B74F0E"/>
    <w:rsid w:val="00B75545"/>
    <w:rsid w:val="00B760A1"/>
    <w:rsid w:val="00B77EFA"/>
    <w:rsid w:val="00B8054D"/>
    <w:rsid w:val="00B8125A"/>
    <w:rsid w:val="00B81B17"/>
    <w:rsid w:val="00B838FE"/>
    <w:rsid w:val="00B84354"/>
    <w:rsid w:val="00B856BB"/>
    <w:rsid w:val="00B8792D"/>
    <w:rsid w:val="00B9057B"/>
    <w:rsid w:val="00B917F0"/>
    <w:rsid w:val="00B9460A"/>
    <w:rsid w:val="00BA037C"/>
    <w:rsid w:val="00BA0496"/>
    <w:rsid w:val="00BA074E"/>
    <w:rsid w:val="00BA17FD"/>
    <w:rsid w:val="00BA5CA6"/>
    <w:rsid w:val="00BA6FFA"/>
    <w:rsid w:val="00BA75F2"/>
    <w:rsid w:val="00BB2090"/>
    <w:rsid w:val="00BB2F2F"/>
    <w:rsid w:val="00BB33B5"/>
    <w:rsid w:val="00BB352A"/>
    <w:rsid w:val="00BB3C3E"/>
    <w:rsid w:val="00BB41F1"/>
    <w:rsid w:val="00BB66C2"/>
    <w:rsid w:val="00BC0B44"/>
    <w:rsid w:val="00BC211C"/>
    <w:rsid w:val="00BC5994"/>
    <w:rsid w:val="00BD02A0"/>
    <w:rsid w:val="00BD0CC8"/>
    <w:rsid w:val="00BD10F9"/>
    <w:rsid w:val="00BD12D4"/>
    <w:rsid w:val="00BD1C08"/>
    <w:rsid w:val="00BD1F1C"/>
    <w:rsid w:val="00BD310C"/>
    <w:rsid w:val="00BD593C"/>
    <w:rsid w:val="00BD5B99"/>
    <w:rsid w:val="00BE37C4"/>
    <w:rsid w:val="00BE3C14"/>
    <w:rsid w:val="00BE5338"/>
    <w:rsid w:val="00BE5756"/>
    <w:rsid w:val="00BE664E"/>
    <w:rsid w:val="00BE747B"/>
    <w:rsid w:val="00BF144E"/>
    <w:rsid w:val="00BF2AD2"/>
    <w:rsid w:val="00BF5F12"/>
    <w:rsid w:val="00BF696C"/>
    <w:rsid w:val="00BF6C16"/>
    <w:rsid w:val="00BF7C88"/>
    <w:rsid w:val="00C00C31"/>
    <w:rsid w:val="00C00ED9"/>
    <w:rsid w:val="00C01A06"/>
    <w:rsid w:val="00C01B4B"/>
    <w:rsid w:val="00C01C87"/>
    <w:rsid w:val="00C022AA"/>
    <w:rsid w:val="00C02CB5"/>
    <w:rsid w:val="00C036E6"/>
    <w:rsid w:val="00C053A7"/>
    <w:rsid w:val="00C07637"/>
    <w:rsid w:val="00C07807"/>
    <w:rsid w:val="00C07ED0"/>
    <w:rsid w:val="00C100A6"/>
    <w:rsid w:val="00C132BE"/>
    <w:rsid w:val="00C142C9"/>
    <w:rsid w:val="00C168CE"/>
    <w:rsid w:val="00C1716D"/>
    <w:rsid w:val="00C20386"/>
    <w:rsid w:val="00C20549"/>
    <w:rsid w:val="00C220A2"/>
    <w:rsid w:val="00C222CA"/>
    <w:rsid w:val="00C232E4"/>
    <w:rsid w:val="00C27C9F"/>
    <w:rsid w:val="00C31C3A"/>
    <w:rsid w:val="00C3301E"/>
    <w:rsid w:val="00C337A6"/>
    <w:rsid w:val="00C34672"/>
    <w:rsid w:val="00C34FE1"/>
    <w:rsid w:val="00C358A4"/>
    <w:rsid w:val="00C37369"/>
    <w:rsid w:val="00C4068A"/>
    <w:rsid w:val="00C41E3E"/>
    <w:rsid w:val="00C435BB"/>
    <w:rsid w:val="00C43F43"/>
    <w:rsid w:val="00C44B31"/>
    <w:rsid w:val="00C453F5"/>
    <w:rsid w:val="00C454AB"/>
    <w:rsid w:val="00C458D5"/>
    <w:rsid w:val="00C46931"/>
    <w:rsid w:val="00C4696F"/>
    <w:rsid w:val="00C46AFD"/>
    <w:rsid w:val="00C47FE4"/>
    <w:rsid w:val="00C52E32"/>
    <w:rsid w:val="00C54281"/>
    <w:rsid w:val="00C545B5"/>
    <w:rsid w:val="00C55DDF"/>
    <w:rsid w:val="00C57BFB"/>
    <w:rsid w:val="00C620E6"/>
    <w:rsid w:val="00C624A8"/>
    <w:rsid w:val="00C63F15"/>
    <w:rsid w:val="00C666E6"/>
    <w:rsid w:val="00C70962"/>
    <w:rsid w:val="00C723FE"/>
    <w:rsid w:val="00C7249E"/>
    <w:rsid w:val="00C753BC"/>
    <w:rsid w:val="00C7556F"/>
    <w:rsid w:val="00C756DF"/>
    <w:rsid w:val="00C7583D"/>
    <w:rsid w:val="00C80041"/>
    <w:rsid w:val="00C83549"/>
    <w:rsid w:val="00C836AE"/>
    <w:rsid w:val="00C83CB9"/>
    <w:rsid w:val="00C83CD7"/>
    <w:rsid w:val="00C84C54"/>
    <w:rsid w:val="00C86A3E"/>
    <w:rsid w:val="00C91435"/>
    <w:rsid w:val="00C92A44"/>
    <w:rsid w:val="00C936A3"/>
    <w:rsid w:val="00C9400D"/>
    <w:rsid w:val="00C9443B"/>
    <w:rsid w:val="00C94CCC"/>
    <w:rsid w:val="00CA093F"/>
    <w:rsid w:val="00CA0E70"/>
    <w:rsid w:val="00CA21E7"/>
    <w:rsid w:val="00CA2531"/>
    <w:rsid w:val="00CA46F8"/>
    <w:rsid w:val="00CA55BF"/>
    <w:rsid w:val="00CB29AD"/>
    <w:rsid w:val="00CB4893"/>
    <w:rsid w:val="00CB5600"/>
    <w:rsid w:val="00CB5B4D"/>
    <w:rsid w:val="00CB65B7"/>
    <w:rsid w:val="00CB6BAA"/>
    <w:rsid w:val="00CB6D49"/>
    <w:rsid w:val="00CB6D7C"/>
    <w:rsid w:val="00CB79DD"/>
    <w:rsid w:val="00CC0CC1"/>
    <w:rsid w:val="00CC17B7"/>
    <w:rsid w:val="00CC1881"/>
    <w:rsid w:val="00CC302C"/>
    <w:rsid w:val="00CC3156"/>
    <w:rsid w:val="00CC4646"/>
    <w:rsid w:val="00CC621A"/>
    <w:rsid w:val="00CC6D5A"/>
    <w:rsid w:val="00CD0ED5"/>
    <w:rsid w:val="00CD2E76"/>
    <w:rsid w:val="00CD3846"/>
    <w:rsid w:val="00CD3B07"/>
    <w:rsid w:val="00CD4DFB"/>
    <w:rsid w:val="00CD506C"/>
    <w:rsid w:val="00CD6ACD"/>
    <w:rsid w:val="00CE2497"/>
    <w:rsid w:val="00CE27E0"/>
    <w:rsid w:val="00CE3530"/>
    <w:rsid w:val="00CE56EE"/>
    <w:rsid w:val="00CF1154"/>
    <w:rsid w:val="00CF1366"/>
    <w:rsid w:val="00CF7059"/>
    <w:rsid w:val="00CF752E"/>
    <w:rsid w:val="00D032FD"/>
    <w:rsid w:val="00D04D1F"/>
    <w:rsid w:val="00D05DAE"/>
    <w:rsid w:val="00D07BA8"/>
    <w:rsid w:val="00D10587"/>
    <w:rsid w:val="00D112A8"/>
    <w:rsid w:val="00D12EDA"/>
    <w:rsid w:val="00D14D0C"/>
    <w:rsid w:val="00D15FDA"/>
    <w:rsid w:val="00D1651B"/>
    <w:rsid w:val="00D167AD"/>
    <w:rsid w:val="00D16A7A"/>
    <w:rsid w:val="00D173CB"/>
    <w:rsid w:val="00D21460"/>
    <w:rsid w:val="00D2214C"/>
    <w:rsid w:val="00D22A91"/>
    <w:rsid w:val="00D23D00"/>
    <w:rsid w:val="00D2533D"/>
    <w:rsid w:val="00D26C44"/>
    <w:rsid w:val="00D30057"/>
    <w:rsid w:val="00D30663"/>
    <w:rsid w:val="00D30AD4"/>
    <w:rsid w:val="00D31280"/>
    <w:rsid w:val="00D315E6"/>
    <w:rsid w:val="00D327BA"/>
    <w:rsid w:val="00D35BF7"/>
    <w:rsid w:val="00D37127"/>
    <w:rsid w:val="00D377B2"/>
    <w:rsid w:val="00D41057"/>
    <w:rsid w:val="00D41075"/>
    <w:rsid w:val="00D41185"/>
    <w:rsid w:val="00D41EB1"/>
    <w:rsid w:val="00D42331"/>
    <w:rsid w:val="00D42AE3"/>
    <w:rsid w:val="00D42E08"/>
    <w:rsid w:val="00D43783"/>
    <w:rsid w:val="00D4622E"/>
    <w:rsid w:val="00D46588"/>
    <w:rsid w:val="00D4767A"/>
    <w:rsid w:val="00D53F4E"/>
    <w:rsid w:val="00D574BD"/>
    <w:rsid w:val="00D5751D"/>
    <w:rsid w:val="00D5758B"/>
    <w:rsid w:val="00D618D5"/>
    <w:rsid w:val="00D61A61"/>
    <w:rsid w:val="00D64208"/>
    <w:rsid w:val="00D650E1"/>
    <w:rsid w:val="00D66745"/>
    <w:rsid w:val="00D668C8"/>
    <w:rsid w:val="00D677AD"/>
    <w:rsid w:val="00D67BCB"/>
    <w:rsid w:val="00D70286"/>
    <w:rsid w:val="00D71711"/>
    <w:rsid w:val="00D71AB9"/>
    <w:rsid w:val="00D71D3A"/>
    <w:rsid w:val="00D73605"/>
    <w:rsid w:val="00D73D52"/>
    <w:rsid w:val="00D75AFC"/>
    <w:rsid w:val="00D77C06"/>
    <w:rsid w:val="00D8126E"/>
    <w:rsid w:val="00D831EB"/>
    <w:rsid w:val="00D84D71"/>
    <w:rsid w:val="00D90CBB"/>
    <w:rsid w:val="00D91C75"/>
    <w:rsid w:val="00D92F1D"/>
    <w:rsid w:val="00D94258"/>
    <w:rsid w:val="00D94558"/>
    <w:rsid w:val="00D9508A"/>
    <w:rsid w:val="00D95400"/>
    <w:rsid w:val="00D96498"/>
    <w:rsid w:val="00D96D65"/>
    <w:rsid w:val="00DA0DA8"/>
    <w:rsid w:val="00DA36D8"/>
    <w:rsid w:val="00DA69DC"/>
    <w:rsid w:val="00DB1710"/>
    <w:rsid w:val="00DB2930"/>
    <w:rsid w:val="00DB2D01"/>
    <w:rsid w:val="00DB46B6"/>
    <w:rsid w:val="00DB5EDD"/>
    <w:rsid w:val="00DB639E"/>
    <w:rsid w:val="00DB6ECA"/>
    <w:rsid w:val="00DC08EB"/>
    <w:rsid w:val="00DC0CB1"/>
    <w:rsid w:val="00DC24DA"/>
    <w:rsid w:val="00DC3373"/>
    <w:rsid w:val="00DC4EE5"/>
    <w:rsid w:val="00DD1124"/>
    <w:rsid w:val="00DD1220"/>
    <w:rsid w:val="00DD12B5"/>
    <w:rsid w:val="00DD140F"/>
    <w:rsid w:val="00DD14D9"/>
    <w:rsid w:val="00DD2B5E"/>
    <w:rsid w:val="00DD5A41"/>
    <w:rsid w:val="00DD6393"/>
    <w:rsid w:val="00DD6426"/>
    <w:rsid w:val="00DE06ED"/>
    <w:rsid w:val="00DE0AC6"/>
    <w:rsid w:val="00DE118E"/>
    <w:rsid w:val="00DE5620"/>
    <w:rsid w:val="00DF2564"/>
    <w:rsid w:val="00DF65C4"/>
    <w:rsid w:val="00DF7F1F"/>
    <w:rsid w:val="00E01262"/>
    <w:rsid w:val="00E01DA8"/>
    <w:rsid w:val="00E024FD"/>
    <w:rsid w:val="00E02A08"/>
    <w:rsid w:val="00E12469"/>
    <w:rsid w:val="00E1298C"/>
    <w:rsid w:val="00E12F9B"/>
    <w:rsid w:val="00E1387E"/>
    <w:rsid w:val="00E14808"/>
    <w:rsid w:val="00E14835"/>
    <w:rsid w:val="00E14D49"/>
    <w:rsid w:val="00E155B0"/>
    <w:rsid w:val="00E1565E"/>
    <w:rsid w:val="00E16503"/>
    <w:rsid w:val="00E17317"/>
    <w:rsid w:val="00E174B5"/>
    <w:rsid w:val="00E17D6B"/>
    <w:rsid w:val="00E20F3F"/>
    <w:rsid w:val="00E21A56"/>
    <w:rsid w:val="00E21AEF"/>
    <w:rsid w:val="00E23419"/>
    <w:rsid w:val="00E23D52"/>
    <w:rsid w:val="00E23DDD"/>
    <w:rsid w:val="00E242C9"/>
    <w:rsid w:val="00E24BC5"/>
    <w:rsid w:val="00E25E1A"/>
    <w:rsid w:val="00E26C19"/>
    <w:rsid w:val="00E275EC"/>
    <w:rsid w:val="00E27C49"/>
    <w:rsid w:val="00E30123"/>
    <w:rsid w:val="00E31D87"/>
    <w:rsid w:val="00E330B1"/>
    <w:rsid w:val="00E33D52"/>
    <w:rsid w:val="00E35E21"/>
    <w:rsid w:val="00E3648B"/>
    <w:rsid w:val="00E37AF6"/>
    <w:rsid w:val="00E4106F"/>
    <w:rsid w:val="00E416D4"/>
    <w:rsid w:val="00E43028"/>
    <w:rsid w:val="00E44980"/>
    <w:rsid w:val="00E4509A"/>
    <w:rsid w:val="00E4577B"/>
    <w:rsid w:val="00E46711"/>
    <w:rsid w:val="00E46A1B"/>
    <w:rsid w:val="00E5226C"/>
    <w:rsid w:val="00E525E2"/>
    <w:rsid w:val="00E53EE1"/>
    <w:rsid w:val="00E54293"/>
    <w:rsid w:val="00E55169"/>
    <w:rsid w:val="00E555DE"/>
    <w:rsid w:val="00E55752"/>
    <w:rsid w:val="00E5589E"/>
    <w:rsid w:val="00E56472"/>
    <w:rsid w:val="00E60E93"/>
    <w:rsid w:val="00E61949"/>
    <w:rsid w:val="00E62117"/>
    <w:rsid w:val="00E65539"/>
    <w:rsid w:val="00E65CD2"/>
    <w:rsid w:val="00E65DD8"/>
    <w:rsid w:val="00E675FA"/>
    <w:rsid w:val="00E6788C"/>
    <w:rsid w:val="00E67B10"/>
    <w:rsid w:val="00E70341"/>
    <w:rsid w:val="00E72B4F"/>
    <w:rsid w:val="00E74139"/>
    <w:rsid w:val="00E75174"/>
    <w:rsid w:val="00E75DAD"/>
    <w:rsid w:val="00E76A52"/>
    <w:rsid w:val="00E77D51"/>
    <w:rsid w:val="00E80106"/>
    <w:rsid w:val="00E8120F"/>
    <w:rsid w:val="00E82244"/>
    <w:rsid w:val="00E826DD"/>
    <w:rsid w:val="00E82E3D"/>
    <w:rsid w:val="00E84B36"/>
    <w:rsid w:val="00E84C5D"/>
    <w:rsid w:val="00E851D8"/>
    <w:rsid w:val="00E861B5"/>
    <w:rsid w:val="00E90403"/>
    <w:rsid w:val="00E921C3"/>
    <w:rsid w:val="00E96226"/>
    <w:rsid w:val="00E96356"/>
    <w:rsid w:val="00E9715E"/>
    <w:rsid w:val="00E976D7"/>
    <w:rsid w:val="00EA3AC8"/>
    <w:rsid w:val="00EA3F3D"/>
    <w:rsid w:val="00EA6A24"/>
    <w:rsid w:val="00EA6FE1"/>
    <w:rsid w:val="00EB01A0"/>
    <w:rsid w:val="00EB2771"/>
    <w:rsid w:val="00EB3716"/>
    <w:rsid w:val="00EB4EA1"/>
    <w:rsid w:val="00EB6A78"/>
    <w:rsid w:val="00EB7EF9"/>
    <w:rsid w:val="00EC0C4E"/>
    <w:rsid w:val="00EC0F44"/>
    <w:rsid w:val="00EC1ECC"/>
    <w:rsid w:val="00EC2229"/>
    <w:rsid w:val="00EC39E0"/>
    <w:rsid w:val="00EC7AFC"/>
    <w:rsid w:val="00ED175E"/>
    <w:rsid w:val="00ED3010"/>
    <w:rsid w:val="00ED3068"/>
    <w:rsid w:val="00ED45E7"/>
    <w:rsid w:val="00ED7B03"/>
    <w:rsid w:val="00EE2956"/>
    <w:rsid w:val="00EE65FD"/>
    <w:rsid w:val="00EF0569"/>
    <w:rsid w:val="00EF058C"/>
    <w:rsid w:val="00EF1324"/>
    <w:rsid w:val="00EF1E32"/>
    <w:rsid w:val="00EF3198"/>
    <w:rsid w:val="00EF416A"/>
    <w:rsid w:val="00EF6006"/>
    <w:rsid w:val="00EF7075"/>
    <w:rsid w:val="00EF70C3"/>
    <w:rsid w:val="00F00306"/>
    <w:rsid w:val="00F00F3D"/>
    <w:rsid w:val="00F01F54"/>
    <w:rsid w:val="00F07B24"/>
    <w:rsid w:val="00F10055"/>
    <w:rsid w:val="00F10B2B"/>
    <w:rsid w:val="00F11865"/>
    <w:rsid w:val="00F11C62"/>
    <w:rsid w:val="00F11E43"/>
    <w:rsid w:val="00F12E28"/>
    <w:rsid w:val="00F12F60"/>
    <w:rsid w:val="00F159A5"/>
    <w:rsid w:val="00F17E99"/>
    <w:rsid w:val="00F21BA2"/>
    <w:rsid w:val="00F23C04"/>
    <w:rsid w:val="00F23E2E"/>
    <w:rsid w:val="00F24392"/>
    <w:rsid w:val="00F25B67"/>
    <w:rsid w:val="00F31E4C"/>
    <w:rsid w:val="00F326BD"/>
    <w:rsid w:val="00F339EA"/>
    <w:rsid w:val="00F347D9"/>
    <w:rsid w:val="00F34D87"/>
    <w:rsid w:val="00F3564F"/>
    <w:rsid w:val="00F35969"/>
    <w:rsid w:val="00F40A98"/>
    <w:rsid w:val="00F42DAB"/>
    <w:rsid w:val="00F43417"/>
    <w:rsid w:val="00F434CB"/>
    <w:rsid w:val="00F43817"/>
    <w:rsid w:val="00F4495B"/>
    <w:rsid w:val="00F456E4"/>
    <w:rsid w:val="00F45CF7"/>
    <w:rsid w:val="00F51D0B"/>
    <w:rsid w:val="00F53E43"/>
    <w:rsid w:val="00F545C4"/>
    <w:rsid w:val="00F576D0"/>
    <w:rsid w:val="00F60D9E"/>
    <w:rsid w:val="00F6106A"/>
    <w:rsid w:val="00F65BB0"/>
    <w:rsid w:val="00F6796E"/>
    <w:rsid w:val="00F70DE4"/>
    <w:rsid w:val="00F70EFE"/>
    <w:rsid w:val="00F73736"/>
    <w:rsid w:val="00F7427E"/>
    <w:rsid w:val="00F77721"/>
    <w:rsid w:val="00F777E4"/>
    <w:rsid w:val="00F80B46"/>
    <w:rsid w:val="00F80D15"/>
    <w:rsid w:val="00F80F65"/>
    <w:rsid w:val="00F82102"/>
    <w:rsid w:val="00F84E0B"/>
    <w:rsid w:val="00F8577C"/>
    <w:rsid w:val="00F90D10"/>
    <w:rsid w:val="00F90D67"/>
    <w:rsid w:val="00F91C68"/>
    <w:rsid w:val="00F93613"/>
    <w:rsid w:val="00F93902"/>
    <w:rsid w:val="00F9698B"/>
    <w:rsid w:val="00F96E5D"/>
    <w:rsid w:val="00FA16EF"/>
    <w:rsid w:val="00FA2AB1"/>
    <w:rsid w:val="00FA2F2B"/>
    <w:rsid w:val="00FA3CC4"/>
    <w:rsid w:val="00FA7D26"/>
    <w:rsid w:val="00FB0102"/>
    <w:rsid w:val="00FB0676"/>
    <w:rsid w:val="00FB0CB9"/>
    <w:rsid w:val="00FB1060"/>
    <w:rsid w:val="00FB184A"/>
    <w:rsid w:val="00FB39B7"/>
    <w:rsid w:val="00FB47D3"/>
    <w:rsid w:val="00FB69DC"/>
    <w:rsid w:val="00FC0E43"/>
    <w:rsid w:val="00FC2D69"/>
    <w:rsid w:val="00FC32D1"/>
    <w:rsid w:val="00FC5067"/>
    <w:rsid w:val="00FC508D"/>
    <w:rsid w:val="00FC553F"/>
    <w:rsid w:val="00FC5915"/>
    <w:rsid w:val="00FC6F5F"/>
    <w:rsid w:val="00FD0260"/>
    <w:rsid w:val="00FD086E"/>
    <w:rsid w:val="00FD2512"/>
    <w:rsid w:val="00FD3725"/>
    <w:rsid w:val="00FD3BE6"/>
    <w:rsid w:val="00FD67F1"/>
    <w:rsid w:val="00FE13FB"/>
    <w:rsid w:val="00FE4D85"/>
    <w:rsid w:val="00FE4FF2"/>
    <w:rsid w:val="00FE51ED"/>
    <w:rsid w:val="00FE53D4"/>
    <w:rsid w:val="00FE765F"/>
    <w:rsid w:val="00FF00E2"/>
    <w:rsid w:val="00FF0520"/>
    <w:rsid w:val="00FF0626"/>
    <w:rsid w:val="00FF75B3"/>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7DB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style>
  <w:style w:type="paragraph" w:styleId="Heading1">
    <w:name w:val="heading 1"/>
    <w:basedOn w:val="Normal"/>
    <w:next w:val="Normal"/>
    <w:link w:val="Heading1Char"/>
    <w:qFormat/>
    <w:rsid w:val="009A5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A5C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A5C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qFormat/>
    <w:rsid w:val="006F0D9F"/>
  </w:style>
  <w:style w:type="character" w:styleId="FootnoteReference">
    <w:name w:val="footnote reference"/>
    <w:aliases w:val="Style 12,(NECG) Footnote Reference,o,fr,Style 3,Appel note de bas de p,Style 124,Style 13,Style 17,FR,Style 4,Footnote Reference/,Style 6"/>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paragraph" w:styleId="EndnoteText">
    <w:name w:val="endnote text"/>
    <w:basedOn w:val="Normal"/>
    <w:link w:val="EndnoteTextChar"/>
    <w:semiHidden/>
    <w:unhideWhenUsed/>
    <w:rsid w:val="003E2A1E"/>
  </w:style>
  <w:style w:type="character" w:customStyle="1" w:styleId="EndnoteTextChar">
    <w:name w:val="Endnote Text Char"/>
    <w:basedOn w:val="DefaultParagraphFont"/>
    <w:link w:val="EndnoteText"/>
    <w:semiHidden/>
    <w:rsid w:val="003E2A1E"/>
  </w:style>
  <w:style w:type="character" w:styleId="EndnoteReference">
    <w:name w:val="endnote reference"/>
    <w:basedOn w:val="DefaultParagraphFont"/>
    <w:semiHidden/>
    <w:unhideWhenUsed/>
    <w:rsid w:val="003E2A1E"/>
    <w:rPr>
      <w:vertAlign w:val="superscript"/>
    </w:rPr>
  </w:style>
  <w:style w:type="character" w:customStyle="1" w:styleId="Heading1Char">
    <w:name w:val="Heading 1 Char"/>
    <w:basedOn w:val="DefaultParagraphFont"/>
    <w:link w:val="Heading1"/>
    <w:rsid w:val="009A5C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A5C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A5CAA"/>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A31E14"/>
    <w:rPr>
      <w:i/>
      <w:iCs/>
    </w:rPr>
  </w:style>
  <w:style w:type="character" w:customStyle="1" w:styleId="displayhltext">
    <w:name w:val="display_hl_text"/>
    <w:basedOn w:val="DefaultParagraphFont"/>
    <w:rsid w:val="00C46AFD"/>
  </w:style>
  <w:style w:type="character" w:customStyle="1" w:styleId="emphi">
    <w:name w:val="emphi"/>
    <w:basedOn w:val="DefaultParagraphFont"/>
    <w:rsid w:val="00230021"/>
  </w:style>
  <w:style w:type="character" w:styleId="FollowedHyperlink">
    <w:name w:val="FollowedHyperlink"/>
    <w:basedOn w:val="DefaultParagraphFont"/>
    <w:semiHidden/>
    <w:unhideWhenUsed/>
    <w:rsid w:val="00215256"/>
    <w:rPr>
      <w:color w:val="800080" w:themeColor="followedHyperlink"/>
      <w:u w:val="single"/>
    </w:rPr>
  </w:style>
  <w:style w:type="character" w:customStyle="1" w:styleId="displayhltextactive">
    <w:name w:val="display_hl_text_active"/>
    <w:rsid w:val="003D574F"/>
  </w:style>
  <w:style w:type="character" w:customStyle="1" w:styleId="costarpage">
    <w:name w:val="co_starpage"/>
    <w:basedOn w:val="DefaultParagraphFont"/>
    <w:rsid w:val="00E74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style>
  <w:style w:type="paragraph" w:styleId="Heading1">
    <w:name w:val="heading 1"/>
    <w:basedOn w:val="Normal"/>
    <w:next w:val="Normal"/>
    <w:link w:val="Heading1Char"/>
    <w:qFormat/>
    <w:rsid w:val="009A5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A5C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A5C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qFormat/>
    <w:rsid w:val="006F0D9F"/>
  </w:style>
  <w:style w:type="character" w:styleId="FootnoteReference">
    <w:name w:val="footnote reference"/>
    <w:aliases w:val="Style 12,(NECG) Footnote Reference,o,fr,Style 3,Appel note de bas de p,Style 124,Style 13,Style 17,FR,Style 4,Footnote Reference/,Style 6"/>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paragraph" w:styleId="EndnoteText">
    <w:name w:val="endnote text"/>
    <w:basedOn w:val="Normal"/>
    <w:link w:val="EndnoteTextChar"/>
    <w:semiHidden/>
    <w:unhideWhenUsed/>
    <w:rsid w:val="003E2A1E"/>
  </w:style>
  <w:style w:type="character" w:customStyle="1" w:styleId="EndnoteTextChar">
    <w:name w:val="Endnote Text Char"/>
    <w:basedOn w:val="DefaultParagraphFont"/>
    <w:link w:val="EndnoteText"/>
    <w:semiHidden/>
    <w:rsid w:val="003E2A1E"/>
  </w:style>
  <w:style w:type="character" w:styleId="EndnoteReference">
    <w:name w:val="endnote reference"/>
    <w:basedOn w:val="DefaultParagraphFont"/>
    <w:semiHidden/>
    <w:unhideWhenUsed/>
    <w:rsid w:val="003E2A1E"/>
    <w:rPr>
      <w:vertAlign w:val="superscript"/>
    </w:rPr>
  </w:style>
  <w:style w:type="character" w:customStyle="1" w:styleId="Heading1Char">
    <w:name w:val="Heading 1 Char"/>
    <w:basedOn w:val="DefaultParagraphFont"/>
    <w:link w:val="Heading1"/>
    <w:rsid w:val="009A5C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A5C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A5CAA"/>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A31E14"/>
    <w:rPr>
      <w:i/>
      <w:iCs/>
    </w:rPr>
  </w:style>
  <w:style w:type="character" w:customStyle="1" w:styleId="displayhltext">
    <w:name w:val="display_hl_text"/>
    <w:basedOn w:val="DefaultParagraphFont"/>
    <w:rsid w:val="00C46AFD"/>
  </w:style>
  <w:style w:type="character" w:customStyle="1" w:styleId="emphi">
    <w:name w:val="emphi"/>
    <w:basedOn w:val="DefaultParagraphFont"/>
    <w:rsid w:val="00230021"/>
  </w:style>
  <w:style w:type="character" w:styleId="FollowedHyperlink">
    <w:name w:val="FollowedHyperlink"/>
    <w:basedOn w:val="DefaultParagraphFont"/>
    <w:semiHidden/>
    <w:unhideWhenUsed/>
    <w:rsid w:val="00215256"/>
    <w:rPr>
      <w:color w:val="800080" w:themeColor="followedHyperlink"/>
      <w:u w:val="single"/>
    </w:rPr>
  </w:style>
  <w:style w:type="character" w:customStyle="1" w:styleId="displayhltextactive">
    <w:name w:val="display_hl_text_active"/>
    <w:rsid w:val="003D574F"/>
  </w:style>
  <w:style w:type="character" w:customStyle="1" w:styleId="costarpage">
    <w:name w:val="co_starpage"/>
    <w:basedOn w:val="DefaultParagraphFont"/>
    <w:rsid w:val="00E7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19">
      <w:bodyDiv w:val="1"/>
      <w:marLeft w:val="0"/>
      <w:marRight w:val="0"/>
      <w:marTop w:val="0"/>
      <w:marBottom w:val="0"/>
      <w:divBdr>
        <w:top w:val="none" w:sz="0" w:space="0" w:color="auto"/>
        <w:left w:val="none" w:sz="0" w:space="0" w:color="auto"/>
        <w:bottom w:val="none" w:sz="0" w:space="0" w:color="auto"/>
        <w:right w:val="none" w:sz="0" w:space="0" w:color="auto"/>
      </w:divBdr>
    </w:div>
    <w:div w:id="24984874">
      <w:bodyDiv w:val="1"/>
      <w:marLeft w:val="0"/>
      <w:marRight w:val="0"/>
      <w:marTop w:val="0"/>
      <w:marBottom w:val="0"/>
      <w:divBdr>
        <w:top w:val="none" w:sz="0" w:space="0" w:color="auto"/>
        <w:left w:val="none" w:sz="0" w:space="0" w:color="auto"/>
        <w:bottom w:val="none" w:sz="0" w:space="0" w:color="auto"/>
        <w:right w:val="none" w:sz="0" w:space="0" w:color="auto"/>
      </w:divBdr>
      <w:divsChild>
        <w:div w:id="1330016588">
          <w:marLeft w:val="0"/>
          <w:marRight w:val="0"/>
          <w:marTop w:val="0"/>
          <w:marBottom w:val="0"/>
          <w:divBdr>
            <w:top w:val="none" w:sz="0" w:space="0" w:color="auto"/>
            <w:left w:val="none" w:sz="0" w:space="0" w:color="auto"/>
            <w:bottom w:val="none" w:sz="0" w:space="0" w:color="auto"/>
            <w:right w:val="none" w:sz="0" w:space="0" w:color="auto"/>
          </w:divBdr>
        </w:div>
        <w:div w:id="1329669860">
          <w:marLeft w:val="0"/>
          <w:marRight w:val="0"/>
          <w:marTop w:val="0"/>
          <w:marBottom w:val="0"/>
          <w:divBdr>
            <w:top w:val="none" w:sz="0" w:space="0" w:color="auto"/>
            <w:left w:val="none" w:sz="0" w:space="0" w:color="auto"/>
            <w:bottom w:val="none" w:sz="0" w:space="0" w:color="auto"/>
            <w:right w:val="none" w:sz="0" w:space="0" w:color="auto"/>
          </w:divBdr>
          <w:divsChild>
            <w:div w:id="1037780242">
              <w:marLeft w:val="0"/>
              <w:marRight w:val="0"/>
              <w:marTop w:val="0"/>
              <w:marBottom w:val="0"/>
              <w:divBdr>
                <w:top w:val="none" w:sz="0" w:space="0" w:color="auto"/>
                <w:left w:val="none" w:sz="0" w:space="0" w:color="auto"/>
                <w:bottom w:val="none" w:sz="0" w:space="0" w:color="auto"/>
                <w:right w:val="none" w:sz="0" w:space="0" w:color="auto"/>
              </w:divBdr>
              <w:divsChild>
                <w:div w:id="5495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2074">
      <w:bodyDiv w:val="1"/>
      <w:marLeft w:val="0"/>
      <w:marRight w:val="0"/>
      <w:marTop w:val="0"/>
      <w:marBottom w:val="0"/>
      <w:divBdr>
        <w:top w:val="none" w:sz="0" w:space="0" w:color="auto"/>
        <w:left w:val="none" w:sz="0" w:space="0" w:color="auto"/>
        <w:bottom w:val="none" w:sz="0" w:space="0" w:color="auto"/>
        <w:right w:val="none" w:sz="0" w:space="0" w:color="auto"/>
      </w:divBdr>
      <w:divsChild>
        <w:div w:id="1145507618">
          <w:marLeft w:val="0"/>
          <w:marRight w:val="0"/>
          <w:marTop w:val="0"/>
          <w:marBottom w:val="0"/>
          <w:divBdr>
            <w:top w:val="none" w:sz="0" w:space="0" w:color="auto"/>
            <w:left w:val="none" w:sz="0" w:space="0" w:color="auto"/>
            <w:bottom w:val="none" w:sz="0" w:space="0" w:color="auto"/>
            <w:right w:val="none" w:sz="0" w:space="0" w:color="auto"/>
          </w:divBdr>
        </w:div>
        <w:div w:id="1735854625">
          <w:marLeft w:val="0"/>
          <w:marRight w:val="0"/>
          <w:marTop w:val="0"/>
          <w:marBottom w:val="0"/>
          <w:divBdr>
            <w:top w:val="none" w:sz="0" w:space="0" w:color="auto"/>
            <w:left w:val="none" w:sz="0" w:space="0" w:color="auto"/>
            <w:bottom w:val="none" w:sz="0" w:space="0" w:color="auto"/>
            <w:right w:val="none" w:sz="0" w:space="0" w:color="auto"/>
          </w:divBdr>
          <w:divsChild>
            <w:div w:id="2138798291">
              <w:marLeft w:val="0"/>
              <w:marRight w:val="0"/>
              <w:marTop w:val="0"/>
              <w:marBottom w:val="0"/>
              <w:divBdr>
                <w:top w:val="none" w:sz="0" w:space="0" w:color="auto"/>
                <w:left w:val="none" w:sz="0" w:space="0" w:color="auto"/>
                <w:bottom w:val="none" w:sz="0" w:space="0" w:color="auto"/>
                <w:right w:val="none" w:sz="0" w:space="0" w:color="auto"/>
              </w:divBdr>
              <w:divsChild>
                <w:div w:id="5393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2218">
      <w:bodyDiv w:val="1"/>
      <w:marLeft w:val="0"/>
      <w:marRight w:val="0"/>
      <w:marTop w:val="0"/>
      <w:marBottom w:val="0"/>
      <w:divBdr>
        <w:top w:val="none" w:sz="0" w:space="0" w:color="auto"/>
        <w:left w:val="none" w:sz="0" w:space="0" w:color="auto"/>
        <w:bottom w:val="none" w:sz="0" w:space="0" w:color="auto"/>
        <w:right w:val="none" w:sz="0" w:space="0" w:color="auto"/>
      </w:divBdr>
      <w:divsChild>
        <w:div w:id="1409225937">
          <w:marLeft w:val="0"/>
          <w:marRight w:val="0"/>
          <w:marTop w:val="0"/>
          <w:marBottom w:val="0"/>
          <w:divBdr>
            <w:top w:val="none" w:sz="0" w:space="0" w:color="auto"/>
            <w:left w:val="none" w:sz="0" w:space="0" w:color="auto"/>
            <w:bottom w:val="none" w:sz="0" w:space="0" w:color="auto"/>
            <w:right w:val="none" w:sz="0" w:space="0" w:color="auto"/>
          </w:divBdr>
        </w:div>
        <w:div w:id="925847328">
          <w:marLeft w:val="0"/>
          <w:marRight w:val="0"/>
          <w:marTop w:val="0"/>
          <w:marBottom w:val="0"/>
          <w:divBdr>
            <w:top w:val="none" w:sz="0" w:space="0" w:color="auto"/>
            <w:left w:val="none" w:sz="0" w:space="0" w:color="auto"/>
            <w:bottom w:val="none" w:sz="0" w:space="0" w:color="auto"/>
            <w:right w:val="none" w:sz="0" w:space="0" w:color="auto"/>
          </w:divBdr>
          <w:divsChild>
            <w:div w:id="384449845">
              <w:marLeft w:val="0"/>
              <w:marRight w:val="0"/>
              <w:marTop w:val="0"/>
              <w:marBottom w:val="0"/>
              <w:divBdr>
                <w:top w:val="none" w:sz="0" w:space="0" w:color="auto"/>
                <w:left w:val="none" w:sz="0" w:space="0" w:color="auto"/>
                <w:bottom w:val="none" w:sz="0" w:space="0" w:color="auto"/>
                <w:right w:val="none" w:sz="0" w:space="0" w:color="auto"/>
              </w:divBdr>
              <w:divsChild>
                <w:div w:id="5186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5979">
      <w:bodyDiv w:val="1"/>
      <w:marLeft w:val="0"/>
      <w:marRight w:val="0"/>
      <w:marTop w:val="0"/>
      <w:marBottom w:val="0"/>
      <w:divBdr>
        <w:top w:val="none" w:sz="0" w:space="0" w:color="auto"/>
        <w:left w:val="none" w:sz="0" w:space="0" w:color="auto"/>
        <w:bottom w:val="none" w:sz="0" w:space="0" w:color="auto"/>
        <w:right w:val="none" w:sz="0" w:space="0" w:color="auto"/>
      </w:divBdr>
      <w:divsChild>
        <w:div w:id="793596932">
          <w:marLeft w:val="0"/>
          <w:marRight w:val="0"/>
          <w:marTop w:val="0"/>
          <w:marBottom w:val="0"/>
          <w:divBdr>
            <w:top w:val="none" w:sz="0" w:space="0" w:color="auto"/>
            <w:left w:val="none" w:sz="0" w:space="0" w:color="auto"/>
            <w:bottom w:val="none" w:sz="0" w:space="0" w:color="auto"/>
            <w:right w:val="none" w:sz="0" w:space="0" w:color="auto"/>
          </w:divBdr>
        </w:div>
        <w:div w:id="1099328850">
          <w:marLeft w:val="0"/>
          <w:marRight w:val="0"/>
          <w:marTop w:val="0"/>
          <w:marBottom w:val="0"/>
          <w:divBdr>
            <w:top w:val="none" w:sz="0" w:space="0" w:color="auto"/>
            <w:left w:val="none" w:sz="0" w:space="0" w:color="auto"/>
            <w:bottom w:val="none" w:sz="0" w:space="0" w:color="auto"/>
            <w:right w:val="none" w:sz="0" w:space="0" w:color="auto"/>
          </w:divBdr>
        </w:div>
        <w:div w:id="11032254">
          <w:marLeft w:val="0"/>
          <w:marRight w:val="0"/>
          <w:marTop w:val="0"/>
          <w:marBottom w:val="0"/>
          <w:divBdr>
            <w:top w:val="none" w:sz="0" w:space="0" w:color="auto"/>
            <w:left w:val="none" w:sz="0" w:space="0" w:color="auto"/>
            <w:bottom w:val="none" w:sz="0" w:space="0" w:color="auto"/>
            <w:right w:val="none" w:sz="0" w:space="0" w:color="auto"/>
          </w:divBdr>
        </w:div>
        <w:div w:id="1705715822">
          <w:marLeft w:val="0"/>
          <w:marRight w:val="0"/>
          <w:marTop w:val="0"/>
          <w:marBottom w:val="0"/>
          <w:divBdr>
            <w:top w:val="none" w:sz="0" w:space="0" w:color="auto"/>
            <w:left w:val="none" w:sz="0" w:space="0" w:color="auto"/>
            <w:bottom w:val="none" w:sz="0" w:space="0" w:color="auto"/>
            <w:right w:val="none" w:sz="0" w:space="0" w:color="auto"/>
          </w:divBdr>
        </w:div>
        <w:div w:id="185097617">
          <w:marLeft w:val="0"/>
          <w:marRight w:val="0"/>
          <w:marTop w:val="0"/>
          <w:marBottom w:val="0"/>
          <w:divBdr>
            <w:top w:val="none" w:sz="0" w:space="0" w:color="auto"/>
            <w:left w:val="none" w:sz="0" w:space="0" w:color="auto"/>
            <w:bottom w:val="none" w:sz="0" w:space="0" w:color="auto"/>
            <w:right w:val="none" w:sz="0" w:space="0" w:color="auto"/>
          </w:divBdr>
        </w:div>
        <w:div w:id="889801343">
          <w:marLeft w:val="0"/>
          <w:marRight w:val="0"/>
          <w:marTop w:val="0"/>
          <w:marBottom w:val="0"/>
          <w:divBdr>
            <w:top w:val="none" w:sz="0" w:space="0" w:color="auto"/>
            <w:left w:val="none" w:sz="0" w:space="0" w:color="auto"/>
            <w:bottom w:val="none" w:sz="0" w:space="0" w:color="auto"/>
            <w:right w:val="none" w:sz="0" w:space="0" w:color="auto"/>
          </w:divBdr>
        </w:div>
        <w:div w:id="409352445">
          <w:marLeft w:val="0"/>
          <w:marRight w:val="0"/>
          <w:marTop w:val="0"/>
          <w:marBottom w:val="0"/>
          <w:divBdr>
            <w:top w:val="none" w:sz="0" w:space="0" w:color="auto"/>
            <w:left w:val="none" w:sz="0" w:space="0" w:color="auto"/>
            <w:bottom w:val="none" w:sz="0" w:space="0" w:color="auto"/>
            <w:right w:val="none" w:sz="0" w:space="0" w:color="auto"/>
          </w:divBdr>
        </w:div>
        <w:div w:id="1314093475">
          <w:marLeft w:val="0"/>
          <w:marRight w:val="0"/>
          <w:marTop w:val="0"/>
          <w:marBottom w:val="0"/>
          <w:divBdr>
            <w:top w:val="none" w:sz="0" w:space="0" w:color="auto"/>
            <w:left w:val="none" w:sz="0" w:space="0" w:color="auto"/>
            <w:bottom w:val="none" w:sz="0" w:space="0" w:color="auto"/>
            <w:right w:val="none" w:sz="0" w:space="0" w:color="auto"/>
          </w:divBdr>
        </w:div>
        <w:div w:id="158808235">
          <w:marLeft w:val="0"/>
          <w:marRight w:val="0"/>
          <w:marTop w:val="0"/>
          <w:marBottom w:val="0"/>
          <w:divBdr>
            <w:top w:val="none" w:sz="0" w:space="0" w:color="auto"/>
            <w:left w:val="none" w:sz="0" w:space="0" w:color="auto"/>
            <w:bottom w:val="none" w:sz="0" w:space="0" w:color="auto"/>
            <w:right w:val="none" w:sz="0" w:space="0" w:color="auto"/>
          </w:divBdr>
        </w:div>
        <w:div w:id="596644842">
          <w:marLeft w:val="0"/>
          <w:marRight w:val="0"/>
          <w:marTop w:val="0"/>
          <w:marBottom w:val="0"/>
          <w:divBdr>
            <w:top w:val="none" w:sz="0" w:space="0" w:color="auto"/>
            <w:left w:val="none" w:sz="0" w:space="0" w:color="auto"/>
            <w:bottom w:val="none" w:sz="0" w:space="0" w:color="auto"/>
            <w:right w:val="none" w:sz="0" w:space="0" w:color="auto"/>
          </w:divBdr>
        </w:div>
        <w:div w:id="102312268">
          <w:marLeft w:val="0"/>
          <w:marRight w:val="0"/>
          <w:marTop w:val="0"/>
          <w:marBottom w:val="0"/>
          <w:divBdr>
            <w:top w:val="none" w:sz="0" w:space="0" w:color="auto"/>
            <w:left w:val="none" w:sz="0" w:space="0" w:color="auto"/>
            <w:bottom w:val="none" w:sz="0" w:space="0" w:color="auto"/>
            <w:right w:val="none" w:sz="0" w:space="0" w:color="auto"/>
          </w:divBdr>
        </w:div>
        <w:div w:id="1735197119">
          <w:marLeft w:val="0"/>
          <w:marRight w:val="0"/>
          <w:marTop w:val="0"/>
          <w:marBottom w:val="0"/>
          <w:divBdr>
            <w:top w:val="none" w:sz="0" w:space="0" w:color="auto"/>
            <w:left w:val="none" w:sz="0" w:space="0" w:color="auto"/>
            <w:bottom w:val="none" w:sz="0" w:space="0" w:color="auto"/>
            <w:right w:val="none" w:sz="0" w:space="0" w:color="auto"/>
          </w:divBdr>
        </w:div>
        <w:div w:id="338050085">
          <w:marLeft w:val="0"/>
          <w:marRight w:val="0"/>
          <w:marTop w:val="0"/>
          <w:marBottom w:val="0"/>
          <w:divBdr>
            <w:top w:val="none" w:sz="0" w:space="0" w:color="auto"/>
            <w:left w:val="none" w:sz="0" w:space="0" w:color="auto"/>
            <w:bottom w:val="none" w:sz="0" w:space="0" w:color="auto"/>
            <w:right w:val="none" w:sz="0" w:space="0" w:color="auto"/>
          </w:divBdr>
        </w:div>
        <w:div w:id="1649439575">
          <w:marLeft w:val="0"/>
          <w:marRight w:val="0"/>
          <w:marTop w:val="0"/>
          <w:marBottom w:val="0"/>
          <w:divBdr>
            <w:top w:val="none" w:sz="0" w:space="0" w:color="auto"/>
            <w:left w:val="none" w:sz="0" w:space="0" w:color="auto"/>
            <w:bottom w:val="none" w:sz="0" w:space="0" w:color="auto"/>
            <w:right w:val="none" w:sz="0" w:space="0" w:color="auto"/>
          </w:divBdr>
        </w:div>
        <w:div w:id="141891072">
          <w:marLeft w:val="0"/>
          <w:marRight w:val="0"/>
          <w:marTop w:val="0"/>
          <w:marBottom w:val="0"/>
          <w:divBdr>
            <w:top w:val="none" w:sz="0" w:space="0" w:color="auto"/>
            <w:left w:val="none" w:sz="0" w:space="0" w:color="auto"/>
            <w:bottom w:val="none" w:sz="0" w:space="0" w:color="auto"/>
            <w:right w:val="none" w:sz="0" w:space="0" w:color="auto"/>
          </w:divBdr>
        </w:div>
        <w:div w:id="503781928">
          <w:marLeft w:val="0"/>
          <w:marRight w:val="0"/>
          <w:marTop w:val="0"/>
          <w:marBottom w:val="0"/>
          <w:divBdr>
            <w:top w:val="none" w:sz="0" w:space="0" w:color="auto"/>
            <w:left w:val="none" w:sz="0" w:space="0" w:color="auto"/>
            <w:bottom w:val="none" w:sz="0" w:space="0" w:color="auto"/>
            <w:right w:val="none" w:sz="0" w:space="0" w:color="auto"/>
          </w:divBdr>
        </w:div>
        <w:div w:id="197282654">
          <w:marLeft w:val="0"/>
          <w:marRight w:val="0"/>
          <w:marTop w:val="0"/>
          <w:marBottom w:val="0"/>
          <w:divBdr>
            <w:top w:val="none" w:sz="0" w:space="0" w:color="auto"/>
            <w:left w:val="none" w:sz="0" w:space="0" w:color="auto"/>
            <w:bottom w:val="none" w:sz="0" w:space="0" w:color="auto"/>
            <w:right w:val="none" w:sz="0" w:space="0" w:color="auto"/>
          </w:divBdr>
        </w:div>
        <w:div w:id="1998532066">
          <w:marLeft w:val="0"/>
          <w:marRight w:val="0"/>
          <w:marTop w:val="0"/>
          <w:marBottom w:val="0"/>
          <w:divBdr>
            <w:top w:val="none" w:sz="0" w:space="0" w:color="auto"/>
            <w:left w:val="none" w:sz="0" w:space="0" w:color="auto"/>
            <w:bottom w:val="none" w:sz="0" w:space="0" w:color="auto"/>
            <w:right w:val="none" w:sz="0" w:space="0" w:color="auto"/>
          </w:divBdr>
        </w:div>
        <w:div w:id="1538466164">
          <w:marLeft w:val="0"/>
          <w:marRight w:val="0"/>
          <w:marTop w:val="0"/>
          <w:marBottom w:val="0"/>
          <w:divBdr>
            <w:top w:val="none" w:sz="0" w:space="0" w:color="auto"/>
            <w:left w:val="none" w:sz="0" w:space="0" w:color="auto"/>
            <w:bottom w:val="none" w:sz="0" w:space="0" w:color="auto"/>
            <w:right w:val="none" w:sz="0" w:space="0" w:color="auto"/>
          </w:divBdr>
        </w:div>
        <w:div w:id="1820729557">
          <w:marLeft w:val="0"/>
          <w:marRight w:val="0"/>
          <w:marTop w:val="0"/>
          <w:marBottom w:val="0"/>
          <w:divBdr>
            <w:top w:val="none" w:sz="0" w:space="0" w:color="auto"/>
            <w:left w:val="none" w:sz="0" w:space="0" w:color="auto"/>
            <w:bottom w:val="none" w:sz="0" w:space="0" w:color="auto"/>
            <w:right w:val="none" w:sz="0" w:space="0" w:color="auto"/>
          </w:divBdr>
        </w:div>
        <w:div w:id="793669132">
          <w:marLeft w:val="0"/>
          <w:marRight w:val="0"/>
          <w:marTop w:val="0"/>
          <w:marBottom w:val="0"/>
          <w:divBdr>
            <w:top w:val="none" w:sz="0" w:space="0" w:color="auto"/>
            <w:left w:val="none" w:sz="0" w:space="0" w:color="auto"/>
            <w:bottom w:val="none" w:sz="0" w:space="0" w:color="auto"/>
            <w:right w:val="none" w:sz="0" w:space="0" w:color="auto"/>
          </w:divBdr>
        </w:div>
        <w:div w:id="1532958971">
          <w:marLeft w:val="0"/>
          <w:marRight w:val="0"/>
          <w:marTop w:val="0"/>
          <w:marBottom w:val="0"/>
          <w:divBdr>
            <w:top w:val="none" w:sz="0" w:space="0" w:color="auto"/>
            <w:left w:val="none" w:sz="0" w:space="0" w:color="auto"/>
            <w:bottom w:val="none" w:sz="0" w:space="0" w:color="auto"/>
            <w:right w:val="none" w:sz="0" w:space="0" w:color="auto"/>
          </w:divBdr>
        </w:div>
        <w:div w:id="1602571601">
          <w:marLeft w:val="0"/>
          <w:marRight w:val="0"/>
          <w:marTop w:val="0"/>
          <w:marBottom w:val="0"/>
          <w:divBdr>
            <w:top w:val="none" w:sz="0" w:space="0" w:color="auto"/>
            <w:left w:val="none" w:sz="0" w:space="0" w:color="auto"/>
            <w:bottom w:val="none" w:sz="0" w:space="0" w:color="auto"/>
            <w:right w:val="none" w:sz="0" w:space="0" w:color="auto"/>
          </w:divBdr>
        </w:div>
        <w:div w:id="1316642294">
          <w:marLeft w:val="0"/>
          <w:marRight w:val="0"/>
          <w:marTop w:val="0"/>
          <w:marBottom w:val="0"/>
          <w:divBdr>
            <w:top w:val="none" w:sz="0" w:space="0" w:color="auto"/>
            <w:left w:val="none" w:sz="0" w:space="0" w:color="auto"/>
            <w:bottom w:val="none" w:sz="0" w:space="0" w:color="auto"/>
            <w:right w:val="none" w:sz="0" w:space="0" w:color="auto"/>
          </w:divBdr>
        </w:div>
        <w:div w:id="1375034034">
          <w:marLeft w:val="0"/>
          <w:marRight w:val="0"/>
          <w:marTop w:val="0"/>
          <w:marBottom w:val="0"/>
          <w:divBdr>
            <w:top w:val="none" w:sz="0" w:space="0" w:color="auto"/>
            <w:left w:val="none" w:sz="0" w:space="0" w:color="auto"/>
            <w:bottom w:val="none" w:sz="0" w:space="0" w:color="auto"/>
            <w:right w:val="none" w:sz="0" w:space="0" w:color="auto"/>
          </w:divBdr>
        </w:div>
        <w:div w:id="139157382">
          <w:marLeft w:val="0"/>
          <w:marRight w:val="0"/>
          <w:marTop w:val="0"/>
          <w:marBottom w:val="0"/>
          <w:divBdr>
            <w:top w:val="none" w:sz="0" w:space="0" w:color="auto"/>
            <w:left w:val="none" w:sz="0" w:space="0" w:color="auto"/>
            <w:bottom w:val="none" w:sz="0" w:space="0" w:color="auto"/>
            <w:right w:val="none" w:sz="0" w:space="0" w:color="auto"/>
          </w:divBdr>
        </w:div>
        <w:div w:id="1120341765">
          <w:marLeft w:val="0"/>
          <w:marRight w:val="0"/>
          <w:marTop w:val="0"/>
          <w:marBottom w:val="0"/>
          <w:divBdr>
            <w:top w:val="none" w:sz="0" w:space="0" w:color="auto"/>
            <w:left w:val="none" w:sz="0" w:space="0" w:color="auto"/>
            <w:bottom w:val="none" w:sz="0" w:space="0" w:color="auto"/>
            <w:right w:val="none" w:sz="0" w:space="0" w:color="auto"/>
          </w:divBdr>
        </w:div>
        <w:div w:id="1186678912">
          <w:marLeft w:val="0"/>
          <w:marRight w:val="0"/>
          <w:marTop w:val="0"/>
          <w:marBottom w:val="0"/>
          <w:divBdr>
            <w:top w:val="none" w:sz="0" w:space="0" w:color="auto"/>
            <w:left w:val="none" w:sz="0" w:space="0" w:color="auto"/>
            <w:bottom w:val="none" w:sz="0" w:space="0" w:color="auto"/>
            <w:right w:val="none" w:sz="0" w:space="0" w:color="auto"/>
          </w:divBdr>
        </w:div>
        <w:div w:id="107431590">
          <w:marLeft w:val="0"/>
          <w:marRight w:val="0"/>
          <w:marTop w:val="0"/>
          <w:marBottom w:val="0"/>
          <w:divBdr>
            <w:top w:val="none" w:sz="0" w:space="0" w:color="auto"/>
            <w:left w:val="none" w:sz="0" w:space="0" w:color="auto"/>
            <w:bottom w:val="none" w:sz="0" w:space="0" w:color="auto"/>
            <w:right w:val="none" w:sz="0" w:space="0" w:color="auto"/>
          </w:divBdr>
        </w:div>
        <w:div w:id="2080860587">
          <w:marLeft w:val="0"/>
          <w:marRight w:val="0"/>
          <w:marTop w:val="0"/>
          <w:marBottom w:val="0"/>
          <w:divBdr>
            <w:top w:val="none" w:sz="0" w:space="0" w:color="auto"/>
            <w:left w:val="none" w:sz="0" w:space="0" w:color="auto"/>
            <w:bottom w:val="none" w:sz="0" w:space="0" w:color="auto"/>
            <w:right w:val="none" w:sz="0" w:space="0" w:color="auto"/>
          </w:divBdr>
        </w:div>
        <w:div w:id="1965694854">
          <w:marLeft w:val="0"/>
          <w:marRight w:val="0"/>
          <w:marTop w:val="0"/>
          <w:marBottom w:val="0"/>
          <w:divBdr>
            <w:top w:val="none" w:sz="0" w:space="0" w:color="auto"/>
            <w:left w:val="none" w:sz="0" w:space="0" w:color="auto"/>
            <w:bottom w:val="none" w:sz="0" w:space="0" w:color="auto"/>
            <w:right w:val="none" w:sz="0" w:space="0" w:color="auto"/>
          </w:divBdr>
        </w:div>
        <w:div w:id="1818566430">
          <w:marLeft w:val="0"/>
          <w:marRight w:val="0"/>
          <w:marTop w:val="0"/>
          <w:marBottom w:val="0"/>
          <w:divBdr>
            <w:top w:val="none" w:sz="0" w:space="0" w:color="auto"/>
            <w:left w:val="none" w:sz="0" w:space="0" w:color="auto"/>
            <w:bottom w:val="none" w:sz="0" w:space="0" w:color="auto"/>
            <w:right w:val="none" w:sz="0" w:space="0" w:color="auto"/>
          </w:divBdr>
        </w:div>
        <w:div w:id="1234925693">
          <w:marLeft w:val="0"/>
          <w:marRight w:val="0"/>
          <w:marTop w:val="0"/>
          <w:marBottom w:val="0"/>
          <w:divBdr>
            <w:top w:val="none" w:sz="0" w:space="0" w:color="auto"/>
            <w:left w:val="none" w:sz="0" w:space="0" w:color="auto"/>
            <w:bottom w:val="none" w:sz="0" w:space="0" w:color="auto"/>
            <w:right w:val="none" w:sz="0" w:space="0" w:color="auto"/>
          </w:divBdr>
        </w:div>
        <w:div w:id="275987995">
          <w:marLeft w:val="0"/>
          <w:marRight w:val="0"/>
          <w:marTop w:val="0"/>
          <w:marBottom w:val="0"/>
          <w:divBdr>
            <w:top w:val="none" w:sz="0" w:space="0" w:color="auto"/>
            <w:left w:val="none" w:sz="0" w:space="0" w:color="auto"/>
            <w:bottom w:val="none" w:sz="0" w:space="0" w:color="auto"/>
            <w:right w:val="none" w:sz="0" w:space="0" w:color="auto"/>
          </w:divBdr>
        </w:div>
        <w:div w:id="707922991">
          <w:marLeft w:val="0"/>
          <w:marRight w:val="0"/>
          <w:marTop w:val="0"/>
          <w:marBottom w:val="0"/>
          <w:divBdr>
            <w:top w:val="none" w:sz="0" w:space="0" w:color="auto"/>
            <w:left w:val="none" w:sz="0" w:space="0" w:color="auto"/>
            <w:bottom w:val="none" w:sz="0" w:space="0" w:color="auto"/>
            <w:right w:val="none" w:sz="0" w:space="0" w:color="auto"/>
          </w:divBdr>
        </w:div>
        <w:div w:id="2127457622">
          <w:marLeft w:val="0"/>
          <w:marRight w:val="0"/>
          <w:marTop w:val="0"/>
          <w:marBottom w:val="0"/>
          <w:divBdr>
            <w:top w:val="none" w:sz="0" w:space="0" w:color="auto"/>
            <w:left w:val="none" w:sz="0" w:space="0" w:color="auto"/>
            <w:bottom w:val="none" w:sz="0" w:space="0" w:color="auto"/>
            <w:right w:val="none" w:sz="0" w:space="0" w:color="auto"/>
          </w:divBdr>
        </w:div>
        <w:div w:id="898588401">
          <w:marLeft w:val="0"/>
          <w:marRight w:val="0"/>
          <w:marTop w:val="0"/>
          <w:marBottom w:val="0"/>
          <w:divBdr>
            <w:top w:val="none" w:sz="0" w:space="0" w:color="auto"/>
            <w:left w:val="none" w:sz="0" w:space="0" w:color="auto"/>
            <w:bottom w:val="none" w:sz="0" w:space="0" w:color="auto"/>
            <w:right w:val="none" w:sz="0" w:space="0" w:color="auto"/>
          </w:divBdr>
        </w:div>
        <w:div w:id="1850482354">
          <w:marLeft w:val="0"/>
          <w:marRight w:val="0"/>
          <w:marTop w:val="0"/>
          <w:marBottom w:val="0"/>
          <w:divBdr>
            <w:top w:val="none" w:sz="0" w:space="0" w:color="auto"/>
            <w:left w:val="none" w:sz="0" w:space="0" w:color="auto"/>
            <w:bottom w:val="none" w:sz="0" w:space="0" w:color="auto"/>
            <w:right w:val="none" w:sz="0" w:space="0" w:color="auto"/>
          </w:divBdr>
        </w:div>
        <w:div w:id="475729633">
          <w:marLeft w:val="0"/>
          <w:marRight w:val="0"/>
          <w:marTop w:val="0"/>
          <w:marBottom w:val="0"/>
          <w:divBdr>
            <w:top w:val="none" w:sz="0" w:space="0" w:color="auto"/>
            <w:left w:val="none" w:sz="0" w:space="0" w:color="auto"/>
            <w:bottom w:val="none" w:sz="0" w:space="0" w:color="auto"/>
            <w:right w:val="none" w:sz="0" w:space="0" w:color="auto"/>
          </w:divBdr>
        </w:div>
        <w:div w:id="1617563704">
          <w:marLeft w:val="0"/>
          <w:marRight w:val="0"/>
          <w:marTop w:val="0"/>
          <w:marBottom w:val="0"/>
          <w:divBdr>
            <w:top w:val="none" w:sz="0" w:space="0" w:color="auto"/>
            <w:left w:val="none" w:sz="0" w:space="0" w:color="auto"/>
            <w:bottom w:val="none" w:sz="0" w:space="0" w:color="auto"/>
            <w:right w:val="none" w:sz="0" w:space="0" w:color="auto"/>
          </w:divBdr>
        </w:div>
        <w:div w:id="1407647909">
          <w:marLeft w:val="0"/>
          <w:marRight w:val="0"/>
          <w:marTop w:val="0"/>
          <w:marBottom w:val="0"/>
          <w:divBdr>
            <w:top w:val="none" w:sz="0" w:space="0" w:color="auto"/>
            <w:left w:val="none" w:sz="0" w:space="0" w:color="auto"/>
            <w:bottom w:val="none" w:sz="0" w:space="0" w:color="auto"/>
            <w:right w:val="none" w:sz="0" w:space="0" w:color="auto"/>
          </w:divBdr>
        </w:div>
        <w:div w:id="1003826140">
          <w:marLeft w:val="0"/>
          <w:marRight w:val="0"/>
          <w:marTop w:val="0"/>
          <w:marBottom w:val="0"/>
          <w:divBdr>
            <w:top w:val="none" w:sz="0" w:space="0" w:color="auto"/>
            <w:left w:val="none" w:sz="0" w:space="0" w:color="auto"/>
            <w:bottom w:val="none" w:sz="0" w:space="0" w:color="auto"/>
            <w:right w:val="none" w:sz="0" w:space="0" w:color="auto"/>
          </w:divBdr>
        </w:div>
        <w:div w:id="870458304">
          <w:marLeft w:val="0"/>
          <w:marRight w:val="0"/>
          <w:marTop w:val="0"/>
          <w:marBottom w:val="0"/>
          <w:divBdr>
            <w:top w:val="none" w:sz="0" w:space="0" w:color="auto"/>
            <w:left w:val="none" w:sz="0" w:space="0" w:color="auto"/>
            <w:bottom w:val="none" w:sz="0" w:space="0" w:color="auto"/>
            <w:right w:val="none" w:sz="0" w:space="0" w:color="auto"/>
          </w:divBdr>
        </w:div>
        <w:div w:id="2144301353">
          <w:marLeft w:val="0"/>
          <w:marRight w:val="0"/>
          <w:marTop w:val="0"/>
          <w:marBottom w:val="0"/>
          <w:divBdr>
            <w:top w:val="none" w:sz="0" w:space="0" w:color="auto"/>
            <w:left w:val="none" w:sz="0" w:space="0" w:color="auto"/>
            <w:bottom w:val="none" w:sz="0" w:space="0" w:color="auto"/>
            <w:right w:val="none" w:sz="0" w:space="0" w:color="auto"/>
          </w:divBdr>
        </w:div>
        <w:div w:id="1764254675">
          <w:marLeft w:val="0"/>
          <w:marRight w:val="0"/>
          <w:marTop w:val="0"/>
          <w:marBottom w:val="0"/>
          <w:divBdr>
            <w:top w:val="none" w:sz="0" w:space="0" w:color="auto"/>
            <w:left w:val="none" w:sz="0" w:space="0" w:color="auto"/>
            <w:bottom w:val="none" w:sz="0" w:space="0" w:color="auto"/>
            <w:right w:val="none" w:sz="0" w:space="0" w:color="auto"/>
          </w:divBdr>
        </w:div>
        <w:div w:id="1170606313">
          <w:marLeft w:val="0"/>
          <w:marRight w:val="0"/>
          <w:marTop w:val="0"/>
          <w:marBottom w:val="0"/>
          <w:divBdr>
            <w:top w:val="none" w:sz="0" w:space="0" w:color="auto"/>
            <w:left w:val="none" w:sz="0" w:space="0" w:color="auto"/>
            <w:bottom w:val="none" w:sz="0" w:space="0" w:color="auto"/>
            <w:right w:val="none" w:sz="0" w:space="0" w:color="auto"/>
          </w:divBdr>
        </w:div>
        <w:div w:id="1369139966">
          <w:marLeft w:val="0"/>
          <w:marRight w:val="0"/>
          <w:marTop w:val="0"/>
          <w:marBottom w:val="0"/>
          <w:divBdr>
            <w:top w:val="none" w:sz="0" w:space="0" w:color="auto"/>
            <w:left w:val="none" w:sz="0" w:space="0" w:color="auto"/>
            <w:bottom w:val="none" w:sz="0" w:space="0" w:color="auto"/>
            <w:right w:val="none" w:sz="0" w:space="0" w:color="auto"/>
          </w:divBdr>
        </w:div>
        <w:div w:id="787503851">
          <w:marLeft w:val="0"/>
          <w:marRight w:val="0"/>
          <w:marTop w:val="0"/>
          <w:marBottom w:val="0"/>
          <w:divBdr>
            <w:top w:val="none" w:sz="0" w:space="0" w:color="auto"/>
            <w:left w:val="none" w:sz="0" w:space="0" w:color="auto"/>
            <w:bottom w:val="none" w:sz="0" w:space="0" w:color="auto"/>
            <w:right w:val="none" w:sz="0" w:space="0" w:color="auto"/>
          </w:divBdr>
        </w:div>
        <w:div w:id="274562061">
          <w:marLeft w:val="0"/>
          <w:marRight w:val="0"/>
          <w:marTop w:val="0"/>
          <w:marBottom w:val="0"/>
          <w:divBdr>
            <w:top w:val="none" w:sz="0" w:space="0" w:color="auto"/>
            <w:left w:val="none" w:sz="0" w:space="0" w:color="auto"/>
            <w:bottom w:val="none" w:sz="0" w:space="0" w:color="auto"/>
            <w:right w:val="none" w:sz="0" w:space="0" w:color="auto"/>
          </w:divBdr>
        </w:div>
        <w:div w:id="995960930">
          <w:marLeft w:val="0"/>
          <w:marRight w:val="0"/>
          <w:marTop w:val="0"/>
          <w:marBottom w:val="0"/>
          <w:divBdr>
            <w:top w:val="none" w:sz="0" w:space="0" w:color="auto"/>
            <w:left w:val="none" w:sz="0" w:space="0" w:color="auto"/>
            <w:bottom w:val="none" w:sz="0" w:space="0" w:color="auto"/>
            <w:right w:val="none" w:sz="0" w:space="0" w:color="auto"/>
          </w:divBdr>
        </w:div>
        <w:div w:id="1103459273">
          <w:marLeft w:val="0"/>
          <w:marRight w:val="0"/>
          <w:marTop w:val="0"/>
          <w:marBottom w:val="0"/>
          <w:divBdr>
            <w:top w:val="none" w:sz="0" w:space="0" w:color="auto"/>
            <w:left w:val="none" w:sz="0" w:space="0" w:color="auto"/>
            <w:bottom w:val="none" w:sz="0" w:space="0" w:color="auto"/>
            <w:right w:val="none" w:sz="0" w:space="0" w:color="auto"/>
          </w:divBdr>
        </w:div>
        <w:div w:id="373508862">
          <w:marLeft w:val="0"/>
          <w:marRight w:val="0"/>
          <w:marTop w:val="0"/>
          <w:marBottom w:val="0"/>
          <w:divBdr>
            <w:top w:val="none" w:sz="0" w:space="0" w:color="auto"/>
            <w:left w:val="none" w:sz="0" w:space="0" w:color="auto"/>
            <w:bottom w:val="none" w:sz="0" w:space="0" w:color="auto"/>
            <w:right w:val="none" w:sz="0" w:space="0" w:color="auto"/>
          </w:divBdr>
        </w:div>
        <w:div w:id="18628158">
          <w:marLeft w:val="0"/>
          <w:marRight w:val="0"/>
          <w:marTop w:val="0"/>
          <w:marBottom w:val="0"/>
          <w:divBdr>
            <w:top w:val="none" w:sz="0" w:space="0" w:color="auto"/>
            <w:left w:val="none" w:sz="0" w:space="0" w:color="auto"/>
            <w:bottom w:val="none" w:sz="0" w:space="0" w:color="auto"/>
            <w:right w:val="none" w:sz="0" w:space="0" w:color="auto"/>
          </w:divBdr>
        </w:div>
        <w:div w:id="1820533410">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606081115">
          <w:marLeft w:val="0"/>
          <w:marRight w:val="0"/>
          <w:marTop w:val="0"/>
          <w:marBottom w:val="0"/>
          <w:divBdr>
            <w:top w:val="none" w:sz="0" w:space="0" w:color="auto"/>
            <w:left w:val="none" w:sz="0" w:space="0" w:color="auto"/>
            <w:bottom w:val="none" w:sz="0" w:space="0" w:color="auto"/>
            <w:right w:val="none" w:sz="0" w:space="0" w:color="auto"/>
          </w:divBdr>
        </w:div>
        <w:div w:id="1893760795">
          <w:marLeft w:val="0"/>
          <w:marRight w:val="0"/>
          <w:marTop w:val="0"/>
          <w:marBottom w:val="0"/>
          <w:divBdr>
            <w:top w:val="none" w:sz="0" w:space="0" w:color="auto"/>
            <w:left w:val="none" w:sz="0" w:space="0" w:color="auto"/>
            <w:bottom w:val="none" w:sz="0" w:space="0" w:color="auto"/>
            <w:right w:val="none" w:sz="0" w:space="0" w:color="auto"/>
          </w:divBdr>
        </w:div>
        <w:div w:id="1417089289">
          <w:marLeft w:val="0"/>
          <w:marRight w:val="0"/>
          <w:marTop w:val="0"/>
          <w:marBottom w:val="0"/>
          <w:divBdr>
            <w:top w:val="none" w:sz="0" w:space="0" w:color="auto"/>
            <w:left w:val="none" w:sz="0" w:space="0" w:color="auto"/>
            <w:bottom w:val="none" w:sz="0" w:space="0" w:color="auto"/>
            <w:right w:val="none" w:sz="0" w:space="0" w:color="auto"/>
          </w:divBdr>
        </w:div>
        <w:div w:id="393091229">
          <w:marLeft w:val="0"/>
          <w:marRight w:val="0"/>
          <w:marTop w:val="0"/>
          <w:marBottom w:val="0"/>
          <w:divBdr>
            <w:top w:val="none" w:sz="0" w:space="0" w:color="auto"/>
            <w:left w:val="none" w:sz="0" w:space="0" w:color="auto"/>
            <w:bottom w:val="none" w:sz="0" w:space="0" w:color="auto"/>
            <w:right w:val="none" w:sz="0" w:space="0" w:color="auto"/>
          </w:divBdr>
        </w:div>
        <w:div w:id="1331955240">
          <w:marLeft w:val="0"/>
          <w:marRight w:val="0"/>
          <w:marTop w:val="0"/>
          <w:marBottom w:val="0"/>
          <w:divBdr>
            <w:top w:val="none" w:sz="0" w:space="0" w:color="auto"/>
            <w:left w:val="none" w:sz="0" w:space="0" w:color="auto"/>
            <w:bottom w:val="none" w:sz="0" w:space="0" w:color="auto"/>
            <w:right w:val="none" w:sz="0" w:space="0" w:color="auto"/>
          </w:divBdr>
        </w:div>
        <w:div w:id="604772941">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1023632211">
          <w:marLeft w:val="0"/>
          <w:marRight w:val="0"/>
          <w:marTop w:val="0"/>
          <w:marBottom w:val="0"/>
          <w:divBdr>
            <w:top w:val="none" w:sz="0" w:space="0" w:color="auto"/>
            <w:left w:val="none" w:sz="0" w:space="0" w:color="auto"/>
            <w:bottom w:val="none" w:sz="0" w:space="0" w:color="auto"/>
            <w:right w:val="none" w:sz="0" w:space="0" w:color="auto"/>
          </w:divBdr>
        </w:div>
        <w:div w:id="24526940">
          <w:marLeft w:val="0"/>
          <w:marRight w:val="0"/>
          <w:marTop w:val="0"/>
          <w:marBottom w:val="0"/>
          <w:divBdr>
            <w:top w:val="none" w:sz="0" w:space="0" w:color="auto"/>
            <w:left w:val="none" w:sz="0" w:space="0" w:color="auto"/>
            <w:bottom w:val="none" w:sz="0" w:space="0" w:color="auto"/>
            <w:right w:val="none" w:sz="0" w:space="0" w:color="auto"/>
          </w:divBdr>
        </w:div>
        <w:div w:id="471799240">
          <w:marLeft w:val="0"/>
          <w:marRight w:val="0"/>
          <w:marTop w:val="0"/>
          <w:marBottom w:val="0"/>
          <w:divBdr>
            <w:top w:val="none" w:sz="0" w:space="0" w:color="auto"/>
            <w:left w:val="none" w:sz="0" w:space="0" w:color="auto"/>
            <w:bottom w:val="none" w:sz="0" w:space="0" w:color="auto"/>
            <w:right w:val="none" w:sz="0" w:space="0" w:color="auto"/>
          </w:divBdr>
        </w:div>
        <w:div w:id="945314054">
          <w:marLeft w:val="0"/>
          <w:marRight w:val="0"/>
          <w:marTop w:val="0"/>
          <w:marBottom w:val="0"/>
          <w:divBdr>
            <w:top w:val="none" w:sz="0" w:space="0" w:color="auto"/>
            <w:left w:val="none" w:sz="0" w:space="0" w:color="auto"/>
            <w:bottom w:val="none" w:sz="0" w:space="0" w:color="auto"/>
            <w:right w:val="none" w:sz="0" w:space="0" w:color="auto"/>
          </w:divBdr>
        </w:div>
        <w:div w:id="1788699837">
          <w:marLeft w:val="0"/>
          <w:marRight w:val="0"/>
          <w:marTop w:val="0"/>
          <w:marBottom w:val="0"/>
          <w:divBdr>
            <w:top w:val="none" w:sz="0" w:space="0" w:color="auto"/>
            <w:left w:val="none" w:sz="0" w:space="0" w:color="auto"/>
            <w:bottom w:val="none" w:sz="0" w:space="0" w:color="auto"/>
            <w:right w:val="none" w:sz="0" w:space="0" w:color="auto"/>
          </w:divBdr>
        </w:div>
        <w:div w:id="1398749159">
          <w:marLeft w:val="0"/>
          <w:marRight w:val="0"/>
          <w:marTop w:val="0"/>
          <w:marBottom w:val="0"/>
          <w:divBdr>
            <w:top w:val="none" w:sz="0" w:space="0" w:color="auto"/>
            <w:left w:val="none" w:sz="0" w:space="0" w:color="auto"/>
            <w:bottom w:val="none" w:sz="0" w:space="0" w:color="auto"/>
            <w:right w:val="none" w:sz="0" w:space="0" w:color="auto"/>
          </w:divBdr>
        </w:div>
        <w:div w:id="587618665">
          <w:marLeft w:val="0"/>
          <w:marRight w:val="0"/>
          <w:marTop w:val="0"/>
          <w:marBottom w:val="0"/>
          <w:divBdr>
            <w:top w:val="none" w:sz="0" w:space="0" w:color="auto"/>
            <w:left w:val="none" w:sz="0" w:space="0" w:color="auto"/>
            <w:bottom w:val="none" w:sz="0" w:space="0" w:color="auto"/>
            <w:right w:val="none" w:sz="0" w:space="0" w:color="auto"/>
          </w:divBdr>
        </w:div>
        <w:div w:id="733552527">
          <w:marLeft w:val="0"/>
          <w:marRight w:val="0"/>
          <w:marTop w:val="0"/>
          <w:marBottom w:val="0"/>
          <w:divBdr>
            <w:top w:val="none" w:sz="0" w:space="0" w:color="auto"/>
            <w:left w:val="none" w:sz="0" w:space="0" w:color="auto"/>
            <w:bottom w:val="none" w:sz="0" w:space="0" w:color="auto"/>
            <w:right w:val="none" w:sz="0" w:space="0" w:color="auto"/>
          </w:divBdr>
        </w:div>
        <w:div w:id="1091707610">
          <w:marLeft w:val="0"/>
          <w:marRight w:val="0"/>
          <w:marTop w:val="0"/>
          <w:marBottom w:val="0"/>
          <w:divBdr>
            <w:top w:val="none" w:sz="0" w:space="0" w:color="auto"/>
            <w:left w:val="none" w:sz="0" w:space="0" w:color="auto"/>
            <w:bottom w:val="none" w:sz="0" w:space="0" w:color="auto"/>
            <w:right w:val="none" w:sz="0" w:space="0" w:color="auto"/>
          </w:divBdr>
        </w:div>
        <w:div w:id="165485185">
          <w:marLeft w:val="0"/>
          <w:marRight w:val="0"/>
          <w:marTop w:val="0"/>
          <w:marBottom w:val="0"/>
          <w:divBdr>
            <w:top w:val="none" w:sz="0" w:space="0" w:color="auto"/>
            <w:left w:val="none" w:sz="0" w:space="0" w:color="auto"/>
            <w:bottom w:val="none" w:sz="0" w:space="0" w:color="auto"/>
            <w:right w:val="none" w:sz="0" w:space="0" w:color="auto"/>
          </w:divBdr>
        </w:div>
        <w:div w:id="1673996170">
          <w:marLeft w:val="0"/>
          <w:marRight w:val="0"/>
          <w:marTop w:val="0"/>
          <w:marBottom w:val="0"/>
          <w:divBdr>
            <w:top w:val="none" w:sz="0" w:space="0" w:color="auto"/>
            <w:left w:val="none" w:sz="0" w:space="0" w:color="auto"/>
            <w:bottom w:val="none" w:sz="0" w:space="0" w:color="auto"/>
            <w:right w:val="none" w:sz="0" w:space="0" w:color="auto"/>
          </w:divBdr>
        </w:div>
        <w:div w:id="1813985016">
          <w:marLeft w:val="0"/>
          <w:marRight w:val="0"/>
          <w:marTop w:val="0"/>
          <w:marBottom w:val="0"/>
          <w:divBdr>
            <w:top w:val="none" w:sz="0" w:space="0" w:color="auto"/>
            <w:left w:val="none" w:sz="0" w:space="0" w:color="auto"/>
            <w:bottom w:val="none" w:sz="0" w:space="0" w:color="auto"/>
            <w:right w:val="none" w:sz="0" w:space="0" w:color="auto"/>
          </w:divBdr>
        </w:div>
        <w:div w:id="1456219292">
          <w:marLeft w:val="0"/>
          <w:marRight w:val="0"/>
          <w:marTop w:val="0"/>
          <w:marBottom w:val="0"/>
          <w:divBdr>
            <w:top w:val="none" w:sz="0" w:space="0" w:color="auto"/>
            <w:left w:val="none" w:sz="0" w:space="0" w:color="auto"/>
            <w:bottom w:val="none" w:sz="0" w:space="0" w:color="auto"/>
            <w:right w:val="none" w:sz="0" w:space="0" w:color="auto"/>
          </w:divBdr>
        </w:div>
        <w:div w:id="199049202">
          <w:marLeft w:val="0"/>
          <w:marRight w:val="0"/>
          <w:marTop w:val="0"/>
          <w:marBottom w:val="0"/>
          <w:divBdr>
            <w:top w:val="none" w:sz="0" w:space="0" w:color="auto"/>
            <w:left w:val="none" w:sz="0" w:space="0" w:color="auto"/>
            <w:bottom w:val="none" w:sz="0" w:space="0" w:color="auto"/>
            <w:right w:val="none" w:sz="0" w:space="0" w:color="auto"/>
          </w:divBdr>
        </w:div>
        <w:div w:id="1302229101">
          <w:marLeft w:val="0"/>
          <w:marRight w:val="0"/>
          <w:marTop w:val="0"/>
          <w:marBottom w:val="0"/>
          <w:divBdr>
            <w:top w:val="none" w:sz="0" w:space="0" w:color="auto"/>
            <w:left w:val="none" w:sz="0" w:space="0" w:color="auto"/>
            <w:bottom w:val="none" w:sz="0" w:space="0" w:color="auto"/>
            <w:right w:val="none" w:sz="0" w:space="0" w:color="auto"/>
          </w:divBdr>
        </w:div>
        <w:div w:id="776339596">
          <w:marLeft w:val="0"/>
          <w:marRight w:val="0"/>
          <w:marTop w:val="0"/>
          <w:marBottom w:val="0"/>
          <w:divBdr>
            <w:top w:val="none" w:sz="0" w:space="0" w:color="auto"/>
            <w:left w:val="none" w:sz="0" w:space="0" w:color="auto"/>
            <w:bottom w:val="none" w:sz="0" w:space="0" w:color="auto"/>
            <w:right w:val="none" w:sz="0" w:space="0" w:color="auto"/>
          </w:divBdr>
        </w:div>
        <w:div w:id="2089647823">
          <w:marLeft w:val="0"/>
          <w:marRight w:val="0"/>
          <w:marTop w:val="0"/>
          <w:marBottom w:val="0"/>
          <w:divBdr>
            <w:top w:val="none" w:sz="0" w:space="0" w:color="auto"/>
            <w:left w:val="none" w:sz="0" w:space="0" w:color="auto"/>
            <w:bottom w:val="none" w:sz="0" w:space="0" w:color="auto"/>
            <w:right w:val="none" w:sz="0" w:space="0" w:color="auto"/>
          </w:divBdr>
        </w:div>
        <w:div w:id="15811973">
          <w:marLeft w:val="0"/>
          <w:marRight w:val="0"/>
          <w:marTop w:val="0"/>
          <w:marBottom w:val="0"/>
          <w:divBdr>
            <w:top w:val="none" w:sz="0" w:space="0" w:color="auto"/>
            <w:left w:val="none" w:sz="0" w:space="0" w:color="auto"/>
            <w:bottom w:val="none" w:sz="0" w:space="0" w:color="auto"/>
            <w:right w:val="none" w:sz="0" w:space="0" w:color="auto"/>
          </w:divBdr>
        </w:div>
        <w:div w:id="478350121">
          <w:marLeft w:val="0"/>
          <w:marRight w:val="0"/>
          <w:marTop w:val="0"/>
          <w:marBottom w:val="0"/>
          <w:divBdr>
            <w:top w:val="none" w:sz="0" w:space="0" w:color="auto"/>
            <w:left w:val="none" w:sz="0" w:space="0" w:color="auto"/>
            <w:bottom w:val="none" w:sz="0" w:space="0" w:color="auto"/>
            <w:right w:val="none" w:sz="0" w:space="0" w:color="auto"/>
          </w:divBdr>
        </w:div>
        <w:div w:id="675155882">
          <w:marLeft w:val="0"/>
          <w:marRight w:val="0"/>
          <w:marTop w:val="0"/>
          <w:marBottom w:val="0"/>
          <w:divBdr>
            <w:top w:val="none" w:sz="0" w:space="0" w:color="auto"/>
            <w:left w:val="none" w:sz="0" w:space="0" w:color="auto"/>
            <w:bottom w:val="none" w:sz="0" w:space="0" w:color="auto"/>
            <w:right w:val="none" w:sz="0" w:space="0" w:color="auto"/>
          </w:divBdr>
        </w:div>
        <w:div w:id="1997800570">
          <w:marLeft w:val="0"/>
          <w:marRight w:val="0"/>
          <w:marTop w:val="0"/>
          <w:marBottom w:val="0"/>
          <w:divBdr>
            <w:top w:val="none" w:sz="0" w:space="0" w:color="auto"/>
            <w:left w:val="none" w:sz="0" w:space="0" w:color="auto"/>
            <w:bottom w:val="none" w:sz="0" w:space="0" w:color="auto"/>
            <w:right w:val="none" w:sz="0" w:space="0" w:color="auto"/>
          </w:divBdr>
        </w:div>
        <w:div w:id="1259286664">
          <w:marLeft w:val="0"/>
          <w:marRight w:val="0"/>
          <w:marTop w:val="0"/>
          <w:marBottom w:val="0"/>
          <w:divBdr>
            <w:top w:val="none" w:sz="0" w:space="0" w:color="auto"/>
            <w:left w:val="none" w:sz="0" w:space="0" w:color="auto"/>
            <w:bottom w:val="none" w:sz="0" w:space="0" w:color="auto"/>
            <w:right w:val="none" w:sz="0" w:space="0" w:color="auto"/>
          </w:divBdr>
        </w:div>
        <w:div w:id="1442413989">
          <w:marLeft w:val="0"/>
          <w:marRight w:val="0"/>
          <w:marTop w:val="0"/>
          <w:marBottom w:val="0"/>
          <w:divBdr>
            <w:top w:val="none" w:sz="0" w:space="0" w:color="auto"/>
            <w:left w:val="none" w:sz="0" w:space="0" w:color="auto"/>
            <w:bottom w:val="none" w:sz="0" w:space="0" w:color="auto"/>
            <w:right w:val="none" w:sz="0" w:space="0" w:color="auto"/>
          </w:divBdr>
        </w:div>
        <w:div w:id="1349678266">
          <w:marLeft w:val="0"/>
          <w:marRight w:val="0"/>
          <w:marTop w:val="0"/>
          <w:marBottom w:val="0"/>
          <w:divBdr>
            <w:top w:val="none" w:sz="0" w:space="0" w:color="auto"/>
            <w:left w:val="none" w:sz="0" w:space="0" w:color="auto"/>
            <w:bottom w:val="none" w:sz="0" w:space="0" w:color="auto"/>
            <w:right w:val="none" w:sz="0" w:space="0" w:color="auto"/>
          </w:divBdr>
        </w:div>
        <w:div w:id="938412220">
          <w:marLeft w:val="0"/>
          <w:marRight w:val="0"/>
          <w:marTop w:val="0"/>
          <w:marBottom w:val="0"/>
          <w:divBdr>
            <w:top w:val="none" w:sz="0" w:space="0" w:color="auto"/>
            <w:left w:val="none" w:sz="0" w:space="0" w:color="auto"/>
            <w:bottom w:val="none" w:sz="0" w:space="0" w:color="auto"/>
            <w:right w:val="none" w:sz="0" w:space="0" w:color="auto"/>
          </w:divBdr>
        </w:div>
        <w:div w:id="643393845">
          <w:marLeft w:val="0"/>
          <w:marRight w:val="0"/>
          <w:marTop w:val="0"/>
          <w:marBottom w:val="0"/>
          <w:divBdr>
            <w:top w:val="none" w:sz="0" w:space="0" w:color="auto"/>
            <w:left w:val="none" w:sz="0" w:space="0" w:color="auto"/>
            <w:bottom w:val="none" w:sz="0" w:space="0" w:color="auto"/>
            <w:right w:val="none" w:sz="0" w:space="0" w:color="auto"/>
          </w:divBdr>
        </w:div>
        <w:div w:id="858933334">
          <w:marLeft w:val="0"/>
          <w:marRight w:val="0"/>
          <w:marTop w:val="0"/>
          <w:marBottom w:val="0"/>
          <w:divBdr>
            <w:top w:val="none" w:sz="0" w:space="0" w:color="auto"/>
            <w:left w:val="none" w:sz="0" w:space="0" w:color="auto"/>
            <w:bottom w:val="none" w:sz="0" w:space="0" w:color="auto"/>
            <w:right w:val="none" w:sz="0" w:space="0" w:color="auto"/>
          </w:divBdr>
        </w:div>
        <w:div w:id="514421129">
          <w:marLeft w:val="0"/>
          <w:marRight w:val="0"/>
          <w:marTop w:val="0"/>
          <w:marBottom w:val="0"/>
          <w:divBdr>
            <w:top w:val="none" w:sz="0" w:space="0" w:color="auto"/>
            <w:left w:val="none" w:sz="0" w:space="0" w:color="auto"/>
            <w:bottom w:val="none" w:sz="0" w:space="0" w:color="auto"/>
            <w:right w:val="none" w:sz="0" w:space="0" w:color="auto"/>
          </w:divBdr>
        </w:div>
        <w:div w:id="817654410">
          <w:marLeft w:val="0"/>
          <w:marRight w:val="0"/>
          <w:marTop w:val="0"/>
          <w:marBottom w:val="0"/>
          <w:divBdr>
            <w:top w:val="none" w:sz="0" w:space="0" w:color="auto"/>
            <w:left w:val="none" w:sz="0" w:space="0" w:color="auto"/>
            <w:bottom w:val="none" w:sz="0" w:space="0" w:color="auto"/>
            <w:right w:val="none" w:sz="0" w:space="0" w:color="auto"/>
          </w:divBdr>
        </w:div>
        <w:div w:id="1455558388">
          <w:marLeft w:val="0"/>
          <w:marRight w:val="0"/>
          <w:marTop w:val="0"/>
          <w:marBottom w:val="0"/>
          <w:divBdr>
            <w:top w:val="none" w:sz="0" w:space="0" w:color="auto"/>
            <w:left w:val="none" w:sz="0" w:space="0" w:color="auto"/>
            <w:bottom w:val="none" w:sz="0" w:space="0" w:color="auto"/>
            <w:right w:val="none" w:sz="0" w:space="0" w:color="auto"/>
          </w:divBdr>
        </w:div>
        <w:div w:id="793138997">
          <w:marLeft w:val="0"/>
          <w:marRight w:val="0"/>
          <w:marTop w:val="0"/>
          <w:marBottom w:val="0"/>
          <w:divBdr>
            <w:top w:val="none" w:sz="0" w:space="0" w:color="auto"/>
            <w:left w:val="none" w:sz="0" w:space="0" w:color="auto"/>
            <w:bottom w:val="none" w:sz="0" w:space="0" w:color="auto"/>
            <w:right w:val="none" w:sz="0" w:space="0" w:color="auto"/>
          </w:divBdr>
        </w:div>
        <w:div w:id="716322444">
          <w:marLeft w:val="0"/>
          <w:marRight w:val="0"/>
          <w:marTop w:val="0"/>
          <w:marBottom w:val="0"/>
          <w:divBdr>
            <w:top w:val="none" w:sz="0" w:space="0" w:color="auto"/>
            <w:left w:val="none" w:sz="0" w:space="0" w:color="auto"/>
            <w:bottom w:val="none" w:sz="0" w:space="0" w:color="auto"/>
            <w:right w:val="none" w:sz="0" w:space="0" w:color="auto"/>
          </w:divBdr>
        </w:div>
        <w:div w:id="585766044">
          <w:marLeft w:val="0"/>
          <w:marRight w:val="0"/>
          <w:marTop w:val="0"/>
          <w:marBottom w:val="0"/>
          <w:divBdr>
            <w:top w:val="none" w:sz="0" w:space="0" w:color="auto"/>
            <w:left w:val="none" w:sz="0" w:space="0" w:color="auto"/>
            <w:bottom w:val="none" w:sz="0" w:space="0" w:color="auto"/>
            <w:right w:val="none" w:sz="0" w:space="0" w:color="auto"/>
          </w:divBdr>
        </w:div>
        <w:div w:id="836652893">
          <w:marLeft w:val="0"/>
          <w:marRight w:val="0"/>
          <w:marTop w:val="0"/>
          <w:marBottom w:val="0"/>
          <w:divBdr>
            <w:top w:val="none" w:sz="0" w:space="0" w:color="auto"/>
            <w:left w:val="none" w:sz="0" w:space="0" w:color="auto"/>
            <w:bottom w:val="none" w:sz="0" w:space="0" w:color="auto"/>
            <w:right w:val="none" w:sz="0" w:space="0" w:color="auto"/>
          </w:divBdr>
        </w:div>
      </w:divsChild>
    </w:div>
    <w:div w:id="1079906796">
      <w:bodyDiv w:val="1"/>
      <w:marLeft w:val="0"/>
      <w:marRight w:val="0"/>
      <w:marTop w:val="0"/>
      <w:marBottom w:val="0"/>
      <w:divBdr>
        <w:top w:val="none" w:sz="0" w:space="0" w:color="auto"/>
        <w:left w:val="none" w:sz="0" w:space="0" w:color="auto"/>
        <w:bottom w:val="none" w:sz="0" w:space="0" w:color="auto"/>
        <w:right w:val="none" w:sz="0" w:space="0" w:color="auto"/>
      </w:divBdr>
      <w:divsChild>
        <w:div w:id="72091387">
          <w:marLeft w:val="0"/>
          <w:marRight w:val="0"/>
          <w:marTop w:val="0"/>
          <w:marBottom w:val="0"/>
          <w:divBdr>
            <w:top w:val="none" w:sz="0" w:space="0" w:color="auto"/>
            <w:left w:val="none" w:sz="0" w:space="0" w:color="auto"/>
            <w:bottom w:val="none" w:sz="0" w:space="0" w:color="auto"/>
            <w:right w:val="none" w:sz="0" w:space="0" w:color="auto"/>
          </w:divBdr>
        </w:div>
        <w:div w:id="1299187847">
          <w:marLeft w:val="0"/>
          <w:marRight w:val="0"/>
          <w:marTop w:val="0"/>
          <w:marBottom w:val="0"/>
          <w:divBdr>
            <w:top w:val="none" w:sz="0" w:space="0" w:color="auto"/>
            <w:left w:val="none" w:sz="0" w:space="0" w:color="auto"/>
            <w:bottom w:val="none" w:sz="0" w:space="0" w:color="auto"/>
            <w:right w:val="none" w:sz="0" w:space="0" w:color="auto"/>
          </w:divBdr>
          <w:divsChild>
            <w:div w:id="1142312150">
              <w:marLeft w:val="0"/>
              <w:marRight w:val="0"/>
              <w:marTop w:val="0"/>
              <w:marBottom w:val="0"/>
              <w:divBdr>
                <w:top w:val="none" w:sz="0" w:space="0" w:color="auto"/>
                <w:left w:val="none" w:sz="0" w:space="0" w:color="auto"/>
                <w:bottom w:val="none" w:sz="0" w:space="0" w:color="auto"/>
                <w:right w:val="none" w:sz="0" w:space="0" w:color="auto"/>
              </w:divBdr>
              <w:divsChild>
                <w:div w:id="12034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259487330">
      <w:bodyDiv w:val="1"/>
      <w:marLeft w:val="0"/>
      <w:marRight w:val="0"/>
      <w:marTop w:val="30"/>
      <w:marBottom w:val="750"/>
      <w:divBdr>
        <w:top w:val="none" w:sz="0" w:space="0" w:color="auto"/>
        <w:left w:val="none" w:sz="0" w:space="0" w:color="auto"/>
        <w:bottom w:val="none" w:sz="0" w:space="0" w:color="auto"/>
        <w:right w:val="none" w:sz="0" w:space="0" w:color="auto"/>
      </w:divBdr>
      <w:divsChild>
        <w:div w:id="2033452654">
          <w:marLeft w:val="0"/>
          <w:marRight w:val="0"/>
          <w:marTop w:val="0"/>
          <w:marBottom w:val="0"/>
          <w:divBdr>
            <w:top w:val="none" w:sz="0" w:space="0" w:color="auto"/>
            <w:left w:val="none" w:sz="0" w:space="0" w:color="auto"/>
            <w:bottom w:val="none" w:sz="0" w:space="0" w:color="auto"/>
            <w:right w:val="none" w:sz="0" w:space="0" w:color="auto"/>
          </w:divBdr>
        </w:div>
      </w:divsChild>
    </w:div>
    <w:div w:id="1365670380">
      <w:bodyDiv w:val="1"/>
      <w:marLeft w:val="0"/>
      <w:marRight w:val="0"/>
      <w:marTop w:val="0"/>
      <w:marBottom w:val="0"/>
      <w:divBdr>
        <w:top w:val="none" w:sz="0" w:space="0" w:color="auto"/>
        <w:left w:val="none" w:sz="0" w:space="0" w:color="auto"/>
        <w:bottom w:val="none" w:sz="0" w:space="0" w:color="auto"/>
        <w:right w:val="none" w:sz="0" w:space="0" w:color="auto"/>
      </w:divBdr>
      <w:divsChild>
        <w:div w:id="903638989">
          <w:marLeft w:val="0"/>
          <w:marRight w:val="0"/>
          <w:marTop w:val="0"/>
          <w:marBottom w:val="0"/>
          <w:divBdr>
            <w:top w:val="none" w:sz="0" w:space="0" w:color="auto"/>
            <w:left w:val="none" w:sz="0" w:space="0" w:color="auto"/>
            <w:bottom w:val="none" w:sz="0" w:space="0" w:color="auto"/>
            <w:right w:val="none" w:sz="0" w:space="0" w:color="auto"/>
          </w:divBdr>
        </w:div>
        <w:div w:id="521360492">
          <w:marLeft w:val="0"/>
          <w:marRight w:val="0"/>
          <w:marTop w:val="0"/>
          <w:marBottom w:val="0"/>
          <w:divBdr>
            <w:top w:val="none" w:sz="0" w:space="0" w:color="auto"/>
            <w:left w:val="none" w:sz="0" w:space="0" w:color="auto"/>
            <w:bottom w:val="none" w:sz="0" w:space="0" w:color="auto"/>
            <w:right w:val="none" w:sz="0" w:space="0" w:color="auto"/>
          </w:divBdr>
          <w:divsChild>
            <w:div w:id="1733700008">
              <w:marLeft w:val="0"/>
              <w:marRight w:val="0"/>
              <w:marTop w:val="0"/>
              <w:marBottom w:val="0"/>
              <w:divBdr>
                <w:top w:val="none" w:sz="0" w:space="0" w:color="auto"/>
                <w:left w:val="none" w:sz="0" w:space="0" w:color="auto"/>
                <w:bottom w:val="none" w:sz="0" w:space="0" w:color="auto"/>
                <w:right w:val="none" w:sz="0" w:space="0" w:color="auto"/>
              </w:divBdr>
              <w:divsChild>
                <w:div w:id="12028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26241445">
      <w:bodyDiv w:val="1"/>
      <w:marLeft w:val="0"/>
      <w:marRight w:val="0"/>
      <w:marTop w:val="0"/>
      <w:marBottom w:val="0"/>
      <w:divBdr>
        <w:top w:val="none" w:sz="0" w:space="0" w:color="auto"/>
        <w:left w:val="none" w:sz="0" w:space="0" w:color="auto"/>
        <w:bottom w:val="none" w:sz="0" w:space="0" w:color="auto"/>
        <w:right w:val="none" w:sz="0" w:space="0" w:color="auto"/>
      </w:divBdr>
      <w:divsChild>
        <w:div w:id="506600460">
          <w:marLeft w:val="0"/>
          <w:marRight w:val="0"/>
          <w:marTop w:val="0"/>
          <w:marBottom w:val="0"/>
          <w:divBdr>
            <w:top w:val="none" w:sz="0" w:space="0" w:color="auto"/>
            <w:left w:val="none" w:sz="0" w:space="0" w:color="auto"/>
            <w:bottom w:val="none" w:sz="0" w:space="0" w:color="auto"/>
            <w:right w:val="none" w:sz="0" w:space="0" w:color="auto"/>
          </w:divBdr>
        </w:div>
        <w:div w:id="1701470995">
          <w:marLeft w:val="0"/>
          <w:marRight w:val="0"/>
          <w:marTop w:val="0"/>
          <w:marBottom w:val="0"/>
          <w:divBdr>
            <w:top w:val="none" w:sz="0" w:space="0" w:color="auto"/>
            <w:left w:val="none" w:sz="0" w:space="0" w:color="auto"/>
            <w:bottom w:val="none" w:sz="0" w:space="0" w:color="auto"/>
            <w:right w:val="none" w:sz="0" w:space="0" w:color="auto"/>
          </w:divBdr>
          <w:divsChild>
            <w:div w:id="373383768">
              <w:marLeft w:val="0"/>
              <w:marRight w:val="0"/>
              <w:marTop w:val="0"/>
              <w:marBottom w:val="0"/>
              <w:divBdr>
                <w:top w:val="none" w:sz="0" w:space="0" w:color="auto"/>
                <w:left w:val="none" w:sz="0" w:space="0" w:color="auto"/>
                <w:bottom w:val="none" w:sz="0" w:space="0" w:color="auto"/>
                <w:right w:val="none" w:sz="0" w:space="0" w:color="auto"/>
              </w:divBdr>
              <w:divsChild>
                <w:div w:id="189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7416">
      <w:bodyDiv w:val="1"/>
      <w:marLeft w:val="0"/>
      <w:marRight w:val="0"/>
      <w:marTop w:val="0"/>
      <w:marBottom w:val="0"/>
      <w:divBdr>
        <w:top w:val="none" w:sz="0" w:space="0" w:color="auto"/>
        <w:left w:val="none" w:sz="0" w:space="0" w:color="auto"/>
        <w:bottom w:val="none" w:sz="0" w:space="0" w:color="auto"/>
        <w:right w:val="none" w:sz="0" w:space="0" w:color="auto"/>
      </w:divBdr>
      <w:divsChild>
        <w:div w:id="1829200350">
          <w:marLeft w:val="0"/>
          <w:marRight w:val="0"/>
          <w:marTop w:val="0"/>
          <w:marBottom w:val="0"/>
          <w:divBdr>
            <w:top w:val="none" w:sz="0" w:space="0" w:color="auto"/>
            <w:left w:val="none" w:sz="0" w:space="0" w:color="auto"/>
            <w:bottom w:val="none" w:sz="0" w:space="0" w:color="auto"/>
            <w:right w:val="none" w:sz="0" w:space="0" w:color="auto"/>
          </w:divBdr>
        </w:div>
        <w:div w:id="399519055">
          <w:marLeft w:val="0"/>
          <w:marRight w:val="0"/>
          <w:marTop w:val="0"/>
          <w:marBottom w:val="0"/>
          <w:divBdr>
            <w:top w:val="none" w:sz="0" w:space="0" w:color="auto"/>
            <w:left w:val="none" w:sz="0" w:space="0" w:color="auto"/>
            <w:bottom w:val="none" w:sz="0" w:space="0" w:color="auto"/>
            <w:right w:val="none" w:sz="0" w:space="0" w:color="auto"/>
          </w:divBdr>
        </w:div>
        <w:div w:id="1451510368">
          <w:marLeft w:val="0"/>
          <w:marRight w:val="0"/>
          <w:marTop w:val="0"/>
          <w:marBottom w:val="0"/>
          <w:divBdr>
            <w:top w:val="none" w:sz="0" w:space="0" w:color="auto"/>
            <w:left w:val="none" w:sz="0" w:space="0" w:color="auto"/>
            <w:bottom w:val="none" w:sz="0" w:space="0" w:color="auto"/>
            <w:right w:val="none" w:sz="0" w:space="0" w:color="auto"/>
          </w:divBdr>
        </w:div>
        <w:div w:id="1482965413">
          <w:marLeft w:val="0"/>
          <w:marRight w:val="0"/>
          <w:marTop w:val="0"/>
          <w:marBottom w:val="0"/>
          <w:divBdr>
            <w:top w:val="none" w:sz="0" w:space="0" w:color="auto"/>
            <w:left w:val="none" w:sz="0" w:space="0" w:color="auto"/>
            <w:bottom w:val="none" w:sz="0" w:space="0" w:color="auto"/>
            <w:right w:val="none" w:sz="0" w:space="0" w:color="auto"/>
          </w:divBdr>
        </w:div>
        <w:div w:id="2103136775">
          <w:marLeft w:val="0"/>
          <w:marRight w:val="0"/>
          <w:marTop w:val="0"/>
          <w:marBottom w:val="0"/>
          <w:divBdr>
            <w:top w:val="none" w:sz="0" w:space="0" w:color="auto"/>
            <w:left w:val="none" w:sz="0" w:space="0" w:color="auto"/>
            <w:bottom w:val="none" w:sz="0" w:space="0" w:color="auto"/>
            <w:right w:val="none" w:sz="0" w:space="0" w:color="auto"/>
          </w:divBdr>
        </w:div>
        <w:div w:id="1913193228">
          <w:marLeft w:val="0"/>
          <w:marRight w:val="0"/>
          <w:marTop w:val="0"/>
          <w:marBottom w:val="0"/>
          <w:divBdr>
            <w:top w:val="none" w:sz="0" w:space="0" w:color="auto"/>
            <w:left w:val="none" w:sz="0" w:space="0" w:color="auto"/>
            <w:bottom w:val="none" w:sz="0" w:space="0" w:color="auto"/>
            <w:right w:val="none" w:sz="0" w:space="0" w:color="auto"/>
          </w:divBdr>
        </w:div>
        <w:div w:id="2071226410">
          <w:marLeft w:val="0"/>
          <w:marRight w:val="0"/>
          <w:marTop w:val="0"/>
          <w:marBottom w:val="0"/>
          <w:divBdr>
            <w:top w:val="none" w:sz="0" w:space="0" w:color="auto"/>
            <w:left w:val="none" w:sz="0" w:space="0" w:color="auto"/>
            <w:bottom w:val="none" w:sz="0" w:space="0" w:color="auto"/>
            <w:right w:val="none" w:sz="0" w:space="0" w:color="auto"/>
          </w:divBdr>
        </w:div>
        <w:div w:id="772476765">
          <w:marLeft w:val="0"/>
          <w:marRight w:val="0"/>
          <w:marTop w:val="0"/>
          <w:marBottom w:val="0"/>
          <w:divBdr>
            <w:top w:val="none" w:sz="0" w:space="0" w:color="auto"/>
            <w:left w:val="none" w:sz="0" w:space="0" w:color="auto"/>
            <w:bottom w:val="none" w:sz="0" w:space="0" w:color="auto"/>
            <w:right w:val="none" w:sz="0" w:space="0" w:color="auto"/>
          </w:divBdr>
        </w:div>
        <w:div w:id="1877232264">
          <w:marLeft w:val="0"/>
          <w:marRight w:val="0"/>
          <w:marTop w:val="0"/>
          <w:marBottom w:val="0"/>
          <w:divBdr>
            <w:top w:val="none" w:sz="0" w:space="0" w:color="auto"/>
            <w:left w:val="none" w:sz="0" w:space="0" w:color="auto"/>
            <w:bottom w:val="none" w:sz="0" w:space="0" w:color="auto"/>
            <w:right w:val="none" w:sz="0" w:space="0" w:color="auto"/>
          </w:divBdr>
        </w:div>
        <w:div w:id="1380205124">
          <w:marLeft w:val="0"/>
          <w:marRight w:val="0"/>
          <w:marTop w:val="0"/>
          <w:marBottom w:val="0"/>
          <w:divBdr>
            <w:top w:val="none" w:sz="0" w:space="0" w:color="auto"/>
            <w:left w:val="none" w:sz="0" w:space="0" w:color="auto"/>
            <w:bottom w:val="none" w:sz="0" w:space="0" w:color="auto"/>
            <w:right w:val="none" w:sz="0" w:space="0" w:color="auto"/>
          </w:divBdr>
        </w:div>
        <w:div w:id="1454472313">
          <w:marLeft w:val="0"/>
          <w:marRight w:val="0"/>
          <w:marTop w:val="0"/>
          <w:marBottom w:val="0"/>
          <w:divBdr>
            <w:top w:val="none" w:sz="0" w:space="0" w:color="auto"/>
            <w:left w:val="none" w:sz="0" w:space="0" w:color="auto"/>
            <w:bottom w:val="none" w:sz="0" w:space="0" w:color="auto"/>
            <w:right w:val="none" w:sz="0" w:space="0" w:color="auto"/>
          </w:divBdr>
        </w:div>
        <w:div w:id="1312951526">
          <w:marLeft w:val="0"/>
          <w:marRight w:val="0"/>
          <w:marTop w:val="0"/>
          <w:marBottom w:val="0"/>
          <w:divBdr>
            <w:top w:val="none" w:sz="0" w:space="0" w:color="auto"/>
            <w:left w:val="none" w:sz="0" w:space="0" w:color="auto"/>
            <w:bottom w:val="none" w:sz="0" w:space="0" w:color="auto"/>
            <w:right w:val="none" w:sz="0" w:space="0" w:color="auto"/>
          </w:divBdr>
        </w:div>
        <w:div w:id="1766682137">
          <w:marLeft w:val="0"/>
          <w:marRight w:val="0"/>
          <w:marTop w:val="0"/>
          <w:marBottom w:val="0"/>
          <w:divBdr>
            <w:top w:val="none" w:sz="0" w:space="0" w:color="auto"/>
            <w:left w:val="none" w:sz="0" w:space="0" w:color="auto"/>
            <w:bottom w:val="none" w:sz="0" w:space="0" w:color="auto"/>
            <w:right w:val="none" w:sz="0" w:space="0" w:color="auto"/>
          </w:divBdr>
        </w:div>
        <w:div w:id="1676759632">
          <w:marLeft w:val="0"/>
          <w:marRight w:val="0"/>
          <w:marTop w:val="0"/>
          <w:marBottom w:val="0"/>
          <w:divBdr>
            <w:top w:val="none" w:sz="0" w:space="0" w:color="auto"/>
            <w:left w:val="none" w:sz="0" w:space="0" w:color="auto"/>
            <w:bottom w:val="none" w:sz="0" w:space="0" w:color="auto"/>
            <w:right w:val="none" w:sz="0" w:space="0" w:color="auto"/>
          </w:divBdr>
        </w:div>
        <w:div w:id="1584218174">
          <w:marLeft w:val="0"/>
          <w:marRight w:val="0"/>
          <w:marTop w:val="0"/>
          <w:marBottom w:val="0"/>
          <w:divBdr>
            <w:top w:val="none" w:sz="0" w:space="0" w:color="auto"/>
            <w:left w:val="none" w:sz="0" w:space="0" w:color="auto"/>
            <w:bottom w:val="none" w:sz="0" w:space="0" w:color="auto"/>
            <w:right w:val="none" w:sz="0" w:space="0" w:color="auto"/>
          </w:divBdr>
        </w:div>
        <w:div w:id="762996459">
          <w:marLeft w:val="0"/>
          <w:marRight w:val="0"/>
          <w:marTop w:val="0"/>
          <w:marBottom w:val="0"/>
          <w:divBdr>
            <w:top w:val="none" w:sz="0" w:space="0" w:color="auto"/>
            <w:left w:val="none" w:sz="0" w:space="0" w:color="auto"/>
            <w:bottom w:val="none" w:sz="0" w:space="0" w:color="auto"/>
            <w:right w:val="none" w:sz="0" w:space="0" w:color="auto"/>
          </w:divBdr>
        </w:div>
        <w:div w:id="1543711454">
          <w:marLeft w:val="0"/>
          <w:marRight w:val="0"/>
          <w:marTop w:val="0"/>
          <w:marBottom w:val="0"/>
          <w:divBdr>
            <w:top w:val="none" w:sz="0" w:space="0" w:color="auto"/>
            <w:left w:val="none" w:sz="0" w:space="0" w:color="auto"/>
            <w:bottom w:val="none" w:sz="0" w:space="0" w:color="auto"/>
            <w:right w:val="none" w:sz="0" w:space="0" w:color="auto"/>
          </w:divBdr>
        </w:div>
        <w:div w:id="368651302">
          <w:marLeft w:val="0"/>
          <w:marRight w:val="0"/>
          <w:marTop w:val="0"/>
          <w:marBottom w:val="0"/>
          <w:divBdr>
            <w:top w:val="none" w:sz="0" w:space="0" w:color="auto"/>
            <w:left w:val="none" w:sz="0" w:space="0" w:color="auto"/>
            <w:bottom w:val="none" w:sz="0" w:space="0" w:color="auto"/>
            <w:right w:val="none" w:sz="0" w:space="0" w:color="auto"/>
          </w:divBdr>
        </w:div>
        <w:div w:id="1223718292">
          <w:marLeft w:val="0"/>
          <w:marRight w:val="0"/>
          <w:marTop w:val="0"/>
          <w:marBottom w:val="0"/>
          <w:divBdr>
            <w:top w:val="none" w:sz="0" w:space="0" w:color="auto"/>
            <w:left w:val="none" w:sz="0" w:space="0" w:color="auto"/>
            <w:bottom w:val="none" w:sz="0" w:space="0" w:color="auto"/>
            <w:right w:val="none" w:sz="0" w:space="0" w:color="auto"/>
          </w:divBdr>
        </w:div>
        <w:div w:id="1767529810">
          <w:marLeft w:val="0"/>
          <w:marRight w:val="0"/>
          <w:marTop w:val="0"/>
          <w:marBottom w:val="0"/>
          <w:divBdr>
            <w:top w:val="none" w:sz="0" w:space="0" w:color="auto"/>
            <w:left w:val="none" w:sz="0" w:space="0" w:color="auto"/>
            <w:bottom w:val="none" w:sz="0" w:space="0" w:color="auto"/>
            <w:right w:val="none" w:sz="0" w:space="0" w:color="auto"/>
          </w:divBdr>
        </w:div>
        <w:div w:id="809051720">
          <w:marLeft w:val="0"/>
          <w:marRight w:val="0"/>
          <w:marTop w:val="0"/>
          <w:marBottom w:val="0"/>
          <w:divBdr>
            <w:top w:val="none" w:sz="0" w:space="0" w:color="auto"/>
            <w:left w:val="none" w:sz="0" w:space="0" w:color="auto"/>
            <w:bottom w:val="none" w:sz="0" w:space="0" w:color="auto"/>
            <w:right w:val="none" w:sz="0" w:space="0" w:color="auto"/>
          </w:divBdr>
        </w:div>
        <w:div w:id="625701057">
          <w:marLeft w:val="0"/>
          <w:marRight w:val="0"/>
          <w:marTop w:val="0"/>
          <w:marBottom w:val="0"/>
          <w:divBdr>
            <w:top w:val="none" w:sz="0" w:space="0" w:color="auto"/>
            <w:left w:val="none" w:sz="0" w:space="0" w:color="auto"/>
            <w:bottom w:val="none" w:sz="0" w:space="0" w:color="auto"/>
            <w:right w:val="none" w:sz="0" w:space="0" w:color="auto"/>
          </w:divBdr>
        </w:div>
        <w:div w:id="1059288412">
          <w:marLeft w:val="0"/>
          <w:marRight w:val="0"/>
          <w:marTop w:val="0"/>
          <w:marBottom w:val="0"/>
          <w:divBdr>
            <w:top w:val="none" w:sz="0" w:space="0" w:color="auto"/>
            <w:left w:val="none" w:sz="0" w:space="0" w:color="auto"/>
            <w:bottom w:val="none" w:sz="0" w:space="0" w:color="auto"/>
            <w:right w:val="none" w:sz="0" w:space="0" w:color="auto"/>
          </w:divBdr>
        </w:div>
        <w:div w:id="1982808849">
          <w:marLeft w:val="0"/>
          <w:marRight w:val="0"/>
          <w:marTop w:val="0"/>
          <w:marBottom w:val="0"/>
          <w:divBdr>
            <w:top w:val="none" w:sz="0" w:space="0" w:color="auto"/>
            <w:left w:val="none" w:sz="0" w:space="0" w:color="auto"/>
            <w:bottom w:val="none" w:sz="0" w:space="0" w:color="auto"/>
            <w:right w:val="none" w:sz="0" w:space="0" w:color="auto"/>
          </w:divBdr>
        </w:div>
        <w:div w:id="1859394759">
          <w:marLeft w:val="0"/>
          <w:marRight w:val="0"/>
          <w:marTop w:val="0"/>
          <w:marBottom w:val="0"/>
          <w:divBdr>
            <w:top w:val="none" w:sz="0" w:space="0" w:color="auto"/>
            <w:left w:val="none" w:sz="0" w:space="0" w:color="auto"/>
            <w:bottom w:val="none" w:sz="0" w:space="0" w:color="auto"/>
            <w:right w:val="none" w:sz="0" w:space="0" w:color="auto"/>
          </w:divBdr>
        </w:div>
        <w:div w:id="2125419273">
          <w:marLeft w:val="0"/>
          <w:marRight w:val="0"/>
          <w:marTop w:val="0"/>
          <w:marBottom w:val="0"/>
          <w:divBdr>
            <w:top w:val="none" w:sz="0" w:space="0" w:color="auto"/>
            <w:left w:val="none" w:sz="0" w:space="0" w:color="auto"/>
            <w:bottom w:val="none" w:sz="0" w:space="0" w:color="auto"/>
            <w:right w:val="none" w:sz="0" w:space="0" w:color="auto"/>
          </w:divBdr>
        </w:div>
        <w:div w:id="775561320">
          <w:marLeft w:val="0"/>
          <w:marRight w:val="0"/>
          <w:marTop w:val="0"/>
          <w:marBottom w:val="0"/>
          <w:divBdr>
            <w:top w:val="none" w:sz="0" w:space="0" w:color="auto"/>
            <w:left w:val="none" w:sz="0" w:space="0" w:color="auto"/>
            <w:bottom w:val="none" w:sz="0" w:space="0" w:color="auto"/>
            <w:right w:val="none" w:sz="0" w:space="0" w:color="auto"/>
          </w:divBdr>
        </w:div>
        <w:div w:id="991249850">
          <w:marLeft w:val="0"/>
          <w:marRight w:val="0"/>
          <w:marTop w:val="0"/>
          <w:marBottom w:val="0"/>
          <w:divBdr>
            <w:top w:val="none" w:sz="0" w:space="0" w:color="auto"/>
            <w:left w:val="none" w:sz="0" w:space="0" w:color="auto"/>
            <w:bottom w:val="none" w:sz="0" w:space="0" w:color="auto"/>
            <w:right w:val="none" w:sz="0" w:space="0" w:color="auto"/>
          </w:divBdr>
        </w:div>
        <w:div w:id="10189416">
          <w:marLeft w:val="0"/>
          <w:marRight w:val="0"/>
          <w:marTop w:val="0"/>
          <w:marBottom w:val="0"/>
          <w:divBdr>
            <w:top w:val="none" w:sz="0" w:space="0" w:color="auto"/>
            <w:left w:val="none" w:sz="0" w:space="0" w:color="auto"/>
            <w:bottom w:val="none" w:sz="0" w:space="0" w:color="auto"/>
            <w:right w:val="none" w:sz="0" w:space="0" w:color="auto"/>
          </w:divBdr>
        </w:div>
        <w:div w:id="531965944">
          <w:marLeft w:val="0"/>
          <w:marRight w:val="0"/>
          <w:marTop w:val="0"/>
          <w:marBottom w:val="0"/>
          <w:divBdr>
            <w:top w:val="none" w:sz="0" w:space="0" w:color="auto"/>
            <w:left w:val="none" w:sz="0" w:space="0" w:color="auto"/>
            <w:bottom w:val="none" w:sz="0" w:space="0" w:color="auto"/>
            <w:right w:val="none" w:sz="0" w:space="0" w:color="auto"/>
          </w:divBdr>
        </w:div>
        <w:div w:id="1529954715">
          <w:marLeft w:val="0"/>
          <w:marRight w:val="0"/>
          <w:marTop w:val="0"/>
          <w:marBottom w:val="0"/>
          <w:divBdr>
            <w:top w:val="none" w:sz="0" w:space="0" w:color="auto"/>
            <w:left w:val="none" w:sz="0" w:space="0" w:color="auto"/>
            <w:bottom w:val="none" w:sz="0" w:space="0" w:color="auto"/>
            <w:right w:val="none" w:sz="0" w:space="0" w:color="auto"/>
          </w:divBdr>
        </w:div>
        <w:div w:id="1988320281">
          <w:marLeft w:val="0"/>
          <w:marRight w:val="0"/>
          <w:marTop w:val="0"/>
          <w:marBottom w:val="0"/>
          <w:divBdr>
            <w:top w:val="none" w:sz="0" w:space="0" w:color="auto"/>
            <w:left w:val="none" w:sz="0" w:space="0" w:color="auto"/>
            <w:bottom w:val="none" w:sz="0" w:space="0" w:color="auto"/>
            <w:right w:val="none" w:sz="0" w:space="0" w:color="auto"/>
          </w:divBdr>
        </w:div>
        <w:div w:id="1054239218">
          <w:marLeft w:val="0"/>
          <w:marRight w:val="0"/>
          <w:marTop w:val="0"/>
          <w:marBottom w:val="0"/>
          <w:divBdr>
            <w:top w:val="none" w:sz="0" w:space="0" w:color="auto"/>
            <w:left w:val="none" w:sz="0" w:space="0" w:color="auto"/>
            <w:bottom w:val="none" w:sz="0" w:space="0" w:color="auto"/>
            <w:right w:val="none" w:sz="0" w:space="0" w:color="auto"/>
          </w:divBdr>
        </w:div>
        <w:div w:id="575363686">
          <w:marLeft w:val="0"/>
          <w:marRight w:val="0"/>
          <w:marTop w:val="0"/>
          <w:marBottom w:val="0"/>
          <w:divBdr>
            <w:top w:val="none" w:sz="0" w:space="0" w:color="auto"/>
            <w:left w:val="none" w:sz="0" w:space="0" w:color="auto"/>
            <w:bottom w:val="none" w:sz="0" w:space="0" w:color="auto"/>
            <w:right w:val="none" w:sz="0" w:space="0" w:color="auto"/>
          </w:divBdr>
        </w:div>
        <w:div w:id="648245300">
          <w:marLeft w:val="0"/>
          <w:marRight w:val="0"/>
          <w:marTop w:val="0"/>
          <w:marBottom w:val="0"/>
          <w:divBdr>
            <w:top w:val="none" w:sz="0" w:space="0" w:color="auto"/>
            <w:left w:val="none" w:sz="0" w:space="0" w:color="auto"/>
            <w:bottom w:val="none" w:sz="0" w:space="0" w:color="auto"/>
            <w:right w:val="none" w:sz="0" w:space="0" w:color="auto"/>
          </w:divBdr>
        </w:div>
        <w:div w:id="389810622">
          <w:marLeft w:val="0"/>
          <w:marRight w:val="0"/>
          <w:marTop w:val="0"/>
          <w:marBottom w:val="0"/>
          <w:divBdr>
            <w:top w:val="none" w:sz="0" w:space="0" w:color="auto"/>
            <w:left w:val="none" w:sz="0" w:space="0" w:color="auto"/>
            <w:bottom w:val="none" w:sz="0" w:space="0" w:color="auto"/>
            <w:right w:val="none" w:sz="0" w:space="0" w:color="auto"/>
          </w:divBdr>
        </w:div>
        <w:div w:id="1541748228">
          <w:marLeft w:val="0"/>
          <w:marRight w:val="0"/>
          <w:marTop w:val="0"/>
          <w:marBottom w:val="0"/>
          <w:divBdr>
            <w:top w:val="none" w:sz="0" w:space="0" w:color="auto"/>
            <w:left w:val="none" w:sz="0" w:space="0" w:color="auto"/>
            <w:bottom w:val="none" w:sz="0" w:space="0" w:color="auto"/>
            <w:right w:val="none" w:sz="0" w:space="0" w:color="auto"/>
          </w:divBdr>
        </w:div>
        <w:div w:id="1174995677">
          <w:marLeft w:val="0"/>
          <w:marRight w:val="0"/>
          <w:marTop w:val="0"/>
          <w:marBottom w:val="0"/>
          <w:divBdr>
            <w:top w:val="none" w:sz="0" w:space="0" w:color="auto"/>
            <w:left w:val="none" w:sz="0" w:space="0" w:color="auto"/>
            <w:bottom w:val="none" w:sz="0" w:space="0" w:color="auto"/>
            <w:right w:val="none" w:sz="0" w:space="0" w:color="auto"/>
          </w:divBdr>
        </w:div>
        <w:div w:id="138845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comlaw.bna.com/terc/display/split_display.adp?fedfid=99120369&amp;wsn=523242442&amp;vname=comrgdec&amp;searchid=28668137&amp;doctypeid=1&amp;type=court&amp;scm=1502&amp;pg=0" TargetMode="External"/><Relationship Id="rId13" Type="http://schemas.openxmlformats.org/officeDocument/2006/relationships/hyperlink" Target="javascript:top.docjs.next_hit(2)" TargetMode="External"/><Relationship Id="rId18" Type="http://schemas.openxmlformats.org/officeDocument/2006/relationships/hyperlink" Target="javascript:top.docjs.prev_hit(38)" TargetMode="External"/><Relationship Id="rId26" Type="http://schemas.openxmlformats.org/officeDocument/2006/relationships/hyperlink" Target="javascript:top.docjs.next_hit(96)" TargetMode="External"/><Relationship Id="rId3" Type="http://schemas.microsoft.com/office/2007/relationships/stylesWithEffects" Target="stylesWithEffects.xml"/><Relationship Id="rId21" Type="http://schemas.openxmlformats.org/officeDocument/2006/relationships/image" Target="media/image1.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lecomlaw.bna.com/terc/display/split_display.adp?fedfid=49948692&amp;wsn=528974000&amp;vname=comrgdec&amp;searchid=27200906&amp;doctypeid=1&amp;type=court&amp;scm=1502&amp;pg=0" TargetMode="External"/><Relationship Id="rId17" Type="http://schemas.openxmlformats.org/officeDocument/2006/relationships/hyperlink" Target="javascript:top.docjs.next_hit(37)" TargetMode="External"/><Relationship Id="rId25" Type="http://schemas.openxmlformats.org/officeDocument/2006/relationships/hyperlink" Target="javascript:top.docjs.prev_hit(9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top.docjs.prev_hit(37)" TargetMode="External"/><Relationship Id="rId20" Type="http://schemas.openxmlformats.org/officeDocument/2006/relationships/hyperlink" Target="javascript:top.docjs.prev_hit(8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op.docjs.prev_hit(2)" TargetMode="External"/><Relationship Id="rId24" Type="http://schemas.openxmlformats.org/officeDocument/2006/relationships/hyperlink" Target="javascript:top.docjs.next_hit(9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top.docjs.next_hit(36)" TargetMode="External"/><Relationship Id="rId23" Type="http://schemas.openxmlformats.org/officeDocument/2006/relationships/hyperlink" Target="javascript:top.docjs.prev_hit(95)" TargetMode="External"/><Relationship Id="rId28" Type="http://schemas.openxmlformats.org/officeDocument/2006/relationships/header" Target="header2.xml"/><Relationship Id="rId10" Type="http://schemas.openxmlformats.org/officeDocument/2006/relationships/hyperlink" Target="javascript:top.docjs.next_hit(1)" TargetMode="External"/><Relationship Id="rId19" Type="http://schemas.openxmlformats.org/officeDocument/2006/relationships/hyperlink" Target="javascript:top.docjs.next_hit(3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top.docjs.prev_hit(36)" TargetMode="External"/><Relationship Id="rId22" Type="http://schemas.openxmlformats.org/officeDocument/2006/relationships/hyperlink" Target="javascript:top.docjs.next_hit(89)"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javascript:top.docjs.next_hit(4)" TargetMode="External"/><Relationship Id="rId7" Type="http://schemas.openxmlformats.org/officeDocument/2006/relationships/hyperlink" Target="javascript:top.docjs.prev_hit(70)" TargetMode="External"/><Relationship Id="rId2" Type="http://schemas.openxmlformats.org/officeDocument/2006/relationships/image" Target="media/image1.gif"/><Relationship Id="rId1" Type="http://schemas.openxmlformats.org/officeDocument/2006/relationships/hyperlink" Target="javascript:top.docjs.prev_hit(4)" TargetMode="External"/><Relationship Id="rId6" Type="http://schemas.openxmlformats.org/officeDocument/2006/relationships/hyperlink" Target="javascript:top.docjs.prev_hit(69)" TargetMode="External"/><Relationship Id="rId5" Type="http://schemas.openxmlformats.org/officeDocument/2006/relationships/hyperlink" Target="javascript:top.docjs.next_hit(68)" TargetMode="External"/><Relationship Id="rId4" Type="http://schemas.openxmlformats.org/officeDocument/2006/relationships/hyperlink" Target="javascript:top.docjs.prev_hit(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6237</Words>
  <Characters>36250</Characters>
  <Application>Microsoft Office Word</Application>
  <DocSecurity>0</DocSecurity>
  <Lines>557</Lines>
  <Paragraphs>147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2017-09-05T14:14:00Z</dcterms:created>
  <dcterms:modified xsi:type="dcterms:W3CDTF">2017-09-05T14:14:00Z</dcterms:modified>
  <cp:category> </cp:category>
  <cp:contentStatus> </cp:contentStatus>
</cp:coreProperties>
</file>