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EE55" w14:textId="77777777" w:rsidR="004C2EE3" w:rsidRDefault="004C2EE3" w:rsidP="0031463D">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DB8DCC4" w14:textId="77777777" w:rsidR="00921803" w:rsidRDefault="00921803" w:rsidP="0031463D">
      <w:pPr>
        <w:pStyle w:val="StyleBoldCentered"/>
        <w:widowControl/>
      </w:pPr>
      <w:r>
        <w:t>F</w:t>
      </w:r>
      <w:r>
        <w:rPr>
          <w:caps w:val="0"/>
        </w:rPr>
        <w:t>ederal Communications Commission</w:t>
      </w:r>
    </w:p>
    <w:p w14:paraId="77FA1348" w14:textId="77777777" w:rsidR="004C2EE3" w:rsidRDefault="00810B6F" w:rsidP="0031463D">
      <w:pPr>
        <w:pStyle w:val="StyleBoldCentered"/>
        <w:widowControl/>
      </w:pPr>
      <w:r>
        <w:rPr>
          <w:caps w:val="0"/>
        </w:rPr>
        <w:t>Washington, D.C. 20554</w:t>
      </w:r>
    </w:p>
    <w:p w14:paraId="4FC2B2C8" w14:textId="77777777" w:rsidR="004C2EE3" w:rsidRDefault="004C2EE3" w:rsidP="0031463D">
      <w:pPr>
        <w:widowControl/>
      </w:pPr>
    </w:p>
    <w:tbl>
      <w:tblPr>
        <w:tblW w:w="9576" w:type="dxa"/>
        <w:tblLayout w:type="fixed"/>
        <w:tblLook w:val="0000" w:firstRow="0" w:lastRow="0" w:firstColumn="0" w:lastColumn="0" w:noHBand="0" w:noVBand="0"/>
      </w:tblPr>
      <w:tblGrid>
        <w:gridCol w:w="4698"/>
        <w:gridCol w:w="630"/>
        <w:gridCol w:w="4248"/>
      </w:tblGrid>
      <w:tr w:rsidR="004E50A6" w:rsidRPr="001D1D02" w14:paraId="762FF44F" w14:textId="77777777" w:rsidTr="00E804D0">
        <w:trPr>
          <w:trHeight w:val="1602"/>
        </w:trPr>
        <w:tc>
          <w:tcPr>
            <w:tcW w:w="4698" w:type="dxa"/>
          </w:tcPr>
          <w:p w14:paraId="7B5185C8" w14:textId="77777777" w:rsidR="004E50A6" w:rsidRPr="001D1D02" w:rsidRDefault="004E50A6" w:rsidP="0031463D">
            <w:pPr>
              <w:widowControl/>
              <w:tabs>
                <w:tab w:val="center" w:pos="4680"/>
              </w:tabs>
              <w:suppressAutoHyphens/>
              <w:rPr>
                <w:spacing w:val="-2"/>
                <w:szCs w:val="22"/>
              </w:rPr>
            </w:pPr>
            <w:r w:rsidRPr="001D1D02">
              <w:rPr>
                <w:spacing w:val="-2"/>
                <w:szCs w:val="22"/>
              </w:rPr>
              <w:t>In the Matter of</w:t>
            </w:r>
          </w:p>
          <w:p w14:paraId="018655C7" w14:textId="77777777" w:rsidR="004E50A6" w:rsidRPr="001D1D02" w:rsidRDefault="004E50A6" w:rsidP="0031463D">
            <w:pPr>
              <w:widowControl/>
              <w:tabs>
                <w:tab w:val="center" w:pos="4680"/>
              </w:tabs>
              <w:suppressAutoHyphens/>
              <w:rPr>
                <w:spacing w:val="-2"/>
                <w:szCs w:val="22"/>
              </w:rPr>
            </w:pPr>
          </w:p>
          <w:p w14:paraId="1871A0B8" w14:textId="55361CD8" w:rsidR="004E50A6" w:rsidRPr="001D1D02" w:rsidRDefault="00053196" w:rsidP="0031463D">
            <w:pPr>
              <w:widowControl/>
              <w:tabs>
                <w:tab w:val="center" w:pos="4680"/>
              </w:tabs>
              <w:suppressAutoHyphens/>
              <w:rPr>
                <w:spacing w:val="-2"/>
                <w:szCs w:val="22"/>
              </w:rPr>
            </w:pPr>
            <w:r>
              <w:rPr>
                <w:spacing w:val="-2"/>
                <w:szCs w:val="22"/>
              </w:rPr>
              <w:t>Inquiry Concerning Deployment of Advanced Telecommunications Capability to All Americans in a Reasonable and Timely Fashion</w:t>
            </w:r>
          </w:p>
        </w:tc>
        <w:tc>
          <w:tcPr>
            <w:tcW w:w="630" w:type="dxa"/>
          </w:tcPr>
          <w:p w14:paraId="5A2F844A"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6BF2F5BA"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62C9E185"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75DD9C61"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51C5391C" w14:textId="77777777" w:rsidR="004E50A6" w:rsidRPr="001D1D02" w:rsidRDefault="004E50A6" w:rsidP="0031463D">
            <w:pPr>
              <w:widowControl/>
              <w:tabs>
                <w:tab w:val="center" w:pos="4680"/>
              </w:tabs>
              <w:suppressAutoHyphens/>
              <w:rPr>
                <w:spacing w:val="-2"/>
                <w:szCs w:val="22"/>
              </w:rPr>
            </w:pPr>
            <w:r w:rsidRPr="001D1D02">
              <w:rPr>
                <w:spacing w:val="-2"/>
                <w:szCs w:val="22"/>
              </w:rPr>
              <w:t>)</w:t>
            </w:r>
          </w:p>
          <w:p w14:paraId="162CDB63" w14:textId="3769A0A5" w:rsidR="004E50A6" w:rsidRPr="001D1D02" w:rsidRDefault="004E50A6" w:rsidP="0031463D">
            <w:pPr>
              <w:widowControl/>
              <w:tabs>
                <w:tab w:val="center" w:pos="4680"/>
              </w:tabs>
              <w:suppressAutoHyphens/>
              <w:rPr>
                <w:spacing w:val="-2"/>
                <w:szCs w:val="22"/>
              </w:rPr>
            </w:pPr>
          </w:p>
          <w:p w14:paraId="51E9343D" w14:textId="0E8722AC" w:rsidR="00A672F7" w:rsidRPr="001D1D02" w:rsidRDefault="00A672F7" w:rsidP="0031463D">
            <w:pPr>
              <w:widowControl/>
              <w:tabs>
                <w:tab w:val="center" w:pos="4680"/>
              </w:tabs>
              <w:suppressAutoHyphens/>
              <w:rPr>
                <w:spacing w:val="-2"/>
                <w:szCs w:val="22"/>
              </w:rPr>
            </w:pPr>
          </w:p>
          <w:p w14:paraId="7E3EA007" w14:textId="668147AA" w:rsidR="004E50A6" w:rsidRPr="001D1D02" w:rsidRDefault="004E50A6" w:rsidP="0031463D">
            <w:pPr>
              <w:widowControl/>
              <w:tabs>
                <w:tab w:val="center" w:pos="4680"/>
              </w:tabs>
              <w:suppressAutoHyphens/>
              <w:rPr>
                <w:spacing w:val="-2"/>
                <w:szCs w:val="22"/>
              </w:rPr>
            </w:pPr>
          </w:p>
        </w:tc>
        <w:tc>
          <w:tcPr>
            <w:tcW w:w="4248" w:type="dxa"/>
          </w:tcPr>
          <w:p w14:paraId="438E3909" w14:textId="77777777" w:rsidR="004E50A6" w:rsidRPr="001D1D02" w:rsidRDefault="004E50A6" w:rsidP="0031463D">
            <w:pPr>
              <w:widowControl/>
              <w:tabs>
                <w:tab w:val="center" w:pos="4680"/>
              </w:tabs>
              <w:suppressAutoHyphens/>
              <w:rPr>
                <w:spacing w:val="-2"/>
                <w:szCs w:val="22"/>
              </w:rPr>
            </w:pPr>
          </w:p>
          <w:p w14:paraId="422ED7ED" w14:textId="77777777" w:rsidR="004E50A6" w:rsidRPr="001D1D02" w:rsidRDefault="004E50A6" w:rsidP="0031463D">
            <w:pPr>
              <w:widowControl/>
              <w:rPr>
                <w:spacing w:val="-2"/>
                <w:szCs w:val="22"/>
              </w:rPr>
            </w:pPr>
          </w:p>
          <w:p w14:paraId="1A1E67C8" w14:textId="223B98BE" w:rsidR="00A672F7" w:rsidRPr="001D1D02" w:rsidRDefault="00053196" w:rsidP="0031463D">
            <w:pPr>
              <w:widowControl/>
              <w:tabs>
                <w:tab w:val="center" w:pos="4680"/>
              </w:tabs>
              <w:suppressAutoHyphens/>
              <w:rPr>
                <w:spacing w:val="-2"/>
                <w:szCs w:val="22"/>
              </w:rPr>
            </w:pPr>
            <w:r>
              <w:rPr>
                <w:spacing w:val="-2"/>
                <w:szCs w:val="22"/>
              </w:rPr>
              <w:t>GN Docket No. 17-199</w:t>
            </w:r>
          </w:p>
          <w:p w14:paraId="1B801E7A" w14:textId="77777777" w:rsidR="004E50A6" w:rsidRPr="001D1D02" w:rsidRDefault="004E50A6" w:rsidP="0031463D">
            <w:pPr>
              <w:widowControl/>
              <w:tabs>
                <w:tab w:val="center" w:pos="4680"/>
              </w:tabs>
              <w:suppressAutoHyphens/>
              <w:rPr>
                <w:spacing w:val="-2"/>
                <w:szCs w:val="22"/>
              </w:rPr>
            </w:pPr>
          </w:p>
          <w:p w14:paraId="1D1DF85A" w14:textId="77777777" w:rsidR="004E50A6" w:rsidRPr="001D1D02" w:rsidRDefault="004E50A6" w:rsidP="0031463D">
            <w:pPr>
              <w:widowControl/>
              <w:tabs>
                <w:tab w:val="center" w:pos="4680"/>
              </w:tabs>
              <w:suppressAutoHyphens/>
              <w:rPr>
                <w:spacing w:val="-2"/>
                <w:szCs w:val="22"/>
              </w:rPr>
            </w:pPr>
          </w:p>
          <w:p w14:paraId="5DFCF322" w14:textId="77777777" w:rsidR="004E50A6" w:rsidRPr="001D1D02" w:rsidRDefault="004E50A6" w:rsidP="0031463D">
            <w:pPr>
              <w:widowControl/>
              <w:tabs>
                <w:tab w:val="center" w:pos="4680"/>
              </w:tabs>
              <w:suppressAutoHyphens/>
              <w:rPr>
                <w:spacing w:val="-2"/>
                <w:szCs w:val="22"/>
              </w:rPr>
            </w:pPr>
          </w:p>
          <w:p w14:paraId="4C08519E" w14:textId="77777777" w:rsidR="004E50A6" w:rsidRPr="001D1D02" w:rsidRDefault="004E50A6" w:rsidP="0031463D">
            <w:pPr>
              <w:widowControl/>
              <w:tabs>
                <w:tab w:val="center" w:pos="4680"/>
              </w:tabs>
              <w:suppressAutoHyphens/>
              <w:rPr>
                <w:spacing w:val="-2"/>
                <w:szCs w:val="22"/>
              </w:rPr>
            </w:pPr>
          </w:p>
        </w:tc>
      </w:tr>
    </w:tbl>
    <w:p w14:paraId="6195C3BB" w14:textId="52101891" w:rsidR="004E50A6" w:rsidRDefault="004E50A6" w:rsidP="00053196">
      <w:pPr>
        <w:pStyle w:val="StyleBoldCentered"/>
        <w:widowControl/>
      </w:pPr>
      <w:r w:rsidRPr="00FE2E8C">
        <w:t>Order</w:t>
      </w:r>
    </w:p>
    <w:p w14:paraId="4982D8DD" w14:textId="77777777" w:rsidR="004E50A6" w:rsidRPr="00FE2E8C" w:rsidRDefault="004E50A6" w:rsidP="0031463D">
      <w:pPr>
        <w:pStyle w:val="StyleBoldCentered"/>
        <w:widowControl/>
        <w:rPr>
          <w:spacing w:val="-2"/>
        </w:rPr>
      </w:pPr>
    </w:p>
    <w:p w14:paraId="3BC680C2" w14:textId="50547A53" w:rsidR="004E50A6" w:rsidRDefault="004E50A6" w:rsidP="0031463D">
      <w:pPr>
        <w:widowControl/>
        <w:tabs>
          <w:tab w:val="left" w:pos="720"/>
          <w:tab w:val="left" w:pos="5760"/>
        </w:tabs>
        <w:suppressAutoHyphens/>
        <w:spacing w:line="227" w:lineRule="auto"/>
        <w:jc w:val="both"/>
        <w:rPr>
          <w:b/>
          <w:spacing w:val="-2"/>
          <w:szCs w:val="22"/>
        </w:rPr>
      </w:pPr>
      <w:r w:rsidRPr="00FE2E8C">
        <w:rPr>
          <w:b/>
          <w:spacing w:val="-2"/>
          <w:szCs w:val="22"/>
        </w:rPr>
        <w:t xml:space="preserve">Adopted:  </w:t>
      </w:r>
      <w:r w:rsidR="00CE23F9">
        <w:rPr>
          <w:b/>
          <w:spacing w:val="-2"/>
          <w:szCs w:val="22"/>
        </w:rPr>
        <w:t>September 5</w:t>
      </w:r>
      <w:r w:rsidR="006551E7">
        <w:rPr>
          <w:b/>
          <w:spacing w:val="-2"/>
          <w:szCs w:val="22"/>
        </w:rPr>
        <w:t xml:space="preserve">, </w:t>
      </w:r>
      <w:r w:rsidR="00A672F7">
        <w:rPr>
          <w:b/>
          <w:spacing w:val="-2"/>
          <w:szCs w:val="22"/>
        </w:rPr>
        <w:t>2017</w:t>
      </w:r>
      <w:r w:rsidRPr="00FE2E8C">
        <w:rPr>
          <w:b/>
          <w:spacing w:val="-2"/>
          <w:szCs w:val="22"/>
        </w:rPr>
        <w:tab/>
      </w:r>
      <w:r>
        <w:rPr>
          <w:b/>
          <w:spacing w:val="-2"/>
          <w:szCs w:val="22"/>
        </w:rPr>
        <w:tab/>
      </w:r>
      <w:r w:rsidRPr="00FE2E8C">
        <w:rPr>
          <w:b/>
          <w:spacing w:val="-2"/>
          <w:szCs w:val="22"/>
        </w:rPr>
        <w:t xml:space="preserve">Released:  </w:t>
      </w:r>
      <w:r w:rsidR="00CE23F9">
        <w:rPr>
          <w:b/>
          <w:spacing w:val="-2"/>
          <w:szCs w:val="22"/>
        </w:rPr>
        <w:t>September 5</w:t>
      </w:r>
      <w:r>
        <w:rPr>
          <w:b/>
          <w:spacing w:val="-2"/>
          <w:szCs w:val="22"/>
        </w:rPr>
        <w:t>, 201</w:t>
      </w:r>
      <w:r w:rsidR="00A672F7">
        <w:rPr>
          <w:b/>
          <w:spacing w:val="-2"/>
          <w:szCs w:val="22"/>
        </w:rPr>
        <w:t>7</w:t>
      </w:r>
    </w:p>
    <w:p w14:paraId="23C83ABF" w14:textId="0AF9E2B4" w:rsidR="00D953FB" w:rsidRDefault="00D953FB" w:rsidP="0031463D">
      <w:pPr>
        <w:widowControl/>
        <w:tabs>
          <w:tab w:val="left" w:pos="720"/>
          <w:tab w:val="left" w:pos="5760"/>
        </w:tabs>
        <w:suppressAutoHyphens/>
        <w:spacing w:line="227" w:lineRule="auto"/>
        <w:jc w:val="both"/>
        <w:rPr>
          <w:b/>
          <w:spacing w:val="-2"/>
          <w:szCs w:val="22"/>
        </w:rPr>
      </w:pPr>
    </w:p>
    <w:p w14:paraId="2F7AC871" w14:textId="59B05A6A" w:rsidR="00D953FB" w:rsidRDefault="00D953FB" w:rsidP="0031463D">
      <w:pPr>
        <w:widowControl/>
        <w:tabs>
          <w:tab w:val="left" w:pos="720"/>
          <w:tab w:val="left" w:pos="5760"/>
        </w:tabs>
        <w:suppressAutoHyphens/>
        <w:spacing w:line="227" w:lineRule="auto"/>
        <w:jc w:val="both"/>
        <w:rPr>
          <w:b/>
          <w:spacing w:val="-2"/>
          <w:szCs w:val="22"/>
        </w:rPr>
      </w:pPr>
      <w:r>
        <w:rPr>
          <w:b/>
          <w:spacing w:val="-2"/>
          <w:szCs w:val="22"/>
        </w:rPr>
        <w:t xml:space="preserve">Revised Comment Date: </w:t>
      </w:r>
      <w:r w:rsidR="006624B7">
        <w:rPr>
          <w:b/>
          <w:spacing w:val="-2"/>
          <w:szCs w:val="22"/>
        </w:rPr>
        <w:t>September 21, 2017</w:t>
      </w:r>
    </w:p>
    <w:p w14:paraId="137539AB" w14:textId="7CDACC2B" w:rsidR="00D953FB" w:rsidRPr="00D953FB" w:rsidRDefault="00D953FB" w:rsidP="0031463D">
      <w:pPr>
        <w:widowControl/>
        <w:tabs>
          <w:tab w:val="left" w:pos="720"/>
          <w:tab w:val="left" w:pos="5760"/>
        </w:tabs>
        <w:suppressAutoHyphens/>
        <w:spacing w:line="227" w:lineRule="auto"/>
        <w:jc w:val="both"/>
        <w:rPr>
          <w:b/>
          <w:spacing w:val="-2"/>
          <w:szCs w:val="22"/>
        </w:rPr>
      </w:pPr>
      <w:r>
        <w:rPr>
          <w:b/>
          <w:spacing w:val="-2"/>
          <w:szCs w:val="22"/>
        </w:rPr>
        <w:t>Revised Reply Comment Date:</w:t>
      </w:r>
      <w:r w:rsidR="006624B7">
        <w:rPr>
          <w:b/>
          <w:spacing w:val="-2"/>
          <w:szCs w:val="22"/>
        </w:rPr>
        <w:t xml:space="preserve"> </w:t>
      </w:r>
      <w:r w:rsidR="000F3AA4">
        <w:rPr>
          <w:b/>
          <w:spacing w:val="-2"/>
          <w:szCs w:val="22"/>
        </w:rPr>
        <w:t>October 6</w:t>
      </w:r>
      <w:r w:rsidR="006624B7">
        <w:rPr>
          <w:b/>
          <w:spacing w:val="-2"/>
          <w:szCs w:val="22"/>
        </w:rPr>
        <w:t>, 2017</w:t>
      </w:r>
    </w:p>
    <w:p w14:paraId="49467096" w14:textId="77777777" w:rsidR="004E50A6" w:rsidRDefault="004E50A6" w:rsidP="0031463D">
      <w:pPr>
        <w:widowControl/>
        <w:rPr>
          <w:szCs w:val="22"/>
        </w:rPr>
      </w:pPr>
    </w:p>
    <w:p w14:paraId="2E5A09BA" w14:textId="379FABE9" w:rsidR="004E50A6" w:rsidRPr="00FE2E8C" w:rsidRDefault="004E50A6" w:rsidP="00302BAD">
      <w:pPr>
        <w:widowControl/>
        <w:ind w:left="720" w:hanging="720"/>
        <w:rPr>
          <w:spacing w:val="-2"/>
          <w:szCs w:val="22"/>
        </w:rPr>
      </w:pPr>
      <w:r w:rsidRPr="00FE2E8C">
        <w:rPr>
          <w:szCs w:val="22"/>
        </w:rPr>
        <w:t>By the</w:t>
      </w:r>
      <w:r w:rsidRPr="00FE2E8C">
        <w:rPr>
          <w:spacing w:val="-2"/>
          <w:szCs w:val="22"/>
        </w:rPr>
        <w:t xml:space="preserve"> </w:t>
      </w:r>
      <w:r w:rsidR="006624B7">
        <w:rPr>
          <w:spacing w:val="-2"/>
          <w:szCs w:val="22"/>
        </w:rPr>
        <w:t xml:space="preserve">Chief, Competition Policy Division, Wireline Competition Bureau, and the </w:t>
      </w:r>
      <w:r w:rsidR="00A672F7">
        <w:rPr>
          <w:spacing w:val="-2"/>
          <w:szCs w:val="22"/>
        </w:rPr>
        <w:t xml:space="preserve">Chief, </w:t>
      </w:r>
      <w:r w:rsidR="000D14CC">
        <w:rPr>
          <w:spacing w:val="-2"/>
          <w:szCs w:val="22"/>
        </w:rPr>
        <w:t xml:space="preserve">Competition and Infrastructure Policy Division, </w:t>
      </w:r>
      <w:r w:rsidR="00A672F7">
        <w:rPr>
          <w:spacing w:val="-2"/>
          <w:szCs w:val="22"/>
        </w:rPr>
        <w:t>Wireless Telecommunications</w:t>
      </w:r>
      <w:r>
        <w:rPr>
          <w:spacing w:val="-2"/>
          <w:szCs w:val="22"/>
        </w:rPr>
        <w:t xml:space="preserve"> Bureau:</w:t>
      </w:r>
    </w:p>
    <w:p w14:paraId="4F33F93D" w14:textId="77777777" w:rsidR="004E50A6" w:rsidRDefault="004E50A6" w:rsidP="0031463D">
      <w:pPr>
        <w:widowControl/>
        <w:rPr>
          <w:b/>
          <w:spacing w:val="-2"/>
          <w:szCs w:val="22"/>
        </w:rPr>
      </w:pPr>
    </w:p>
    <w:p w14:paraId="50951A6E" w14:textId="5A07BA88" w:rsidR="00D953FB" w:rsidRPr="00D953FB" w:rsidRDefault="006624B7" w:rsidP="0031463D">
      <w:pPr>
        <w:pStyle w:val="ParaNum"/>
        <w:widowControl/>
      </w:pPr>
      <w:bookmarkStart w:id="1" w:name="_Toc361330014"/>
      <w:r w:rsidRPr="00CB7AFD">
        <w:rPr>
          <w:snapToGrid/>
        </w:rPr>
        <w:t xml:space="preserve">By this </w:t>
      </w:r>
      <w:r>
        <w:rPr>
          <w:snapToGrid/>
        </w:rPr>
        <w:t>Order</w:t>
      </w:r>
      <w:r w:rsidRPr="00CB7AFD">
        <w:rPr>
          <w:snapToGrid/>
        </w:rPr>
        <w:t>, the Wireline Competition Bureau</w:t>
      </w:r>
      <w:r>
        <w:rPr>
          <w:snapToGrid/>
        </w:rPr>
        <w:t xml:space="preserve"> and Wireless Telecommunications Bureau</w:t>
      </w:r>
      <w:r w:rsidR="009C3998">
        <w:rPr>
          <w:snapToGrid/>
        </w:rPr>
        <w:t xml:space="preserve"> extend</w:t>
      </w:r>
      <w:r w:rsidRPr="00CB7AFD">
        <w:rPr>
          <w:snapToGrid/>
        </w:rPr>
        <w:t xml:space="preserve"> the deadline for filing </w:t>
      </w:r>
      <w:r>
        <w:rPr>
          <w:snapToGrid/>
        </w:rPr>
        <w:t xml:space="preserve">initial and </w:t>
      </w:r>
      <w:r w:rsidRPr="00CB7AFD">
        <w:rPr>
          <w:snapToGrid/>
        </w:rPr>
        <w:t>reply comments in response to the</w:t>
      </w:r>
      <w:r>
        <w:rPr>
          <w:snapToGrid/>
        </w:rPr>
        <w:t xml:space="preserve"> Thirteenth Section 706 Report Notice of Inquiry</w:t>
      </w:r>
      <w:r w:rsidRPr="00CB7AFD">
        <w:rPr>
          <w:snapToGrid/>
        </w:rPr>
        <w:t xml:space="preserve"> until </w:t>
      </w:r>
      <w:r>
        <w:rPr>
          <w:snapToGrid/>
        </w:rPr>
        <w:t>September 21</w:t>
      </w:r>
      <w:r w:rsidR="0036483D">
        <w:rPr>
          <w:snapToGrid/>
        </w:rPr>
        <w:t>, 2017</w:t>
      </w:r>
      <w:r>
        <w:rPr>
          <w:snapToGrid/>
        </w:rPr>
        <w:t xml:space="preserve"> and </w:t>
      </w:r>
      <w:r w:rsidR="000F3AA4">
        <w:rPr>
          <w:snapToGrid/>
        </w:rPr>
        <w:t>October 6</w:t>
      </w:r>
      <w:r>
        <w:rPr>
          <w:snapToGrid/>
        </w:rPr>
        <w:t>, 2017, respectively</w:t>
      </w:r>
      <w:r w:rsidRPr="00CB7AFD">
        <w:rPr>
          <w:snapToGrid/>
        </w:rPr>
        <w:t>.</w:t>
      </w:r>
      <w:r w:rsidRPr="00CB7AFD">
        <w:rPr>
          <w:snapToGrid/>
          <w:vertAlign w:val="superscript"/>
        </w:rPr>
        <w:footnoteReference w:id="2"/>
      </w:r>
      <w:r w:rsidR="00D953FB">
        <w:t xml:space="preserve"> </w:t>
      </w:r>
    </w:p>
    <w:p w14:paraId="17ED7CBE" w14:textId="20D7F21A" w:rsidR="004E50A6" w:rsidRPr="000A088E" w:rsidRDefault="006624B7" w:rsidP="0031463D">
      <w:pPr>
        <w:pStyle w:val="ParaNum"/>
        <w:widowControl/>
      </w:pPr>
      <w:r>
        <w:rPr>
          <w:snapToGrid/>
        </w:rPr>
        <w:t>T</w:t>
      </w:r>
      <w:r w:rsidRPr="00CB7AFD">
        <w:rPr>
          <w:snapToGrid/>
        </w:rPr>
        <w:t>he</w:t>
      </w:r>
      <w:r>
        <w:rPr>
          <w:snapToGrid/>
        </w:rPr>
        <w:t xml:space="preserve"> Thirteenth Section 706 Report Notice of Inquiry set dates for filing comments and reply comments</w:t>
      </w:r>
      <w:r w:rsidR="000F3AA4">
        <w:rPr>
          <w:snapToGrid/>
        </w:rPr>
        <w:t xml:space="preserve"> on September 7</w:t>
      </w:r>
      <w:r w:rsidR="0036483D">
        <w:rPr>
          <w:snapToGrid/>
        </w:rPr>
        <w:t>, 2017</w:t>
      </w:r>
      <w:r w:rsidR="000F3AA4">
        <w:rPr>
          <w:snapToGrid/>
        </w:rPr>
        <w:t xml:space="preserve"> and September 22</w:t>
      </w:r>
      <w:r>
        <w:rPr>
          <w:snapToGrid/>
        </w:rPr>
        <w:t xml:space="preserve">, 2017, respectively.  </w:t>
      </w:r>
      <w:r w:rsidR="00F76439">
        <w:rPr>
          <w:snapToGrid/>
        </w:rPr>
        <w:t xml:space="preserve">On </w:t>
      </w:r>
      <w:r w:rsidR="00053196">
        <w:rPr>
          <w:snapToGrid/>
        </w:rPr>
        <w:t>August 31</w:t>
      </w:r>
      <w:r w:rsidR="00F76439">
        <w:rPr>
          <w:snapToGrid/>
        </w:rPr>
        <w:t xml:space="preserve">, 2017, </w:t>
      </w:r>
      <w:r w:rsidR="00E804D0">
        <w:t>New America’s Open Technology Institute, American Library Association, Center for Democracy &amp; Technology, Center for Media Justice, Center for Rural Strategies, Common Cause, Computer &amp; Communications Industry Association, INCOMPAS, National Consumer Law Center (on behalf of their low-income clients), National Hispanic Media Coalition, OpenMedia, Open Media and Information Companies Initiative (Open MIC), and Public Knowledge</w:t>
      </w:r>
      <w:r w:rsidR="00E804D0">
        <w:rPr>
          <w:snapToGrid/>
        </w:rPr>
        <w:t xml:space="preserve"> </w:t>
      </w:r>
      <w:r w:rsidR="00053196">
        <w:rPr>
          <w:snapToGrid/>
        </w:rPr>
        <w:t>(</w:t>
      </w:r>
      <w:r w:rsidR="0036483D">
        <w:rPr>
          <w:snapToGrid/>
        </w:rPr>
        <w:t xml:space="preserve">collectively, </w:t>
      </w:r>
      <w:r w:rsidR="00737994">
        <w:rPr>
          <w:snapToGrid/>
        </w:rPr>
        <w:t>Movants</w:t>
      </w:r>
      <w:r w:rsidR="00053196">
        <w:rPr>
          <w:snapToGrid/>
        </w:rPr>
        <w:t xml:space="preserve">) jointly </w:t>
      </w:r>
      <w:r w:rsidR="00F76439">
        <w:rPr>
          <w:snapToGrid/>
        </w:rPr>
        <w:t xml:space="preserve">filed a </w:t>
      </w:r>
      <w:r w:rsidR="003942FB">
        <w:rPr>
          <w:snapToGrid/>
        </w:rPr>
        <w:t xml:space="preserve">Request </w:t>
      </w:r>
      <w:r w:rsidR="00F76439">
        <w:rPr>
          <w:snapToGrid/>
        </w:rPr>
        <w:t xml:space="preserve">for Extension of Time to File </w:t>
      </w:r>
      <w:r w:rsidR="00E804D0">
        <w:rPr>
          <w:snapToGrid/>
        </w:rPr>
        <w:t xml:space="preserve">Initial and </w:t>
      </w:r>
      <w:r w:rsidR="00F76439">
        <w:rPr>
          <w:snapToGrid/>
        </w:rPr>
        <w:t>Reply Comments (Motion)</w:t>
      </w:r>
      <w:r w:rsidR="00737994">
        <w:rPr>
          <w:snapToGrid/>
        </w:rPr>
        <w:t xml:space="preserve"> seeking an eight-week extension</w:t>
      </w:r>
      <w:r w:rsidR="00E360C7">
        <w:rPr>
          <w:snapToGrid/>
        </w:rPr>
        <w:t xml:space="preserve"> </w:t>
      </w:r>
      <w:r w:rsidR="00737994">
        <w:rPr>
          <w:snapToGrid/>
        </w:rPr>
        <w:t>of the comment and reply comment deadlines in this</w:t>
      </w:r>
      <w:r w:rsidR="00053196">
        <w:rPr>
          <w:snapToGrid/>
        </w:rPr>
        <w:t xml:space="preserve"> proceeding</w:t>
      </w:r>
      <w:r w:rsidR="00F76439">
        <w:rPr>
          <w:snapToGrid/>
        </w:rPr>
        <w:t>.</w:t>
      </w:r>
      <w:r w:rsidR="00E360C7">
        <w:rPr>
          <w:rStyle w:val="FootnoteReference"/>
          <w:snapToGrid/>
        </w:rPr>
        <w:footnoteReference w:id="3"/>
      </w:r>
      <w:r w:rsidR="00F76439">
        <w:rPr>
          <w:snapToGrid/>
        </w:rPr>
        <w:t xml:space="preserve">  </w:t>
      </w:r>
      <w:r w:rsidR="00053196">
        <w:rPr>
          <w:snapToGrid/>
        </w:rPr>
        <w:t>In addition, on August 31, 2017</w:t>
      </w:r>
      <w:r w:rsidR="0036483D">
        <w:rPr>
          <w:snapToGrid/>
        </w:rPr>
        <w:t>, twelve United States Senators</w:t>
      </w:r>
      <w:r w:rsidR="00053196">
        <w:rPr>
          <w:snapToGrid/>
        </w:rPr>
        <w:t xml:space="preserve"> jointly </w:t>
      </w:r>
      <w:r w:rsidR="0036483D">
        <w:rPr>
          <w:snapToGrid/>
        </w:rPr>
        <w:t>sent</w:t>
      </w:r>
      <w:r w:rsidR="00053196">
        <w:rPr>
          <w:snapToGrid/>
        </w:rPr>
        <w:t xml:space="preserve"> a letter</w:t>
      </w:r>
      <w:r w:rsidR="00CC2048">
        <w:rPr>
          <w:snapToGrid/>
        </w:rPr>
        <w:t xml:space="preserve"> (Request) to </w:t>
      </w:r>
      <w:r w:rsidR="00170464">
        <w:rPr>
          <w:snapToGrid/>
        </w:rPr>
        <w:t xml:space="preserve">the </w:t>
      </w:r>
      <w:r w:rsidR="00CC2048">
        <w:rPr>
          <w:snapToGrid/>
        </w:rPr>
        <w:t>Chairman and Commissioners seeking a 30</w:t>
      </w:r>
      <w:r w:rsidR="00C6071F">
        <w:rPr>
          <w:snapToGrid/>
        </w:rPr>
        <w:t>-</w:t>
      </w:r>
      <w:r w:rsidR="00CC2048">
        <w:rPr>
          <w:snapToGrid/>
        </w:rPr>
        <w:t>day extension for both the initial and reply comment periods.</w:t>
      </w:r>
      <w:r w:rsidR="00CC2048">
        <w:rPr>
          <w:rStyle w:val="FootnoteReference"/>
          <w:snapToGrid/>
        </w:rPr>
        <w:footnoteReference w:id="4"/>
      </w:r>
      <w:r w:rsidR="00CC2048">
        <w:rPr>
          <w:snapToGrid/>
        </w:rPr>
        <w:t xml:space="preserve">  </w:t>
      </w:r>
    </w:p>
    <w:p w14:paraId="2F53C2D3" w14:textId="23059228" w:rsidR="00C667C5" w:rsidRDefault="00170464" w:rsidP="00CD000D">
      <w:pPr>
        <w:pStyle w:val="ParaNum"/>
      </w:pPr>
      <w:r>
        <w:t xml:space="preserve">Movants </w:t>
      </w:r>
      <w:r w:rsidR="005B3332">
        <w:t>contend</w:t>
      </w:r>
      <w:r w:rsidR="005024E9">
        <w:t xml:space="preserve"> that an extension is warranted</w:t>
      </w:r>
      <w:r w:rsidR="00CC2048">
        <w:t xml:space="preserve"> because (1) the Commission’s current Section 706 proceeding could have “an enormous impact on the Commission’s role in regulating broadband internet access service providers and promoting broadband deployment”; (2) the questions raised by the Section 706 Notice of Inquiry are “directly tied to questions posed in other proceedings for </w:t>
      </w:r>
      <w:r w:rsidR="00CC2048">
        <w:lastRenderedPageBreak/>
        <w:t>which comment cycles are currently in progress”; (3) the record sought by the Section 706 Notice of Inquiry is a “detailed record that takes considerable time to procure”; and (4) the requested extension “will not cause undue delay or prejudice for the Commission.”</w:t>
      </w:r>
      <w:r w:rsidR="00CC2048">
        <w:rPr>
          <w:rStyle w:val="FootnoteReference"/>
        </w:rPr>
        <w:footnoteReference w:id="5"/>
      </w:r>
      <w:r w:rsidR="00CC2048">
        <w:t xml:space="preserve">  The Senators’ Request </w:t>
      </w:r>
      <w:r>
        <w:t xml:space="preserve">states </w:t>
      </w:r>
      <w:r w:rsidR="00CC2048">
        <w:t>that the Section 706 Notice of Inquiry “signals potentially significant changes in agency policy” and “that such substantial shifts in policy require greater consideration</w:t>
      </w:r>
      <w:r w:rsidR="005636A1">
        <w:t xml:space="preserve"> and debate” than the current schedule for comments.</w:t>
      </w:r>
      <w:r w:rsidR="002E6225">
        <w:rPr>
          <w:rStyle w:val="FootnoteReference"/>
        </w:rPr>
        <w:footnoteReference w:id="6"/>
      </w:r>
      <w:r w:rsidR="005636A1">
        <w:t xml:space="preserve">  </w:t>
      </w:r>
      <w:r w:rsidR="00CD000D">
        <w:t xml:space="preserve">  </w:t>
      </w:r>
    </w:p>
    <w:p w14:paraId="75FF1836" w14:textId="4F306665" w:rsidR="00935E16" w:rsidRDefault="00737994" w:rsidP="00025B0E">
      <w:pPr>
        <w:pStyle w:val="ParaNum"/>
      </w:pPr>
      <w:r w:rsidRPr="00E54574">
        <w:rPr>
          <w:snapToGrid/>
        </w:rPr>
        <w:t xml:space="preserve">While it is the policy of the Commission that </w:t>
      </w:r>
      <w:r>
        <w:rPr>
          <w:snapToGrid/>
        </w:rPr>
        <w:t>“</w:t>
      </w:r>
      <w:r w:rsidRPr="00E54574">
        <w:rPr>
          <w:snapToGrid/>
        </w:rPr>
        <w:t>extensions shall not be routinely granted,”</w:t>
      </w:r>
      <w:r w:rsidRPr="00CB7AFD">
        <w:rPr>
          <w:snapToGrid/>
          <w:vertAlign w:val="superscript"/>
        </w:rPr>
        <w:footnoteReference w:id="7"/>
      </w:r>
      <w:r w:rsidRPr="00E54574">
        <w:rPr>
          <w:snapToGrid/>
        </w:rPr>
        <w:t xml:space="preserve">  we find that an extension of the </w:t>
      </w:r>
      <w:r w:rsidR="00FC17B6">
        <w:rPr>
          <w:snapToGrid/>
        </w:rPr>
        <w:t xml:space="preserve">comment and </w:t>
      </w:r>
      <w:r w:rsidRPr="00E54574">
        <w:rPr>
          <w:snapToGrid/>
        </w:rPr>
        <w:t>reply comment deadline is appropriate in this case in order</w:t>
      </w:r>
      <w:r w:rsidR="00025B0E">
        <w:rPr>
          <w:snapToGrid/>
        </w:rPr>
        <w:t xml:space="preserve"> to allow interested parties </w:t>
      </w:r>
      <w:r w:rsidRPr="00E54574">
        <w:rPr>
          <w:snapToGrid/>
        </w:rPr>
        <w:t>to</w:t>
      </w:r>
      <w:r w:rsidR="00FC17B6">
        <w:rPr>
          <w:snapToGrid/>
        </w:rPr>
        <w:t xml:space="preserve"> </w:t>
      </w:r>
      <w:r w:rsidR="00170464">
        <w:rPr>
          <w:snapToGrid/>
        </w:rPr>
        <w:t>review relevant public materials and develop thorough, informative submissions.</w:t>
      </w:r>
      <w:r w:rsidRPr="00E54574">
        <w:rPr>
          <w:snapToGrid/>
        </w:rPr>
        <w:t xml:space="preserve">  </w:t>
      </w:r>
      <w:r w:rsidR="00F63DCB">
        <w:rPr>
          <w:snapToGrid/>
        </w:rPr>
        <w:t>While we recognize that</w:t>
      </w:r>
      <w:r w:rsidR="00170464">
        <w:rPr>
          <w:snapToGrid/>
        </w:rPr>
        <w:t xml:space="preserve"> the Motion and Request seek lengthier extensions</w:t>
      </w:r>
      <w:r>
        <w:rPr>
          <w:snapToGrid/>
        </w:rPr>
        <w:t>, w</w:t>
      </w:r>
      <w:r w:rsidRPr="00E54574">
        <w:rPr>
          <w:snapToGrid/>
        </w:rPr>
        <w:t>e find</w:t>
      </w:r>
      <w:r>
        <w:rPr>
          <w:snapToGrid/>
        </w:rPr>
        <w:t>, consistent with past Commission precedent granting partial extensions,</w:t>
      </w:r>
      <w:r w:rsidRPr="00E54574">
        <w:rPr>
          <w:snapToGrid/>
        </w:rPr>
        <w:t xml:space="preserve"> that an additional two weeks is an appropriate period of time to extend the </w:t>
      </w:r>
      <w:r w:rsidR="00FC17B6">
        <w:rPr>
          <w:snapToGrid/>
        </w:rPr>
        <w:t xml:space="preserve">comment and </w:t>
      </w:r>
      <w:r w:rsidRPr="00E54574">
        <w:rPr>
          <w:snapToGrid/>
        </w:rPr>
        <w:t>reply comment deadline</w:t>
      </w:r>
      <w:r w:rsidR="00FC17B6">
        <w:rPr>
          <w:snapToGrid/>
        </w:rPr>
        <w:t>s</w:t>
      </w:r>
      <w:r w:rsidRPr="00E54574">
        <w:rPr>
          <w:snapToGrid/>
        </w:rPr>
        <w:t xml:space="preserve"> in order to </w:t>
      </w:r>
      <w:r>
        <w:rPr>
          <w:snapToGrid/>
        </w:rPr>
        <w:t>provide</w:t>
      </w:r>
      <w:r w:rsidRPr="00E54574">
        <w:rPr>
          <w:snapToGrid/>
        </w:rPr>
        <w:t xml:space="preserve"> parties </w:t>
      </w:r>
      <w:r>
        <w:rPr>
          <w:snapToGrid/>
        </w:rPr>
        <w:t xml:space="preserve">additional time </w:t>
      </w:r>
      <w:r w:rsidRPr="00E54574">
        <w:rPr>
          <w:snapToGrid/>
        </w:rPr>
        <w:t xml:space="preserve">to analyze the technical, legal, and policy </w:t>
      </w:r>
      <w:r w:rsidR="001370F1">
        <w:rPr>
          <w:snapToGrid/>
        </w:rPr>
        <w:t>issues raised in this proceeding</w:t>
      </w:r>
      <w:r w:rsidRPr="00E54574">
        <w:rPr>
          <w:snapToGrid/>
        </w:rPr>
        <w:t>.</w:t>
      </w:r>
      <w:r>
        <w:rPr>
          <w:rStyle w:val="FootnoteReference"/>
          <w:snapToGrid/>
        </w:rPr>
        <w:footnoteReference w:id="8"/>
      </w:r>
      <w:r w:rsidR="00025B0E">
        <w:rPr>
          <w:snapToGrid/>
        </w:rPr>
        <w:t xml:space="preserve">  Furthermore, given </w:t>
      </w:r>
      <w:r w:rsidR="00025B0E">
        <w:t>Section 706’s mandated 180-day timeframe for completion of the inquiry,</w:t>
      </w:r>
      <w:r w:rsidR="00025B0E">
        <w:rPr>
          <w:rStyle w:val="FootnoteReference"/>
        </w:rPr>
        <w:footnoteReference w:id="9"/>
      </w:r>
      <w:r w:rsidR="00025B0E">
        <w:t xml:space="preserve"> a longer extension could inhibit the Commission’s ability to fully consider the record and meet its statutory obligations.</w:t>
      </w:r>
      <w:r w:rsidRPr="00E54574">
        <w:rPr>
          <w:snapToGrid/>
        </w:rPr>
        <w:t xml:space="preserve">  We find that permitting interested parties an additional two weeks in which to file their </w:t>
      </w:r>
      <w:r w:rsidR="00025B0E">
        <w:rPr>
          <w:snapToGrid/>
        </w:rPr>
        <w:t xml:space="preserve">comments and </w:t>
      </w:r>
      <w:r w:rsidRPr="00E54574">
        <w:rPr>
          <w:snapToGrid/>
        </w:rPr>
        <w:t>reply comments will allow parties to provide the Commission with more thorough comments, ensuring that the Commission has a complete record on which to develop its decisions</w:t>
      </w:r>
      <w:r w:rsidR="00025B0E">
        <w:rPr>
          <w:snapToGrid/>
        </w:rPr>
        <w:t xml:space="preserve"> while giving the Commission sufficient time to meet its statutory obligation</w:t>
      </w:r>
      <w:r w:rsidRPr="00E54574">
        <w:rPr>
          <w:snapToGrid/>
        </w:rPr>
        <w:t xml:space="preserve">.  </w:t>
      </w:r>
    </w:p>
    <w:bookmarkEnd w:id="1"/>
    <w:p w14:paraId="2EFCD754" w14:textId="1CA71168" w:rsidR="004E50A6" w:rsidRDefault="004E50A6" w:rsidP="0031463D">
      <w:pPr>
        <w:pStyle w:val="ParaNum"/>
        <w:widowControl/>
      </w:pPr>
      <w:r>
        <w:t xml:space="preserve">Accordingly, IT IS ORDERED, pursuant to </w:t>
      </w:r>
      <w:r w:rsidRPr="004769E4">
        <w:t>sections 4(i)</w:t>
      </w:r>
      <w:r>
        <w:t>, 4(j),</w:t>
      </w:r>
      <w:r w:rsidRPr="004769E4">
        <w:t xml:space="preserve"> </w:t>
      </w:r>
      <w:r>
        <w:t xml:space="preserve">5, </w:t>
      </w:r>
      <w:r w:rsidRPr="004769E4">
        <w:t>and 303(r) of the Communications Act, as amended, 47 U.S.C. §§ 154(i)</w:t>
      </w:r>
      <w:r>
        <w:t xml:space="preserve">, </w:t>
      </w:r>
      <w:r w:rsidRPr="004769E4">
        <w:t>154</w:t>
      </w:r>
      <w:r>
        <w:t xml:space="preserve">(j), 155, </w:t>
      </w:r>
      <w:r w:rsidRPr="004769E4">
        <w:t>and 303(r)</w:t>
      </w:r>
      <w:r>
        <w:t>,</w:t>
      </w:r>
      <w:r w:rsidRPr="004769E4">
        <w:t xml:space="preserve"> and sections </w:t>
      </w:r>
      <w:r w:rsidR="00126C57">
        <w:t xml:space="preserve">0.91, 0.131, 0.291, </w:t>
      </w:r>
      <w:r>
        <w:t>0.</w:t>
      </w:r>
      <w:r w:rsidR="002F3997">
        <w:t>33</w:t>
      </w:r>
      <w:r>
        <w:t>1, 1.46, and 1.415</w:t>
      </w:r>
      <w:r w:rsidRPr="004769E4">
        <w:t xml:space="preserve"> of the Commission’s rules, 47 CFR §§ </w:t>
      </w:r>
      <w:r w:rsidR="00F960DC">
        <w:t>0</w:t>
      </w:r>
      <w:r w:rsidR="00126C57">
        <w:t xml:space="preserve">.91, </w:t>
      </w:r>
      <w:r>
        <w:t>0.</w:t>
      </w:r>
      <w:r w:rsidR="002F3997">
        <w:t>13</w:t>
      </w:r>
      <w:r>
        <w:t xml:space="preserve">1, </w:t>
      </w:r>
      <w:r w:rsidR="00126C57">
        <w:t xml:space="preserve">0.291, </w:t>
      </w:r>
      <w:r>
        <w:t>0.</w:t>
      </w:r>
      <w:r w:rsidR="002F3997">
        <w:t>33</w:t>
      </w:r>
      <w:r>
        <w:t>1, 1.46</w:t>
      </w:r>
      <w:r w:rsidRPr="004769E4">
        <w:t>,</w:t>
      </w:r>
      <w:r w:rsidR="00C22681">
        <w:t xml:space="preserve"> and 1.415, that</w:t>
      </w:r>
      <w:r w:rsidR="00C22681">
        <w:rPr>
          <w:snapToGrid/>
        </w:rPr>
        <w:t xml:space="preserve"> the</w:t>
      </w:r>
      <w:r w:rsidR="003F77DB">
        <w:rPr>
          <w:snapToGrid/>
        </w:rPr>
        <w:t xml:space="preserve"> </w:t>
      </w:r>
      <w:r w:rsidR="00E677EA">
        <w:rPr>
          <w:snapToGrid/>
        </w:rPr>
        <w:t>Motion</w:t>
      </w:r>
      <w:r w:rsidR="00126C57">
        <w:rPr>
          <w:snapToGrid/>
        </w:rPr>
        <w:t xml:space="preserve"> for Extension of Time to File</w:t>
      </w:r>
      <w:r w:rsidR="00E677EA">
        <w:rPr>
          <w:snapToGrid/>
        </w:rPr>
        <w:t xml:space="preserve"> Initial and</w:t>
      </w:r>
      <w:r w:rsidR="00126C57">
        <w:rPr>
          <w:snapToGrid/>
        </w:rPr>
        <w:t xml:space="preserve"> Reply Comments filed by </w:t>
      </w:r>
      <w:r w:rsidR="00E677EA">
        <w:t>New America’s Open Technology Institute, American Library Association, Center for Democracy &amp; Technology, Center for Media Justice, Center for Rural Strategies, Common Cause, Computer &amp; Communications Industry Association, INCOMPAS, National Consumer Law Center, National Hispanic Media Coalition, OpenMedia, Open Media and Information Companies Initiative, and Public Knowledge</w:t>
      </w:r>
      <w:r w:rsidR="00126C57">
        <w:rPr>
          <w:snapToGrid/>
        </w:rPr>
        <w:t xml:space="preserve"> </w:t>
      </w:r>
      <w:r w:rsidR="00BA3A86">
        <w:t xml:space="preserve">on </w:t>
      </w:r>
      <w:r w:rsidR="00E677EA">
        <w:t>August 31</w:t>
      </w:r>
      <w:r w:rsidR="00BC18B3">
        <w:t xml:space="preserve">, </w:t>
      </w:r>
      <w:r w:rsidR="00BA3A86">
        <w:t>2017</w:t>
      </w:r>
      <w:r>
        <w:t xml:space="preserve">, IS </w:t>
      </w:r>
      <w:r w:rsidR="00737994">
        <w:t xml:space="preserve">GRANTED, IN PART, and the deadline for filing comments is extended to September 21, 2017 and the deadline for filing reply comments is extended to </w:t>
      </w:r>
      <w:r w:rsidR="000F3AA4">
        <w:t>October 6</w:t>
      </w:r>
      <w:r w:rsidR="00737994">
        <w:t>, 2017</w:t>
      </w:r>
      <w:r w:rsidR="00BC18B3">
        <w:t>.</w:t>
      </w:r>
    </w:p>
    <w:p w14:paraId="34DD6C69" w14:textId="7CE2183E" w:rsidR="004E50A6" w:rsidRDefault="004E50A6" w:rsidP="0031463D">
      <w:pPr>
        <w:pStyle w:val="ParaNum"/>
        <w:widowControl/>
        <w:numPr>
          <w:ilvl w:val="0"/>
          <w:numId w:val="0"/>
        </w:numPr>
      </w:pPr>
    </w:p>
    <w:p w14:paraId="08C8F0AC" w14:textId="77777777" w:rsidR="00025B0E" w:rsidRDefault="00025B0E" w:rsidP="0031463D">
      <w:pPr>
        <w:pStyle w:val="ParaNum"/>
        <w:widowControl/>
        <w:numPr>
          <w:ilvl w:val="0"/>
          <w:numId w:val="0"/>
        </w:numPr>
      </w:pPr>
    </w:p>
    <w:p w14:paraId="2D94C925" w14:textId="77777777" w:rsidR="004E50A6" w:rsidRDefault="004E50A6" w:rsidP="0031463D">
      <w:pPr>
        <w:pStyle w:val="ParaNum"/>
        <w:widowControl/>
        <w:numPr>
          <w:ilvl w:val="0"/>
          <w:numId w:val="0"/>
        </w:numPr>
        <w:spacing w:after="0"/>
        <w:ind w:left="3600"/>
      </w:pPr>
      <w:r>
        <w:t>FEDERAL COMMUNICATIONS COMMISSION</w:t>
      </w:r>
    </w:p>
    <w:p w14:paraId="3FF5517B" w14:textId="77777777" w:rsidR="004E50A6" w:rsidRDefault="004E50A6" w:rsidP="0031463D">
      <w:pPr>
        <w:pStyle w:val="ParaNum"/>
        <w:widowControl/>
        <w:numPr>
          <w:ilvl w:val="0"/>
          <w:numId w:val="0"/>
        </w:numPr>
        <w:spacing w:after="0"/>
        <w:ind w:left="3600"/>
      </w:pPr>
    </w:p>
    <w:p w14:paraId="4143A8A3" w14:textId="77777777" w:rsidR="004E50A6" w:rsidRDefault="004E50A6" w:rsidP="0031463D">
      <w:pPr>
        <w:pStyle w:val="ParaNum"/>
        <w:widowControl/>
        <w:numPr>
          <w:ilvl w:val="0"/>
          <w:numId w:val="0"/>
        </w:numPr>
        <w:spacing w:after="0"/>
        <w:ind w:left="3600"/>
      </w:pPr>
    </w:p>
    <w:p w14:paraId="5BA93D98" w14:textId="77777777" w:rsidR="004E50A6" w:rsidRDefault="004E50A6" w:rsidP="0031463D">
      <w:pPr>
        <w:pStyle w:val="ParaNum"/>
        <w:widowControl/>
        <w:numPr>
          <w:ilvl w:val="0"/>
          <w:numId w:val="0"/>
        </w:numPr>
        <w:spacing w:after="0"/>
        <w:ind w:left="3600"/>
      </w:pPr>
    </w:p>
    <w:p w14:paraId="5AC9618F" w14:textId="77777777" w:rsidR="00BC458A" w:rsidRDefault="00BC458A" w:rsidP="00BC458A">
      <w:pPr>
        <w:widowControl/>
        <w:ind w:left="2880" w:firstLine="720"/>
      </w:pPr>
      <w:r>
        <w:t xml:space="preserve">Daniel Kahn </w:t>
      </w:r>
    </w:p>
    <w:p w14:paraId="7AB09CD6" w14:textId="77777777" w:rsidR="00BC458A" w:rsidRDefault="00BC458A" w:rsidP="00BC458A">
      <w:pPr>
        <w:widowControl/>
        <w:ind w:left="2880" w:firstLine="720"/>
      </w:pPr>
      <w:r>
        <w:t>Chief</w:t>
      </w:r>
    </w:p>
    <w:p w14:paraId="647DC18A" w14:textId="77777777" w:rsidR="00BC458A" w:rsidRDefault="00BC458A" w:rsidP="00BC458A">
      <w:pPr>
        <w:widowControl/>
        <w:ind w:left="2880" w:firstLine="720"/>
      </w:pPr>
      <w:r>
        <w:t>Competition Policy Division</w:t>
      </w:r>
    </w:p>
    <w:p w14:paraId="4776B874" w14:textId="77777777" w:rsidR="00BC458A" w:rsidRDefault="00BC458A" w:rsidP="00BC458A">
      <w:pPr>
        <w:widowControl/>
        <w:ind w:left="2880" w:firstLine="720"/>
      </w:pPr>
      <w:r>
        <w:t>Wireline Competition Bureau</w:t>
      </w:r>
    </w:p>
    <w:p w14:paraId="06ACDBE5" w14:textId="77777777" w:rsidR="004E50A6" w:rsidRDefault="004E50A6" w:rsidP="0031463D">
      <w:pPr>
        <w:pStyle w:val="ParaNum"/>
        <w:widowControl/>
        <w:numPr>
          <w:ilvl w:val="0"/>
          <w:numId w:val="0"/>
        </w:numPr>
        <w:spacing w:after="0"/>
        <w:ind w:left="3600"/>
      </w:pPr>
    </w:p>
    <w:p w14:paraId="790FDCB3" w14:textId="452CEFC2" w:rsidR="00BC458A" w:rsidRDefault="00BC458A" w:rsidP="00BC458A">
      <w:pPr>
        <w:widowControl/>
        <w:spacing w:before="40"/>
        <w:rPr>
          <w:szCs w:val="22"/>
        </w:rPr>
      </w:pPr>
    </w:p>
    <w:p w14:paraId="33C7AE10" w14:textId="77777777" w:rsidR="00BC458A" w:rsidRDefault="00BC458A" w:rsidP="0031463D">
      <w:pPr>
        <w:widowControl/>
        <w:spacing w:before="40"/>
        <w:ind w:left="2880" w:firstLine="720"/>
        <w:rPr>
          <w:szCs w:val="22"/>
        </w:rPr>
      </w:pPr>
    </w:p>
    <w:p w14:paraId="307C9458" w14:textId="6F97F610" w:rsidR="004E50A6" w:rsidRPr="005E3FE4" w:rsidRDefault="00BB789B" w:rsidP="0031463D">
      <w:pPr>
        <w:widowControl/>
        <w:spacing w:before="40"/>
        <w:ind w:left="2880" w:firstLine="720"/>
        <w:rPr>
          <w:b/>
          <w:szCs w:val="22"/>
        </w:rPr>
      </w:pPr>
      <w:r>
        <w:rPr>
          <w:szCs w:val="22"/>
        </w:rPr>
        <w:t>Garnet Hanly</w:t>
      </w:r>
    </w:p>
    <w:p w14:paraId="3653B7A1" w14:textId="005F6A70" w:rsidR="004E50A6" w:rsidRDefault="004E50A6" w:rsidP="0031463D">
      <w:pPr>
        <w:pStyle w:val="ParaNum"/>
        <w:widowControl/>
        <w:numPr>
          <w:ilvl w:val="0"/>
          <w:numId w:val="0"/>
        </w:numPr>
        <w:spacing w:after="0"/>
        <w:ind w:left="3600"/>
      </w:pPr>
      <w:r>
        <w:t xml:space="preserve">Chief </w:t>
      </w:r>
    </w:p>
    <w:p w14:paraId="0B9621B2" w14:textId="3F169E09" w:rsidR="00BB789B" w:rsidRDefault="00BB789B" w:rsidP="0031463D">
      <w:pPr>
        <w:pStyle w:val="ParaNum"/>
        <w:widowControl/>
        <w:numPr>
          <w:ilvl w:val="0"/>
          <w:numId w:val="0"/>
        </w:numPr>
        <w:spacing w:after="0"/>
        <w:ind w:left="3600"/>
      </w:pPr>
      <w:r>
        <w:t>Competition and Infrastructure Policy Division</w:t>
      </w:r>
    </w:p>
    <w:p w14:paraId="44B87627" w14:textId="42282345" w:rsidR="004C2EE3" w:rsidRDefault="00C22681" w:rsidP="0031463D">
      <w:pPr>
        <w:widowControl/>
        <w:ind w:left="2880" w:firstLine="720"/>
      </w:pPr>
      <w:r>
        <w:t>Wireless Telecommunications</w:t>
      </w:r>
      <w:r w:rsidR="004E50A6">
        <w:t xml:space="preserve"> Bureau</w:t>
      </w:r>
    </w:p>
    <w:p w14:paraId="18DDF83E" w14:textId="2ABB6553" w:rsidR="00616F33" w:rsidRDefault="00616F33" w:rsidP="0031463D">
      <w:pPr>
        <w:widowControl/>
        <w:ind w:left="2880" w:firstLine="720"/>
      </w:pPr>
    </w:p>
    <w:p w14:paraId="722ADD18" w14:textId="08B664DB" w:rsidR="00616F33" w:rsidRDefault="00616F33" w:rsidP="0031463D">
      <w:pPr>
        <w:widowControl/>
        <w:ind w:left="2880" w:firstLine="720"/>
      </w:pPr>
    </w:p>
    <w:p w14:paraId="5847EC37" w14:textId="12F6843F" w:rsidR="00616F33" w:rsidRDefault="00616F33" w:rsidP="0031463D">
      <w:pPr>
        <w:widowControl/>
        <w:ind w:left="2880" w:firstLine="720"/>
      </w:pPr>
    </w:p>
    <w:p w14:paraId="163C1658" w14:textId="30D37367" w:rsidR="00616F33" w:rsidRDefault="00616F33" w:rsidP="0031463D">
      <w:pPr>
        <w:widowControl/>
        <w:ind w:left="2880" w:firstLine="720"/>
      </w:pPr>
    </w:p>
    <w:sectPr w:rsidR="00616F33" w:rsidSect="003B46D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008"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2B504" w14:textId="77777777" w:rsidR="00BA1A88" w:rsidRDefault="00BA1A88">
      <w:pPr>
        <w:spacing w:line="20" w:lineRule="exact"/>
      </w:pPr>
    </w:p>
  </w:endnote>
  <w:endnote w:type="continuationSeparator" w:id="0">
    <w:p w14:paraId="7A45E03C" w14:textId="77777777" w:rsidR="00BA1A88" w:rsidRDefault="00BA1A88">
      <w:r>
        <w:t xml:space="preserve"> </w:t>
      </w:r>
    </w:p>
  </w:endnote>
  <w:endnote w:type="continuationNotice" w:id="1">
    <w:p w14:paraId="6D489454" w14:textId="77777777" w:rsidR="00BA1A88" w:rsidRDefault="00BA1A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ECAF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A6CEB8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DB77" w14:textId="35148164" w:rsidR="00D25FB5" w:rsidRDefault="00D25FB5" w:rsidP="0055614C">
    <w:pPr>
      <w:pStyle w:val="Footer"/>
      <w:framePr w:wrap="around" w:vAnchor="text" w:hAnchor="margin" w:xAlign="center" w:y="1"/>
    </w:pPr>
    <w:r>
      <w:fldChar w:fldCharType="begin"/>
    </w:r>
    <w:r>
      <w:instrText xml:space="preserve">PAGE  </w:instrText>
    </w:r>
    <w:r>
      <w:fldChar w:fldCharType="separate"/>
    </w:r>
    <w:r w:rsidR="00925BA8">
      <w:rPr>
        <w:noProof/>
      </w:rPr>
      <w:t>2</w:t>
    </w:r>
    <w:r>
      <w:fldChar w:fldCharType="end"/>
    </w:r>
  </w:p>
  <w:p w14:paraId="48BF6A2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FF64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C1ECB" w14:textId="77777777" w:rsidR="00BA1A88" w:rsidRDefault="00BA1A88">
      <w:r>
        <w:separator/>
      </w:r>
    </w:p>
  </w:footnote>
  <w:footnote w:type="continuationSeparator" w:id="0">
    <w:p w14:paraId="5D7DBE81" w14:textId="77777777" w:rsidR="00BA1A88" w:rsidRDefault="00BA1A88" w:rsidP="00C721AC">
      <w:pPr>
        <w:spacing w:before="120"/>
        <w:rPr>
          <w:sz w:val="20"/>
        </w:rPr>
      </w:pPr>
      <w:r>
        <w:continuationSeparator/>
      </w:r>
    </w:p>
  </w:footnote>
  <w:footnote w:type="continuationNotice" w:id="1">
    <w:p w14:paraId="3F52E508" w14:textId="77777777" w:rsidR="00BA1A88" w:rsidRPr="009868E4" w:rsidRDefault="00BA1A88" w:rsidP="009868E4">
      <w:pPr>
        <w:pStyle w:val="Footer"/>
      </w:pPr>
    </w:p>
  </w:footnote>
  <w:footnote w:id="2">
    <w:p w14:paraId="3B5A04E6" w14:textId="5C598633" w:rsidR="006624B7" w:rsidRPr="00DE2301" w:rsidRDefault="006624B7" w:rsidP="006624B7">
      <w:pPr>
        <w:pStyle w:val="FootnoteText"/>
        <w:tabs>
          <w:tab w:val="left" w:pos="4770"/>
        </w:tabs>
      </w:pPr>
      <w:r w:rsidRPr="00DE2301">
        <w:rPr>
          <w:rStyle w:val="FootnoteReference"/>
        </w:rPr>
        <w:footnoteRef/>
      </w:r>
      <w:r w:rsidRPr="00DE2301">
        <w:t xml:space="preserve"> </w:t>
      </w:r>
      <w:r>
        <w:rPr>
          <w:i/>
        </w:rPr>
        <w:t>Inquiry Concerning Deployment of Advanced Telecommunications Capability to All Americans in a Reasonable and Timely Fashion</w:t>
      </w:r>
      <w:r>
        <w:t>, GN Docket No. 17-199, Thirteenth Section 706 Report Notice of Inquiry, FCC 17-109 (Aug. 8, 2017).</w:t>
      </w:r>
    </w:p>
  </w:footnote>
  <w:footnote w:id="3">
    <w:p w14:paraId="347FD170" w14:textId="2A1A93FC" w:rsidR="00E360C7" w:rsidRDefault="00E360C7">
      <w:pPr>
        <w:pStyle w:val="FootnoteText"/>
      </w:pPr>
      <w:r>
        <w:rPr>
          <w:rStyle w:val="FootnoteReference"/>
        </w:rPr>
        <w:footnoteRef/>
      </w:r>
      <w:r>
        <w:t xml:space="preserve"> </w:t>
      </w:r>
      <w:r w:rsidR="00053196">
        <w:t xml:space="preserve">Motion </w:t>
      </w:r>
      <w:r w:rsidR="00465625">
        <w:t>for Extension of Time to File</w:t>
      </w:r>
      <w:r w:rsidR="00053196">
        <w:t xml:space="preserve"> Initial</w:t>
      </w:r>
      <w:r w:rsidR="00465625">
        <w:t xml:space="preserve"> Reply Comments, W</w:t>
      </w:r>
      <w:r w:rsidR="003942FB">
        <w:t>C</w:t>
      </w:r>
      <w:r w:rsidR="00465625">
        <w:t xml:space="preserve"> Docket No. </w:t>
      </w:r>
      <w:r w:rsidR="00053196">
        <w:t>17-199</w:t>
      </w:r>
      <w:r w:rsidR="003942FB">
        <w:t xml:space="preserve"> (</w:t>
      </w:r>
      <w:r w:rsidR="00465625">
        <w:t xml:space="preserve">filed </w:t>
      </w:r>
      <w:r w:rsidR="00053196">
        <w:t>August 31</w:t>
      </w:r>
      <w:r w:rsidR="00465625">
        <w:t>, 2017 (Motion).</w:t>
      </w:r>
    </w:p>
  </w:footnote>
  <w:footnote w:id="4">
    <w:p w14:paraId="4A720999" w14:textId="0BCD3BE1" w:rsidR="00CC2048" w:rsidRPr="002E6225" w:rsidRDefault="00CC2048">
      <w:pPr>
        <w:pStyle w:val="FootnoteText"/>
        <w:rPr>
          <w:b/>
        </w:rPr>
      </w:pPr>
      <w:r>
        <w:rPr>
          <w:rStyle w:val="FootnoteReference"/>
        </w:rPr>
        <w:footnoteRef/>
      </w:r>
      <w:r>
        <w:t xml:space="preserve"> </w:t>
      </w:r>
      <w:r w:rsidR="002E6225">
        <w:rPr>
          <w:i/>
        </w:rPr>
        <w:t xml:space="preserve">See </w:t>
      </w:r>
      <w:r w:rsidR="002E6225">
        <w:t>Letter from United States Senators Al Franken, Sherrod Brown, Tammy Baldwin, Richard Blumenthal, Heidi Heitkamp, Amy Klobuchar, Elizabeth Warren, Brian Schatz, Edward J. Markey, Tom Udall, Kirsten Gillibrand, and Ron Wyden</w:t>
      </w:r>
      <w:r w:rsidR="002862FE">
        <w:t>, to Chairman Pai and Commissioners Clyburn, O’Rielly, Carr and Rosenworcel (Aug. 31, 2017) (Request).</w:t>
      </w:r>
      <w:r w:rsidR="002E6225">
        <w:t xml:space="preserve"> </w:t>
      </w:r>
    </w:p>
  </w:footnote>
  <w:footnote w:id="5">
    <w:p w14:paraId="2B2B0280" w14:textId="5CF785C9" w:rsidR="00CC2048" w:rsidRPr="00CC2048" w:rsidRDefault="00CC2048">
      <w:pPr>
        <w:pStyle w:val="FootnoteText"/>
      </w:pPr>
      <w:r>
        <w:rPr>
          <w:rStyle w:val="FootnoteReference"/>
        </w:rPr>
        <w:footnoteRef/>
      </w:r>
      <w:r>
        <w:t xml:space="preserve"> </w:t>
      </w:r>
      <w:r>
        <w:rPr>
          <w:i/>
        </w:rPr>
        <w:t xml:space="preserve">See generally </w:t>
      </w:r>
      <w:r>
        <w:t>Motion at 1-7.</w:t>
      </w:r>
    </w:p>
  </w:footnote>
  <w:footnote w:id="6">
    <w:p w14:paraId="514FEBDB" w14:textId="728FF32D" w:rsidR="002E6225" w:rsidRPr="002E6225" w:rsidRDefault="002E6225">
      <w:pPr>
        <w:pStyle w:val="FootnoteText"/>
      </w:pPr>
      <w:r>
        <w:rPr>
          <w:rStyle w:val="FootnoteReference"/>
        </w:rPr>
        <w:footnoteRef/>
      </w:r>
      <w:r>
        <w:t xml:space="preserve"> Request at 1.</w:t>
      </w:r>
    </w:p>
  </w:footnote>
  <w:footnote w:id="7">
    <w:p w14:paraId="04CD6B56" w14:textId="77777777" w:rsidR="00737994" w:rsidRPr="00DE2301" w:rsidRDefault="00737994" w:rsidP="00737994">
      <w:pPr>
        <w:pStyle w:val="FootnoteText"/>
      </w:pPr>
      <w:r w:rsidRPr="00DE2301">
        <w:rPr>
          <w:rStyle w:val="FootnoteReference"/>
        </w:rPr>
        <w:footnoteRef/>
      </w:r>
      <w:r>
        <w:t xml:space="preserve"> 47 CFR § 1.46</w:t>
      </w:r>
      <w:r w:rsidRPr="00DE2301">
        <w:t>(a).</w:t>
      </w:r>
    </w:p>
  </w:footnote>
  <w:footnote w:id="8">
    <w:p w14:paraId="579B6648" w14:textId="5F5250AB" w:rsidR="00737994" w:rsidRPr="00417513" w:rsidRDefault="00737994" w:rsidP="00737994">
      <w:pPr>
        <w:spacing w:after="120"/>
      </w:pPr>
      <w:r w:rsidRPr="00DE2301">
        <w:rPr>
          <w:rStyle w:val="FootnoteReference"/>
        </w:rPr>
        <w:footnoteRef/>
      </w:r>
      <w:r w:rsidRPr="00DA41C1">
        <w:rPr>
          <w:sz w:val="20"/>
        </w:rPr>
        <w:t xml:space="preserve"> </w:t>
      </w:r>
      <w:r w:rsidRPr="00DE2301">
        <w:rPr>
          <w:i/>
          <w:sz w:val="20"/>
        </w:rPr>
        <w:t>See, e.g.</w:t>
      </w:r>
      <w:r w:rsidRPr="00DE2301">
        <w:rPr>
          <w:sz w:val="20"/>
        </w:rPr>
        <w:t>,</w:t>
      </w:r>
      <w:r w:rsidRPr="00DA41C1">
        <w:rPr>
          <w:i/>
          <w:sz w:val="20"/>
        </w:rPr>
        <w:t xml:space="preserve"> </w:t>
      </w:r>
      <w:r w:rsidR="00C6071F" w:rsidRPr="00C6071F">
        <w:rPr>
          <w:i/>
          <w:sz w:val="20"/>
        </w:rPr>
        <w:t>Restoring Internet Freedom</w:t>
      </w:r>
      <w:r w:rsidR="00C6071F" w:rsidRPr="00C6071F">
        <w:rPr>
          <w:sz w:val="20"/>
        </w:rPr>
        <w:t>, WC Docket No. 17-108, Order, DA 17-761 (WCB Aug. 11, 2017)</w:t>
      </w:r>
      <w:r w:rsidR="001370F1">
        <w:rPr>
          <w:i/>
          <w:sz w:val="20"/>
        </w:rPr>
        <w:t xml:space="preserve"> </w:t>
      </w:r>
      <w:r w:rsidR="001370F1">
        <w:rPr>
          <w:sz w:val="20"/>
        </w:rPr>
        <w:t>(granting a two-week extension when parties sought an eight-week extension);</w:t>
      </w:r>
      <w:r w:rsidR="001370F1">
        <w:rPr>
          <w:i/>
          <w:sz w:val="20"/>
        </w:rPr>
        <w:t xml:space="preserve"> </w:t>
      </w:r>
      <w:r w:rsidRPr="00DE2301">
        <w:rPr>
          <w:i/>
          <w:sz w:val="20"/>
        </w:rPr>
        <w:t>Promoting Innovation and Competition in the Provision of Multichannel video programming distribution services</w:t>
      </w:r>
      <w:r w:rsidRPr="00DE2301">
        <w:rPr>
          <w:sz w:val="20"/>
        </w:rPr>
        <w:t xml:space="preserve">, MB Docket No. 14-261, Order, 30 FCC Rcd 1160 (MB Feb. 10, 2015) (granting a two-week extension of </w:t>
      </w:r>
      <w:r>
        <w:rPr>
          <w:sz w:val="20"/>
        </w:rPr>
        <w:t>the comment and reply deadlines</w:t>
      </w:r>
      <w:r w:rsidRPr="00417513">
        <w:rPr>
          <w:sz w:val="20"/>
        </w:rPr>
        <w:t xml:space="preserve"> after parties sought a longer extension); </w:t>
      </w:r>
      <w:r w:rsidRPr="00417513">
        <w:rPr>
          <w:i/>
          <w:sz w:val="20"/>
        </w:rPr>
        <w:t>Wireless Telecommunications Bureau Extends Period to File Reply Comments on Motorola, Inc. Request for Interpretation or Waiver of Section 90.267 of the Commission’s Rules Regarding 450-470 MHz Band Low Power Operators</w:t>
      </w:r>
      <w:r w:rsidRPr="00417513">
        <w:rPr>
          <w:sz w:val="20"/>
        </w:rPr>
        <w:t xml:space="preserve">, WT Docket No. 10-74, Public Notice, 25 FCC Rcd 4694 (MB May 3, 2010) (granting a 10-day extension of reply comment deadline upon motion for a longer extension, “to ensure that the Commission obtains a complete and thorough record”); </w:t>
      </w:r>
      <w:r w:rsidRPr="00417513">
        <w:rPr>
          <w:i/>
          <w:sz w:val="20"/>
        </w:rPr>
        <w:t>Lifeline and Linkup Reform and Modernization</w:t>
      </w:r>
      <w:r w:rsidRPr="00417513">
        <w:rPr>
          <w:sz w:val="20"/>
        </w:rPr>
        <w:t xml:space="preserve">, WC Docket Nos. 11-42, 09-197, 10-90, Order, 30 FCC Rcd 8233 (WCB Aug. 5, 2015) (granting two-week extensions for filing comments and replies, finding that limited extensions “will allow for more thoughtful consideration of the issues raised . . . , while at the same time not unduly delaying the resolution of these issues”); </w:t>
      </w:r>
      <w:r w:rsidRPr="00417513">
        <w:rPr>
          <w:i/>
          <w:sz w:val="20"/>
        </w:rPr>
        <w:t>Cable Television Technical and Operation Requirements</w:t>
      </w:r>
      <w:r w:rsidRPr="00417513">
        <w:rPr>
          <w:sz w:val="20"/>
        </w:rPr>
        <w:t>, MB Docket No. 12-217, Order, 27 FCC Rcd 16019, (MB Dec. 21, 2012) (granting a two-week extension, given the importance of the issues, when parties sought a longer extension).</w:t>
      </w:r>
    </w:p>
  </w:footnote>
  <w:footnote w:id="9">
    <w:p w14:paraId="27443C71" w14:textId="77777777" w:rsidR="00025B0E" w:rsidRDefault="00025B0E" w:rsidP="00025B0E">
      <w:pPr>
        <w:pStyle w:val="FootnoteText"/>
      </w:pPr>
      <w:r>
        <w:rPr>
          <w:rStyle w:val="FootnoteReference"/>
        </w:rPr>
        <w:footnoteRef/>
      </w:r>
      <w:r>
        <w:t xml:space="preserve"> 47 U.S.C. § 1302(b).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AD2B" w14:textId="77777777" w:rsidR="00646DAD" w:rsidRDefault="00646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73D2B" w14:textId="29C6AF42" w:rsidR="00D25FB5" w:rsidRDefault="00D25FB5" w:rsidP="00810B6F">
    <w:pPr>
      <w:pStyle w:val="Header"/>
      <w:rPr>
        <w:b w:val="0"/>
      </w:rPr>
    </w:pPr>
    <w:r>
      <w:tab/>
      <w:t>Federal Communications Commission</w:t>
    </w:r>
    <w:r>
      <w:tab/>
    </w:r>
    <w:r w:rsidR="004E50A6">
      <w:t>DA 1</w:t>
    </w:r>
    <w:r w:rsidR="00B30CB6">
      <w:t>7</w:t>
    </w:r>
    <w:r w:rsidR="0063112C">
      <w:t>-</w:t>
    </w:r>
    <w:r w:rsidR="00AD358F">
      <w:t>843</w:t>
    </w:r>
  </w:p>
  <w:p w14:paraId="09C26028" w14:textId="77777777" w:rsidR="00D25FB5" w:rsidRDefault="003E668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11F7090" wp14:editId="1E2E019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31C7EB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0EFA79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BAA97" w14:textId="498BE876" w:rsidR="00D25FB5" w:rsidRDefault="003E6684" w:rsidP="00810B6F">
    <w:pPr>
      <w:pStyle w:val="Header"/>
      <w:rPr>
        <w:b w:val="0"/>
      </w:rPr>
    </w:pPr>
    <w:r>
      <w:rPr>
        <w:noProof/>
      </w:rPr>
      <mc:AlternateContent>
        <mc:Choice Requires="wps">
          <w:drawing>
            <wp:anchor distT="0" distB="0" distL="114300" distR="114300" simplePos="0" relativeHeight="251658240" behindDoc="1" locked="0" layoutInCell="0" allowOverlap="1" wp14:anchorId="6600611C" wp14:editId="379A6C2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557684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672F7">
      <w:rPr>
        <w:spacing w:val="-2"/>
      </w:rPr>
      <w:t>DA 17</w:t>
    </w:r>
    <w:r w:rsidR="004E50A6">
      <w:rPr>
        <w:spacing w:val="-2"/>
      </w:rPr>
      <w:t>-</w:t>
    </w:r>
    <w:r w:rsidR="00AD358F">
      <w:rPr>
        <w:spacing w:val="-2"/>
      </w:rPr>
      <w:t>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6"/>
    <w:rsid w:val="0000409E"/>
    <w:rsid w:val="00011833"/>
    <w:rsid w:val="00020033"/>
    <w:rsid w:val="00025B0E"/>
    <w:rsid w:val="00025E3B"/>
    <w:rsid w:val="000315B2"/>
    <w:rsid w:val="00036039"/>
    <w:rsid w:val="00037F90"/>
    <w:rsid w:val="00053196"/>
    <w:rsid w:val="000875BF"/>
    <w:rsid w:val="00096D8C"/>
    <w:rsid w:val="00097CE1"/>
    <w:rsid w:val="000B5D82"/>
    <w:rsid w:val="000C0B65"/>
    <w:rsid w:val="000C6DBB"/>
    <w:rsid w:val="000D14CC"/>
    <w:rsid w:val="000E05FE"/>
    <w:rsid w:val="000E3D42"/>
    <w:rsid w:val="000E453B"/>
    <w:rsid w:val="000E6333"/>
    <w:rsid w:val="000F3AA4"/>
    <w:rsid w:val="000F6640"/>
    <w:rsid w:val="00101982"/>
    <w:rsid w:val="00111DF9"/>
    <w:rsid w:val="00121F36"/>
    <w:rsid w:val="00122BD5"/>
    <w:rsid w:val="00126C57"/>
    <w:rsid w:val="00133F79"/>
    <w:rsid w:val="001370F1"/>
    <w:rsid w:val="0013796C"/>
    <w:rsid w:val="00142538"/>
    <w:rsid w:val="00156085"/>
    <w:rsid w:val="0016423A"/>
    <w:rsid w:val="00170464"/>
    <w:rsid w:val="00177EA5"/>
    <w:rsid w:val="0018524B"/>
    <w:rsid w:val="00194A66"/>
    <w:rsid w:val="001B4B3F"/>
    <w:rsid w:val="001B620F"/>
    <w:rsid w:val="001D403D"/>
    <w:rsid w:val="001D5918"/>
    <w:rsid w:val="001D6BCF"/>
    <w:rsid w:val="001E01CA"/>
    <w:rsid w:val="001F21A8"/>
    <w:rsid w:val="001F515F"/>
    <w:rsid w:val="002437B6"/>
    <w:rsid w:val="00256764"/>
    <w:rsid w:val="00272E9B"/>
    <w:rsid w:val="00275CF5"/>
    <w:rsid w:val="002777F5"/>
    <w:rsid w:val="0028301F"/>
    <w:rsid w:val="00285017"/>
    <w:rsid w:val="002862FE"/>
    <w:rsid w:val="002973BC"/>
    <w:rsid w:val="002A2D2E"/>
    <w:rsid w:val="002C00E8"/>
    <w:rsid w:val="002C7412"/>
    <w:rsid w:val="002D4F40"/>
    <w:rsid w:val="002E41A2"/>
    <w:rsid w:val="002E6225"/>
    <w:rsid w:val="002F16F5"/>
    <w:rsid w:val="002F3997"/>
    <w:rsid w:val="00302BAD"/>
    <w:rsid w:val="00304D6F"/>
    <w:rsid w:val="0031463D"/>
    <w:rsid w:val="00317100"/>
    <w:rsid w:val="00323CA4"/>
    <w:rsid w:val="003249E2"/>
    <w:rsid w:val="00330136"/>
    <w:rsid w:val="00343749"/>
    <w:rsid w:val="003549D8"/>
    <w:rsid w:val="0036483D"/>
    <w:rsid w:val="003660ED"/>
    <w:rsid w:val="00392385"/>
    <w:rsid w:val="00393A60"/>
    <w:rsid w:val="003942FB"/>
    <w:rsid w:val="003A2A94"/>
    <w:rsid w:val="003A6C19"/>
    <w:rsid w:val="003A73CE"/>
    <w:rsid w:val="003B0550"/>
    <w:rsid w:val="003B46D0"/>
    <w:rsid w:val="003B4F72"/>
    <w:rsid w:val="003B521D"/>
    <w:rsid w:val="003B694F"/>
    <w:rsid w:val="003E6684"/>
    <w:rsid w:val="003F171C"/>
    <w:rsid w:val="003F77DB"/>
    <w:rsid w:val="0040216F"/>
    <w:rsid w:val="00407209"/>
    <w:rsid w:val="00412FC5"/>
    <w:rsid w:val="004156AE"/>
    <w:rsid w:val="00422276"/>
    <w:rsid w:val="004242F1"/>
    <w:rsid w:val="00436D49"/>
    <w:rsid w:val="00445A00"/>
    <w:rsid w:val="00451028"/>
    <w:rsid w:val="00451B0F"/>
    <w:rsid w:val="004571F5"/>
    <w:rsid w:val="00461275"/>
    <w:rsid w:val="00465625"/>
    <w:rsid w:val="00466FB2"/>
    <w:rsid w:val="0046791E"/>
    <w:rsid w:val="0047010F"/>
    <w:rsid w:val="004B07CA"/>
    <w:rsid w:val="004C2EE3"/>
    <w:rsid w:val="004C5BB1"/>
    <w:rsid w:val="004C642D"/>
    <w:rsid w:val="004C7225"/>
    <w:rsid w:val="004E00D7"/>
    <w:rsid w:val="004E36A9"/>
    <w:rsid w:val="004E4A22"/>
    <w:rsid w:val="004E50A6"/>
    <w:rsid w:val="004F1A52"/>
    <w:rsid w:val="00501A66"/>
    <w:rsid w:val="005024E9"/>
    <w:rsid w:val="00507ED3"/>
    <w:rsid w:val="00511968"/>
    <w:rsid w:val="005375C9"/>
    <w:rsid w:val="00554C6B"/>
    <w:rsid w:val="0055614C"/>
    <w:rsid w:val="00560D69"/>
    <w:rsid w:val="005636A1"/>
    <w:rsid w:val="00590817"/>
    <w:rsid w:val="00595A65"/>
    <w:rsid w:val="005A3688"/>
    <w:rsid w:val="005A5C1F"/>
    <w:rsid w:val="005B3332"/>
    <w:rsid w:val="005B3E2F"/>
    <w:rsid w:val="005B3F4E"/>
    <w:rsid w:val="005D2843"/>
    <w:rsid w:val="005D3031"/>
    <w:rsid w:val="005E14C2"/>
    <w:rsid w:val="00606AD7"/>
    <w:rsid w:val="00607BA5"/>
    <w:rsid w:val="0061180A"/>
    <w:rsid w:val="00614C8D"/>
    <w:rsid w:val="006161B5"/>
    <w:rsid w:val="00616F33"/>
    <w:rsid w:val="00626EB6"/>
    <w:rsid w:val="0063112C"/>
    <w:rsid w:val="006313AE"/>
    <w:rsid w:val="0063163F"/>
    <w:rsid w:val="00635B3B"/>
    <w:rsid w:val="0064593B"/>
    <w:rsid w:val="00646DAD"/>
    <w:rsid w:val="006551E7"/>
    <w:rsid w:val="00655D03"/>
    <w:rsid w:val="006602A2"/>
    <w:rsid w:val="006624B7"/>
    <w:rsid w:val="00670BEF"/>
    <w:rsid w:val="00683388"/>
    <w:rsid w:val="00683F84"/>
    <w:rsid w:val="00687318"/>
    <w:rsid w:val="0069576E"/>
    <w:rsid w:val="006A6A81"/>
    <w:rsid w:val="006B3F1A"/>
    <w:rsid w:val="006C3BBE"/>
    <w:rsid w:val="006D0363"/>
    <w:rsid w:val="006D2107"/>
    <w:rsid w:val="006F21A0"/>
    <w:rsid w:val="006F7393"/>
    <w:rsid w:val="0070224F"/>
    <w:rsid w:val="007115F7"/>
    <w:rsid w:val="00711C37"/>
    <w:rsid w:val="007171F0"/>
    <w:rsid w:val="00737994"/>
    <w:rsid w:val="00740156"/>
    <w:rsid w:val="00751216"/>
    <w:rsid w:val="00763CFE"/>
    <w:rsid w:val="0076493F"/>
    <w:rsid w:val="00767CFF"/>
    <w:rsid w:val="00773BB5"/>
    <w:rsid w:val="00782F20"/>
    <w:rsid w:val="00784DEF"/>
    <w:rsid w:val="00785689"/>
    <w:rsid w:val="0079754B"/>
    <w:rsid w:val="007A1E6D"/>
    <w:rsid w:val="007B0EB2"/>
    <w:rsid w:val="007B7AC1"/>
    <w:rsid w:val="007E1199"/>
    <w:rsid w:val="007F43BB"/>
    <w:rsid w:val="007F5840"/>
    <w:rsid w:val="00810B6F"/>
    <w:rsid w:val="00817315"/>
    <w:rsid w:val="00822CE0"/>
    <w:rsid w:val="00835F7B"/>
    <w:rsid w:val="0083753E"/>
    <w:rsid w:val="00841AB1"/>
    <w:rsid w:val="0087011C"/>
    <w:rsid w:val="008730E8"/>
    <w:rsid w:val="00895FED"/>
    <w:rsid w:val="008A1B2B"/>
    <w:rsid w:val="008C1C63"/>
    <w:rsid w:val="008C68F1"/>
    <w:rsid w:val="008C6DBB"/>
    <w:rsid w:val="008E6BF4"/>
    <w:rsid w:val="008F654C"/>
    <w:rsid w:val="00904649"/>
    <w:rsid w:val="00904FA7"/>
    <w:rsid w:val="00912A9E"/>
    <w:rsid w:val="00921803"/>
    <w:rsid w:val="00925BA8"/>
    <w:rsid w:val="00926503"/>
    <w:rsid w:val="00935E16"/>
    <w:rsid w:val="00960E62"/>
    <w:rsid w:val="00967A24"/>
    <w:rsid w:val="009726D8"/>
    <w:rsid w:val="009868E4"/>
    <w:rsid w:val="00993A32"/>
    <w:rsid w:val="009C3998"/>
    <w:rsid w:val="009C685E"/>
    <w:rsid w:val="009E36D6"/>
    <w:rsid w:val="009F76DB"/>
    <w:rsid w:val="00A2519B"/>
    <w:rsid w:val="00A32B99"/>
    <w:rsid w:val="00A32C3B"/>
    <w:rsid w:val="00A368D3"/>
    <w:rsid w:val="00A45F4F"/>
    <w:rsid w:val="00A600A9"/>
    <w:rsid w:val="00A672F7"/>
    <w:rsid w:val="00A70AB1"/>
    <w:rsid w:val="00AA55B7"/>
    <w:rsid w:val="00AA572A"/>
    <w:rsid w:val="00AA5B9E"/>
    <w:rsid w:val="00AB2407"/>
    <w:rsid w:val="00AB53DF"/>
    <w:rsid w:val="00AB7371"/>
    <w:rsid w:val="00AD358F"/>
    <w:rsid w:val="00AE141A"/>
    <w:rsid w:val="00B07E5C"/>
    <w:rsid w:val="00B1787E"/>
    <w:rsid w:val="00B251D7"/>
    <w:rsid w:val="00B30CB6"/>
    <w:rsid w:val="00B45F96"/>
    <w:rsid w:val="00B709B4"/>
    <w:rsid w:val="00B72CFD"/>
    <w:rsid w:val="00B811F7"/>
    <w:rsid w:val="00B82EE8"/>
    <w:rsid w:val="00B9036E"/>
    <w:rsid w:val="00B9602B"/>
    <w:rsid w:val="00BA1A88"/>
    <w:rsid w:val="00BA3A86"/>
    <w:rsid w:val="00BA5DC6"/>
    <w:rsid w:val="00BA6196"/>
    <w:rsid w:val="00BB789B"/>
    <w:rsid w:val="00BC18B3"/>
    <w:rsid w:val="00BC458A"/>
    <w:rsid w:val="00BC6D8C"/>
    <w:rsid w:val="00BD4CC2"/>
    <w:rsid w:val="00BE3FCA"/>
    <w:rsid w:val="00BE54B1"/>
    <w:rsid w:val="00C17A8B"/>
    <w:rsid w:val="00C22681"/>
    <w:rsid w:val="00C34006"/>
    <w:rsid w:val="00C426B1"/>
    <w:rsid w:val="00C6071F"/>
    <w:rsid w:val="00C66160"/>
    <w:rsid w:val="00C667C5"/>
    <w:rsid w:val="00C721AC"/>
    <w:rsid w:val="00C80F2F"/>
    <w:rsid w:val="00C86F3A"/>
    <w:rsid w:val="00C90D6A"/>
    <w:rsid w:val="00CA247E"/>
    <w:rsid w:val="00CB7E86"/>
    <w:rsid w:val="00CC2048"/>
    <w:rsid w:val="00CC72B6"/>
    <w:rsid w:val="00CD000D"/>
    <w:rsid w:val="00CD3FFE"/>
    <w:rsid w:val="00CE23F9"/>
    <w:rsid w:val="00D0218D"/>
    <w:rsid w:val="00D0602E"/>
    <w:rsid w:val="00D25FB5"/>
    <w:rsid w:val="00D44223"/>
    <w:rsid w:val="00D62DCA"/>
    <w:rsid w:val="00D81A3F"/>
    <w:rsid w:val="00D953FB"/>
    <w:rsid w:val="00DA2529"/>
    <w:rsid w:val="00DB130A"/>
    <w:rsid w:val="00DB2EBB"/>
    <w:rsid w:val="00DC10A1"/>
    <w:rsid w:val="00DC655F"/>
    <w:rsid w:val="00DD0B59"/>
    <w:rsid w:val="00DD5E0F"/>
    <w:rsid w:val="00DD7EBD"/>
    <w:rsid w:val="00DE03FD"/>
    <w:rsid w:val="00DF62B6"/>
    <w:rsid w:val="00E06E32"/>
    <w:rsid w:val="00E07225"/>
    <w:rsid w:val="00E259A7"/>
    <w:rsid w:val="00E360C7"/>
    <w:rsid w:val="00E37116"/>
    <w:rsid w:val="00E3795F"/>
    <w:rsid w:val="00E52A46"/>
    <w:rsid w:val="00E5409F"/>
    <w:rsid w:val="00E63289"/>
    <w:rsid w:val="00E677EA"/>
    <w:rsid w:val="00E73506"/>
    <w:rsid w:val="00E753B6"/>
    <w:rsid w:val="00E77629"/>
    <w:rsid w:val="00E804D0"/>
    <w:rsid w:val="00E865DE"/>
    <w:rsid w:val="00E916B0"/>
    <w:rsid w:val="00ED34A9"/>
    <w:rsid w:val="00EE6488"/>
    <w:rsid w:val="00EF7365"/>
    <w:rsid w:val="00EF79C7"/>
    <w:rsid w:val="00F021FA"/>
    <w:rsid w:val="00F02FA3"/>
    <w:rsid w:val="00F221CB"/>
    <w:rsid w:val="00F23FE8"/>
    <w:rsid w:val="00F31BC3"/>
    <w:rsid w:val="00F40DC2"/>
    <w:rsid w:val="00F60738"/>
    <w:rsid w:val="00F62E97"/>
    <w:rsid w:val="00F63DCB"/>
    <w:rsid w:val="00F64209"/>
    <w:rsid w:val="00F76439"/>
    <w:rsid w:val="00F93BF5"/>
    <w:rsid w:val="00F960DC"/>
    <w:rsid w:val="00FA3A90"/>
    <w:rsid w:val="00FC17B6"/>
    <w:rsid w:val="00FD15E1"/>
    <w:rsid w:val="00FF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48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A8"/>
    <w:pPr>
      <w:widowControl w:val="0"/>
    </w:pPr>
    <w:rPr>
      <w:snapToGrid w:val="0"/>
      <w:kern w:val="28"/>
      <w:sz w:val="22"/>
    </w:rPr>
  </w:style>
  <w:style w:type="paragraph" w:styleId="Heading1">
    <w:name w:val="heading 1"/>
    <w:basedOn w:val="Normal"/>
    <w:next w:val="ParaNum"/>
    <w:qFormat/>
    <w:rsid w:val="00925B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5BA8"/>
    <w:pPr>
      <w:keepNext/>
      <w:numPr>
        <w:ilvl w:val="1"/>
        <w:numId w:val="3"/>
      </w:numPr>
      <w:spacing w:after="120"/>
      <w:outlineLvl w:val="1"/>
    </w:pPr>
    <w:rPr>
      <w:b/>
    </w:rPr>
  </w:style>
  <w:style w:type="paragraph" w:styleId="Heading3">
    <w:name w:val="heading 3"/>
    <w:basedOn w:val="Normal"/>
    <w:next w:val="ParaNum"/>
    <w:qFormat/>
    <w:rsid w:val="00925BA8"/>
    <w:pPr>
      <w:keepNext/>
      <w:numPr>
        <w:ilvl w:val="2"/>
        <w:numId w:val="3"/>
      </w:numPr>
      <w:tabs>
        <w:tab w:val="left" w:pos="2160"/>
      </w:tabs>
      <w:spacing w:after="120"/>
      <w:outlineLvl w:val="2"/>
    </w:pPr>
    <w:rPr>
      <w:b/>
    </w:rPr>
  </w:style>
  <w:style w:type="paragraph" w:styleId="Heading4">
    <w:name w:val="heading 4"/>
    <w:basedOn w:val="Normal"/>
    <w:next w:val="ParaNum"/>
    <w:qFormat/>
    <w:rsid w:val="00925BA8"/>
    <w:pPr>
      <w:keepNext/>
      <w:numPr>
        <w:ilvl w:val="3"/>
        <w:numId w:val="3"/>
      </w:numPr>
      <w:tabs>
        <w:tab w:val="left" w:pos="2880"/>
      </w:tabs>
      <w:spacing w:after="120"/>
      <w:outlineLvl w:val="3"/>
    </w:pPr>
    <w:rPr>
      <w:b/>
    </w:rPr>
  </w:style>
  <w:style w:type="paragraph" w:styleId="Heading5">
    <w:name w:val="heading 5"/>
    <w:basedOn w:val="Normal"/>
    <w:next w:val="ParaNum"/>
    <w:qFormat/>
    <w:rsid w:val="00925B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25BA8"/>
    <w:pPr>
      <w:numPr>
        <w:ilvl w:val="5"/>
        <w:numId w:val="3"/>
      </w:numPr>
      <w:tabs>
        <w:tab w:val="left" w:pos="4320"/>
      </w:tabs>
      <w:spacing w:after="120"/>
      <w:outlineLvl w:val="5"/>
    </w:pPr>
    <w:rPr>
      <w:b/>
    </w:rPr>
  </w:style>
  <w:style w:type="paragraph" w:styleId="Heading7">
    <w:name w:val="heading 7"/>
    <w:basedOn w:val="Normal"/>
    <w:next w:val="ParaNum"/>
    <w:qFormat/>
    <w:rsid w:val="00925B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25B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25B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5B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5BA8"/>
  </w:style>
  <w:style w:type="paragraph" w:customStyle="1" w:styleId="ParaNum">
    <w:name w:val="ParaNum"/>
    <w:basedOn w:val="Normal"/>
    <w:link w:val="ParaNumCharChar1"/>
    <w:rsid w:val="00925BA8"/>
    <w:pPr>
      <w:numPr>
        <w:numId w:val="2"/>
      </w:numPr>
      <w:tabs>
        <w:tab w:val="clear" w:pos="1080"/>
        <w:tab w:val="num" w:pos="1440"/>
      </w:tabs>
      <w:spacing w:after="120"/>
    </w:pPr>
  </w:style>
  <w:style w:type="paragraph" w:styleId="EndnoteText">
    <w:name w:val="endnote text"/>
    <w:basedOn w:val="Normal"/>
    <w:semiHidden/>
    <w:rsid w:val="00925BA8"/>
    <w:rPr>
      <w:sz w:val="20"/>
    </w:rPr>
  </w:style>
  <w:style w:type="character" w:styleId="EndnoteReference">
    <w:name w:val="endnote reference"/>
    <w:semiHidden/>
    <w:rsid w:val="00925BA8"/>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925BA8"/>
    <w:pPr>
      <w:spacing w:after="120"/>
    </w:pPr>
  </w:style>
  <w:style w:type="character" w:styleId="FootnoteReference">
    <w:name w:val="footnote reference"/>
    <w:aliases w:val="Style 12,(NECG) Footnote Reference,Style 13,Appel note de bas de p,Style 124,fr,o,Style 3,FR,Style 17,Footnote Reference/,Style 6,Style 7"/>
    <w:rsid w:val="00925BA8"/>
    <w:rPr>
      <w:rFonts w:ascii="Times New Roman" w:hAnsi="Times New Roman"/>
      <w:dstrike w:val="0"/>
      <w:color w:val="auto"/>
      <w:sz w:val="20"/>
      <w:vertAlign w:val="superscript"/>
    </w:rPr>
  </w:style>
  <w:style w:type="paragraph" w:styleId="TOC1">
    <w:name w:val="toc 1"/>
    <w:basedOn w:val="Normal"/>
    <w:next w:val="Normal"/>
    <w:semiHidden/>
    <w:rsid w:val="00925B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5BA8"/>
    <w:pPr>
      <w:tabs>
        <w:tab w:val="left" w:pos="720"/>
        <w:tab w:val="right" w:leader="dot" w:pos="9360"/>
      </w:tabs>
      <w:suppressAutoHyphens/>
      <w:ind w:left="720" w:right="720" w:hanging="360"/>
    </w:pPr>
    <w:rPr>
      <w:noProof/>
    </w:rPr>
  </w:style>
  <w:style w:type="paragraph" w:styleId="TOC3">
    <w:name w:val="toc 3"/>
    <w:basedOn w:val="Normal"/>
    <w:next w:val="Normal"/>
    <w:semiHidden/>
    <w:rsid w:val="00925B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5B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5B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5B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5B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5B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5B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5BA8"/>
    <w:pPr>
      <w:tabs>
        <w:tab w:val="right" w:pos="9360"/>
      </w:tabs>
      <w:suppressAutoHyphens/>
    </w:pPr>
  </w:style>
  <w:style w:type="character" w:customStyle="1" w:styleId="EquationCaption">
    <w:name w:val="_Equation Caption"/>
    <w:rsid w:val="00925BA8"/>
  </w:style>
  <w:style w:type="paragraph" w:styleId="Header">
    <w:name w:val="header"/>
    <w:basedOn w:val="Normal"/>
    <w:autoRedefine/>
    <w:rsid w:val="00925BA8"/>
    <w:pPr>
      <w:tabs>
        <w:tab w:val="center" w:pos="4680"/>
        <w:tab w:val="right" w:pos="9360"/>
      </w:tabs>
    </w:pPr>
    <w:rPr>
      <w:b/>
    </w:rPr>
  </w:style>
  <w:style w:type="paragraph" w:styleId="Footer">
    <w:name w:val="footer"/>
    <w:basedOn w:val="Normal"/>
    <w:rsid w:val="00925BA8"/>
    <w:pPr>
      <w:tabs>
        <w:tab w:val="center" w:pos="4320"/>
        <w:tab w:val="right" w:pos="8640"/>
      </w:tabs>
    </w:pPr>
  </w:style>
  <w:style w:type="character" w:styleId="PageNumber">
    <w:name w:val="page number"/>
    <w:basedOn w:val="DefaultParagraphFont"/>
    <w:rsid w:val="00925BA8"/>
  </w:style>
  <w:style w:type="paragraph" w:styleId="BlockText">
    <w:name w:val="Block Text"/>
    <w:basedOn w:val="Normal"/>
    <w:rsid w:val="00925BA8"/>
    <w:pPr>
      <w:spacing w:after="240"/>
      <w:ind w:left="1440" w:right="1440"/>
    </w:pPr>
  </w:style>
  <w:style w:type="paragraph" w:customStyle="1" w:styleId="Paratitle">
    <w:name w:val="Para title"/>
    <w:basedOn w:val="Normal"/>
    <w:rsid w:val="00925BA8"/>
    <w:pPr>
      <w:tabs>
        <w:tab w:val="center" w:pos="9270"/>
      </w:tabs>
      <w:spacing w:after="240"/>
    </w:pPr>
    <w:rPr>
      <w:spacing w:val="-2"/>
    </w:rPr>
  </w:style>
  <w:style w:type="paragraph" w:customStyle="1" w:styleId="Bullet">
    <w:name w:val="Bullet"/>
    <w:basedOn w:val="Normal"/>
    <w:rsid w:val="00925BA8"/>
    <w:pPr>
      <w:tabs>
        <w:tab w:val="left" w:pos="2160"/>
      </w:tabs>
      <w:spacing w:after="220"/>
      <w:ind w:left="2160" w:hanging="720"/>
    </w:pPr>
  </w:style>
  <w:style w:type="paragraph" w:customStyle="1" w:styleId="TableFormat">
    <w:name w:val="TableFormat"/>
    <w:basedOn w:val="Bullet"/>
    <w:rsid w:val="00925BA8"/>
    <w:pPr>
      <w:tabs>
        <w:tab w:val="clear" w:pos="2160"/>
        <w:tab w:val="left" w:pos="5040"/>
      </w:tabs>
      <w:ind w:left="5040" w:hanging="3600"/>
    </w:pPr>
  </w:style>
  <w:style w:type="paragraph" w:customStyle="1" w:styleId="TOCTitle">
    <w:name w:val="TOC Title"/>
    <w:basedOn w:val="Normal"/>
    <w:rsid w:val="00925B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5BA8"/>
    <w:pPr>
      <w:jc w:val="center"/>
    </w:pPr>
    <w:rPr>
      <w:rFonts w:ascii="Times New Roman Bold" w:hAnsi="Times New Roman Bold"/>
      <w:b/>
      <w:bCs/>
      <w:caps/>
      <w:szCs w:val="22"/>
    </w:rPr>
  </w:style>
  <w:style w:type="character" w:styleId="Hyperlink">
    <w:name w:val="Hyperlink"/>
    <w:rsid w:val="00925BA8"/>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1">
    <w:name w:val="Mention1"/>
    <w:basedOn w:val="DefaultParagraphFont"/>
    <w:uiPriority w:val="99"/>
    <w:semiHidden/>
    <w:unhideWhenUsed/>
    <w:rsid w:val="00782F2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A8"/>
    <w:pPr>
      <w:widowControl w:val="0"/>
    </w:pPr>
    <w:rPr>
      <w:snapToGrid w:val="0"/>
      <w:kern w:val="28"/>
      <w:sz w:val="22"/>
    </w:rPr>
  </w:style>
  <w:style w:type="paragraph" w:styleId="Heading1">
    <w:name w:val="heading 1"/>
    <w:basedOn w:val="Normal"/>
    <w:next w:val="ParaNum"/>
    <w:qFormat/>
    <w:rsid w:val="00925B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25BA8"/>
    <w:pPr>
      <w:keepNext/>
      <w:numPr>
        <w:ilvl w:val="1"/>
        <w:numId w:val="3"/>
      </w:numPr>
      <w:spacing w:after="120"/>
      <w:outlineLvl w:val="1"/>
    </w:pPr>
    <w:rPr>
      <w:b/>
    </w:rPr>
  </w:style>
  <w:style w:type="paragraph" w:styleId="Heading3">
    <w:name w:val="heading 3"/>
    <w:basedOn w:val="Normal"/>
    <w:next w:val="ParaNum"/>
    <w:qFormat/>
    <w:rsid w:val="00925BA8"/>
    <w:pPr>
      <w:keepNext/>
      <w:numPr>
        <w:ilvl w:val="2"/>
        <w:numId w:val="3"/>
      </w:numPr>
      <w:tabs>
        <w:tab w:val="left" w:pos="2160"/>
      </w:tabs>
      <w:spacing w:after="120"/>
      <w:outlineLvl w:val="2"/>
    </w:pPr>
    <w:rPr>
      <w:b/>
    </w:rPr>
  </w:style>
  <w:style w:type="paragraph" w:styleId="Heading4">
    <w:name w:val="heading 4"/>
    <w:basedOn w:val="Normal"/>
    <w:next w:val="ParaNum"/>
    <w:qFormat/>
    <w:rsid w:val="00925BA8"/>
    <w:pPr>
      <w:keepNext/>
      <w:numPr>
        <w:ilvl w:val="3"/>
        <w:numId w:val="3"/>
      </w:numPr>
      <w:tabs>
        <w:tab w:val="left" w:pos="2880"/>
      </w:tabs>
      <w:spacing w:after="120"/>
      <w:outlineLvl w:val="3"/>
    </w:pPr>
    <w:rPr>
      <w:b/>
    </w:rPr>
  </w:style>
  <w:style w:type="paragraph" w:styleId="Heading5">
    <w:name w:val="heading 5"/>
    <w:basedOn w:val="Normal"/>
    <w:next w:val="ParaNum"/>
    <w:qFormat/>
    <w:rsid w:val="00925B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25BA8"/>
    <w:pPr>
      <w:numPr>
        <w:ilvl w:val="5"/>
        <w:numId w:val="3"/>
      </w:numPr>
      <w:tabs>
        <w:tab w:val="left" w:pos="4320"/>
      </w:tabs>
      <w:spacing w:after="120"/>
      <w:outlineLvl w:val="5"/>
    </w:pPr>
    <w:rPr>
      <w:b/>
    </w:rPr>
  </w:style>
  <w:style w:type="paragraph" w:styleId="Heading7">
    <w:name w:val="heading 7"/>
    <w:basedOn w:val="Normal"/>
    <w:next w:val="ParaNum"/>
    <w:qFormat/>
    <w:rsid w:val="00925B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25B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25B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25B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5BA8"/>
  </w:style>
  <w:style w:type="paragraph" w:customStyle="1" w:styleId="ParaNum">
    <w:name w:val="ParaNum"/>
    <w:basedOn w:val="Normal"/>
    <w:link w:val="ParaNumCharChar1"/>
    <w:rsid w:val="00925BA8"/>
    <w:pPr>
      <w:numPr>
        <w:numId w:val="2"/>
      </w:numPr>
      <w:tabs>
        <w:tab w:val="clear" w:pos="1080"/>
        <w:tab w:val="num" w:pos="1440"/>
      </w:tabs>
      <w:spacing w:after="120"/>
    </w:pPr>
  </w:style>
  <w:style w:type="paragraph" w:styleId="EndnoteText">
    <w:name w:val="endnote text"/>
    <w:basedOn w:val="Normal"/>
    <w:semiHidden/>
    <w:rsid w:val="00925BA8"/>
    <w:rPr>
      <w:sz w:val="20"/>
    </w:rPr>
  </w:style>
  <w:style w:type="character" w:styleId="EndnoteReference">
    <w:name w:val="endnote reference"/>
    <w:semiHidden/>
    <w:rsid w:val="00925BA8"/>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925BA8"/>
    <w:pPr>
      <w:spacing w:after="120"/>
    </w:pPr>
  </w:style>
  <w:style w:type="character" w:styleId="FootnoteReference">
    <w:name w:val="footnote reference"/>
    <w:aliases w:val="Style 12,(NECG) Footnote Reference,Style 13,Appel note de bas de p,Style 124,fr,o,Style 3,FR,Style 17,Footnote Reference/,Style 6,Style 7"/>
    <w:rsid w:val="00925BA8"/>
    <w:rPr>
      <w:rFonts w:ascii="Times New Roman" w:hAnsi="Times New Roman"/>
      <w:dstrike w:val="0"/>
      <w:color w:val="auto"/>
      <w:sz w:val="20"/>
      <w:vertAlign w:val="superscript"/>
    </w:rPr>
  </w:style>
  <w:style w:type="paragraph" w:styleId="TOC1">
    <w:name w:val="toc 1"/>
    <w:basedOn w:val="Normal"/>
    <w:next w:val="Normal"/>
    <w:semiHidden/>
    <w:rsid w:val="00925B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25BA8"/>
    <w:pPr>
      <w:tabs>
        <w:tab w:val="left" w:pos="720"/>
        <w:tab w:val="right" w:leader="dot" w:pos="9360"/>
      </w:tabs>
      <w:suppressAutoHyphens/>
      <w:ind w:left="720" w:right="720" w:hanging="360"/>
    </w:pPr>
    <w:rPr>
      <w:noProof/>
    </w:rPr>
  </w:style>
  <w:style w:type="paragraph" w:styleId="TOC3">
    <w:name w:val="toc 3"/>
    <w:basedOn w:val="Normal"/>
    <w:next w:val="Normal"/>
    <w:semiHidden/>
    <w:rsid w:val="00925B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25B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25B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25B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25B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25B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25B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25BA8"/>
    <w:pPr>
      <w:tabs>
        <w:tab w:val="right" w:pos="9360"/>
      </w:tabs>
      <w:suppressAutoHyphens/>
    </w:pPr>
  </w:style>
  <w:style w:type="character" w:customStyle="1" w:styleId="EquationCaption">
    <w:name w:val="_Equation Caption"/>
    <w:rsid w:val="00925BA8"/>
  </w:style>
  <w:style w:type="paragraph" w:styleId="Header">
    <w:name w:val="header"/>
    <w:basedOn w:val="Normal"/>
    <w:autoRedefine/>
    <w:rsid w:val="00925BA8"/>
    <w:pPr>
      <w:tabs>
        <w:tab w:val="center" w:pos="4680"/>
        <w:tab w:val="right" w:pos="9360"/>
      </w:tabs>
    </w:pPr>
    <w:rPr>
      <w:b/>
    </w:rPr>
  </w:style>
  <w:style w:type="paragraph" w:styleId="Footer">
    <w:name w:val="footer"/>
    <w:basedOn w:val="Normal"/>
    <w:rsid w:val="00925BA8"/>
    <w:pPr>
      <w:tabs>
        <w:tab w:val="center" w:pos="4320"/>
        <w:tab w:val="right" w:pos="8640"/>
      </w:tabs>
    </w:pPr>
  </w:style>
  <w:style w:type="character" w:styleId="PageNumber">
    <w:name w:val="page number"/>
    <w:basedOn w:val="DefaultParagraphFont"/>
    <w:rsid w:val="00925BA8"/>
  </w:style>
  <w:style w:type="paragraph" w:styleId="BlockText">
    <w:name w:val="Block Text"/>
    <w:basedOn w:val="Normal"/>
    <w:rsid w:val="00925BA8"/>
    <w:pPr>
      <w:spacing w:after="240"/>
      <w:ind w:left="1440" w:right="1440"/>
    </w:pPr>
  </w:style>
  <w:style w:type="paragraph" w:customStyle="1" w:styleId="Paratitle">
    <w:name w:val="Para title"/>
    <w:basedOn w:val="Normal"/>
    <w:rsid w:val="00925BA8"/>
    <w:pPr>
      <w:tabs>
        <w:tab w:val="center" w:pos="9270"/>
      </w:tabs>
      <w:spacing w:after="240"/>
    </w:pPr>
    <w:rPr>
      <w:spacing w:val="-2"/>
    </w:rPr>
  </w:style>
  <w:style w:type="paragraph" w:customStyle="1" w:styleId="Bullet">
    <w:name w:val="Bullet"/>
    <w:basedOn w:val="Normal"/>
    <w:rsid w:val="00925BA8"/>
    <w:pPr>
      <w:tabs>
        <w:tab w:val="left" w:pos="2160"/>
      </w:tabs>
      <w:spacing w:after="220"/>
      <w:ind w:left="2160" w:hanging="720"/>
    </w:pPr>
  </w:style>
  <w:style w:type="paragraph" w:customStyle="1" w:styleId="TableFormat">
    <w:name w:val="TableFormat"/>
    <w:basedOn w:val="Bullet"/>
    <w:rsid w:val="00925BA8"/>
    <w:pPr>
      <w:tabs>
        <w:tab w:val="clear" w:pos="2160"/>
        <w:tab w:val="left" w:pos="5040"/>
      </w:tabs>
      <w:ind w:left="5040" w:hanging="3600"/>
    </w:pPr>
  </w:style>
  <w:style w:type="paragraph" w:customStyle="1" w:styleId="TOCTitle">
    <w:name w:val="TOC Title"/>
    <w:basedOn w:val="Normal"/>
    <w:rsid w:val="00925B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25BA8"/>
    <w:pPr>
      <w:jc w:val="center"/>
    </w:pPr>
    <w:rPr>
      <w:rFonts w:ascii="Times New Roman Bold" w:hAnsi="Times New Roman Bold"/>
      <w:b/>
      <w:bCs/>
      <w:caps/>
      <w:szCs w:val="22"/>
    </w:rPr>
  </w:style>
  <w:style w:type="character" w:styleId="Hyperlink">
    <w:name w:val="Hyperlink"/>
    <w:rsid w:val="00925BA8"/>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1">
    <w:name w:val="Mention1"/>
    <w:basedOn w:val="DefaultParagraphFont"/>
    <w:uiPriority w:val="99"/>
    <w:semiHidden/>
    <w:unhideWhenUsed/>
    <w:rsid w:val="00782F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765</Words>
  <Characters>4429</Characters>
  <Application>Microsoft Office Word</Application>
  <DocSecurity>0</DocSecurity>
  <Lines>101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2017-09-05T20:11:00Z</dcterms:created>
  <dcterms:modified xsi:type="dcterms:W3CDTF">2017-09-05T20:11:00Z</dcterms:modified>
  <cp:category> </cp:category>
  <cp:contentStatus> </cp:contentStatus>
</cp:coreProperties>
</file>