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C2" w:rsidRPr="006823C2" w:rsidRDefault="006823C2" w:rsidP="006823C2">
      <w:pPr>
        <w:jc w:val="center"/>
        <w:rPr>
          <w:b/>
          <w:szCs w:val="22"/>
        </w:rPr>
      </w:pPr>
      <w:bookmarkStart w:id="0" w:name="_GoBack"/>
      <w:bookmarkEnd w:id="0"/>
      <w:r w:rsidRPr="006823C2">
        <w:rPr>
          <w:b/>
          <w:szCs w:val="22"/>
        </w:rPr>
        <w:t>Before the</w:t>
      </w:r>
    </w:p>
    <w:p w:rsidR="006823C2" w:rsidRPr="006823C2" w:rsidRDefault="006823C2" w:rsidP="006823C2">
      <w:pPr>
        <w:jc w:val="center"/>
        <w:rPr>
          <w:b/>
          <w:szCs w:val="22"/>
        </w:rPr>
      </w:pPr>
      <w:r w:rsidRPr="006823C2">
        <w:rPr>
          <w:b/>
          <w:szCs w:val="22"/>
        </w:rPr>
        <w:t>Federal Communications Commission</w:t>
      </w:r>
    </w:p>
    <w:p w:rsidR="006823C2" w:rsidRPr="006823C2" w:rsidRDefault="006823C2" w:rsidP="006823C2">
      <w:pPr>
        <w:jc w:val="center"/>
        <w:rPr>
          <w:b/>
          <w:szCs w:val="22"/>
        </w:rPr>
      </w:pPr>
      <w:r w:rsidRPr="006823C2">
        <w:rPr>
          <w:b/>
          <w:szCs w:val="22"/>
        </w:rPr>
        <w:t>Washington, D.C. 20554</w:t>
      </w:r>
    </w:p>
    <w:p w:rsidR="006823C2" w:rsidRPr="006823C2" w:rsidRDefault="006823C2" w:rsidP="006823C2">
      <w:pPr>
        <w:rPr>
          <w:szCs w:val="22"/>
        </w:rPr>
      </w:pPr>
    </w:p>
    <w:p w:rsidR="006823C2" w:rsidRPr="006823C2" w:rsidRDefault="006823C2" w:rsidP="006823C2">
      <w:pPr>
        <w:rPr>
          <w:szCs w:val="22"/>
        </w:rPr>
      </w:pPr>
    </w:p>
    <w:tbl>
      <w:tblPr>
        <w:tblW w:w="0" w:type="auto"/>
        <w:tblLayout w:type="fixed"/>
        <w:tblLook w:val="0000" w:firstRow="0" w:lastRow="0" w:firstColumn="0" w:lastColumn="0" w:noHBand="0" w:noVBand="0"/>
      </w:tblPr>
      <w:tblGrid>
        <w:gridCol w:w="4698"/>
        <w:gridCol w:w="720"/>
        <w:gridCol w:w="4230"/>
      </w:tblGrid>
      <w:tr w:rsidR="006823C2" w:rsidRPr="006823C2" w:rsidTr="005B6DD7">
        <w:tc>
          <w:tcPr>
            <w:tcW w:w="4698" w:type="dxa"/>
          </w:tcPr>
          <w:p w:rsidR="006823C2" w:rsidRPr="006823C2" w:rsidRDefault="006823C2" w:rsidP="005B6DD7">
            <w:pPr>
              <w:ind w:right="-18"/>
              <w:rPr>
                <w:szCs w:val="22"/>
              </w:rPr>
            </w:pPr>
            <w:r w:rsidRPr="006823C2">
              <w:rPr>
                <w:szCs w:val="22"/>
              </w:rPr>
              <w:t>In the Matter of</w:t>
            </w:r>
          </w:p>
          <w:p w:rsidR="006823C2" w:rsidRPr="006823C2" w:rsidRDefault="006823C2" w:rsidP="005B6DD7">
            <w:pPr>
              <w:ind w:right="-18"/>
              <w:rPr>
                <w:szCs w:val="22"/>
              </w:rPr>
            </w:pPr>
          </w:p>
          <w:p w:rsidR="006823C2" w:rsidRPr="006823C2" w:rsidRDefault="006823C2" w:rsidP="005B6DD7">
            <w:pPr>
              <w:ind w:right="-18"/>
              <w:rPr>
                <w:szCs w:val="22"/>
              </w:rPr>
            </w:pPr>
            <w:r w:rsidRPr="006823C2">
              <w:rPr>
                <w:szCs w:val="22"/>
              </w:rPr>
              <w:t>Telephone Number Portability</w:t>
            </w:r>
          </w:p>
          <w:p w:rsidR="006823C2" w:rsidRPr="006823C2" w:rsidRDefault="006823C2" w:rsidP="005B6DD7">
            <w:pPr>
              <w:ind w:right="-18"/>
              <w:rPr>
                <w:szCs w:val="22"/>
              </w:rPr>
            </w:pPr>
          </w:p>
          <w:p w:rsidR="006823C2" w:rsidRPr="006823C2" w:rsidRDefault="006823C2" w:rsidP="005B6DD7">
            <w:pPr>
              <w:ind w:right="-18"/>
              <w:rPr>
                <w:szCs w:val="22"/>
              </w:rPr>
            </w:pPr>
            <w:r w:rsidRPr="006823C2">
              <w:rPr>
                <w:szCs w:val="22"/>
              </w:rPr>
              <w:t>Numbering Resource Optimization</w:t>
            </w:r>
          </w:p>
        </w:tc>
        <w:tc>
          <w:tcPr>
            <w:tcW w:w="720" w:type="dxa"/>
          </w:tcPr>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r w:rsidRPr="006823C2">
              <w:rPr>
                <w:b/>
                <w:szCs w:val="22"/>
              </w:rPr>
              <w:t>)</w:t>
            </w:r>
          </w:p>
          <w:p w:rsidR="006823C2" w:rsidRPr="006823C2" w:rsidRDefault="006823C2" w:rsidP="005B6DD7">
            <w:pPr>
              <w:rPr>
                <w:b/>
                <w:szCs w:val="22"/>
              </w:rPr>
            </w:pPr>
          </w:p>
        </w:tc>
        <w:tc>
          <w:tcPr>
            <w:tcW w:w="4230" w:type="dxa"/>
          </w:tcPr>
          <w:p w:rsidR="006823C2" w:rsidRPr="006823C2" w:rsidRDefault="006823C2" w:rsidP="005B6DD7">
            <w:pPr>
              <w:rPr>
                <w:szCs w:val="22"/>
              </w:rPr>
            </w:pPr>
          </w:p>
          <w:p w:rsidR="006823C2" w:rsidRPr="006823C2" w:rsidRDefault="006823C2" w:rsidP="005B6DD7">
            <w:pPr>
              <w:rPr>
                <w:szCs w:val="22"/>
              </w:rPr>
            </w:pPr>
          </w:p>
          <w:p w:rsidR="006823C2" w:rsidRPr="006823C2" w:rsidRDefault="006823C2" w:rsidP="005B6DD7">
            <w:pPr>
              <w:rPr>
                <w:szCs w:val="22"/>
              </w:rPr>
            </w:pPr>
            <w:r w:rsidRPr="006823C2">
              <w:rPr>
                <w:spacing w:val="-2"/>
                <w:szCs w:val="22"/>
              </w:rPr>
              <w:t>CC Docket No. 95-116</w:t>
            </w:r>
          </w:p>
          <w:p w:rsidR="006823C2" w:rsidRPr="006823C2" w:rsidRDefault="006823C2" w:rsidP="005B6DD7">
            <w:pPr>
              <w:rPr>
                <w:szCs w:val="22"/>
              </w:rPr>
            </w:pPr>
          </w:p>
          <w:p w:rsidR="006823C2" w:rsidRPr="006823C2" w:rsidRDefault="006823C2" w:rsidP="005B6DD7">
            <w:pPr>
              <w:rPr>
                <w:szCs w:val="22"/>
              </w:rPr>
            </w:pPr>
            <w:r w:rsidRPr="006823C2">
              <w:rPr>
                <w:szCs w:val="22"/>
              </w:rPr>
              <w:t>CC Docket No. 99-200</w:t>
            </w:r>
          </w:p>
        </w:tc>
      </w:tr>
    </w:tbl>
    <w:p w:rsidR="006823C2" w:rsidRPr="006823C2" w:rsidRDefault="006823C2" w:rsidP="006823C2">
      <w:pPr>
        <w:rPr>
          <w:szCs w:val="22"/>
        </w:rPr>
      </w:pPr>
    </w:p>
    <w:p w:rsidR="006823C2" w:rsidRPr="006823C2" w:rsidRDefault="006823C2" w:rsidP="006823C2">
      <w:pPr>
        <w:spacing w:before="120"/>
        <w:jc w:val="center"/>
        <w:rPr>
          <w:b/>
          <w:szCs w:val="22"/>
        </w:rPr>
      </w:pPr>
      <w:r w:rsidRPr="006823C2">
        <w:rPr>
          <w:b/>
          <w:szCs w:val="22"/>
        </w:rPr>
        <w:t>ORDER</w:t>
      </w:r>
    </w:p>
    <w:p w:rsidR="006823C2" w:rsidRPr="006823C2" w:rsidRDefault="006823C2" w:rsidP="006823C2">
      <w:pPr>
        <w:rPr>
          <w:szCs w:val="22"/>
        </w:rPr>
      </w:pPr>
    </w:p>
    <w:p w:rsidR="006823C2" w:rsidRPr="006823C2" w:rsidRDefault="006823C2" w:rsidP="006823C2">
      <w:pPr>
        <w:tabs>
          <w:tab w:val="left" w:pos="5760"/>
        </w:tabs>
        <w:rPr>
          <w:b/>
          <w:szCs w:val="22"/>
        </w:rPr>
      </w:pPr>
      <w:r w:rsidRPr="006823C2">
        <w:rPr>
          <w:b/>
          <w:szCs w:val="22"/>
        </w:rPr>
        <w:t xml:space="preserve">Adopted:  </w:t>
      </w:r>
      <w:r w:rsidR="00492068">
        <w:rPr>
          <w:b/>
          <w:szCs w:val="22"/>
        </w:rPr>
        <w:t>September 6</w:t>
      </w:r>
      <w:r w:rsidRPr="006823C2">
        <w:rPr>
          <w:b/>
          <w:spacing w:val="-2"/>
          <w:szCs w:val="22"/>
        </w:rPr>
        <w:t>, 2017</w:t>
      </w:r>
      <w:r w:rsidRPr="006823C2">
        <w:rPr>
          <w:b/>
          <w:szCs w:val="22"/>
        </w:rPr>
        <w:tab/>
      </w:r>
      <w:r w:rsidR="0034783F">
        <w:rPr>
          <w:b/>
          <w:szCs w:val="22"/>
        </w:rPr>
        <w:tab/>
      </w:r>
      <w:r w:rsidRPr="006823C2">
        <w:rPr>
          <w:b/>
          <w:szCs w:val="22"/>
        </w:rPr>
        <w:t xml:space="preserve">Released:  </w:t>
      </w:r>
      <w:r w:rsidR="00492068">
        <w:rPr>
          <w:b/>
          <w:szCs w:val="22"/>
        </w:rPr>
        <w:t>September 6</w:t>
      </w:r>
      <w:r w:rsidRPr="006823C2">
        <w:rPr>
          <w:b/>
          <w:spacing w:val="-2"/>
          <w:szCs w:val="22"/>
        </w:rPr>
        <w:t>, 2017</w:t>
      </w:r>
    </w:p>
    <w:p w:rsidR="006823C2" w:rsidRPr="006823C2" w:rsidRDefault="006823C2" w:rsidP="006823C2">
      <w:pPr>
        <w:tabs>
          <w:tab w:val="left" w:pos="5760"/>
        </w:tabs>
        <w:rPr>
          <w:b/>
          <w:szCs w:val="22"/>
        </w:rPr>
      </w:pPr>
    </w:p>
    <w:p w:rsidR="006823C2" w:rsidRPr="006823C2" w:rsidRDefault="006823C2" w:rsidP="006823C2">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RDefault="006823C2" w:rsidP="006823C2">
      <w:pPr>
        <w:pStyle w:val="Heading1"/>
        <w:numPr>
          <w:ilvl w:val="0"/>
          <w:numId w:val="0"/>
        </w:numPr>
        <w:rPr>
          <w:szCs w:val="22"/>
        </w:rPr>
      </w:pPr>
    </w:p>
    <w:p w:rsidR="00184BEB" w:rsidRPr="00184BEB" w:rsidRDefault="006823C2" w:rsidP="00BF20AE">
      <w:pPr>
        <w:pStyle w:val="ParaNum"/>
        <w:widowControl/>
        <w:numPr>
          <w:ilvl w:val="0"/>
          <w:numId w:val="8"/>
        </w:numPr>
        <w:tabs>
          <w:tab w:val="left" w:pos="1440"/>
        </w:tabs>
        <w:spacing w:after="220"/>
        <w:rPr>
          <w:szCs w:val="22"/>
        </w:rPr>
      </w:pPr>
      <w:r w:rsidRPr="00184BEB">
        <w:rPr>
          <w:szCs w:val="22"/>
        </w:rPr>
        <w:t xml:space="preserve"> Hurricane </w:t>
      </w:r>
      <w:r w:rsidR="00492068" w:rsidRPr="00184BEB">
        <w:rPr>
          <w:szCs w:val="22"/>
        </w:rPr>
        <w:t>Irma</w:t>
      </w:r>
      <w:r w:rsidRPr="00184BEB">
        <w:rPr>
          <w:szCs w:val="22"/>
        </w:rPr>
        <w:t xml:space="preserve"> </w:t>
      </w:r>
      <w:r w:rsidR="00483034" w:rsidRPr="00184BEB">
        <w:rPr>
          <w:szCs w:val="22"/>
        </w:rPr>
        <w:t>is moving through the Caribbean, striking</w:t>
      </w:r>
      <w:r w:rsidR="00114800" w:rsidRPr="00184BEB">
        <w:rPr>
          <w:szCs w:val="22"/>
        </w:rPr>
        <w:t xml:space="preserve"> the U.S. Virgin Islands and Puerto Rico</w:t>
      </w:r>
      <w:r w:rsidR="002218A8" w:rsidRPr="00184BEB">
        <w:rPr>
          <w:szCs w:val="22"/>
        </w:rPr>
        <w:t>,</w:t>
      </w:r>
      <w:r w:rsidR="00483034" w:rsidRPr="00184BEB">
        <w:rPr>
          <w:szCs w:val="22"/>
        </w:rPr>
        <w:t xml:space="preserve"> and </w:t>
      </w:r>
      <w:r w:rsidR="00492068" w:rsidRPr="00184BEB">
        <w:rPr>
          <w:szCs w:val="22"/>
        </w:rPr>
        <w:t xml:space="preserve">is predicted to </w:t>
      </w:r>
      <w:r w:rsidRPr="00184BEB">
        <w:rPr>
          <w:szCs w:val="22"/>
        </w:rPr>
        <w:t>str</w:t>
      </w:r>
      <w:r w:rsidR="00492068" w:rsidRPr="00184BEB">
        <w:rPr>
          <w:szCs w:val="22"/>
        </w:rPr>
        <w:t>ike</w:t>
      </w:r>
      <w:r w:rsidRPr="00184BEB">
        <w:rPr>
          <w:szCs w:val="22"/>
        </w:rPr>
        <w:t xml:space="preserve"> the </w:t>
      </w:r>
      <w:r w:rsidR="00492068" w:rsidRPr="00184BEB">
        <w:rPr>
          <w:szCs w:val="22"/>
        </w:rPr>
        <w:t xml:space="preserve">Florida Keys and </w:t>
      </w:r>
      <w:r w:rsidR="00750768">
        <w:rPr>
          <w:szCs w:val="22"/>
        </w:rPr>
        <w:t xml:space="preserve">other </w:t>
      </w:r>
      <w:r w:rsidR="00492068" w:rsidRPr="00184BEB">
        <w:rPr>
          <w:szCs w:val="22"/>
        </w:rPr>
        <w:t>southern parts</w:t>
      </w:r>
      <w:r w:rsidRPr="00184BEB">
        <w:rPr>
          <w:szCs w:val="22"/>
        </w:rPr>
        <w:t xml:space="preserve"> of the United States</w:t>
      </w:r>
      <w:r w:rsidR="00483034" w:rsidRPr="00184BEB">
        <w:rPr>
          <w:szCs w:val="22"/>
        </w:rPr>
        <w:t>.</w:t>
      </w:r>
      <w:r w:rsidR="00EF688B" w:rsidRPr="00184BEB">
        <w:rPr>
          <w:rStyle w:val="FootnoteReference"/>
          <w:szCs w:val="22"/>
        </w:rPr>
        <w:t xml:space="preserve"> </w:t>
      </w:r>
      <w:r w:rsidR="00EF688B">
        <w:rPr>
          <w:rStyle w:val="FootnoteReference"/>
          <w:szCs w:val="22"/>
        </w:rPr>
        <w:footnoteReference w:id="2"/>
      </w:r>
      <w:r w:rsidR="00483034" w:rsidRPr="00184BEB">
        <w:rPr>
          <w:szCs w:val="22"/>
        </w:rPr>
        <w:t xml:space="preserve">  Hurricane Irma is expected to cause</w:t>
      </w:r>
      <w:r w:rsidR="00114800" w:rsidRPr="00184BEB">
        <w:rPr>
          <w:szCs w:val="22"/>
        </w:rPr>
        <w:t xml:space="preserve"> </w:t>
      </w:r>
      <w:r w:rsidRPr="00184BEB">
        <w:rPr>
          <w:szCs w:val="22"/>
        </w:rPr>
        <w:t xml:space="preserve">significant damage in the </w:t>
      </w:r>
      <w:r w:rsidR="00483034" w:rsidRPr="00184BEB">
        <w:rPr>
          <w:szCs w:val="22"/>
        </w:rPr>
        <w:t>areas within its path</w:t>
      </w:r>
      <w:r w:rsidR="00EF688B" w:rsidRPr="00184BEB">
        <w:rPr>
          <w:szCs w:val="22"/>
        </w:rPr>
        <w:t>, including storm surge, wind damage, and flooding</w:t>
      </w:r>
      <w:r w:rsidR="002218A8" w:rsidRPr="00184BEB">
        <w:rPr>
          <w:szCs w:val="22"/>
        </w:rPr>
        <w:t>,</w:t>
      </w:r>
      <w:r w:rsidR="00EF688B" w:rsidRPr="00184BEB">
        <w:rPr>
          <w:szCs w:val="22"/>
        </w:rPr>
        <w:t xml:space="preserve"> and will likely result in significant property damage and personal injury.</w:t>
      </w:r>
      <w:r w:rsidR="00483034" w:rsidRPr="00184BEB">
        <w:rPr>
          <w:szCs w:val="22"/>
        </w:rPr>
        <w:t xml:space="preserve">  </w:t>
      </w:r>
      <w:r w:rsidRPr="00184BEB">
        <w:rPr>
          <w:szCs w:val="22"/>
        </w:rPr>
        <w:t xml:space="preserve">It </w:t>
      </w:r>
      <w:r w:rsidR="00EF688B" w:rsidRPr="00184BEB">
        <w:rPr>
          <w:szCs w:val="22"/>
        </w:rPr>
        <w:t>will also likely</w:t>
      </w:r>
      <w:r w:rsidRPr="00184BEB">
        <w:rPr>
          <w:szCs w:val="22"/>
        </w:rPr>
        <w:t xml:space="preserve"> cause substantial service disruptions and outages in telephone service in </w:t>
      </w:r>
      <w:r w:rsidR="00EF688B" w:rsidRPr="00184BEB">
        <w:rPr>
          <w:szCs w:val="22"/>
        </w:rPr>
        <w:t>all areas it affects.</w:t>
      </w:r>
      <w:r w:rsidRPr="00184BEB">
        <w:rPr>
          <w:szCs w:val="22"/>
        </w:rPr>
        <w:t xml:space="preserve"> </w:t>
      </w:r>
      <w:r w:rsidR="00750768">
        <w:rPr>
          <w:szCs w:val="22"/>
        </w:rPr>
        <w:t xml:space="preserve"> </w:t>
      </w:r>
      <w:r w:rsidRPr="00184BEB">
        <w:rPr>
          <w:szCs w:val="22"/>
        </w:rPr>
        <w:t>For these reasons, on our own motion, we are granting a temporary waiver of the Commission’s number</w:t>
      </w:r>
      <w:r w:rsidR="00184BEB" w:rsidRPr="00184BEB">
        <w:rPr>
          <w:szCs w:val="22"/>
        </w:rPr>
        <w:t xml:space="preserve"> assignment</w:t>
      </w:r>
      <w:r w:rsidRPr="00184BEB">
        <w:rPr>
          <w:szCs w:val="22"/>
        </w:rPr>
        <w:t xml:space="preserve"> rules to allow </w:t>
      </w:r>
      <w:r w:rsidR="00780780">
        <w:rPr>
          <w:szCs w:val="22"/>
        </w:rPr>
        <w:t xml:space="preserve">service providers </w:t>
      </w:r>
      <w:r w:rsidRPr="00184BEB">
        <w:rPr>
          <w:szCs w:val="22"/>
        </w:rPr>
        <w:t xml:space="preserve">in the </w:t>
      </w:r>
      <w:r w:rsidR="00F41E2A" w:rsidRPr="00184BEB">
        <w:rPr>
          <w:szCs w:val="22"/>
        </w:rPr>
        <w:t>U.</w:t>
      </w:r>
      <w:r w:rsidR="009E7A2C" w:rsidRPr="00184BEB">
        <w:rPr>
          <w:szCs w:val="22"/>
        </w:rPr>
        <w:t xml:space="preserve">S. Virgin Islands, Puerto Rico, the </w:t>
      </w:r>
      <w:r w:rsidR="00750768">
        <w:rPr>
          <w:szCs w:val="22"/>
        </w:rPr>
        <w:t>S</w:t>
      </w:r>
      <w:r w:rsidRPr="00184BEB">
        <w:rPr>
          <w:szCs w:val="22"/>
        </w:rPr>
        <w:t>tate of</w:t>
      </w:r>
      <w:r w:rsidR="009E7A2C" w:rsidRPr="00184BEB">
        <w:rPr>
          <w:szCs w:val="22"/>
        </w:rPr>
        <w:t xml:space="preserve"> Florida,</w:t>
      </w:r>
      <w:r w:rsidR="00F41E2A" w:rsidRPr="00184BEB">
        <w:rPr>
          <w:szCs w:val="22"/>
        </w:rPr>
        <w:t xml:space="preserve"> and any other </w:t>
      </w:r>
      <w:r w:rsidR="009E7A2C" w:rsidRPr="00184BEB">
        <w:rPr>
          <w:szCs w:val="22"/>
        </w:rPr>
        <w:t>states declared states of emergency as a result of Hurricane Irma</w:t>
      </w:r>
      <w:r w:rsidR="00EF688B" w:rsidRPr="00184BEB">
        <w:rPr>
          <w:szCs w:val="22"/>
        </w:rPr>
        <w:t>,</w:t>
      </w:r>
      <w:r w:rsidR="00EF688B" w:rsidRPr="006823C2">
        <w:rPr>
          <w:rStyle w:val="FootnoteReference"/>
          <w:sz w:val="22"/>
          <w:szCs w:val="22"/>
        </w:rPr>
        <w:footnoteReference w:id="3"/>
      </w:r>
      <w:r w:rsidRPr="00184BEB">
        <w:rPr>
          <w:szCs w:val="22"/>
        </w:rPr>
        <w:t xml:space="preserve"> and the numbering administrators that support them, </w:t>
      </w:r>
      <w:r w:rsidR="00184BEB" w:rsidRPr="00184BEB">
        <w:rPr>
          <w:szCs w:val="22"/>
        </w:rPr>
        <w:t xml:space="preserve">to deviate from section </w:t>
      </w:r>
      <w:r w:rsidR="00184BEB" w:rsidRPr="00184BEB">
        <w:rPr>
          <w:color w:val="000000"/>
          <w:szCs w:val="22"/>
        </w:rPr>
        <w:t xml:space="preserve">52.15(f)(ii) of the Commission’s rules regarding number assignments.   </w:t>
      </w:r>
    </w:p>
    <w:p w:rsidR="00EF688B" w:rsidRPr="00184BEB" w:rsidRDefault="006823C2" w:rsidP="00DB1684">
      <w:pPr>
        <w:pStyle w:val="ParaNum"/>
        <w:widowControl/>
        <w:numPr>
          <w:ilvl w:val="0"/>
          <w:numId w:val="8"/>
        </w:numPr>
        <w:tabs>
          <w:tab w:val="left" w:pos="1440"/>
        </w:tabs>
        <w:spacing w:after="240"/>
        <w:rPr>
          <w:szCs w:val="22"/>
        </w:rPr>
      </w:pPr>
      <w:r w:rsidRPr="00184BEB">
        <w:rPr>
          <w:szCs w:val="22"/>
        </w:rPr>
        <w:t>Section 1.3 of our rules authorizes the Commission to suspend, revoke, amend, or waive a Commission rule for good cause shown.</w:t>
      </w:r>
      <w:r w:rsidRPr="006823C2">
        <w:rPr>
          <w:rStyle w:val="FootnoteReference"/>
          <w:sz w:val="22"/>
          <w:szCs w:val="22"/>
        </w:rPr>
        <w:footnoteReference w:id="4"/>
      </w:r>
      <w:r w:rsidRPr="00184BEB">
        <w:rPr>
          <w:szCs w:val="22"/>
        </w:rPr>
        <w:t xml:space="preserve">  </w:t>
      </w:r>
      <w:r w:rsidR="00184BEB">
        <w:rPr>
          <w:color w:val="000000"/>
          <w:szCs w:val="22"/>
        </w:rPr>
        <w:t>I</w:t>
      </w:r>
      <w:r w:rsidR="00EF688B" w:rsidRPr="00184BEB">
        <w:rPr>
          <w:color w:val="000000"/>
          <w:szCs w:val="22"/>
        </w:rPr>
        <w:t xml:space="preserve">n order </w:t>
      </w:r>
      <w:bookmarkStart w:id="1" w:name="Document1zzSDUNumber3"/>
      <w:bookmarkEnd w:id="1"/>
      <w:r w:rsidR="00EF688B" w:rsidRPr="00184BEB">
        <w:rPr>
          <w:color w:val="000000"/>
          <w:szCs w:val="22"/>
        </w:rPr>
        <w:t xml:space="preserve">to promote the maintenance and rebuilding of communities </w:t>
      </w:r>
      <w:r w:rsidR="005D794B">
        <w:rPr>
          <w:color w:val="000000"/>
          <w:szCs w:val="22"/>
        </w:rPr>
        <w:t xml:space="preserve">that may be </w:t>
      </w:r>
      <w:r w:rsidR="00EF688B" w:rsidRPr="00184BEB">
        <w:rPr>
          <w:color w:val="000000"/>
          <w:szCs w:val="22"/>
        </w:rPr>
        <w:t>affected by Hurricane</w:t>
      </w:r>
      <w:r w:rsidR="001B7FD5" w:rsidRPr="00184BEB">
        <w:rPr>
          <w:color w:val="000000"/>
          <w:szCs w:val="22"/>
        </w:rPr>
        <w:t xml:space="preserve"> Irma</w:t>
      </w:r>
      <w:r w:rsidR="00EF688B" w:rsidRPr="00184BEB">
        <w:rPr>
          <w:color w:val="000000"/>
          <w:szCs w:val="22"/>
        </w:rPr>
        <w:t xml:space="preserve"> and to facilitate continued access to telecommunications services for disaster victims, it is in the public interest to </w:t>
      </w:r>
      <w:r w:rsidR="001B7FD5" w:rsidRPr="00184BEB">
        <w:rPr>
          <w:color w:val="000000"/>
          <w:szCs w:val="22"/>
        </w:rPr>
        <w:t xml:space="preserve">temporarily </w:t>
      </w:r>
      <w:r w:rsidR="00EF688B" w:rsidRPr="00184BEB">
        <w:rPr>
          <w:color w:val="000000"/>
          <w:szCs w:val="22"/>
        </w:rPr>
        <w:t>waive section 52.15(f)(ii) of the Commission’</w:t>
      </w:r>
      <w:r w:rsidR="001B7FD5" w:rsidRPr="00184BEB">
        <w:rPr>
          <w:color w:val="000000"/>
          <w:szCs w:val="22"/>
        </w:rPr>
        <w:t>s rules</w:t>
      </w:r>
      <w:r w:rsidR="00184BEB">
        <w:rPr>
          <w:color w:val="000000"/>
          <w:szCs w:val="22"/>
        </w:rPr>
        <w:t xml:space="preserve">.  That rule requires service providers </w:t>
      </w:r>
      <w:r w:rsidR="00EF688B" w:rsidRPr="00184BEB">
        <w:rPr>
          <w:color w:val="000000"/>
          <w:szCs w:val="22"/>
        </w:rPr>
        <w:t xml:space="preserve">to age numbers for </w:t>
      </w:r>
      <w:r w:rsidR="00184BEB">
        <w:rPr>
          <w:color w:val="000000"/>
          <w:szCs w:val="22"/>
        </w:rPr>
        <w:t xml:space="preserve">no </w:t>
      </w:r>
      <w:r w:rsidR="00EF688B" w:rsidRPr="00184BEB">
        <w:rPr>
          <w:color w:val="000000"/>
          <w:szCs w:val="22"/>
        </w:rPr>
        <w:t xml:space="preserve">more than 90 days before </w:t>
      </w:r>
      <w:r w:rsidR="00184BEB">
        <w:rPr>
          <w:color w:val="000000"/>
          <w:szCs w:val="22"/>
        </w:rPr>
        <w:t xml:space="preserve">making the numbers </w:t>
      </w:r>
      <w:r w:rsidR="00EF688B" w:rsidRPr="00184BEB">
        <w:rPr>
          <w:color w:val="000000"/>
          <w:szCs w:val="22"/>
        </w:rPr>
        <w:t xml:space="preserve">available for reassignment.  </w:t>
      </w:r>
      <w:r w:rsidR="00944A1B" w:rsidRPr="00F962E5">
        <w:rPr>
          <w:color w:val="000000"/>
          <w:szCs w:val="22"/>
        </w:rPr>
        <w:t xml:space="preserve">Waiver of </w:t>
      </w:r>
      <w:r w:rsidR="00944A1B">
        <w:rPr>
          <w:color w:val="000000"/>
          <w:szCs w:val="22"/>
        </w:rPr>
        <w:t>section 52.15(f)(ii)</w:t>
      </w:r>
      <w:r w:rsidR="00944A1B" w:rsidRPr="00F962E5">
        <w:rPr>
          <w:color w:val="000000"/>
          <w:szCs w:val="22"/>
        </w:rPr>
        <w:t xml:space="preserve"> will allow carriers in the affected areas</w:t>
      </w:r>
      <w:r w:rsidR="008337BD">
        <w:rPr>
          <w:color w:val="000000"/>
          <w:szCs w:val="22"/>
        </w:rPr>
        <w:t>, upon customers’ request,</w:t>
      </w:r>
      <w:r w:rsidR="00944A1B" w:rsidRPr="00F962E5">
        <w:rPr>
          <w:color w:val="000000"/>
          <w:szCs w:val="22"/>
        </w:rPr>
        <w:t xml:space="preserve"> to disconnect temporarily customers</w:t>
      </w:r>
      <w:r w:rsidR="00944A1B">
        <w:rPr>
          <w:color w:val="000000"/>
          <w:szCs w:val="22"/>
        </w:rPr>
        <w:t>’</w:t>
      </w:r>
      <w:r w:rsidR="00944A1B" w:rsidRPr="00F962E5">
        <w:rPr>
          <w:color w:val="000000"/>
          <w:szCs w:val="22"/>
        </w:rPr>
        <w:t xml:space="preserve"> telephone service</w:t>
      </w:r>
      <w:r w:rsidR="008337BD">
        <w:rPr>
          <w:color w:val="000000"/>
          <w:szCs w:val="22"/>
        </w:rPr>
        <w:t xml:space="preserve"> </w:t>
      </w:r>
      <w:r w:rsidR="00944A1B" w:rsidRPr="00F962E5">
        <w:rPr>
          <w:color w:val="000000"/>
          <w:szCs w:val="22"/>
        </w:rPr>
        <w:t>to avoid billing issues, and then reinstate the same number</w:t>
      </w:r>
      <w:r w:rsidR="00944A1B">
        <w:rPr>
          <w:color w:val="000000"/>
          <w:szCs w:val="22"/>
        </w:rPr>
        <w:t>s</w:t>
      </w:r>
      <w:r w:rsidR="00944A1B" w:rsidRPr="00F962E5">
        <w:rPr>
          <w:color w:val="000000"/>
          <w:szCs w:val="22"/>
        </w:rPr>
        <w:t xml:space="preserve"> when service is reconnected in those areas. </w:t>
      </w:r>
      <w:r w:rsidR="00944A1B">
        <w:rPr>
          <w:color w:val="000000"/>
          <w:szCs w:val="22"/>
        </w:rPr>
        <w:t xml:space="preserve"> </w:t>
      </w:r>
      <w:r w:rsidR="00EF688B" w:rsidRPr="00184BEB">
        <w:rPr>
          <w:color w:val="000000"/>
          <w:szCs w:val="22"/>
        </w:rPr>
        <w:t xml:space="preserve">This waiver applies to all </w:t>
      </w:r>
      <w:r w:rsidR="00780780">
        <w:rPr>
          <w:color w:val="000000"/>
          <w:szCs w:val="22"/>
        </w:rPr>
        <w:t xml:space="preserve">companies </w:t>
      </w:r>
      <w:r w:rsidR="00EF688B" w:rsidRPr="00184BEB">
        <w:rPr>
          <w:color w:val="000000"/>
          <w:szCs w:val="22"/>
        </w:rPr>
        <w:t xml:space="preserve">that provide </w:t>
      </w:r>
      <w:r w:rsidR="001B7FD5" w:rsidRPr="00184BEB">
        <w:rPr>
          <w:color w:val="000000"/>
          <w:szCs w:val="22"/>
        </w:rPr>
        <w:t xml:space="preserve">service in </w:t>
      </w:r>
      <w:r w:rsidR="00750768">
        <w:rPr>
          <w:color w:val="000000"/>
          <w:szCs w:val="22"/>
        </w:rPr>
        <w:t xml:space="preserve">the </w:t>
      </w:r>
      <w:r w:rsidR="001B7FD5" w:rsidRPr="00184BEB">
        <w:rPr>
          <w:szCs w:val="22"/>
        </w:rPr>
        <w:t xml:space="preserve">U.S. Virgin Islands, Puerto </w:t>
      </w:r>
      <w:r w:rsidR="001B7FD5" w:rsidRPr="00184BEB">
        <w:rPr>
          <w:szCs w:val="22"/>
        </w:rPr>
        <w:lastRenderedPageBreak/>
        <w:t xml:space="preserve">Rico, the </w:t>
      </w:r>
      <w:r w:rsidR="00750768">
        <w:rPr>
          <w:szCs w:val="22"/>
        </w:rPr>
        <w:t>S</w:t>
      </w:r>
      <w:r w:rsidR="001B7FD5" w:rsidRPr="00184BEB">
        <w:rPr>
          <w:szCs w:val="22"/>
        </w:rPr>
        <w:t xml:space="preserve">tate of Florida, and any other states declared states of emergency as a result of Hurricane Irma. </w:t>
      </w:r>
      <w:r w:rsidR="00EF688B" w:rsidRPr="00184BEB">
        <w:rPr>
          <w:szCs w:val="22"/>
        </w:rPr>
        <w:t xml:space="preserve"> </w:t>
      </w:r>
      <w:r w:rsidR="001B7FD5" w:rsidRPr="00184BEB">
        <w:rPr>
          <w:color w:val="000000"/>
          <w:szCs w:val="22"/>
        </w:rPr>
        <w:t>This</w:t>
      </w:r>
      <w:r w:rsidR="00EF688B" w:rsidRPr="00184BEB">
        <w:rPr>
          <w:color w:val="000000"/>
          <w:szCs w:val="22"/>
        </w:rPr>
        <w:t xml:space="preserve"> waiver is in effect immediately and for a nine-month period, expiring on</w:t>
      </w:r>
      <w:r w:rsidR="001B7FD5" w:rsidRPr="00184BEB">
        <w:rPr>
          <w:color w:val="000000"/>
          <w:szCs w:val="22"/>
        </w:rPr>
        <w:t xml:space="preserve"> </w:t>
      </w:r>
      <w:r w:rsidR="002E5C0F" w:rsidRPr="00184BEB">
        <w:rPr>
          <w:color w:val="000000"/>
          <w:szCs w:val="22"/>
        </w:rPr>
        <w:t>June 4, 2018</w:t>
      </w:r>
      <w:r w:rsidR="00EF688B" w:rsidRPr="00184BEB">
        <w:rPr>
          <w:color w:val="000000"/>
          <w:szCs w:val="22"/>
        </w:rPr>
        <w:t xml:space="preserve">.  If </w:t>
      </w:r>
      <w:r w:rsidR="00780780">
        <w:rPr>
          <w:color w:val="000000"/>
          <w:szCs w:val="22"/>
        </w:rPr>
        <w:t xml:space="preserve">service providers </w:t>
      </w:r>
      <w:r w:rsidR="00EF688B" w:rsidRPr="00184BEB">
        <w:rPr>
          <w:color w:val="000000"/>
          <w:szCs w:val="22"/>
        </w:rPr>
        <w:t xml:space="preserve">are unable to resume service on a normal basis after this period, they may request additional relief from the Wireline Competition Bureau.  </w:t>
      </w:r>
    </w:p>
    <w:p w:rsidR="00184BEB" w:rsidRPr="00184BEB" w:rsidRDefault="00184BEB" w:rsidP="00184BEB">
      <w:pPr>
        <w:pStyle w:val="ParaNum"/>
        <w:widowControl/>
        <w:numPr>
          <w:ilvl w:val="0"/>
          <w:numId w:val="8"/>
        </w:numPr>
        <w:tabs>
          <w:tab w:val="left" w:pos="1440"/>
        </w:tabs>
        <w:spacing w:after="220"/>
        <w:rPr>
          <w:szCs w:val="22"/>
        </w:rPr>
      </w:pPr>
      <w:r>
        <w:rPr>
          <w:szCs w:val="22"/>
        </w:rPr>
        <w:t>Also, b</w:t>
      </w:r>
      <w:r w:rsidRPr="00184BEB">
        <w:rPr>
          <w:szCs w:val="22"/>
        </w:rPr>
        <w:t xml:space="preserve">ecause of substantial damage to telecommunications systems we expect to be caused by Hurricane Irma to areas within its path, </w:t>
      </w:r>
      <w:r w:rsidRPr="00184BEB">
        <w:rPr>
          <w:snapToGrid/>
          <w:color w:val="000000"/>
          <w:kern w:val="0"/>
          <w:szCs w:val="22"/>
        </w:rPr>
        <w:t xml:space="preserve">we recognize that customers </w:t>
      </w:r>
      <w:r w:rsidRPr="00184BEB">
        <w:rPr>
          <w:snapToGrid/>
          <w:kern w:val="0"/>
          <w:szCs w:val="22"/>
        </w:rPr>
        <w:t xml:space="preserve">in the affected rate centers may desire to port numbers to locations outside those rate centers.  Therefore, during this period of service interruption, we encourage </w:t>
      </w:r>
      <w:r w:rsidR="00780780">
        <w:rPr>
          <w:snapToGrid/>
          <w:color w:val="000000"/>
          <w:kern w:val="0"/>
          <w:szCs w:val="22"/>
        </w:rPr>
        <w:t xml:space="preserve">service providers </w:t>
      </w:r>
      <w:r w:rsidRPr="00184BEB">
        <w:rPr>
          <w:snapToGrid/>
          <w:color w:val="000000"/>
          <w:kern w:val="0"/>
          <w:szCs w:val="22"/>
        </w:rPr>
        <w:t xml:space="preserve">to port telephone numbers geographically outside a rate center to the extent it is technically feasible.  </w:t>
      </w:r>
      <w:r w:rsidRPr="00184BEB">
        <w:rPr>
          <w:snapToGrid/>
          <w:kern w:val="0"/>
          <w:szCs w:val="22"/>
        </w:rPr>
        <w:t xml:space="preserve">We also encourage all </w:t>
      </w:r>
      <w:r w:rsidR="00780780">
        <w:rPr>
          <w:snapToGrid/>
          <w:kern w:val="0"/>
          <w:szCs w:val="22"/>
        </w:rPr>
        <w:t xml:space="preserve">providers </w:t>
      </w:r>
      <w:r w:rsidRPr="00184BEB">
        <w:rPr>
          <w:snapToGrid/>
          <w:kern w:val="0"/>
          <w:szCs w:val="22"/>
        </w:rPr>
        <w:t xml:space="preserve">in the </w:t>
      </w:r>
      <w:r w:rsidR="008337BD">
        <w:rPr>
          <w:snapToGrid/>
          <w:kern w:val="0"/>
          <w:szCs w:val="22"/>
        </w:rPr>
        <w:t xml:space="preserve">areas </w:t>
      </w:r>
      <w:r w:rsidRPr="00184BEB">
        <w:rPr>
          <w:snapToGrid/>
          <w:kern w:val="0"/>
          <w:szCs w:val="22"/>
        </w:rPr>
        <w:t xml:space="preserve">affected </w:t>
      </w:r>
      <w:r w:rsidR="008337BD">
        <w:rPr>
          <w:snapToGrid/>
          <w:kern w:val="0"/>
          <w:szCs w:val="22"/>
        </w:rPr>
        <w:t xml:space="preserve">by Hurricane Irma, as well as those continuing to be impacted by Hurricane Harvey, </w:t>
      </w:r>
      <w:r w:rsidRPr="00184BEB">
        <w:rPr>
          <w:snapToGrid/>
          <w:kern w:val="0"/>
          <w:szCs w:val="22"/>
        </w:rPr>
        <w:t xml:space="preserve">to waive call forwarding, message center, and voicemail service charges for affected customers, to the extent lawfully permitted, until the customers’ service is restored.   </w:t>
      </w:r>
    </w:p>
    <w:p w:rsidR="00184BEB" w:rsidRPr="006823C2" w:rsidRDefault="00184BEB" w:rsidP="00184BEB">
      <w:pPr>
        <w:pStyle w:val="ParaNum"/>
        <w:numPr>
          <w:ilvl w:val="0"/>
          <w:numId w:val="8"/>
        </w:numPr>
        <w:rPr>
          <w:szCs w:val="22"/>
        </w:rPr>
      </w:pPr>
      <w:r w:rsidRPr="002218A8">
        <w:rPr>
          <w:szCs w:val="22"/>
        </w:rPr>
        <w:t xml:space="preserve">Accordingly, IT IS ORDERED, pursuant to sections 4(i), 251(b)(2), and 251(e) of the Communications Act of 1934, as amended, 47 U.S.C. §§ 154(i), 251(b)(2) and 251(e), and sections 0.291 and 1.3 of the Commission’s rules, 47 CFR §§ 0.291, 1.3, that section 52.15(f)(ii), </w:t>
      </w:r>
      <w:hyperlink r:id="rId8" w:history="1">
        <w:r w:rsidRPr="002218A8">
          <w:rPr>
            <w:szCs w:val="22"/>
          </w:rPr>
          <w:t>47 C.F.R. § 52.15(f)(ii)</w:t>
        </w:r>
      </w:hyperlink>
      <w:r w:rsidRPr="002218A8">
        <w:rPr>
          <w:szCs w:val="22"/>
        </w:rPr>
        <w:t xml:space="preserve">, </w:t>
      </w:r>
      <w:r w:rsidRPr="002218A8">
        <w:rPr>
          <w:color w:val="000000"/>
          <w:szCs w:val="22"/>
        </w:rPr>
        <w:t xml:space="preserve">is waived to the extent herein described herein. </w:t>
      </w:r>
    </w:p>
    <w:p w:rsidR="00184BEB" w:rsidRPr="00184BEB" w:rsidRDefault="00184BEB" w:rsidP="00184BEB">
      <w:pPr>
        <w:pStyle w:val="ParaNum"/>
        <w:widowControl/>
        <w:numPr>
          <w:ilvl w:val="0"/>
          <w:numId w:val="0"/>
        </w:numPr>
        <w:tabs>
          <w:tab w:val="left" w:pos="1440"/>
        </w:tabs>
        <w:spacing w:after="240"/>
        <w:ind w:left="630"/>
        <w:rPr>
          <w:szCs w:val="22"/>
        </w:rPr>
      </w:pPr>
    </w:p>
    <w:p w:rsidR="006823C2" w:rsidRPr="006823C2" w:rsidRDefault="006823C2" w:rsidP="006823C2">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RDefault="006823C2" w:rsidP="006823C2">
      <w:pPr>
        <w:pStyle w:val="ParaNum"/>
        <w:numPr>
          <w:ilvl w:val="0"/>
          <w:numId w:val="0"/>
        </w:numPr>
        <w:ind w:firstLine="720"/>
        <w:contextualSpacing/>
        <w:rPr>
          <w:szCs w:val="22"/>
        </w:rPr>
      </w:pPr>
    </w:p>
    <w:p w:rsidR="006823C2" w:rsidRDefault="006823C2" w:rsidP="006823C2">
      <w:pPr>
        <w:pStyle w:val="ParaNum"/>
        <w:numPr>
          <w:ilvl w:val="0"/>
          <w:numId w:val="0"/>
        </w:numPr>
        <w:ind w:firstLine="720"/>
        <w:contextualSpacing/>
        <w:rPr>
          <w:szCs w:val="22"/>
        </w:rPr>
      </w:pPr>
    </w:p>
    <w:p w:rsidR="006823C2" w:rsidRPr="006823C2" w:rsidRDefault="006823C2" w:rsidP="006823C2">
      <w:pPr>
        <w:pStyle w:val="ParaNum"/>
        <w:numPr>
          <w:ilvl w:val="0"/>
          <w:numId w:val="0"/>
        </w:numPr>
        <w:ind w:firstLine="720"/>
        <w:contextualSpacing/>
        <w:rPr>
          <w:szCs w:val="22"/>
        </w:rPr>
      </w:pPr>
    </w:p>
    <w:p w:rsidR="006823C2" w:rsidRPr="006823C2" w:rsidRDefault="006823C2" w:rsidP="006823C2">
      <w:pPr>
        <w:pStyle w:val="ParaNum"/>
        <w:numPr>
          <w:ilvl w:val="0"/>
          <w:numId w:val="0"/>
        </w:numPr>
        <w:ind w:firstLine="720"/>
        <w:contextualSpacing/>
        <w:rPr>
          <w:szCs w:val="22"/>
        </w:rPr>
      </w:pPr>
    </w:p>
    <w:p w:rsidR="006823C2" w:rsidRPr="006823C2" w:rsidRDefault="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rsidR="006823C2" w:rsidRPr="006823C2" w:rsidRDefault="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6823C2" w:rsidRPr="006823C2" w:rsidRDefault="006823C2" w:rsidP="006823C2">
      <w:pPr>
        <w:ind w:left="3600" w:firstLine="720"/>
        <w:contextualSpacing/>
        <w:rPr>
          <w:szCs w:val="22"/>
        </w:rPr>
      </w:pPr>
      <w:r w:rsidRPr="006823C2">
        <w:rPr>
          <w:szCs w:val="22"/>
        </w:rPr>
        <w:t>Wireline Competition Bureau</w:t>
      </w:r>
    </w:p>
    <w:p w:rsidR="002C00E8" w:rsidRPr="006823C2" w:rsidRDefault="002C00E8" w:rsidP="006823C2">
      <w:pPr>
        <w:rPr>
          <w:szCs w:val="22"/>
        </w:rPr>
      </w:pPr>
    </w:p>
    <w:sectPr w:rsidR="002C00E8" w:rsidRPr="006823C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B5" w:rsidRDefault="00A733B5">
      <w:pPr>
        <w:spacing w:line="20" w:lineRule="exact"/>
      </w:pPr>
    </w:p>
  </w:endnote>
  <w:endnote w:type="continuationSeparator" w:id="0">
    <w:p w:rsidR="00A733B5" w:rsidRDefault="00A733B5">
      <w:r>
        <w:t xml:space="preserve"> </w:t>
      </w:r>
    </w:p>
  </w:endnote>
  <w:endnote w:type="continuationNotice" w:id="1">
    <w:p w:rsidR="00A733B5" w:rsidRDefault="00A733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B78E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B5" w:rsidRDefault="00A733B5">
      <w:r>
        <w:separator/>
      </w:r>
    </w:p>
  </w:footnote>
  <w:footnote w:type="continuationSeparator" w:id="0">
    <w:p w:rsidR="00A733B5" w:rsidRDefault="00A733B5" w:rsidP="00C721AC">
      <w:pPr>
        <w:spacing w:before="120"/>
        <w:rPr>
          <w:sz w:val="20"/>
        </w:rPr>
      </w:pPr>
      <w:r>
        <w:rPr>
          <w:sz w:val="20"/>
        </w:rPr>
        <w:t xml:space="preserve">(Continued from previous page)  </w:t>
      </w:r>
      <w:r>
        <w:rPr>
          <w:sz w:val="20"/>
        </w:rPr>
        <w:separator/>
      </w:r>
    </w:p>
  </w:footnote>
  <w:footnote w:type="continuationNotice" w:id="1">
    <w:p w:rsidR="00A733B5" w:rsidRDefault="00A733B5" w:rsidP="00C721AC">
      <w:pPr>
        <w:jc w:val="right"/>
        <w:rPr>
          <w:sz w:val="20"/>
        </w:rPr>
      </w:pPr>
      <w:r>
        <w:rPr>
          <w:sz w:val="20"/>
        </w:rPr>
        <w:t>(continued….)</w:t>
      </w:r>
    </w:p>
  </w:footnote>
  <w:footnote w:id="2">
    <w:p w:rsidR="00EF688B" w:rsidRDefault="00EF688B" w:rsidP="00EF688B">
      <w:pPr>
        <w:pStyle w:val="FootnoteText"/>
      </w:pPr>
      <w:r>
        <w:rPr>
          <w:rStyle w:val="FootnoteReference"/>
        </w:rPr>
        <w:footnoteRef/>
      </w:r>
      <w:r>
        <w:t xml:space="preserve"> NOAA, National Hurricane Center, Hurricane Irma, </w:t>
      </w:r>
      <w:hyperlink r:id="rId1" w:anchor="contents" w:history="1">
        <w:r>
          <w:rPr>
            <w:rStyle w:val="Hyperlink"/>
          </w:rPr>
          <w:t>http://www.nhc.noaa.gov/refresh/graphics_at1+shtml/175630.shtml?radii#contents</w:t>
        </w:r>
      </w:hyperlink>
      <w:r>
        <w:t xml:space="preserve"> (last visited Sept. 6, 2017).</w:t>
      </w:r>
    </w:p>
  </w:footnote>
  <w:footnote w:id="3">
    <w:p w:rsidR="00EF688B" w:rsidRPr="00A4358B" w:rsidRDefault="00EF688B" w:rsidP="00EF688B">
      <w:pPr>
        <w:pStyle w:val="FootnoteText"/>
      </w:pPr>
      <w:r>
        <w:rPr>
          <w:rStyle w:val="FootnoteReference"/>
        </w:rPr>
        <w:footnoteRef/>
      </w:r>
      <w:r>
        <w:t xml:space="preserve"> FEMA, President Donald J. Trump Signs Emergency Declaration for Puerto Rico (Sept. 5, 2017), </w:t>
      </w:r>
      <w:hyperlink r:id="rId2" w:history="1">
        <w:r w:rsidRPr="00637B0C">
          <w:rPr>
            <w:rStyle w:val="Hyperlink"/>
          </w:rPr>
          <w:t>https://www.fema.gov/news-release/2017/09/05/president-donald-j-trump-signs-emergency-declaration-puerto-rico</w:t>
        </w:r>
      </w:hyperlink>
      <w:r>
        <w:t>; FEMA, President Donald J. Trump Signs Emergency</w:t>
      </w:r>
      <w:r w:rsidDel="00A9102C">
        <w:t xml:space="preserve"> </w:t>
      </w:r>
      <w:r>
        <w:t xml:space="preserve">Declaration for Florida (Sept. 5, 2017), </w:t>
      </w:r>
      <w:r w:rsidRPr="00B1495D">
        <w:t>https://www.fema.gov/news-release/2017/09/05/president-donald-j-trump-signs-emergency-declaration-florida</w:t>
      </w:r>
      <w:r>
        <w:t xml:space="preserve">; FEMA, President Donald J. Trump Signs Emergency Declaration for U.S. Virgin Islands (Sept. 5, 2017), </w:t>
      </w:r>
      <w:r w:rsidRPr="00B1495D">
        <w:t>https://www.fema.gov/news-release/2017/09/05/president-donald-j-trump-signs-emergency-declaration-us-virgin-islands</w:t>
      </w:r>
      <w:r>
        <w:t>.</w:t>
      </w:r>
    </w:p>
  </w:footnote>
  <w:footnote w:id="4">
    <w:p w:rsidR="006823C2" w:rsidRDefault="006823C2" w:rsidP="006823C2">
      <w:pPr>
        <w:pStyle w:val="FootnoteText"/>
      </w:pPr>
      <w:r>
        <w:rPr>
          <w:rStyle w:val="FootnoteReference"/>
        </w:rPr>
        <w:footnoteRef/>
      </w:r>
      <w:r>
        <w:t xml:space="preserve"> 47 CFR § 1.3.  This rule provides that “[a]ny provision of the rules may be waived by the Commission on its own motion or on petition if good cause therefore is shown.”  </w:t>
      </w:r>
      <w:smartTag w:uri="urn:schemas-microsoft-com:office:smarttags" w:element="State">
        <w:smartTag w:uri="urn:schemas-microsoft-com:office:smarttags" w:element="place">
          <w:r w:rsidRPr="004448D0">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F" w:rsidRDefault="002A6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A300D">
      <w:t>D</w:t>
    </w:r>
    <w:r w:rsidR="005D0EFE">
      <w:t>A 17-8</w:t>
    </w:r>
    <w:r w:rsidR="008337BD">
      <w:t>52</w:t>
    </w:r>
  </w:p>
  <w:p w:rsidR="00D25FB5" w:rsidRDefault="00631B3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95C203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9720C6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31B3B" w:rsidP="00810B6F">
    <w:pPr>
      <w:pStyle w:val="Header"/>
      <w:rPr>
        <w:b w:val="0"/>
      </w:rPr>
    </w:pPr>
    <w:r>
      <w:rPr>
        <w:noProof/>
      </w:rPr>
      <mc:AlternateContent>
        <mc:Choice Requires="wps">
          <w:drawing>
            <wp:anchor distT="0" distB="0" distL="114300" distR="114300" simplePos="0" relativeHeight="251658240" behindDoc="1" locked="0" layoutInCell="0" allowOverlap="1" wp14:anchorId="0E4BD55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ADA09E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823C2">
      <w:rPr>
        <w:spacing w:val="-2"/>
      </w:rPr>
      <w:t>DA 17-</w:t>
    </w:r>
    <w:r w:rsidR="008337BD">
      <w:rPr>
        <w:spacing w:val="-2"/>
      </w:rPr>
      <w:t>852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31"/>
    <w:rsid w:val="0001667C"/>
    <w:rsid w:val="00036039"/>
    <w:rsid w:val="00037F90"/>
    <w:rsid w:val="000875BF"/>
    <w:rsid w:val="00095131"/>
    <w:rsid w:val="00096D8C"/>
    <w:rsid w:val="000A1C3D"/>
    <w:rsid w:val="000C0B65"/>
    <w:rsid w:val="000E05FE"/>
    <w:rsid w:val="000E3D42"/>
    <w:rsid w:val="00114800"/>
    <w:rsid w:val="00122BD5"/>
    <w:rsid w:val="00133F79"/>
    <w:rsid w:val="00184BEB"/>
    <w:rsid w:val="00194A66"/>
    <w:rsid w:val="001B7FD5"/>
    <w:rsid w:val="001D6BCF"/>
    <w:rsid w:val="001E01CA"/>
    <w:rsid w:val="002218A8"/>
    <w:rsid w:val="00275CF5"/>
    <w:rsid w:val="0028301F"/>
    <w:rsid w:val="00285017"/>
    <w:rsid w:val="002A2D2E"/>
    <w:rsid w:val="002A641F"/>
    <w:rsid w:val="002C00E8"/>
    <w:rsid w:val="002D577B"/>
    <w:rsid w:val="002E5C0F"/>
    <w:rsid w:val="002F0DC6"/>
    <w:rsid w:val="00343749"/>
    <w:rsid w:val="0034783F"/>
    <w:rsid w:val="003660ED"/>
    <w:rsid w:val="0038640B"/>
    <w:rsid w:val="003A5A97"/>
    <w:rsid w:val="003B0550"/>
    <w:rsid w:val="003B694F"/>
    <w:rsid w:val="003B78ED"/>
    <w:rsid w:val="003F171C"/>
    <w:rsid w:val="00412FC5"/>
    <w:rsid w:val="00422276"/>
    <w:rsid w:val="004242F1"/>
    <w:rsid w:val="00425EE8"/>
    <w:rsid w:val="00445A00"/>
    <w:rsid w:val="00451B0F"/>
    <w:rsid w:val="00483034"/>
    <w:rsid w:val="00492068"/>
    <w:rsid w:val="004C2EE3"/>
    <w:rsid w:val="004E4A22"/>
    <w:rsid w:val="00511968"/>
    <w:rsid w:val="0055614C"/>
    <w:rsid w:val="005C2BC8"/>
    <w:rsid w:val="005D0EFE"/>
    <w:rsid w:val="005D794B"/>
    <w:rsid w:val="005E14C2"/>
    <w:rsid w:val="00607BA5"/>
    <w:rsid w:val="0061180A"/>
    <w:rsid w:val="00620E3B"/>
    <w:rsid w:val="00626EB6"/>
    <w:rsid w:val="00631B3B"/>
    <w:rsid w:val="00655D03"/>
    <w:rsid w:val="006823C2"/>
    <w:rsid w:val="00683388"/>
    <w:rsid w:val="00683F84"/>
    <w:rsid w:val="006A6A81"/>
    <w:rsid w:val="006F6777"/>
    <w:rsid w:val="006F7393"/>
    <w:rsid w:val="0070224F"/>
    <w:rsid w:val="007115F7"/>
    <w:rsid w:val="00750768"/>
    <w:rsid w:val="00780780"/>
    <w:rsid w:val="00785689"/>
    <w:rsid w:val="0079754B"/>
    <w:rsid w:val="007A1E6D"/>
    <w:rsid w:val="007B0EB2"/>
    <w:rsid w:val="00810B6F"/>
    <w:rsid w:val="00822CE0"/>
    <w:rsid w:val="008337BD"/>
    <w:rsid w:val="00841AB1"/>
    <w:rsid w:val="008A300D"/>
    <w:rsid w:val="008C68F1"/>
    <w:rsid w:val="00921803"/>
    <w:rsid w:val="00926503"/>
    <w:rsid w:val="00944A1B"/>
    <w:rsid w:val="009726D8"/>
    <w:rsid w:val="009C3FCE"/>
    <w:rsid w:val="009E7A2C"/>
    <w:rsid w:val="009F76DB"/>
    <w:rsid w:val="00A32C3B"/>
    <w:rsid w:val="00A45F4F"/>
    <w:rsid w:val="00A600A9"/>
    <w:rsid w:val="00A733B5"/>
    <w:rsid w:val="00A9102C"/>
    <w:rsid w:val="00AA55B7"/>
    <w:rsid w:val="00AA5B9E"/>
    <w:rsid w:val="00AB2407"/>
    <w:rsid w:val="00AB53DF"/>
    <w:rsid w:val="00B07E5C"/>
    <w:rsid w:val="00B1495D"/>
    <w:rsid w:val="00B409DC"/>
    <w:rsid w:val="00B811F7"/>
    <w:rsid w:val="00BA5DC6"/>
    <w:rsid w:val="00BA6196"/>
    <w:rsid w:val="00BC6D8C"/>
    <w:rsid w:val="00BD33BD"/>
    <w:rsid w:val="00C34006"/>
    <w:rsid w:val="00C426B1"/>
    <w:rsid w:val="00C66160"/>
    <w:rsid w:val="00C721AC"/>
    <w:rsid w:val="00C90D6A"/>
    <w:rsid w:val="00CA247E"/>
    <w:rsid w:val="00CC72B6"/>
    <w:rsid w:val="00D0218D"/>
    <w:rsid w:val="00D25FB5"/>
    <w:rsid w:val="00D33B3F"/>
    <w:rsid w:val="00D33DCF"/>
    <w:rsid w:val="00D44223"/>
    <w:rsid w:val="00DA2529"/>
    <w:rsid w:val="00DB130A"/>
    <w:rsid w:val="00DB2EBB"/>
    <w:rsid w:val="00DC10A1"/>
    <w:rsid w:val="00DC655F"/>
    <w:rsid w:val="00DD0B59"/>
    <w:rsid w:val="00DD7EBD"/>
    <w:rsid w:val="00DF62B6"/>
    <w:rsid w:val="00E07225"/>
    <w:rsid w:val="00E5409F"/>
    <w:rsid w:val="00EE0B31"/>
    <w:rsid w:val="00EE6488"/>
    <w:rsid w:val="00EF688B"/>
    <w:rsid w:val="00F021FA"/>
    <w:rsid w:val="00F41E2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ED"/>
    <w:pPr>
      <w:widowControl w:val="0"/>
    </w:pPr>
    <w:rPr>
      <w:snapToGrid w:val="0"/>
      <w:kern w:val="28"/>
      <w:sz w:val="22"/>
    </w:rPr>
  </w:style>
  <w:style w:type="paragraph" w:styleId="Heading1">
    <w:name w:val="heading 1"/>
    <w:basedOn w:val="Normal"/>
    <w:next w:val="ParaNum"/>
    <w:qFormat/>
    <w:rsid w:val="003B78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78ED"/>
    <w:pPr>
      <w:keepNext/>
      <w:numPr>
        <w:ilvl w:val="1"/>
        <w:numId w:val="3"/>
      </w:numPr>
      <w:spacing w:after="120"/>
      <w:outlineLvl w:val="1"/>
    </w:pPr>
    <w:rPr>
      <w:b/>
    </w:rPr>
  </w:style>
  <w:style w:type="paragraph" w:styleId="Heading3">
    <w:name w:val="heading 3"/>
    <w:basedOn w:val="Normal"/>
    <w:next w:val="ParaNum"/>
    <w:qFormat/>
    <w:rsid w:val="003B78ED"/>
    <w:pPr>
      <w:keepNext/>
      <w:numPr>
        <w:ilvl w:val="2"/>
        <w:numId w:val="3"/>
      </w:numPr>
      <w:tabs>
        <w:tab w:val="left" w:pos="2160"/>
      </w:tabs>
      <w:spacing w:after="120"/>
      <w:outlineLvl w:val="2"/>
    </w:pPr>
    <w:rPr>
      <w:b/>
    </w:rPr>
  </w:style>
  <w:style w:type="paragraph" w:styleId="Heading4">
    <w:name w:val="heading 4"/>
    <w:basedOn w:val="Normal"/>
    <w:next w:val="ParaNum"/>
    <w:qFormat/>
    <w:rsid w:val="003B78ED"/>
    <w:pPr>
      <w:keepNext/>
      <w:numPr>
        <w:ilvl w:val="3"/>
        <w:numId w:val="3"/>
      </w:numPr>
      <w:tabs>
        <w:tab w:val="left" w:pos="2880"/>
      </w:tabs>
      <w:spacing w:after="120"/>
      <w:outlineLvl w:val="3"/>
    </w:pPr>
    <w:rPr>
      <w:b/>
    </w:rPr>
  </w:style>
  <w:style w:type="paragraph" w:styleId="Heading5">
    <w:name w:val="heading 5"/>
    <w:basedOn w:val="Normal"/>
    <w:next w:val="ParaNum"/>
    <w:qFormat/>
    <w:rsid w:val="003B78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78ED"/>
    <w:pPr>
      <w:numPr>
        <w:ilvl w:val="5"/>
        <w:numId w:val="3"/>
      </w:numPr>
      <w:tabs>
        <w:tab w:val="left" w:pos="4320"/>
      </w:tabs>
      <w:spacing w:after="120"/>
      <w:outlineLvl w:val="5"/>
    </w:pPr>
    <w:rPr>
      <w:b/>
    </w:rPr>
  </w:style>
  <w:style w:type="paragraph" w:styleId="Heading7">
    <w:name w:val="heading 7"/>
    <w:basedOn w:val="Normal"/>
    <w:next w:val="ParaNum"/>
    <w:qFormat/>
    <w:rsid w:val="003B78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78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78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7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8ED"/>
  </w:style>
  <w:style w:type="paragraph" w:customStyle="1" w:styleId="ParaNum">
    <w:name w:val="ParaNum"/>
    <w:basedOn w:val="Normal"/>
    <w:rsid w:val="003B78ED"/>
    <w:pPr>
      <w:numPr>
        <w:numId w:val="2"/>
      </w:numPr>
      <w:tabs>
        <w:tab w:val="clear" w:pos="1080"/>
        <w:tab w:val="num" w:pos="1440"/>
      </w:tabs>
      <w:spacing w:after="120"/>
    </w:pPr>
  </w:style>
  <w:style w:type="paragraph" w:styleId="EndnoteText">
    <w:name w:val="endnote text"/>
    <w:basedOn w:val="Normal"/>
    <w:semiHidden/>
    <w:rsid w:val="003B78ED"/>
    <w:rPr>
      <w:sz w:val="20"/>
    </w:rPr>
  </w:style>
  <w:style w:type="character" w:styleId="EndnoteReference">
    <w:name w:val="endnote reference"/>
    <w:semiHidden/>
    <w:rsid w:val="003B78ED"/>
    <w:rPr>
      <w:vertAlign w:val="superscript"/>
    </w:rPr>
  </w:style>
  <w:style w:type="paragraph" w:styleId="FootnoteText">
    <w:name w:val="footnote text"/>
    <w:rsid w:val="003B78ED"/>
    <w:pPr>
      <w:spacing w:after="120"/>
    </w:pPr>
  </w:style>
  <w:style w:type="character" w:styleId="FootnoteReference">
    <w:name w:val="footnote reference"/>
    <w:rsid w:val="003B78ED"/>
    <w:rPr>
      <w:rFonts w:ascii="Times New Roman" w:hAnsi="Times New Roman"/>
      <w:dstrike w:val="0"/>
      <w:color w:val="auto"/>
      <w:sz w:val="20"/>
      <w:vertAlign w:val="superscript"/>
    </w:rPr>
  </w:style>
  <w:style w:type="paragraph" w:styleId="TOC1">
    <w:name w:val="toc 1"/>
    <w:basedOn w:val="Normal"/>
    <w:next w:val="Normal"/>
    <w:semiHidden/>
    <w:rsid w:val="003B78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78ED"/>
    <w:pPr>
      <w:tabs>
        <w:tab w:val="left" w:pos="720"/>
        <w:tab w:val="right" w:leader="dot" w:pos="9360"/>
      </w:tabs>
      <w:suppressAutoHyphens/>
      <w:ind w:left="720" w:right="720" w:hanging="360"/>
    </w:pPr>
    <w:rPr>
      <w:noProof/>
    </w:rPr>
  </w:style>
  <w:style w:type="paragraph" w:styleId="TOC3">
    <w:name w:val="toc 3"/>
    <w:basedOn w:val="Normal"/>
    <w:next w:val="Normal"/>
    <w:semiHidden/>
    <w:rsid w:val="003B78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78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78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78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78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78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78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78ED"/>
    <w:pPr>
      <w:tabs>
        <w:tab w:val="right" w:pos="9360"/>
      </w:tabs>
      <w:suppressAutoHyphens/>
    </w:pPr>
  </w:style>
  <w:style w:type="character" w:customStyle="1" w:styleId="EquationCaption">
    <w:name w:val="_Equation Caption"/>
    <w:rsid w:val="003B78ED"/>
  </w:style>
  <w:style w:type="paragraph" w:styleId="Header">
    <w:name w:val="header"/>
    <w:basedOn w:val="Normal"/>
    <w:autoRedefine/>
    <w:rsid w:val="003B78ED"/>
    <w:pPr>
      <w:tabs>
        <w:tab w:val="center" w:pos="4680"/>
        <w:tab w:val="right" w:pos="9360"/>
      </w:tabs>
    </w:pPr>
    <w:rPr>
      <w:b/>
    </w:rPr>
  </w:style>
  <w:style w:type="paragraph" w:styleId="Footer">
    <w:name w:val="footer"/>
    <w:basedOn w:val="Normal"/>
    <w:rsid w:val="003B78ED"/>
    <w:pPr>
      <w:tabs>
        <w:tab w:val="center" w:pos="4320"/>
        <w:tab w:val="right" w:pos="8640"/>
      </w:tabs>
    </w:pPr>
  </w:style>
  <w:style w:type="character" w:styleId="PageNumber">
    <w:name w:val="page number"/>
    <w:basedOn w:val="DefaultParagraphFont"/>
    <w:rsid w:val="003B78ED"/>
  </w:style>
  <w:style w:type="paragraph" w:styleId="BlockText">
    <w:name w:val="Block Text"/>
    <w:basedOn w:val="Normal"/>
    <w:rsid w:val="003B78ED"/>
    <w:pPr>
      <w:spacing w:after="240"/>
      <w:ind w:left="1440" w:right="1440"/>
    </w:pPr>
  </w:style>
  <w:style w:type="paragraph" w:customStyle="1" w:styleId="Paratitle">
    <w:name w:val="Para title"/>
    <w:basedOn w:val="Normal"/>
    <w:rsid w:val="003B78ED"/>
    <w:pPr>
      <w:tabs>
        <w:tab w:val="center" w:pos="9270"/>
      </w:tabs>
      <w:spacing w:after="240"/>
    </w:pPr>
    <w:rPr>
      <w:spacing w:val="-2"/>
    </w:rPr>
  </w:style>
  <w:style w:type="paragraph" w:customStyle="1" w:styleId="Bullet">
    <w:name w:val="Bullet"/>
    <w:basedOn w:val="Normal"/>
    <w:rsid w:val="003B78ED"/>
    <w:pPr>
      <w:tabs>
        <w:tab w:val="left" w:pos="2160"/>
      </w:tabs>
      <w:spacing w:after="220"/>
      <w:ind w:left="2160" w:hanging="720"/>
    </w:pPr>
  </w:style>
  <w:style w:type="paragraph" w:customStyle="1" w:styleId="TableFormat">
    <w:name w:val="TableFormat"/>
    <w:basedOn w:val="Bullet"/>
    <w:rsid w:val="003B78ED"/>
    <w:pPr>
      <w:tabs>
        <w:tab w:val="clear" w:pos="2160"/>
        <w:tab w:val="left" w:pos="5040"/>
      </w:tabs>
      <w:ind w:left="5040" w:hanging="3600"/>
    </w:pPr>
  </w:style>
  <w:style w:type="paragraph" w:customStyle="1" w:styleId="TOCTitle">
    <w:name w:val="TOC Title"/>
    <w:basedOn w:val="Normal"/>
    <w:rsid w:val="003B78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78ED"/>
    <w:pPr>
      <w:jc w:val="center"/>
    </w:pPr>
    <w:rPr>
      <w:rFonts w:ascii="Times New Roman Bold" w:hAnsi="Times New Roman Bold"/>
      <w:b/>
      <w:bCs/>
      <w:caps/>
      <w:szCs w:val="22"/>
    </w:rPr>
  </w:style>
  <w:style w:type="character" w:styleId="Hyperlink">
    <w:name w:val="Hyperlink"/>
    <w:rsid w:val="003B78ED"/>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ED"/>
    <w:pPr>
      <w:widowControl w:val="0"/>
    </w:pPr>
    <w:rPr>
      <w:snapToGrid w:val="0"/>
      <w:kern w:val="28"/>
      <w:sz w:val="22"/>
    </w:rPr>
  </w:style>
  <w:style w:type="paragraph" w:styleId="Heading1">
    <w:name w:val="heading 1"/>
    <w:basedOn w:val="Normal"/>
    <w:next w:val="ParaNum"/>
    <w:qFormat/>
    <w:rsid w:val="003B78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78ED"/>
    <w:pPr>
      <w:keepNext/>
      <w:numPr>
        <w:ilvl w:val="1"/>
        <w:numId w:val="3"/>
      </w:numPr>
      <w:spacing w:after="120"/>
      <w:outlineLvl w:val="1"/>
    </w:pPr>
    <w:rPr>
      <w:b/>
    </w:rPr>
  </w:style>
  <w:style w:type="paragraph" w:styleId="Heading3">
    <w:name w:val="heading 3"/>
    <w:basedOn w:val="Normal"/>
    <w:next w:val="ParaNum"/>
    <w:qFormat/>
    <w:rsid w:val="003B78ED"/>
    <w:pPr>
      <w:keepNext/>
      <w:numPr>
        <w:ilvl w:val="2"/>
        <w:numId w:val="3"/>
      </w:numPr>
      <w:tabs>
        <w:tab w:val="left" w:pos="2160"/>
      </w:tabs>
      <w:spacing w:after="120"/>
      <w:outlineLvl w:val="2"/>
    </w:pPr>
    <w:rPr>
      <w:b/>
    </w:rPr>
  </w:style>
  <w:style w:type="paragraph" w:styleId="Heading4">
    <w:name w:val="heading 4"/>
    <w:basedOn w:val="Normal"/>
    <w:next w:val="ParaNum"/>
    <w:qFormat/>
    <w:rsid w:val="003B78ED"/>
    <w:pPr>
      <w:keepNext/>
      <w:numPr>
        <w:ilvl w:val="3"/>
        <w:numId w:val="3"/>
      </w:numPr>
      <w:tabs>
        <w:tab w:val="left" w:pos="2880"/>
      </w:tabs>
      <w:spacing w:after="120"/>
      <w:outlineLvl w:val="3"/>
    </w:pPr>
    <w:rPr>
      <w:b/>
    </w:rPr>
  </w:style>
  <w:style w:type="paragraph" w:styleId="Heading5">
    <w:name w:val="heading 5"/>
    <w:basedOn w:val="Normal"/>
    <w:next w:val="ParaNum"/>
    <w:qFormat/>
    <w:rsid w:val="003B78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78ED"/>
    <w:pPr>
      <w:numPr>
        <w:ilvl w:val="5"/>
        <w:numId w:val="3"/>
      </w:numPr>
      <w:tabs>
        <w:tab w:val="left" w:pos="4320"/>
      </w:tabs>
      <w:spacing w:after="120"/>
      <w:outlineLvl w:val="5"/>
    </w:pPr>
    <w:rPr>
      <w:b/>
    </w:rPr>
  </w:style>
  <w:style w:type="paragraph" w:styleId="Heading7">
    <w:name w:val="heading 7"/>
    <w:basedOn w:val="Normal"/>
    <w:next w:val="ParaNum"/>
    <w:qFormat/>
    <w:rsid w:val="003B78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78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78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7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8ED"/>
  </w:style>
  <w:style w:type="paragraph" w:customStyle="1" w:styleId="ParaNum">
    <w:name w:val="ParaNum"/>
    <w:basedOn w:val="Normal"/>
    <w:rsid w:val="003B78ED"/>
    <w:pPr>
      <w:numPr>
        <w:numId w:val="2"/>
      </w:numPr>
      <w:tabs>
        <w:tab w:val="clear" w:pos="1080"/>
        <w:tab w:val="num" w:pos="1440"/>
      </w:tabs>
      <w:spacing w:after="120"/>
    </w:pPr>
  </w:style>
  <w:style w:type="paragraph" w:styleId="EndnoteText">
    <w:name w:val="endnote text"/>
    <w:basedOn w:val="Normal"/>
    <w:semiHidden/>
    <w:rsid w:val="003B78ED"/>
    <w:rPr>
      <w:sz w:val="20"/>
    </w:rPr>
  </w:style>
  <w:style w:type="character" w:styleId="EndnoteReference">
    <w:name w:val="endnote reference"/>
    <w:semiHidden/>
    <w:rsid w:val="003B78ED"/>
    <w:rPr>
      <w:vertAlign w:val="superscript"/>
    </w:rPr>
  </w:style>
  <w:style w:type="paragraph" w:styleId="FootnoteText">
    <w:name w:val="footnote text"/>
    <w:rsid w:val="003B78ED"/>
    <w:pPr>
      <w:spacing w:after="120"/>
    </w:pPr>
  </w:style>
  <w:style w:type="character" w:styleId="FootnoteReference">
    <w:name w:val="footnote reference"/>
    <w:rsid w:val="003B78ED"/>
    <w:rPr>
      <w:rFonts w:ascii="Times New Roman" w:hAnsi="Times New Roman"/>
      <w:dstrike w:val="0"/>
      <w:color w:val="auto"/>
      <w:sz w:val="20"/>
      <w:vertAlign w:val="superscript"/>
    </w:rPr>
  </w:style>
  <w:style w:type="paragraph" w:styleId="TOC1">
    <w:name w:val="toc 1"/>
    <w:basedOn w:val="Normal"/>
    <w:next w:val="Normal"/>
    <w:semiHidden/>
    <w:rsid w:val="003B78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78ED"/>
    <w:pPr>
      <w:tabs>
        <w:tab w:val="left" w:pos="720"/>
        <w:tab w:val="right" w:leader="dot" w:pos="9360"/>
      </w:tabs>
      <w:suppressAutoHyphens/>
      <w:ind w:left="720" w:right="720" w:hanging="360"/>
    </w:pPr>
    <w:rPr>
      <w:noProof/>
    </w:rPr>
  </w:style>
  <w:style w:type="paragraph" w:styleId="TOC3">
    <w:name w:val="toc 3"/>
    <w:basedOn w:val="Normal"/>
    <w:next w:val="Normal"/>
    <w:semiHidden/>
    <w:rsid w:val="003B78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78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78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78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78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78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78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78ED"/>
    <w:pPr>
      <w:tabs>
        <w:tab w:val="right" w:pos="9360"/>
      </w:tabs>
      <w:suppressAutoHyphens/>
    </w:pPr>
  </w:style>
  <w:style w:type="character" w:customStyle="1" w:styleId="EquationCaption">
    <w:name w:val="_Equation Caption"/>
    <w:rsid w:val="003B78ED"/>
  </w:style>
  <w:style w:type="paragraph" w:styleId="Header">
    <w:name w:val="header"/>
    <w:basedOn w:val="Normal"/>
    <w:autoRedefine/>
    <w:rsid w:val="003B78ED"/>
    <w:pPr>
      <w:tabs>
        <w:tab w:val="center" w:pos="4680"/>
        <w:tab w:val="right" w:pos="9360"/>
      </w:tabs>
    </w:pPr>
    <w:rPr>
      <w:b/>
    </w:rPr>
  </w:style>
  <w:style w:type="paragraph" w:styleId="Footer">
    <w:name w:val="footer"/>
    <w:basedOn w:val="Normal"/>
    <w:rsid w:val="003B78ED"/>
    <w:pPr>
      <w:tabs>
        <w:tab w:val="center" w:pos="4320"/>
        <w:tab w:val="right" w:pos="8640"/>
      </w:tabs>
    </w:pPr>
  </w:style>
  <w:style w:type="character" w:styleId="PageNumber">
    <w:name w:val="page number"/>
    <w:basedOn w:val="DefaultParagraphFont"/>
    <w:rsid w:val="003B78ED"/>
  </w:style>
  <w:style w:type="paragraph" w:styleId="BlockText">
    <w:name w:val="Block Text"/>
    <w:basedOn w:val="Normal"/>
    <w:rsid w:val="003B78ED"/>
    <w:pPr>
      <w:spacing w:after="240"/>
      <w:ind w:left="1440" w:right="1440"/>
    </w:pPr>
  </w:style>
  <w:style w:type="paragraph" w:customStyle="1" w:styleId="Paratitle">
    <w:name w:val="Para title"/>
    <w:basedOn w:val="Normal"/>
    <w:rsid w:val="003B78ED"/>
    <w:pPr>
      <w:tabs>
        <w:tab w:val="center" w:pos="9270"/>
      </w:tabs>
      <w:spacing w:after="240"/>
    </w:pPr>
    <w:rPr>
      <w:spacing w:val="-2"/>
    </w:rPr>
  </w:style>
  <w:style w:type="paragraph" w:customStyle="1" w:styleId="Bullet">
    <w:name w:val="Bullet"/>
    <w:basedOn w:val="Normal"/>
    <w:rsid w:val="003B78ED"/>
    <w:pPr>
      <w:tabs>
        <w:tab w:val="left" w:pos="2160"/>
      </w:tabs>
      <w:spacing w:after="220"/>
      <w:ind w:left="2160" w:hanging="720"/>
    </w:pPr>
  </w:style>
  <w:style w:type="paragraph" w:customStyle="1" w:styleId="TableFormat">
    <w:name w:val="TableFormat"/>
    <w:basedOn w:val="Bullet"/>
    <w:rsid w:val="003B78ED"/>
    <w:pPr>
      <w:tabs>
        <w:tab w:val="clear" w:pos="2160"/>
        <w:tab w:val="left" w:pos="5040"/>
      </w:tabs>
      <w:ind w:left="5040" w:hanging="3600"/>
    </w:pPr>
  </w:style>
  <w:style w:type="paragraph" w:customStyle="1" w:styleId="TOCTitle">
    <w:name w:val="TOC Title"/>
    <w:basedOn w:val="Normal"/>
    <w:rsid w:val="003B78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78ED"/>
    <w:pPr>
      <w:jc w:val="center"/>
    </w:pPr>
    <w:rPr>
      <w:rFonts w:ascii="Times New Roman Bold" w:hAnsi="Times New Roman Bold"/>
      <w:b/>
      <w:bCs/>
      <w:caps/>
      <w:szCs w:val="22"/>
    </w:rPr>
  </w:style>
  <w:style w:type="character" w:styleId="Hyperlink">
    <w:name w:val="Hyperlink"/>
    <w:rsid w:val="003B78ED"/>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966">
      <w:bodyDiv w:val="1"/>
      <w:marLeft w:val="0"/>
      <w:marRight w:val="0"/>
      <w:marTop w:val="0"/>
      <w:marBottom w:val="0"/>
      <w:divBdr>
        <w:top w:val="none" w:sz="0" w:space="0" w:color="auto"/>
        <w:left w:val="none" w:sz="0" w:space="0" w:color="auto"/>
        <w:bottom w:val="none" w:sz="0" w:space="0" w:color="auto"/>
        <w:right w:val="none" w:sz="0" w:space="0" w:color="auto"/>
      </w:divBdr>
    </w:div>
    <w:div w:id="12276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7&amp;DocName=47CFRS52.15&amp;FindType=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ema.gov/news-release/2017/09/05/president-donald-j-trump-signs-emergency-declaration-puerto-rico" TargetMode="External"/><Relationship Id="rId1" Type="http://schemas.openxmlformats.org/officeDocument/2006/relationships/hyperlink" Target="http://www.nhc.noaa.gov/refresh/graphics_at1+shtml/175630.shtml?radi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575</Words>
  <Characters>3140</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2017-09-06T22:27:00Z</dcterms:created>
  <dcterms:modified xsi:type="dcterms:W3CDTF">2017-09-06T22:27:00Z</dcterms:modified>
  <cp:category> </cp:category>
  <cp:contentStatus> </cp:contentStatus>
</cp:coreProperties>
</file>