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C869A" w14:textId="2C0DFD00" w:rsidR="00587709" w:rsidRDefault="004376E1" w:rsidP="004C4A71">
      <w:pPr>
        <w:tabs>
          <w:tab w:val="left" w:pos="6480"/>
        </w:tabs>
        <w:ind w:left="5760" w:firstLine="720"/>
        <w:rPr>
          <w:sz w:val="20"/>
        </w:rPr>
      </w:pPr>
      <w:bookmarkStart w:id="0" w:name="_GoBack"/>
      <w:bookmarkEnd w:id="0"/>
      <w:r>
        <w:rPr>
          <w:sz w:val="20"/>
        </w:rPr>
        <w:t>DA 17-871</w:t>
      </w:r>
    </w:p>
    <w:p w14:paraId="30DB47E7" w14:textId="4E02448C" w:rsidR="005A1CF0" w:rsidRPr="00F33537" w:rsidRDefault="005A1CF0" w:rsidP="004C4A71">
      <w:pPr>
        <w:tabs>
          <w:tab w:val="left" w:pos="6480"/>
        </w:tabs>
        <w:ind w:left="5760" w:firstLine="720"/>
        <w:rPr>
          <w:sz w:val="20"/>
        </w:rPr>
      </w:pPr>
      <w:r w:rsidRPr="00F33537">
        <w:rPr>
          <w:sz w:val="20"/>
        </w:rPr>
        <w:t>In Reply Refer To:</w:t>
      </w:r>
    </w:p>
    <w:p w14:paraId="676239EA" w14:textId="6BD06231" w:rsidR="005A1CF0" w:rsidRDefault="005A1CF0" w:rsidP="005A1CF0">
      <w:pPr>
        <w:tabs>
          <w:tab w:val="left" w:pos="6480"/>
        </w:tabs>
        <w:ind w:firstLine="720"/>
        <w:rPr>
          <w:sz w:val="20"/>
        </w:rPr>
      </w:pPr>
      <w:r w:rsidRPr="00F33537">
        <w:rPr>
          <w:sz w:val="20"/>
        </w:rPr>
        <w:tab/>
        <w:t>1800B3</w:t>
      </w:r>
      <w:r w:rsidR="00141F4C" w:rsidRPr="00F33537">
        <w:rPr>
          <w:sz w:val="20"/>
        </w:rPr>
        <w:t>-</w:t>
      </w:r>
      <w:r w:rsidR="00C220D6" w:rsidRPr="00F33537">
        <w:rPr>
          <w:sz w:val="20"/>
        </w:rPr>
        <w:t>JM</w:t>
      </w:r>
    </w:p>
    <w:p w14:paraId="3453CF8A" w14:textId="4D1B8AD6" w:rsidR="00587709" w:rsidRPr="00F33537" w:rsidRDefault="00587709" w:rsidP="005A1CF0">
      <w:pPr>
        <w:tabs>
          <w:tab w:val="left" w:pos="6480"/>
        </w:tabs>
        <w:ind w:firstLine="720"/>
        <w:rPr>
          <w:sz w:val="20"/>
        </w:rPr>
      </w:pPr>
      <w:r>
        <w:rPr>
          <w:sz w:val="20"/>
        </w:rPr>
        <w:tab/>
        <w:t>Released: September 11, 2017</w:t>
      </w:r>
    </w:p>
    <w:p w14:paraId="5EA5B7FF" w14:textId="0E749BC9" w:rsidR="003A2670" w:rsidRPr="000E70E1" w:rsidRDefault="003A2670" w:rsidP="005A1CF0">
      <w:pPr>
        <w:tabs>
          <w:tab w:val="left" w:pos="6480"/>
        </w:tabs>
        <w:ind w:firstLine="720"/>
        <w:rPr>
          <w:sz w:val="22"/>
          <w:szCs w:val="22"/>
        </w:rPr>
      </w:pPr>
    </w:p>
    <w:p w14:paraId="3E54AD69" w14:textId="77777777" w:rsidR="005A1CF0" w:rsidRPr="000E70E1" w:rsidRDefault="005A1CF0" w:rsidP="005A1CF0">
      <w:pPr>
        <w:tabs>
          <w:tab w:val="left" w:pos="6480"/>
        </w:tabs>
        <w:ind w:firstLine="720"/>
        <w:rPr>
          <w:sz w:val="22"/>
          <w:szCs w:val="22"/>
        </w:rPr>
      </w:pPr>
      <w:r w:rsidRPr="000E70E1">
        <w:rPr>
          <w:sz w:val="22"/>
          <w:szCs w:val="22"/>
        </w:rPr>
        <w:tab/>
      </w:r>
    </w:p>
    <w:p w14:paraId="518D6218" w14:textId="77777777" w:rsidR="005A1CF0" w:rsidRPr="000E70E1" w:rsidRDefault="005A1CF0" w:rsidP="005A1CF0">
      <w:pPr>
        <w:tabs>
          <w:tab w:val="left" w:pos="6480"/>
        </w:tabs>
        <w:rPr>
          <w:b/>
          <w:sz w:val="22"/>
          <w:szCs w:val="22"/>
          <w:u w:val="single"/>
        </w:rPr>
      </w:pPr>
    </w:p>
    <w:p w14:paraId="37F92177" w14:textId="1BB5D82F" w:rsidR="00E07DC5" w:rsidRPr="000E70E1" w:rsidRDefault="00D2696F" w:rsidP="00E07DC5">
      <w:pPr>
        <w:rPr>
          <w:sz w:val="22"/>
          <w:szCs w:val="22"/>
        </w:rPr>
      </w:pPr>
      <w:r w:rsidRPr="000E70E1">
        <w:rPr>
          <w:sz w:val="22"/>
          <w:szCs w:val="22"/>
        </w:rPr>
        <w:t>Dennis J. Kelly</w:t>
      </w:r>
      <w:r w:rsidR="008B4964" w:rsidRPr="000E70E1">
        <w:rPr>
          <w:sz w:val="22"/>
          <w:szCs w:val="22"/>
        </w:rPr>
        <w:t>, Esq.</w:t>
      </w:r>
    </w:p>
    <w:p w14:paraId="6B859789" w14:textId="4F4311DC" w:rsidR="00E07DC5" w:rsidRPr="000E70E1" w:rsidRDefault="00D2696F" w:rsidP="00E07DC5">
      <w:pPr>
        <w:rPr>
          <w:sz w:val="22"/>
          <w:szCs w:val="22"/>
        </w:rPr>
      </w:pPr>
      <w:r w:rsidRPr="000E70E1">
        <w:rPr>
          <w:sz w:val="22"/>
          <w:szCs w:val="22"/>
        </w:rPr>
        <w:t>Law Office of Dennis J. Kelly</w:t>
      </w:r>
    </w:p>
    <w:p w14:paraId="7F1363A5" w14:textId="385D55BE" w:rsidR="00E07DC5" w:rsidRPr="000E70E1" w:rsidRDefault="00D2696F" w:rsidP="00E07DC5">
      <w:pPr>
        <w:rPr>
          <w:sz w:val="22"/>
          <w:szCs w:val="22"/>
        </w:rPr>
      </w:pPr>
      <w:r w:rsidRPr="000E70E1">
        <w:rPr>
          <w:sz w:val="22"/>
          <w:szCs w:val="22"/>
        </w:rPr>
        <w:t>P.O. Box 41177</w:t>
      </w:r>
    </w:p>
    <w:p w14:paraId="25E29AF8" w14:textId="2DF86762" w:rsidR="005A1CF0" w:rsidRPr="000E70E1" w:rsidRDefault="00D2696F" w:rsidP="00E07DC5">
      <w:pPr>
        <w:rPr>
          <w:sz w:val="22"/>
          <w:szCs w:val="22"/>
        </w:rPr>
      </w:pPr>
      <w:r w:rsidRPr="000E70E1">
        <w:rPr>
          <w:sz w:val="22"/>
          <w:szCs w:val="22"/>
        </w:rPr>
        <w:t>Washington, DC 20018</w:t>
      </w:r>
      <w:r w:rsidR="00E07DC5" w:rsidRPr="000E70E1">
        <w:rPr>
          <w:sz w:val="22"/>
          <w:szCs w:val="22"/>
        </w:rPr>
        <w:tab/>
      </w:r>
    </w:p>
    <w:p w14:paraId="015FD079" w14:textId="77777777" w:rsidR="005A1CF0" w:rsidRPr="000E70E1" w:rsidRDefault="005A1CF0" w:rsidP="005A1CF0">
      <w:pPr>
        <w:rPr>
          <w:sz w:val="22"/>
          <w:szCs w:val="22"/>
          <w:highlight w:val="yellow"/>
        </w:rPr>
      </w:pPr>
    </w:p>
    <w:p w14:paraId="542C595D" w14:textId="774E3462" w:rsidR="00D2696F" w:rsidRPr="000E70E1" w:rsidRDefault="00D2696F" w:rsidP="005A1CF0">
      <w:pPr>
        <w:rPr>
          <w:sz w:val="22"/>
          <w:szCs w:val="22"/>
        </w:rPr>
      </w:pPr>
      <w:r w:rsidRPr="000E70E1">
        <w:rPr>
          <w:sz w:val="22"/>
          <w:szCs w:val="22"/>
        </w:rPr>
        <w:t>David H. Solomon</w:t>
      </w:r>
    </w:p>
    <w:p w14:paraId="62D3ED94" w14:textId="4380C8DC" w:rsidR="00D2696F" w:rsidRPr="000E70E1" w:rsidRDefault="00D2696F" w:rsidP="005A1CF0">
      <w:pPr>
        <w:rPr>
          <w:sz w:val="22"/>
          <w:szCs w:val="22"/>
        </w:rPr>
      </w:pPr>
      <w:r w:rsidRPr="000E70E1">
        <w:rPr>
          <w:sz w:val="22"/>
          <w:szCs w:val="22"/>
        </w:rPr>
        <w:t>J. Wade Lindsay</w:t>
      </w:r>
    </w:p>
    <w:p w14:paraId="0E3C89D7" w14:textId="11863771" w:rsidR="00D2696F" w:rsidRPr="000E70E1" w:rsidRDefault="00D2696F" w:rsidP="005A1CF0">
      <w:pPr>
        <w:rPr>
          <w:sz w:val="22"/>
          <w:szCs w:val="22"/>
        </w:rPr>
      </w:pPr>
      <w:r w:rsidRPr="000E70E1">
        <w:rPr>
          <w:sz w:val="22"/>
          <w:szCs w:val="22"/>
        </w:rPr>
        <w:t>Danielle K. Thumann</w:t>
      </w:r>
    </w:p>
    <w:p w14:paraId="3EA66BE6" w14:textId="3C20FEE6" w:rsidR="00D2696F" w:rsidRPr="000E70E1" w:rsidRDefault="00D2696F" w:rsidP="005A1CF0">
      <w:pPr>
        <w:rPr>
          <w:sz w:val="22"/>
          <w:szCs w:val="22"/>
        </w:rPr>
      </w:pPr>
      <w:r w:rsidRPr="000E70E1">
        <w:rPr>
          <w:sz w:val="22"/>
          <w:szCs w:val="22"/>
        </w:rPr>
        <w:t>Wilkinson Barker Knauer, LLP</w:t>
      </w:r>
    </w:p>
    <w:p w14:paraId="65099834" w14:textId="128988D8" w:rsidR="00D2696F" w:rsidRPr="000E70E1" w:rsidRDefault="00D2696F" w:rsidP="005A1CF0">
      <w:pPr>
        <w:rPr>
          <w:sz w:val="22"/>
          <w:szCs w:val="22"/>
        </w:rPr>
      </w:pPr>
      <w:r w:rsidRPr="000E70E1">
        <w:rPr>
          <w:sz w:val="22"/>
          <w:szCs w:val="22"/>
        </w:rPr>
        <w:t>1800 M Street NW, Suite 800N</w:t>
      </w:r>
    </w:p>
    <w:p w14:paraId="58DF88A2" w14:textId="3B5760A1" w:rsidR="00D2696F" w:rsidRPr="000E70E1" w:rsidRDefault="00D2696F" w:rsidP="005A1CF0">
      <w:pPr>
        <w:rPr>
          <w:sz w:val="22"/>
          <w:szCs w:val="22"/>
        </w:rPr>
      </w:pPr>
      <w:r w:rsidRPr="000E70E1">
        <w:rPr>
          <w:sz w:val="22"/>
          <w:szCs w:val="22"/>
        </w:rPr>
        <w:t>Washington, DC 20036</w:t>
      </w:r>
    </w:p>
    <w:p w14:paraId="41537FB7" w14:textId="77777777" w:rsidR="00D2696F" w:rsidRPr="000E70E1" w:rsidRDefault="00D2696F" w:rsidP="005A1CF0">
      <w:pPr>
        <w:rPr>
          <w:sz w:val="22"/>
          <w:szCs w:val="22"/>
        </w:rPr>
      </w:pPr>
    </w:p>
    <w:p w14:paraId="2222CF77" w14:textId="712C02AE" w:rsidR="00D2696F" w:rsidRPr="000E70E1" w:rsidRDefault="00D2696F" w:rsidP="005A1CF0">
      <w:pPr>
        <w:rPr>
          <w:sz w:val="22"/>
          <w:szCs w:val="22"/>
        </w:rPr>
      </w:pPr>
      <w:r w:rsidRPr="000E70E1">
        <w:rPr>
          <w:sz w:val="22"/>
          <w:szCs w:val="22"/>
        </w:rPr>
        <w:t>Jane E. Mago</w:t>
      </w:r>
    </w:p>
    <w:p w14:paraId="2C7DCCF1" w14:textId="18065CD9" w:rsidR="00D2696F" w:rsidRPr="000E70E1" w:rsidRDefault="00D2696F" w:rsidP="005A1CF0">
      <w:pPr>
        <w:rPr>
          <w:sz w:val="22"/>
          <w:szCs w:val="22"/>
        </w:rPr>
      </w:pPr>
      <w:r w:rsidRPr="000E70E1">
        <w:rPr>
          <w:sz w:val="22"/>
          <w:szCs w:val="22"/>
        </w:rPr>
        <w:t>Special Counsel</w:t>
      </w:r>
    </w:p>
    <w:p w14:paraId="406FB1D7" w14:textId="39582513" w:rsidR="00D2696F" w:rsidRPr="000E70E1" w:rsidRDefault="00D2696F" w:rsidP="005A1CF0">
      <w:pPr>
        <w:rPr>
          <w:sz w:val="22"/>
          <w:szCs w:val="22"/>
        </w:rPr>
      </w:pPr>
      <w:r w:rsidRPr="000E70E1">
        <w:rPr>
          <w:sz w:val="22"/>
          <w:szCs w:val="22"/>
        </w:rPr>
        <w:t xml:space="preserve">Entercom </w:t>
      </w:r>
      <w:r w:rsidR="003F0678" w:rsidRPr="000E70E1">
        <w:rPr>
          <w:sz w:val="22"/>
          <w:szCs w:val="22"/>
        </w:rPr>
        <w:t>Communications</w:t>
      </w:r>
      <w:r w:rsidRPr="000E70E1">
        <w:rPr>
          <w:sz w:val="22"/>
          <w:szCs w:val="22"/>
        </w:rPr>
        <w:t xml:space="preserve"> Corp.</w:t>
      </w:r>
    </w:p>
    <w:p w14:paraId="4724BF35" w14:textId="1B63A1F0" w:rsidR="00D2696F" w:rsidRPr="000E70E1" w:rsidRDefault="00D2696F" w:rsidP="005A1CF0">
      <w:pPr>
        <w:rPr>
          <w:sz w:val="22"/>
          <w:szCs w:val="22"/>
        </w:rPr>
      </w:pPr>
      <w:r w:rsidRPr="000E70E1">
        <w:rPr>
          <w:sz w:val="22"/>
          <w:szCs w:val="22"/>
        </w:rPr>
        <w:t>4154 Cortland Way</w:t>
      </w:r>
    </w:p>
    <w:p w14:paraId="059760A7" w14:textId="670BE98D" w:rsidR="00D2696F" w:rsidRPr="000E70E1" w:rsidRDefault="00D2696F" w:rsidP="005A1CF0">
      <w:pPr>
        <w:rPr>
          <w:sz w:val="22"/>
          <w:szCs w:val="22"/>
        </w:rPr>
      </w:pPr>
      <w:r w:rsidRPr="000E70E1">
        <w:rPr>
          <w:sz w:val="22"/>
          <w:szCs w:val="22"/>
        </w:rPr>
        <w:t>Naples, FL 34119</w:t>
      </w:r>
    </w:p>
    <w:p w14:paraId="584841AA" w14:textId="77777777" w:rsidR="00D2696F" w:rsidRPr="000E70E1" w:rsidRDefault="00D2696F" w:rsidP="005A1CF0">
      <w:pPr>
        <w:rPr>
          <w:sz w:val="22"/>
          <w:szCs w:val="22"/>
        </w:rPr>
      </w:pPr>
    </w:p>
    <w:p w14:paraId="4F0BBB69" w14:textId="71760387" w:rsidR="00D2696F" w:rsidRPr="000E70E1" w:rsidRDefault="00D2696F" w:rsidP="005A1CF0">
      <w:pPr>
        <w:rPr>
          <w:sz w:val="22"/>
          <w:szCs w:val="22"/>
        </w:rPr>
      </w:pPr>
      <w:r w:rsidRPr="000E70E1">
        <w:rPr>
          <w:sz w:val="22"/>
          <w:szCs w:val="22"/>
        </w:rPr>
        <w:t>Steven A. Lerman</w:t>
      </w:r>
    </w:p>
    <w:p w14:paraId="10218849" w14:textId="538B7D85" w:rsidR="00D2696F" w:rsidRPr="000E70E1" w:rsidRDefault="00D2696F" w:rsidP="005A1CF0">
      <w:pPr>
        <w:rPr>
          <w:sz w:val="22"/>
          <w:szCs w:val="22"/>
        </w:rPr>
      </w:pPr>
      <w:r w:rsidRPr="000E70E1">
        <w:rPr>
          <w:sz w:val="22"/>
          <w:szCs w:val="22"/>
        </w:rPr>
        <w:t>Lerman Senter, PLLC</w:t>
      </w:r>
    </w:p>
    <w:p w14:paraId="577235EC" w14:textId="4B0E9E8E" w:rsidR="00D2696F" w:rsidRPr="000E70E1" w:rsidRDefault="00D2696F" w:rsidP="005A1CF0">
      <w:pPr>
        <w:rPr>
          <w:sz w:val="22"/>
          <w:szCs w:val="22"/>
        </w:rPr>
      </w:pPr>
      <w:r w:rsidRPr="000E70E1">
        <w:rPr>
          <w:sz w:val="22"/>
          <w:szCs w:val="22"/>
        </w:rPr>
        <w:t>2001 L Street, N.W.</w:t>
      </w:r>
      <w:r w:rsidR="00197F69" w:rsidRPr="000E70E1">
        <w:rPr>
          <w:sz w:val="22"/>
          <w:szCs w:val="22"/>
        </w:rPr>
        <w:t>, Suite 400</w:t>
      </w:r>
    </w:p>
    <w:p w14:paraId="2F7588D2" w14:textId="2235D606" w:rsidR="00197F69" w:rsidRPr="000E70E1" w:rsidRDefault="00197F69" w:rsidP="005A1CF0">
      <w:pPr>
        <w:rPr>
          <w:sz w:val="22"/>
          <w:szCs w:val="22"/>
        </w:rPr>
      </w:pPr>
      <w:r w:rsidRPr="000E70E1">
        <w:rPr>
          <w:sz w:val="22"/>
          <w:szCs w:val="22"/>
        </w:rPr>
        <w:t>Washington, DC 20036</w:t>
      </w:r>
    </w:p>
    <w:p w14:paraId="0AE58541" w14:textId="77777777" w:rsidR="00197F69" w:rsidRPr="000E70E1" w:rsidRDefault="00197F69" w:rsidP="005A1CF0">
      <w:pPr>
        <w:rPr>
          <w:sz w:val="22"/>
          <w:szCs w:val="22"/>
        </w:rPr>
      </w:pPr>
    </w:p>
    <w:p w14:paraId="6FCE916D" w14:textId="52146BD0" w:rsidR="00515389" w:rsidRPr="000E70E1" w:rsidRDefault="005A1CF0" w:rsidP="00515389">
      <w:pPr>
        <w:tabs>
          <w:tab w:val="left" w:pos="4320"/>
          <w:tab w:val="left" w:pos="4680"/>
        </w:tabs>
        <w:ind w:left="720"/>
        <w:rPr>
          <w:b/>
          <w:sz w:val="22"/>
          <w:szCs w:val="22"/>
        </w:rPr>
      </w:pPr>
      <w:r w:rsidRPr="000E70E1">
        <w:rPr>
          <w:sz w:val="22"/>
          <w:szCs w:val="22"/>
        </w:rPr>
        <w:t xml:space="preserve">                                                                   </w:t>
      </w:r>
      <w:r w:rsidRPr="000E70E1">
        <w:rPr>
          <w:sz w:val="22"/>
          <w:szCs w:val="22"/>
        </w:rPr>
        <w:tab/>
      </w:r>
      <w:r w:rsidR="00515389" w:rsidRPr="000E70E1">
        <w:rPr>
          <w:b/>
          <w:sz w:val="22"/>
          <w:szCs w:val="22"/>
        </w:rPr>
        <w:t xml:space="preserve">In re:   </w:t>
      </w:r>
      <w:r w:rsidR="00515389" w:rsidRPr="000E70E1">
        <w:rPr>
          <w:rStyle w:val="Style1"/>
          <w:sz w:val="22"/>
          <w:szCs w:val="22"/>
        </w:rPr>
        <w:t>Entercom Sacramento Licenses, LLC</w:t>
      </w:r>
    </w:p>
    <w:p w14:paraId="62AE06EB" w14:textId="77777777" w:rsidR="00515389" w:rsidRPr="000E70E1" w:rsidRDefault="00515389" w:rsidP="00515389">
      <w:pPr>
        <w:tabs>
          <w:tab w:val="left" w:pos="5040"/>
        </w:tabs>
        <w:ind w:left="5400"/>
        <w:rPr>
          <w:b/>
          <w:sz w:val="22"/>
          <w:szCs w:val="22"/>
        </w:rPr>
      </w:pPr>
      <w:r w:rsidRPr="000E70E1">
        <w:rPr>
          <w:sz w:val="22"/>
          <w:szCs w:val="22"/>
        </w:rPr>
        <w:t xml:space="preserve">                                                                                   </w:t>
      </w:r>
      <w:r w:rsidRPr="000E70E1">
        <w:rPr>
          <w:b/>
          <w:sz w:val="22"/>
          <w:szCs w:val="22"/>
        </w:rPr>
        <w:t>KUDL(FM) (formerly KBZC(FM), Sacramento, CA</w:t>
      </w:r>
    </w:p>
    <w:p w14:paraId="494C5D2E" w14:textId="77777777" w:rsidR="00515389" w:rsidRPr="000E70E1" w:rsidRDefault="00515389" w:rsidP="00515389">
      <w:pPr>
        <w:tabs>
          <w:tab w:val="left" w:pos="4680"/>
          <w:tab w:val="left" w:pos="5040"/>
        </w:tabs>
        <w:ind w:left="5400"/>
        <w:rPr>
          <w:sz w:val="22"/>
          <w:szCs w:val="22"/>
        </w:rPr>
      </w:pPr>
      <w:r w:rsidRPr="000E70E1">
        <w:rPr>
          <w:sz w:val="22"/>
          <w:szCs w:val="22"/>
        </w:rPr>
        <w:t>Facility ID No. 57889</w:t>
      </w:r>
    </w:p>
    <w:p w14:paraId="119F9890" w14:textId="77777777" w:rsidR="00515389" w:rsidRPr="000E70E1" w:rsidRDefault="00515389" w:rsidP="00515389">
      <w:pPr>
        <w:tabs>
          <w:tab w:val="left" w:pos="4680"/>
          <w:tab w:val="left" w:pos="5310"/>
          <w:tab w:val="left" w:pos="5400"/>
        </w:tabs>
        <w:rPr>
          <w:sz w:val="22"/>
          <w:szCs w:val="22"/>
        </w:rPr>
      </w:pPr>
      <w:r w:rsidRPr="000E70E1">
        <w:rPr>
          <w:sz w:val="22"/>
          <w:szCs w:val="22"/>
        </w:rPr>
        <w:tab/>
      </w:r>
      <w:r w:rsidRPr="000E70E1">
        <w:rPr>
          <w:sz w:val="22"/>
          <w:szCs w:val="22"/>
        </w:rPr>
        <w:tab/>
      </w:r>
      <w:r w:rsidRPr="000E70E1">
        <w:rPr>
          <w:sz w:val="22"/>
          <w:szCs w:val="22"/>
        </w:rPr>
        <w:tab/>
        <w:t>File No. BRH-20050728ATP</w:t>
      </w:r>
    </w:p>
    <w:p w14:paraId="32AC808A" w14:textId="77777777" w:rsidR="00515389" w:rsidRPr="000E70E1" w:rsidRDefault="00515389" w:rsidP="00515389">
      <w:pPr>
        <w:tabs>
          <w:tab w:val="left" w:pos="4680"/>
          <w:tab w:val="left" w:pos="5040"/>
        </w:tabs>
        <w:ind w:left="5400"/>
        <w:rPr>
          <w:sz w:val="22"/>
          <w:szCs w:val="22"/>
        </w:rPr>
      </w:pPr>
      <w:r w:rsidRPr="000E70E1">
        <w:rPr>
          <w:sz w:val="22"/>
          <w:szCs w:val="22"/>
        </w:rPr>
        <w:t>File No. BRH-20130730ANC</w:t>
      </w:r>
    </w:p>
    <w:p w14:paraId="1ECBF8C4" w14:textId="77777777" w:rsidR="00515389" w:rsidRPr="000E70E1" w:rsidRDefault="00515389" w:rsidP="00515389">
      <w:pPr>
        <w:tabs>
          <w:tab w:val="left" w:pos="4680"/>
          <w:tab w:val="left" w:pos="5040"/>
        </w:tabs>
        <w:ind w:left="5400"/>
        <w:rPr>
          <w:sz w:val="22"/>
          <w:szCs w:val="22"/>
        </w:rPr>
      </w:pPr>
    </w:p>
    <w:p w14:paraId="12132763" w14:textId="77777777" w:rsidR="00515389" w:rsidRPr="000E70E1" w:rsidRDefault="00515389" w:rsidP="00515389">
      <w:pPr>
        <w:tabs>
          <w:tab w:val="left" w:pos="4680"/>
          <w:tab w:val="left" w:pos="5040"/>
        </w:tabs>
        <w:ind w:left="5400"/>
        <w:rPr>
          <w:b/>
          <w:sz w:val="22"/>
          <w:szCs w:val="22"/>
        </w:rPr>
      </w:pPr>
      <w:r w:rsidRPr="000E70E1">
        <w:rPr>
          <w:b/>
          <w:sz w:val="22"/>
          <w:szCs w:val="22"/>
        </w:rPr>
        <w:t>KRXQ(FM), Sacramento, CA</w:t>
      </w:r>
    </w:p>
    <w:p w14:paraId="03DAAC94" w14:textId="77777777" w:rsidR="00515389" w:rsidRPr="000E70E1" w:rsidRDefault="00515389" w:rsidP="00515389">
      <w:pPr>
        <w:tabs>
          <w:tab w:val="left" w:pos="4680"/>
          <w:tab w:val="left" w:pos="5040"/>
        </w:tabs>
        <w:ind w:left="5400"/>
        <w:rPr>
          <w:sz w:val="22"/>
          <w:szCs w:val="22"/>
        </w:rPr>
      </w:pPr>
      <w:r w:rsidRPr="000E70E1">
        <w:rPr>
          <w:sz w:val="22"/>
          <w:szCs w:val="22"/>
        </w:rPr>
        <w:t>Facility ID No. 20354</w:t>
      </w:r>
    </w:p>
    <w:p w14:paraId="771B524C" w14:textId="77777777" w:rsidR="00515389" w:rsidRPr="000E70E1" w:rsidRDefault="00515389" w:rsidP="00515389">
      <w:pPr>
        <w:tabs>
          <w:tab w:val="left" w:pos="4680"/>
          <w:tab w:val="left" w:pos="5040"/>
        </w:tabs>
        <w:ind w:left="5400"/>
        <w:rPr>
          <w:sz w:val="22"/>
          <w:szCs w:val="22"/>
        </w:rPr>
      </w:pPr>
      <w:r w:rsidRPr="000E70E1">
        <w:rPr>
          <w:sz w:val="22"/>
          <w:szCs w:val="22"/>
        </w:rPr>
        <w:t>File No. BRH-20050728AUQ</w:t>
      </w:r>
    </w:p>
    <w:p w14:paraId="6E313813" w14:textId="77777777" w:rsidR="00515389" w:rsidRPr="000E70E1" w:rsidRDefault="00515389" w:rsidP="00515389">
      <w:pPr>
        <w:tabs>
          <w:tab w:val="left" w:pos="4680"/>
          <w:tab w:val="left" w:pos="5040"/>
        </w:tabs>
        <w:ind w:left="5400"/>
        <w:rPr>
          <w:sz w:val="22"/>
          <w:szCs w:val="22"/>
        </w:rPr>
      </w:pPr>
      <w:r w:rsidRPr="000E70E1">
        <w:rPr>
          <w:sz w:val="22"/>
          <w:szCs w:val="22"/>
        </w:rPr>
        <w:t>File No. BRH-20130730ANI</w:t>
      </w:r>
    </w:p>
    <w:p w14:paraId="71412484" w14:textId="77777777" w:rsidR="00515389" w:rsidRPr="000E70E1" w:rsidRDefault="00515389" w:rsidP="00515389">
      <w:pPr>
        <w:tabs>
          <w:tab w:val="left" w:pos="4680"/>
          <w:tab w:val="left" w:pos="5040"/>
        </w:tabs>
        <w:ind w:left="5400"/>
        <w:rPr>
          <w:sz w:val="22"/>
          <w:szCs w:val="22"/>
        </w:rPr>
      </w:pPr>
    </w:p>
    <w:p w14:paraId="6B22C048" w14:textId="77777777" w:rsidR="00515389" w:rsidRPr="000E70E1" w:rsidRDefault="00515389" w:rsidP="00515389">
      <w:pPr>
        <w:tabs>
          <w:tab w:val="left" w:pos="4680"/>
          <w:tab w:val="left" w:pos="5040"/>
        </w:tabs>
        <w:ind w:left="5400"/>
        <w:rPr>
          <w:b/>
          <w:sz w:val="22"/>
          <w:szCs w:val="22"/>
        </w:rPr>
      </w:pPr>
      <w:r w:rsidRPr="000E70E1">
        <w:rPr>
          <w:b/>
          <w:sz w:val="22"/>
          <w:szCs w:val="22"/>
        </w:rPr>
        <w:t>KSEG(FM), Sacramento, CA</w:t>
      </w:r>
    </w:p>
    <w:p w14:paraId="2F376C63" w14:textId="77777777" w:rsidR="00515389" w:rsidRPr="000E70E1" w:rsidRDefault="00515389" w:rsidP="00515389">
      <w:pPr>
        <w:tabs>
          <w:tab w:val="left" w:pos="4680"/>
          <w:tab w:val="left" w:pos="5040"/>
        </w:tabs>
        <w:ind w:left="5400"/>
        <w:rPr>
          <w:sz w:val="22"/>
          <w:szCs w:val="22"/>
        </w:rPr>
      </w:pPr>
      <w:r w:rsidRPr="000E70E1">
        <w:rPr>
          <w:sz w:val="22"/>
          <w:szCs w:val="22"/>
        </w:rPr>
        <w:t>Facility ID No. 11281</w:t>
      </w:r>
    </w:p>
    <w:p w14:paraId="7C45F0E5" w14:textId="77777777" w:rsidR="00515389" w:rsidRPr="000E70E1" w:rsidRDefault="00515389" w:rsidP="00515389">
      <w:pPr>
        <w:tabs>
          <w:tab w:val="left" w:pos="4680"/>
          <w:tab w:val="left" w:pos="5040"/>
        </w:tabs>
        <w:ind w:left="5400"/>
        <w:rPr>
          <w:sz w:val="22"/>
          <w:szCs w:val="22"/>
        </w:rPr>
      </w:pPr>
      <w:r w:rsidRPr="000E70E1">
        <w:rPr>
          <w:sz w:val="22"/>
          <w:szCs w:val="22"/>
        </w:rPr>
        <w:t>File No. BRH-20050728ATX</w:t>
      </w:r>
    </w:p>
    <w:p w14:paraId="223786B7" w14:textId="77777777" w:rsidR="00515389" w:rsidRPr="000E70E1" w:rsidRDefault="00515389" w:rsidP="00515389">
      <w:pPr>
        <w:tabs>
          <w:tab w:val="left" w:pos="4680"/>
          <w:tab w:val="left" w:pos="5040"/>
        </w:tabs>
        <w:ind w:left="5400"/>
        <w:rPr>
          <w:sz w:val="22"/>
          <w:szCs w:val="22"/>
        </w:rPr>
      </w:pPr>
      <w:r w:rsidRPr="000E70E1">
        <w:rPr>
          <w:sz w:val="22"/>
          <w:szCs w:val="22"/>
        </w:rPr>
        <w:t>File No. BRH-20130730ANK</w:t>
      </w:r>
    </w:p>
    <w:p w14:paraId="4737E855" w14:textId="77777777" w:rsidR="00515389" w:rsidRPr="000E70E1" w:rsidRDefault="00515389" w:rsidP="00515389">
      <w:pPr>
        <w:tabs>
          <w:tab w:val="left" w:pos="4680"/>
          <w:tab w:val="left" w:pos="5040"/>
        </w:tabs>
        <w:spacing w:before="240"/>
        <w:ind w:left="5400"/>
        <w:rPr>
          <w:b/>
          <w:sz w:val="22"/>
          <w:szCs w:val="22"/>
        </w:rPr>
      </w:pPr>
      <w:r w:rsidRPr="000E70E1">
        <w:rPr>
          <w:b/>
          <w:sz w:val="22"/>
          <w:szCs w:val="22"/>
        </w:rPr>
        <w:lastRenderedPageBreak/>
        <w:t>KKDO(FM), Fair Oaks, CA</w:t>
      </w:r>
    </w:p>
    <w:p w14:paraId="46D8D427" w14:textId="77777777" w:rsidR="00515389" w:rsidRPr="000E70E1" w:rsidRDefault="00515389" w:rsidP="00515389">
      <w:pPr>
        <w:tabs>
          <w:tab w:val="left" w:pos="4680"/>
          <w:tab w:val="left" w:pos="5040"/>
        </w:tabs>
        <w:ind w:left="5400"/>
        <w:rPr>
          <w:sz w:val="22"/>
          <w:szCs w:val="22"/>
        </w:rPr>
      </w:pPr>
      <w:r w:rsidRPr="000E70E1">
        <w:rPr>
          <w:sz w:val="22"/>
          <w:szCs w:val="22"/>
        </w:rPr>
        <w:t>Facility ID No. 57889</w:t>
      </w:r>
    </w:p>
    <w:p w14:paraId="074FBCC1" w14:textId="77777777" w:rsidR="00515389" w:rsidRPr="000E70E1" w:rsidRDefault="00515389" w:rsidP="00515389">
      <w:pPr>
        <w:tabs>
          <w:tab w:val="left" w:pos="4680"/>
          <w:tab w:val="left" w:pos="5040"/>
        </w:tabs>
        <w:ind w:left="5400"/>
        <w:rPr>
          <w:sz w:val="22"/>
          <w:szCs w:val="22"/>
        </w:rPr>
      </w:pPr>
      <w:r w:rsidRPr="000E70E1">
        <w:rPr>
          <w:sz w:val="22"/>
          <w:szCs w:val="22"/>
        </w:rPr>
        <w:t>File No. BRH-20130730ANC</w:t>
      </w:r>
    </w:p>
    <w:p w14:paraId="1908F0C3" w14:textId="77777777" w:rsidR="00515389" w:rsidRPr="000E70E1" w:rsidRDefault="00515389" w:rsidP="00515389">
      <w:pPr>
        <w:tabs>
          <w:tab w:val="left" w:pos="4680"/>
          <w:tab w:val="left" w:pos="5040"/>
        </w:tabs>
        <w:ind w:left="5400"/>
        <w:rPr>
          <w:sz w:val="22"/>
          <w:szCs w:val="22"/>
        </w:rPr>
      </w:pPr>
    </w:p>
    <w:p w14:paraId="0709289C" w14:textId="77777777" w:rsidR="00515389" w:rsidRPr="000E70E1" w:rsidRDefault="00515389" w:rsidP="00515389">
      <w:pPr>
        <w:tabs>
          <w:tab w:val="left" w:pos="4680"/>
          <w:tab w:val="left" w:pos="5040"/>
        </w:tabs>
        <w:ind w:left="5400"/>
        <w:rPr>
          <w:b/>
          <w:sz w:val="22"/>
          <w:szCs w:val="22"/>
        </w:rPr>
      </w:pPr>
      <w:r w:rsidRPr="000E70E1">
        <w:rPr>
          <w:b/>
          <w:sz w:val="22"/>
          <w:szCs w:val="22"/>
        </w:rPr>
        <w:t>KIFM(AM) (formerly KCTC(AM)), Sacramento, CA</w:t>
      </w:r>
    </w:p>
    <w:p w14:paraId="05678BE4" w14:textId="77777777" w:rsidR="00515389" w:rsidRPr="000E70E1" w:rsidRDefault="00515389" w:rsidP="00515389">
      <w:pPr>
        <w:tabs>
          <w:tab w:val="left" w:pos="4680"/>
          <w:tab w:val="left" w:pos="5040"/>
        </w:tabs>
        <w:ind w:left="5400"/>
        <w:rPr>
          <w:sz w:val="22"/>
          <w:szCs w:val="22"/>
        </w:rPr>
      </w:pPr>
      <w:r w:rsidRPr="000E70E1">
        <w:rPr>
          <w:sz w:val="22"/>
          <w:szCs w:val="22"/>
        </w:rPr>
        <w:t>Facility ID No. 67848</w:t>
      </w:r>
    </w:p>
    <w:p w14:paraId="706E6B8A" w14:textId="77777777" w:rsidR="00515389" w:rsidRPr="000E70E1" w:rsidRDefault="00515389" w:rsidP="00515389">
      <w:pPr>
        <w:tabs>
          <w:tab w:val="left" w:pos="4680"/>
          <w:tab w:val="left" w:pos="5040"/>
        </w:tabs>
        <w:ind w:left="5400"/>
        <w:rPr>
          <w:sz w:val="22"/>
          <w:szCs w:val="22"/>
        </w:rPr>
      </w:pPr>
      <w:r w:rsidRPr="000E70E1">
        <w:rPr>
          <w:sz w:val="22"/>
          <w:szCs w:val="22"/>
        </w:rPr>
        <w:t>File No. BR-20130730ANG</w:t>
      </w:r>
    </w:p>
    <w:p w14:paraId="5720726F" w14:textId="77777777" w:rsidR="00515389" w:rsidRPr="000E70E1" w:rsidRDefault="00515389" w:rsidP="00515389">
      <w:pPr>
        <w:tabs>
          <w:tab w:val="left" w:pos="4680"/>
          <w:tab w:val="left" w:pos="5040"/>
        </w:tabs>
        <w:ind w:left="5400"/>
        <w:rPr>
          <w:sz w:val="22"/>
          <w:szCs w:val="22"/>
        </w:rPr>
      </w:pPr>
      <w:r w:rsidRPr="000E70E1">
        <w:rPr>
          <w:sz w:val="22"/>
          <w:szCs w:val="22"/>
        </w:rPr>
        <w:tab/>
      </w:r>
    </w:p>
    <w:p w14:paraId="12D2FC58" w14:textId="77777777" w:rsidR="00515389" w:rsidRPr="000E70E1" w:rsidRDefault="00515389" w:rsidP="00515389">
      <w:pPr>
        <w:tabs>
          <w:tab w:val="left" w:pos="4680"/>
          <w:tab w:val="left" w:pos="5040"/>
        </w:tabs>
        <w:ind w:left="5400"/>
        <w:rPr>
          <w:rStyle w:val="Style1"/>
          <w:sz w:val="22"/>
          <w:szCs w:val="22"/>
        </w:rPr>
      </w:pPr>
      <w:r w:rsidRPr="000E70E1">
        <w:rPr>
          <w:rStyle w:val="Style1"/>
          <w:sz w:val="22"/>
          <w:szCs w:val="22"/>
        </w:rPr>
        <w:t>Application for Renewal of Licenses</w:t>
      </w:r>
    </w:p>
    <w:p w14:paraId="0892678A" w14:textId="1D751A1C" w:rsidR="005834B6" w:rsidRPr="000E70E1" w:rsidRDefault="005834B6" w:rsidP="00515389">
      <w:pPr>
        <w:tabs>
          <w:tab w:val="left" w:pos="4320"/>
          <w:tab w:val="left" w:pos="4590"/>
        </w:tabs>
        <w:ind w:left="720"/>
        <w:rPr>
          <w:sz w:val="22"/>
          <w:szCs w:val="22"/>
        </w:rPr>
      </w:pPr>
    </w:p>
    <w:p w14:paraId="739AC351" w14:textId="77777777" w:rsidR="005A1CF0" w:rsidRPr="000E70E1" w:rsidRDefault="00E07DC5" w:rsidP="00407473">
      <w:pPr>
        <w:tabs>
          <w:tab w:val="left" w:pos="4680"/>
          <w:tab w:val="left" w:pos="5040"/>
        </w:tabs>
        <w:ind w:left="5400"/>
        <w:rPr>
          <w:b/>
          <w:sz w:val="22"/>
          <w:szCs w:val="22"/>
        </w:rPr>
      </w:pPr>
      <w:r w:rsidRPr="000E70E1">
        <w:rPr>
          <w:rStyle w:val="Style1"/>
          <w:sz w:val="22"/>
          <w:szCs w:val="22"/>
        </w:rPr>
        <w:t>Petition for Reconsideration</w:t>
      </w:r>
    </w:p>
    <w:p w14:paraId="1343DE62" w14:textId="77777777" w:rsidR="005A1CF0" w:rsidRPr="000E70E1" w:rsidRDefault="005A1CF0" w:rsidP="005A1CF0">
      <w:pPr>
        <w:tabs>
          <w:tab w:val="left" w:pos="4680"/>
          <w:tab w:val="left" w:pos="5040"/>
        </w:tabs>
        <w:rPr>
          <w:sz w:val="22"/>
          <w:szCs w:val="22"/>
        </w:rPr>
      </w:pPr>
      <w:r w:rsidRPr="000E70E1">
        <w:rPr>
          <w:sz w:val="22"/>
          <w:szCs w:val="22"/>
        </w:rPr>
        <w:tab/>
      </w:r>
      <w:r w:rsidRPr="000E70E1">
        <w:rPr>
          <w:sz w:val="22"/>
          <w:szCs w:val="22"/>
        </w:rPr>
        <w:tab/>
      </w:r>
    </w:p>
    <w:p w14:paraId="2DB71511" w14:textId="56F4169C" w:rsidR="005A1CF0" w:rsidRPr="000E70E1" w:rsidRDefault="005A1CF0" w:rsidP="006F6EDE">
      <w:pPr>
        <w:tabs>
          <w:tab w:val="left" w:pos="6840"/>
        </w:tabs>
        <w:rPr>
          <w:sz w:val="22"/>
          <w:szCs w:val="22"/>
        </w:rPr>
      </w:pPr>
      <w:r w:rsidRPr="000E70E1">
        <w:rPr>
          <w:sz w:val="22"/>
          <w:szCs w:val="22"/>
        </w:rPr>
        <w:t xml:space="preserve"> Dear</w:t>
      </w:r>
      <w:r w:rsidR="00003CBA" w:rsidRPr="000E70E1">
        <w:rPr>
          <w:sz w:val="22"/>
          <w:szCs w:val="22"/>
        </w:rPr>
        <w:t xml:space="preserve"> </w:t>
      </w:r>
      <w:r w:rsidR="004363CC" w:rsidRPr="000E70E1">
        <w:rPr>
          <w:sz w:val="22"/>
          <w:szCs w:val="22"/>
        </w:rPr>
        <w:t>Counsel</w:t>
      </w:r>
      <w:r w:rsidR="00407473" w:rsidRPr="000E70E1">
        <w:rPr>
          <w:sz w:val="22"/>
          <w:szCs w:val="22"/>
        </w:rPr>
        <w:t>:</w:t>
      </w:r>
    </w:p>
    <w:p w14:paraId="63B0013E" w14:textId="77777777" w:rsidR="005A1CF0" w:rsidRPr="000E70E1" w:rsidRDefault="005A1CF0" w:rsidP="006F6EDE">
      <w:pPr>
        <w:tabs>
          <w:tab w:val="left" w:pos="4680"/>
          <w:tab w:val="left" w:pos="5337"/>
        </w:tabs>
        <w:rPr>
          <w:sz w:val="22"/>
          <w:szCs w:val="22"/>
        </w:rPr>
      </w:pPr>
    </w:p>
    <w:p w14:paraId="722CA015" w14:textId="6DB476D3" w:rsidR="00E07DC5" w:rsidRPr="000E70E1" w:rsidRDefault="00E07DC5" w:rsidP="006F6EDE">
      <w:pPr>
        <w:widowControl/>
        <w:ind w:firstLine="720"/>
        <w:rPr>
          <w:snapToGrid/>
          <w:sz w:val="22"/>
          <w:szCs w:val="22"/>
        </w:rPr>
      </w:pPr>
      <w:r w:rsidRPr="000E70E1">
        <w:rPr>
          <w:snapToGrid/>
          <w:sz w:val="22"/>
          <w:szCs w:val="22"/>
        </w:rPr>
        <w:t xml:space="preserve">The Media Bureau (Bureau) has before it a Petition for Reconsideration (Petition) filed </w:t>
      </w:r>
      <w:r w:rsidR="00AD3BBE">
        <w:rPr>
          <w:snapToGrid/>
          <w:sz w:val="22"/>
          <w:szCs w:val="22"/>
        </w:rPr>
        <w:t xml:space="preserve">on </w:t>
      </w:r>
      <w:r w:rsidR="004363CC" w:rsidRPr="000E70E1">
        <w:rPr>
          <w:snapToGrid/>
          <w:sz w:val="22"/>
          <w:szCs w:val="22"/>
        </w:rPr>
        <w:t>February 17, 2017</w:t>
      </w:r>
      <w:r w:rsidRPr="000E70E1">
        <w:rPr>
          <w:snapToGrid/>
          <w:sz w:val="22"/>
          <w:szCs w:val="22"/>
        </w:rPr>
        <w:t xml:space="preserve">, </w:t>
      </w:r>
      <w:r w:rsidR="004363CC" w:rsidRPr="000E70E1">
        <w:rPr>
          <w:snapToGrid/>
          <w:sz w:val="22"/>
          <w:szCs w:val="22"/>
        </w:rPr>
        <w:t>by Edward Stolz II (Stolz).</w:t>
      </w:r>
      <w:r w:rsidR="00F42683">
        <w:rPr>
          <w:rStyle w:val="FootnoteReference"/>
          <w:snapToGrid/>
          <w:szCs w:val="22"/>
        </w:rPr>
        <w:footnoteReference w:id="1"/>
      </w:r>
      <w:r w:rsidR="004363CC" w:rsidRPr="000E70E1">
        <w:rPr>
          <w:snapToGrid/>
          <w:sz w:val="22"/>
          <w:szCs w:val="22"/>
        </w:rPr>
        <w:t xml:space="preserve">  </w:t>
      </w:r>
      <w:r w:rsidRPr="000E70E1">
        <w:rPr>
          <w:snapToGrid/>
          <w:sz w:val="22"/>
          <w:szCs w:val="22"/>
        </w:rPr>
        <w:t xml:space="preserve">The Petition seeks reconsideration of the Bureau’s </w:t>
      </w:r>
      <w:r w:rsidR="00B10E54" w:rsidRPr="000E70E1">
        <w:rPr>
          <w:i/>
          <w:snapToGrid/>
          <w:sz w:val="22"/>
          <w:szCs w:val="22"/>
        </w:rPr>
        <w:t>Letter Decision</w:t>
      </w:r>
      <w:r w:rsidR="00B10E54" w:rsidRPr="000E70E1">
        <w:rPr>
          <w:rStyle w:val="FootnoteReference"/>
          <w:rFonts w:ascii="Times New Roman" w:hAnsi="Times New Roman"/>
          <w:snapToGrid/>
          <w:sz w:val="22"/>
          <w:szCs w:val="22"/>
        </w:rPr>
        <w:footnoteReference w:id="2"/>
      </w:r>
      <w:r w:rsidRPr="000E70E1">
        <w:rPr>
          <w:snapToGrid/>
          <w:sz w:val="22"/>
          <w:szCs w:val="22"/>
        </w:rPr>
        <w:t xml:space="preserve"> denying </w:t>
      </w:r>
      <w:r w:rsidR="004363CC" w:rsidRPr="000E70E1">
        <w:rPr>
          <w:snapToGrid/>
          <w:sz w:val="22"/>
          <w:szCs w:val="22"/>
        </w:rPr>
        <w:t>Stolz’s</w:t>
      </w:r>
      <w:r w:rsidRPr="000E70E1">
        <w:rPr>
          <w:snapToGrid/>
          <w:sz w:val="22"/>
          <w:szCs w:val="22"/>
        </w:rPr>
        <w:t xml:space="preserve"> </w:t>
      </w:r>
      <w:r w:rsidR="009D7AD5">
        <w:rPr>
          <w:snapToGrid/>
          <w:sz w:val="22"/>
          <w:szCs w:val="22"/>
        </w:rPr>
        <w:t>informal objections</w:t>
      </w:r>
      <w:r w:rsidR="008C3BFE" w:rsidRPr="000E70E1">
        <w:rPr>
          <w:snapToGrid/>
          <w:sz w:val="22"/>
          <w:szCs w:val="22"/>
        </w:rPr>
        <w:t xml:space="preserve"> and granting</w:t>
      </w:r>
      <w:r w:rsidRPr="000E70E1">
        <w:rPr>
          <w:snapToGrid/>
          <w:sz w:val="22"/>
          <w:szCs w:val="22"/>
        </w:rPr>
        <w:t xml:space="preserve"> the above</w:t>
      </w:r>
      <w:r w:rsidR="009D7AD5">
        <w:rPr>
          <w:snapToGrid/>
          <w:sz w:val="22"/>
          <w:szCs w:val="22"/>
        </w:rPr>
        <w:t>-</w:t>
      </w:r>
      <w:r w:rsidR="00C220D6" w:rsidRPr="000E70E1">
        <w:rPr>
          <w:snapToGrid/>
          <w:sz w:val="22"/>
          <w:szCs w:val="22"/>
        </w:rPr>
        <w:t>referenced</w:t>
      </w:r>
      <w:r w:rsidRPr="000E70E1">
        <w:rPr>
          <w:snapToGrid/>
          <w:sz w:val="22"/>
          <w:szCs w:val="22"/>
        </w:rPr>
        <w:t xml:space="preserve"> application</w:t>
      </w:r>
      <w:r w:rsidR="004363CC" w:rsidRPr="000E70E1">
        <w:rPr>
          <w:snapToGrid/>
          <w:sz w:val="22"/>
          <w:szCs w:val="22"/>
        </w:rPr>
        <w:t xml:space="preserve">s </w:t>
      </w:r>
      <w:r w:rsidR="008C3BFE" w:rsidRPr="000E70E1">
        <w:rPr>
          <w:snapToGrid/>
          <w:sz w:val="22"/>
          <w:szCs w:val="22"/>
        </w:rPr>
        <w:t xml:space="preserve">of a subsidiary of Entercom Communications (Entercom) </w:t>
      </w:r>
      <w:r w:rsidR="004363CC" w:rsidRPr="000E70E1">
        <w:rPr>
          <w:snapToGrid/>
          <w:sz w:val="22"/>
          <w:szCs w:val="22"/>
        </w:rPr>
        <w:t>to renew the licenses of five stations (collectively, the Stations) for the license terms ending December 1, 2005</w:t>
      </w:r>
      <w:r w:rsidR="006A205F">
        <w:rPr>
          <w:snapToGrid/>
          <w:sz w:val="22"/>
          <w:szCs w:val="22"/>
        </w:rPr>
        <w:t xml:space="preserve"> (2005 Renewal Applications)</w:t>
      </w:r>
      <w:r w:rsidR="004363CC" w:rsidRPr="000E70E1">
        <w:rPr>
          <w:snapToGrid/>
          <w:sz w:val="22"/>
          <w:szCs w:val="22"/>
        </w:rPr>
        <w:t>, and December 1, 2013</w:t>
      </w:r>
      <w:r w:rsidR="007E7AA5">
        <w:rPr>
          <w:snapToGrid/>
          <w:sz w:val="22"/>
          <w:szCs w:val="22"/>
        </w:rPr>
        <w:t xml:space="preserve"> </w:t>
      </w:r>
      <w:r w:rsidR="006A205F">
        <w:rPr>
          <w:snapToGrid/>
          <w:sz w:val="22"/>
          <w:szCs w:val="22"/>
        </w:rPr>
        <w:t xml:space="preserve">(2013 Renewal Applications) </w:t>
      </w:r>
      <w:r w:rsidR="004363CC" w:rsidRPr="000E70E1">
        <w:rPr>
          <w:snapToGrid/>
          <w:sz w:val="22"/>
          <w:szCs w:val="22"/>
        </w:rPr>
        <w:t>(</w:t>
      </w:r>
      <w:r w:rsidR="00F20FAB" w:rsidRPr="000E70E1">
        <w:rPr>
          <w:snapToGrid/>
          <w:sz w:val="22"/>
          <w:szCs w:val="22"/>
        </w:rPr>
        <w:t>collectively, the Renewal Applications</w:t>
      </w:r>
      <w:r w:rsidR="004363CC" w:rsidRPr="000E70E1">
        <w:rPr>
          <w:snapToGrid/>
          <w:sz w:val="22"/>
          <w:szCs w:val="22"/>
        </w:rPr>
        <w:t>)</w:t>
      </w:r>
      <w:r w:rsidRPr="000E70E1">
        <w:rPr>
          <w:snapToGrid/>
          <w:sz w:val="22"/>
          <w:szCs w:val="22"/>
        </w:rPr>
        <w:t>.  For the reasons set forth below, we</w:t>
      </w:r>
      <w:r w:rsidR="00E6359D" w:rsidRPr="000E70E1">
        <w:rPr>
          <w:snapToGrid/>
          <w:sz w:val="22"/>
          <w:szCs w:val="22"/>
        </w:rPr>
        <w:t xml:space="preserve"> </w:t>
      </w:r>
      <w:r w:rsidR="003D4FE7" w:rsidRPr="000E70E1">
        <w:rPr>
          <w:snapToGrid/>
          <w:sz w:val="22"/>
          <w:szCs w:val="22"/>
        </w:rPr>
        <w:t>d</w:t>
      </w:r>
      <w:r w:rsidR="009D7AD5">
        <w:rPr>
          <w:snapToGrid/>
          <w:sz w:val="22"/>
          <w:szCs w:val="22"/>
        </w:rPr>
        <w:t>ismiss</w:t>
      </w:r>
      <w:r w:rsidR="003D4FE7" w:rsidRPr="000E70E1">
        <w:rPr>
          <w:snapToGrid/>
          <w:sz w:val="22"/>
          <w:szCs w:val="22"/>
        </w:rPr>
        <w:t xml:space="preserve"> the Petition.</w:t>
      </w:r>
    </w:p>
    <w:p w14:paraId="1DFE2F46" w14:textId="77777777" w:rsidR="006F6EDE" w:rsidRPr="000E70E1" w:rsidRDefault="006F6EDE" w:rsidP="006F6EDE">
      <w:pPr>
        <w:widowControl/>
        <w:ind w:firstLine="720"/>
        <w:rPr>
          <w:i/>
          <w:snapToGrid/>
          <w:sz w:val="22"/>
          <w:szCs w:val="22"/>
        </w:rPr>
      </w:pPr>
    </w:p>
    <w:p w14:paraId="4037D48B" w14:textId="63DF0DE7" w:rsidR="00C118CF" w:rsidRDefault="0063140F" w:rsidP="008B6BDE">
      <w:pPr>
        <w:widowControl/>
        <w:ind w:firstLine="720"/>
        <w:rPr>
          <w:snapToGrid/>
          <w:sz w:val="22"/>
          <w:szCs w:val="22"/>
        </w:rPr>
      </w:pPr>
      <w:r w:rsidRPr="000E70E1">
        <w:rPr>
          <w:i/>
          <w:snapToGrid/>
          <w:sz w:val="22"/>
          <w:szCs w:val="22"/>
        </w:rPr>
        <w:t>Background</w:t>
      </w:r>
      <w:r w:rsidR="00762051" w:rsidRPr="000E70E1">
        <w:rPr>
          <w:snapToGrid/>
          <w:sz w:val="22"/>
          <w:szCs w:val="22"/>
        </w:rPr>
        <w:t>.</w:t>
      </w:r>
      <w:r w:rsidR="00E93E1D" w:rsidRPr="000E70E1">
        <w:rPr>
          <w:i/>
          <w:snapToGrid/>
          <w:sz w:val="22"/>
          <w:szCs w:val="22"/>
        </w:rPr>
        <w:t xml:space="preserve">  </w:t>
      </w:r>
      <w:r w:rsidR="008C7D6F" w:rsidRPr="000E70E1">
        <w:rPr>
          <w:snapToGrid/>
          <w:sz w:val="22"/>
          <w:szCs w:val="22"/>
        </w:rPr>
        <w:t xml:space="preserve">Stolz filed </w:t>
      </w:r>
      <w:r w:rsidR="00A24AAC">
        <w:rPr>
          <w:snapToGrid/>
          <w:sz w:val="22"/>
          <w:szCs w:val="22"/>
        </w:rPr>
        <w:t xml:space="preserve">procedurally </w:t>
      </w:r>
      <w:r w:rsidR="008C7D6F" w:rsidRPr="000E70E1">
        <w:rPr>
          <w:snapToGrid/>
          <w:sz w:val="22"/>
          <w:szCs w:val="22"/>
        </w:rPr>
        <w:t>defective petition</w:t>
      </w:r>
      <w:r w:rsidR="006A205F">
        <w:rPr>
          <w:snapToGrid/>
          <w:sz w:val="22"/>
          <w:szCs w:val="22"/>
        </w:rPr>
        <w:t>s</w:t>
      </w:r>
      <w:r w:rsidR="008C7D6F" w:rsidRPr="000E70E1">
        <w:rPr>
          <w:snapToGrid/>
          <w:sz w:val="22"/>
          <w:szCs w:val="22"/>
        </w:rPr>
        <w:t xml:space="preserve"> to deny the </w:t>
      </w:r>
      <w:r w:rsidR="001F2188">
        <w:rPr>
          <w:snapToGrid/>
          <w:sz w:val="22"/>
          <w:szCs w:val="22"/>
        </w:rPr>
        <w:t xml:space="preserve">2005 and 2013 </w:t>
      </w:r>
      <w:r w:rsidR="008C7D6F" w:rsidRPr="000E70E1">
        <w:rPr>
          <w:snapToGrid/>
          <w:sz w:val="22"/>
          <w:szCs w:val="22"/>
        </w:rPr>
        <w:t xml:space="preserve">Renewal Applications </w:t>
      </w:r>
      <w:r w:rsidR="006A205F">
        <w:rPr>
          <w:snapToGrid/>
          <w:sz w:val="22"/>
          <w:szCs w:val="22"/>
        </w:rPr>
        <w:t xml:space="preserve">(2005 </w:t>
      </w:r>
      <w:r w:rsidR="009D7AD5">
        <w:rPr>
          <w:snapToGrid/>
          <w:sz w:val="22"/>
          <w:szCs w:val="22"/>
        </w:rPr>
        <w:t>Objection</w:t>
      </w:r>
      <w:r w:rsidR="006A205F">
        <w:rPr>
          <w:snapToGrid/>
          <w:sz w:val="22"/>
          <w:szCs w:val="22"/>
        </w:rPr>
        <w:t xml:space="preserve"> and 2013 </w:t>
      </w:r>
      <w:r w:rsidR="009D7AD5">
        <w:rPr>
          <w:snapToGrid/>
          <w:sz w:val="22"/>
          <w:szCs w:val="22"/>
        </w:rPr>
        <w:t>Objec</w:t>
      </w:r>
      <w:r w:rsidR="006A205F">
        <w:rPr>
          <w:snapToGrid/>
          <w:sz w:val="22"/>
          <w:szCs w:val="22"/>
        </w:rPr>
        <w:t xml:space="preserve">tion) </w:t>
      </w:r>
      <w:r w:rsidR="008C7D6F" w:rsidRPr="000E70E1">
        <w:rPr>
          <w:snapToGrid/>
          <w:sz w:val="22"/>
          <w:szCs w:val="22"/>
        </w:rPr>
        <w:t xml:space="preserve">on </w:t>
      </w:r>
      <w:r w:rsidR="006A205F">
        <w:rPr>
          <w:snapToGrid/>
          <w:sz w:val="22"/>
          <w:szCs w:val="22"/>
        </w:rPr>
        <w:t xml:space="preserve">November 1, 2005, and </w:t>
      </w:r>
      <w:r w:rsidR="008C7D6F" w:rsidRPr="000E70E1">
        <w:rPr>
          <w:snapToGrid/>
          <w:sz w:val="22"/>
          <w:szCs w:val="22"/>
        </w:rPr>
        <w:t>November 1, 2013</w:t>
      </w:r>
      <w:r w:rsidR="001F2188">
        <w:rPr>
          <w:snapToGrid/>
          <w:sz w:val="22"/>
          <w:szCs w:val="22"/>
        </w:rPr>
        <w:t>, respectively</w:t>
      </w:r>
      <w:r w:rsidR="00A24AAC">
        <w:rPr>
          <w:snapToGrid/>
          <w:sz w:val="22"/>
          <w:szCs w:val="22"/>
        </w:rPr>
        <w:t>,</w:t>
      </w:r>
      <w:r w:rsidR="001C62CD" w:rsidRPr="000E70E1">
        <w:rPr>
          <w:rStyle w:val="FootnoteReference"/>
          <w:rFonts w:ascii="Times New Roman" w:hAnsi="Times New Roman"/>
          <w:snapToGrid/>
          <w:sz w:val="22"/>
          <w:szCs w:val="22"/>
        </w:rPr>
        <w:footnoteReference w:id="3"/>
      </w:r>
      <w:r w:rsidR="00A24AAC">
        <w:rPr>
          <w:snapToGrid/>
          <w:sz w:val="22"/>
          <w:szCs w:val="22"/>
        </w:rPr>
        <w:t xml:space="preserve"> arguing that Entercom had: (1) shown a “willful and reckless disregard” for the Commission’s rules as evidenced by the many Notices of Apparent Liability and Letters of Inquiry it received; (2) violated the statutory prohibition on indecency on multiple occasions; and (3) violated the Commission’</w:t>
      </w:r>
      <w:r w:rsidR="006A205F">
        <w:rPr>
          <w:snapToGrid/>
          <w:sz w:val="22"/>
          <w:szCs w:val="22"/>
        </w:rPr>
        <w:t>s multiple ownership rules in its “unlawful” acquisition of Station KUDL(FM), Sacramento, California.</w:t>
      </w:r>
      <w:r w:rsidR="00A24AAC">
        <w:rPr>
          <w:snapToGrid/>
          <w:sz w:val="22"/>
          <w:szCs w:val="22"/>
        </w:rPr>
        <w:t xml:space="preserve"> </w:t>
      </w:r>
      <w:r w:rsidR="008C7D6F" w:rsidRPr="000E70E1">
        <w:rPr>
          <w:snapToGrid/>
          <w:sz w:val="22"/>
          <w:szCs w:val="22"/>
        </w:rPr>
        <w:t xml:space="preserve">  </w:t>
      </w:r>
      <w:r w:rsidR="006A205F">
        <w:rPr>
          <w:snapToGrid/>
          <w:sz w:val="22"/>
          <w:szCs w:val="22"/>
        </w:rPr>
        <w:t xml:space="preserve">In the </w:t>
      </w:r>
      <w:r w:rsidR="006A205F">
        <w:rPr>
          <w:i/>
          <w:snapToGrid/>
          <w:sz w:val="22"/>
          <w:szCs w:val="22"/>
        </w:rPr>
        <w:t>Letter Decision,</w:t>
      </w:r>
      <w:r w:rsidR="006A205F">
        <w:rPr>
          <w:snapToGrid/>
          <w:sz w:val="22"/>
          <w:szCs w:val="22"/>
        </w:rPr>
        <w:t xml:space="preserve"> </w:t>
      </w:r>
      <w:r w:rsidR="008C7D6F" w:rsidRPr="000E70E1">
        <w:rPr>
          <w:snapToGrid/>
          <w:sz w:val="22"/>
          <w:szCs w:val="22"/>
        </w:rPr>
        <w:t>the staff treat</w:t>
      </w:r>
      <w:r w:rsidR="006A205F">
        <w:rPr>
          <w:snapToGrid/>
          <w:sz w:val="22"/>
          <w:szCs w:val="22"/>
        </w:rPr>
        <w:t>ed</w:t>
      </w:r>
      <w:r w:rsidR="008C7D6F" w:rsidRPr="000E70E1">
        <w:rPr>
          <w:snapToGrid/>
          <w:sz w:val="22"/>
          <w:szCs w:val="22"/>
        </w:rPr>
        <w:t xml:space="preserve"> the petition</w:t>
      </w:r>
      <w:r w:rsidR="006A205F">
        <w:rPr>
          <w:snapToGrid/>
          <w:sz w:val="22"/>
          <w:szCs w:val="22"/>
        </w:rPr>
        <w:t>s</w:t>
      </w:r>
      <w:r w:rsidR="008C7D6F" w:rsidRPr="000E70E1">
        <w:rPr>
          <w:snapToGrid/>
          <w:sz w:val="22"/>
          <w:szCs w:val="22"/>
        </w:rPr>
        <w:t xml:space="preserve"> as informal </w:t>
      </w:r>
      <w:r w:rsidR="00261F61" w:rsidRPr="000E70E1">
        <w:rPr>
          <w:snapToGrid/>
          <w:sz w:val="22"/>
          <w:szCs w:val="22"/>
        </w:rPr>
        <w:t>objection</w:t>
      </w:r>
      <w:r w:rsidR="006A205F">
        <w:rPr>
          <w:snapToGrid/>
          <w:sz w:val="22"/>
          <w:szCs w:val="22"/>
        </w:rPr>
        <w:t>s</w:t>
      </w:r>
      <w:r w:rsidR="00261F61" w:rsidRPr="000E70E1">
        <w:rPr>
          <w:snapToGrid/>
          <w:sz w:val="22"/>
          <w:szCs w:val="22"/>
        </w:rPr>
        <w:t>, dismissed</w:t>
      </w:r>
      <w:r w:rsidR="002030C3" w:rsidRPr="000E70E1">
        <w:rPr>
          <w:snapToGrid/>
          <w:sz w:val="22"/>
          <w:szCs w:val="22"/>
        </w:rPr>
        <w:t xml:space="preserve"> </w:t>
      </w:r>
      <w:r w:rsidR="006A205F">
        <w:rPr>
          <w:snapToGrid/>
          <w:sz w:val="22"/>
          <w:szCs w:val="22"/>
        </w:rPr>
        <w:t xml:space="preserve">the 2013 </w:t>
      </w:r>
      <w:r w:rsidR="009D7AD5">
        <w:rPr>
          <w:snapToGrid/>
          <w:sz w:val="22"/>
          <w:szCs w:val="22"/>
        </w:rPr>
        <w:t>Objection</w:t>
      </w:r>
      <w:r w:rsidR="006A205F">
        <w:rPr>
          <w:snapToGrid/>
          <w:sz w:val="22"/>
          <w:szCs w:val="22"/>
        </w:rPr>
        <w:t xml:space="preserve"> </w:t>
      </w:r>
      <w:r w:rsidR="00261F61" w:rsidRPr="000E70E1">
        <w:rPr>
          <w:snapToGrid/>
          <w:sz w:val="22"/>
          <w:szCs w:val="22"/>
        </w:rPr>
        <w:t xml:space="preserve">to the extent </w:t>
      </w:r>
      <w:r w:rsidR="006A205F">
        <w:rPr>
          <w:snapToGrid/>
          <w:sz w:val="22"/>
          <w:szCs w:val="22"/>
        </w:rPr>
        <w:t xml:space="preserve">that it improperly attempted to incorporate by reference arguments raised in the 2005 </w:t>
      </w:r>
      <w:r w:rsidR="009D7AD5">
        <w:rPr>
          <w:snapToGrid/>
          <w:sz w:val="22"/>
          <w:szCs w:val="22"/>
        </w:rPr>
        <w:t>Objec</w:t>
      </w:r>
      <w:r w:rsidR="006A205F">
        <w:rPr>
          <w:snapToGrid/>
          <w:sz w:val="22"/>
          <w:szCs w:val="22"/>
        </w:rPr>
        <w:t xml:space="preserve">tion </w:t>
      </w:r>
      <w:r w:rsidR="00261F61" w:rsidRPr="000E70E1">
        <w:rPr>
          <w:snapToGrid/>
          <w:sz w:val="22"/>
          <w:szCs w:val="22"/>
        </w:rPr>
        <w:t xml:space="preserve">and otherwise denied the </w:t>
      </w:r>
      <w:r w:rsidR="009D7AD5">
        <w:rPr>
          <w:snapToGrid/>
          <w:sz w:val="22"/>
          <w:szCs w:val="22"/>
        </w:rPr>
        <w:t>O</w:t>
      </w:r>
      <w:r w:rsidR="00261F61" w:rsidRPr="000E70E1">
        <w:rPr>
          <w:snapToGrid/>
          <w:sz w:val="22"/>
          <w:szCs w:val="22"/>
        </w:rPr>
        <w:t>bjection</w:t>
      </w:r>
      <w:r w:rsidR="00C118CF">
        <w:rPr>
          <w:snapToGrid/>
          <w:sz w:val="22"/>
          <w:szCs w:val="22"/>
        </w:rPr>
        <w:t>s</w:t>
      </w:r>
      <w:r w:rsidR="00261F61" w:rsidRPr="000E70E1">
        <w:rPr>
          <w:snapToGrid/>
          <w:sz w:val="22"/>
          <w:szCs w:val="22"/>
        </w:rPr>
        <w:t>, and granted the Renewal Applications.</w:t>
      </w:r>
      <w:r w:rsidR="004661A0" w:rsidRPr="000E70E1">
        <w:rPr>
          <w:snapToGrid/>
          <w:sz w:val="22"/>
          <w:szCs w:val="22"/>
        </w:rPr>
        <w:t xml:space="preserve">  </w:t>
      </w:r>
    </w:p>
    <w:p w14:paraId="40969A4F" w14:textId="77777777" w:rsidR="007C7FDE" w:rsidRDefault="007C7FDE" w:rsidP="008B6BDE">
      <w:pPr>
        <w:widowControl/>
        <w:ind w:firstLine="720"/>
        <w:rPr>
          <w:snapToGrid/>
          <w:sz w:val="22"/>
          <w:szCs w:val="22"/>
        </w:rPr>
      </w:pPr>
    </w:p>
    <w:p w14:paraId="2C167E9E" w14:textId="6EC33230" w:rsidR="00261F61" w:rsidRPr="000E70E1" w:rsidRDefault="00256790" w:rsidP="008B6BDE">
      <w:pPr>
        <w:widowControl/>
        <w:ind w:firstLine="720"/>
        <w:rPr>
          <w:snapToGrid/>
          <w:sz w:val="22"/>
          <w:szCs w:val="22"/>
        </w:rPr>
      </w:pPr>
      <w:r>
        <w:rPr>
          <w:snapToGrid/>
          <w:sz w:val="22"/>
          <w:szCs w:val="22"/>
        </w:rPr>
        <w:t>Following</w:t>
      </w:r>
      <w:r w:rsidR="004661A0" w:rsidRPr="000E70E1">
        <w:rPr>
          <w:snapToGrid/>
          <w:sz w:val="22"/>
          <w:szCs w:val="22"/>
        </w:rPr>
        <w:t xml:space="preserve"> </w:t>
      </w:r>
      <w:r w:rsidR="007C7FDE">
        <w:rPr>
          <w:snapToGrid/>
          <w:sz w:val="22"/>
          <w:szCs w:val="22"/>
        </w:rPr>
        <w:t xml:space="preserve">the </w:t>
      </w:r>
      <w:r w:rsidR="007C7FDE">
        <w:rPr>
          <w:i/>
          <w:snapToGrid/>
          <w:sz w:val="22"/>
          <w:szCs w:val="22"/>
        </w:rPr>
        <w:t>Letter Decision</w:t>
      </w:r>
      <w:r w:rsidR="004661A0" w:rsidRPr="000E70E1">
        <w:rPr>
          <w:snapToGrid/>
          <w:sz w:val="22"/>
          <w:szCs w:val="22"/>
        </w:rPr>
        <w:t>, Entercom voluntarily relinquish</w:t>
      </w:r>
      <w:r w:rsidR="007E7AA5">
        <w:rPr>
          <w:snapToGrid/>
          <w:sz w:val="22"/>
          <w:szCs w:val="22"/>
        </w:rPr>
        <w:t>ed</w:t>
      </w:r>
      <w:r w:rsidR="004661A0" w:rsidRPr="000E70E1">
        <w:rPr>
          <w:snapToGrid/>
          <w:sz w:val="22"/>
          <w:szCs w:val="22"/>
        </w:rPr>
        <w:t xml:space="preserve"> </w:t>
      </w:r>
      <w:r w:rsidR="002617A8" w:rsidRPr="000E70E1">
        <w:rPr>
          <w:snapToGrid/>
          <w:sz w:val="22"/>
          <w:szCs w:val="22"/>
        </w:rPr>
        <w:t>the</w:t>
      </w:r>
      <w:r w:rsidR="004661A0" w:rsidRPr="000E70E1">
        <w:rPr>
          <w:snapToGrid/>
          <w:sz w:val="22"/>
          <w:szCs w:val="22"/>
        </w:rPr>
        <w:t xml:space="preserve"> license</w:t>
      </w:r>
      <w:r w:rsidR="002617A8" w:rsidRPr="000E70E1">
        <w:rPr>
          <w:snapToGrid/>
          <w:sz w:val="22"/>
          <w:szCs w:val="22"/>
        </w:rPr>
        <w:t xml:space="preserve"> and other authorizations for another station, KDND(FM), Sacramento, California</w:t>
      </w:r>
      <w:r w:rsidR="00DE7365" w:rsidRPr="000E70E1">
        <w:rPr>
          <w:snapToGrid/>
          <w:sz w:val="22"/>
          <w:szCs w:val="22"/>
        </w:rPr>
        <w:t>,</w:t>
      </w:r>
      <w:r w:rsidR="002617A8" w:rsidRPr="000E70E1">
        <w:rPr>
          <w:rStyle w:val="FootnoteReference"/>
          <w:rFonts w:ascii="Times New Roman" w:hAnsi="Times New Roman"/>
          <w:snapToGrid/>
          <w:sz w:val="22"/>
          <w:szCs w:val="22"/>
        </w:rPr>
        <w:footnoteReference w:id="4"/>
      </w:r>
      <w:r w:rsidR="00DE7365" w:rsidRPr="000E70E1">
        <w:rPr>
          <w:snapToGrid/>
          <w:sz w:val="22"/>
          <w:szCs w:val="22"/>
        </w:rPr>
        <w:t xml:space="preserve"> which had previously been designated for </w:t>
      </w:r>
      <w:r w:rsidR="001F2188">
        <w:rPr>
          <w:snapToGrid/>
          <w:sz w:val="22"/>
          <w:szCs w:val="22"/>
        </w:rPr>
        <w:t xml:space="preserve">evidentiary </w:t>
      </w:r>
      <w:r w:rsidR="00DE7365" w:rsidRPr="000E70E1">
        <w:rPr>
          <w:snapToGrid/>
          <w:sz w:val="22"/>
          <w:szCs w:val="22"/>
        </w:rPr>
        <w:t>hearing</w:t>
      </w:r>
      <w:r w:rsidR="001F2188">
        <w:rPr>
          <w:snapToGrid/>
          <w:sz w:val="22"/>
          <w:szCs w:val="22"/>
        </w:rPr>
        <w:t xml:space="preserve"> on issues relating to the death of a contestant in a station-conducted promotional contest</w:t>
      </w:r>
      <w:r w:rsidR="00DE7365" w:rsidRPr="000E70E1">
        <w:rPr>
          <w:snapToGrid/>
          <w:sz w:val="22"/>
          <w:szCs w:val="22"/>
        </w:rPr>
        <w:t>.</w:t>
      </w:r>
      <w:r w:rsidR="00CD5A11" w:rsidRPr="000E70E1">
        <w:rPr>
          <w:rStyle w:val="FootnoteReference"/>
          <w:rFonts w:ascii="Times New Roman" w:hAnsi="Times New Roman"/>
          <w:snapToGrid/>
          <w:sz w:val="22"/>
          <w:szCs w:val="22"/>
        </w:rPr>
        <w:footnoteReference w:id="5"/>
      </w:r>
      <w:r w:rsidR="002617A8" w:rsidRPr="000E70E1">
        <w:rPr>
          <w:snapToGrid/>
          <w:sz w:val="22"/>
          <w:szCs w:val="22"/>
        </w:rPr>
        <w:t xml:space="preserve"> </w:t>
      </w:r>
    </w:p>
    <w:p w14:paraId="1E086F5A" w14:textId="77777777" w:rsidR="00261F61" w:rsidRPr="000E70E1" w:rsidRDefault="00261F61" w:rsidP="008B6BDE">
      <w:pPr>
        <w:widowControl/>
        <w:ind w:firstLine="720"/>
        <w:rPr>
          <w:snapToGrid/>
          <w:sz w:val="22"/>
          <w:szCs w:val="22"/>
        </w:rPr>
      </w:pPr>
    </w:p>
    <w:p w14:paraId="7CA0FD59" w14:textId="5F286ABF" w:rsidR="00524276" w:rsidRPr="000E70E1" w:rsidRDefault="00052009" w:rsidP="008B6BDE">
      <w:pPr>
        <w:widowControl/>
        <w:ind w:firstLine="720"/>
        <w:rPr>
          <w:snapToGrid/>
          <w:sz w:val="22"/>
          <w:szCs w:val="22"/>
        </w:rPr>
      </w:pPr>
      <w:r w:rsidRPr="000E70E1">
        <w:rPr>
          <w:snapToGrid/>
          <w:sz w:val="22"/>
          <w:szCs w:val="22"/>
        </w:rPr>
        <w:t xml:space="preserve">In </w:t>
      </w:r>
      <w:r w:rsidR="00FD2AE3" w:rsidRPr="000E70E1">
        <w:rPr>
          <w:snapToGrid/>
          <w:sz w:val="22"/>
          <w:szCs w:val="22"/>
        </w:rPr>
        <w:t>his Petition, Stolz argues that by surrendering the license for Station KDND</w:t>
      </w:r>
      <w:r w:rsidR="005F7349">
        <w:rPr>
          <w:snapToGrid/>
          <w:sz w:val="22"/>
          <w:szCs w:val="22"/>
        </w:rPr>
        <w:t>(FM)</w:t>
      </w:r>
      <w:r w:rsidR="001F2188">
        <w:rPr>
          <w:snapToGrid/>
          <w:sz w:val="22"/>
          <w:szCs w:val="22"/>
        </w:rPr>
        <w:t>,</w:t>
      </w:r>
      <w:r w:rsidR="00FD2AE3" w:rsidRPr="000E70E1">
        <w:rPr>
          <w:snapToGrid/>
          <w:sz w:val="22"/>
          <w:szCs w:val="22"/>
        </w:rPr>
        <w:t xml:space="preserve"> </w:t>
      </w:r>
      <w:r w:rsidR="004B5802" w:rsidRPr="000E70E1">
        <w:rPr>
          <w:snapToGrid/>
          <w:sz w:val="22"/>
          <w:szCs w:val="22"/>
        </w:rPr>
        <w:t>Entercom</w:t>
      </w:r>
      <w:r w:rsidR="00FD2AE3" w:rsidRPr="000E70E1">
        <w:rPr>
          <w:snapToGrid/>
          <w:sz w:val="22"/>
          <w:szCs w:val="22"/>
        </w:rPr>
        <w:t xml:space="preserve"> evaded </w:t>
      </w:r>
      <w:r w:rsidR="005D1844" w:rsidRPr="000E70E1">
        <w:rPr>
          <w:snapToGrid/>
          <w:sz w:val="22"/>
          <w:szCs w:val="22"/>
        </w:rPr>
        <w:t>having to demonstrate</w:t>
      </w:r>
      <w:r w:rsidR="00FD2AE3" w:rsidRPr="000E70E1">
        <w:rPr>
          <w:snapToGrid/>
          <w:sz w:val="22"/>
          <w:szCs w:val="22"/>
        </w:rPr>
        <w:t xml:space="preserve"> that it “possessed the basic character qualifications”</w:t>
      </w:r>
      <w:r w:rsidR="004B5802" w:rsidRPr="000E70E1">
        <w:rPr>
          <w:snapToGrid/>
          <w:sz w:val="22"/>
          <w:szCs w:val="22"/>
        </w:rPr>
        <w:t xml:space="preserve"> to be a Commission licensee</w:t>
      </w:r>
      <w:r w:rsidR="00FD2AE3" w:rsidRPr="000E70E1">
        <w:rPr>
          <w:snapToGrid/>
          <w:sz w:val="22"/>
          <w:szCs w:val="22"/>
        </w:rPr>
        <w:t xml:space="preserve"> and </w:t>
      </w:r>
      <w:r w:rsidR="004B5802" w:rsidRPr="000E70E1">
        <w:rPr>
          <w:snapToGrid/>
          <w:sz w:val="22"/>
          <w:szCs w:val="22"/>
        </w:rPr>
        <w:t>“that</w:t>
      </w:r>
      <w:r w:rsidR="00FD2AE3" w:rsidRPr="000E70E1">
        <w:rPr>
          <w:snapToGrid/>
          <w:sz w:val="22"/>
          <w:szCs w:val="22"/>
        </w:rPr>
        <w:t xml:space="preserve"> grant of the</w:t>
      </w:r>
      <w:r w:rsidR="00214AB2" w:rsidRPr="000E70E1">
        <w:rPr>
          <w:snapToGrid/>
          <w:sz w:val="22"/>
          <w:szCs w:val="22"/>
        </w:rPr>
        <w:t xml:space="preserve"> KDND renewal of license applications would</w:t>
      </w:r>
      <w:r w:rsidR="00FD2AE3" w:rsidRPr="000E70E1">
        <w:rPr>
          <w:snapToGrid/>
          <w:sz w:val="22"/>
          <w:szCs w:val="22"/>
        </w:rPr>
        <w:t xml:space="preserve"> serve the public interest</w:t>
      </w:r>
      <w:r w:rsidR="004B5802" w:rsidRPr="000E70E1">
        <w:rPr>
          <w:snapToGrid/>
          <w:sz w:val="22"/>
          <w:szCs w:val="22"/>
        </w:rPr>
        <w:t>, convenience, and necessity.”</w:t>
      </w:r>
      <w:r w:rsidR="00214AB2" w:rsidRPr="000E70E1">
        <w:rPr>
          <w:rStyle w:val="FootnoteReference"/>
          <w:rFonts w:ascii="Times New Roman" w:hAnsi="Times New Roman"/>
          <w:snapToGrid/>
          <w:sz w:val="22"/>
          <w:szCs w:val="22"/>
        </w:rPr>
        <w:footnoteReference w:id="6"/>
      </w:r>
      <w:r w:rsidR="00214AB2" w:rsidRPr="000E70E1">
        <w:rPr>
          <w:snapToGrid/>
          <w:sz w:val="22"/>
          <w:szCs w:val="22"/>
        </w:rPr>
        <w:t xml:space="preserve"> </w:t>
      </w:r>
      <w:r w:rsidR="00DE7365" w:rsidRPr="000E70E1">
        <w:rPr>
          <w:snapToGrid/>
          <w:sz w:val="22"/>
          <w:szCs w:val="22"/>
        </w:rPr>
        <w:t xml:space="preserve"> </w:t>
      </w:r>
      <w:r w:rsidR="00214AB2" w:rsidRPr="000E70E1">
        <w:rPr>
          <w:snapToGrid/>
          <w:sz w:val="22"/>
          <w:szCs w:val="22"/>
        </w:rPr>
        <w:t>Stolz avers that</w:t>
      </w:r>
      <w:r w:rsidR="00F20FAB" w:rsidRPr="000E70E1">
        <w:rPr>
          <w:snapToGrid/>
          <w:sz w:val="22"/>
          <w:szCs w:val="22"/>
        </w:rPr>
        <w:t xml:space="preserve"> </w:t>
      </w:r>
      <w:r w:rsidR="00DE7365" w:rsidRPr="000E70E1">
        <w:rPr>
          <w:snapToGrid/>
          <w:sz w:val="22"/>
          <w:szCs w:val="22"/>
        </w:rPr>
        <w:t xml:space="preserve">the </w:t>
      </w:r>
      <w:r w:rsidR="00DE7365" w:rsidRPr="000E70E1">
        <w:rPr>
          <w:i/>
          <w:snapToGrid/>
          <w:sz w:val="22"/>
          <w:szCs w:val="22"/>
        </w:rPr>
        <w:t xml:space="preserve">Entercom Relinquishment Order </w:t>
      </w:r>
      <w:r w:rsidR="00DE7365" w:rsidRPr="000E70E1">
        <w:rPr>
          <w:snapToGrid/>
          <w:sz w:val="22"/>
          <w:szCs w:val="22"/>
        </w:rPr>
        <w:t>presents new facts or changed circumstances which warrant reconsideration.</w:t>
      </w:r>
      <w:r w:rsidR="00F20FAB" w:rsidRPr="000E70E1">
        <w:rPr>
          <w:rStyle w:val="FootnoteReference"/>
          <w:rFonts w:ascii="Times New Roman" w:hAnsi="Times New Roman"/>
          <w:snapToGrid/>
          <w:sz w:val="22"/>
          <w:szCs w:val="22"/>
        </w:rPr>
        <w:footnoteReference w:id="7"/>
      </w:r>
      <w:r w:rsidR="008B6BDE" w:rsidRPr="000E70E1">
        <w:rPr>
          <w:snapToGrid/>
          <w:sz w:val="22"/>
          <w:szCs w:val="22"/>
        </w:rPr>
        <w:t xml:space="preserve">  Stolz also challenges the staff’s determination that he lacked stand</w:t>
      </w:r>
      <w:r w:rsidR="005D1844" w:rsidRPr="000E70E1">
        <w:rPr>
          <w:snapToGrid/>
          <w:sz w:val="22"/>
          <w:szCs w:val="22"/>
        </w:rPr>
        <w:t xml:space="preserve">ing to file a petition to deny by </w:t>
      </w:r>
      <w:r w:rsidR="00984D0B" w:rsidRPr="000E70E1">
        <w:rPr>
          <w:snapToGrid/>
          <w:sz w:val="22"/>
          <w:szCs w:val="22"/>
        </w:rPr>
        <w:t>reasserting</w:t>
      </w:r>
      <w:r w:rsidR="0039513E">
        <w:rPr>
          <w:snapToGrid/>
          <w:sz w:val="22"/>
          <w:szCs w:val="22"/>
        </w:rPr>
        <w:t xml:space="preserve"> his claim of</w:t>
      </w:r>
      <w:r w:rsidR="00984D0B" w:rsidRPr="000E70E1">
        <w:rPr>
          <w:snapToGrid/>
          <w:sz w:val="22"/>
          <w:szCs w:val="22"/>
        </w:rPr>
        <w:t xml:space="preserve"> </w:t>
      </w:r>
      <w:r w:rsidR="008B6BDE" w:rsidRPr="000E70E1">
        <w:rPr>
          <w:snapToGrid/>
          <w:sz w:val="22"/>
          <w:szCs w:val="22"/>
        </w:rPr>
        <w:t>listener standing,</w:t>
      </w:r>
      <w:r w:rsidR="00984D0B" w:rsidRPr="000E70E1">
        <w:rPr>
          <w:snapToGrid/>
          <w:sz w:val="22"/>
          <w:szCs w:val="22"/>
        </w:rPr>
        <w:t xml:space="preserve"> and asserting</w:t>
      </w:r>
      <w:r w:rsidR="008B6BDE" w:rsidRPr="000E70E1">
        <w:rPr>
          <w:snapToGrid/>
          <w:sz w:val="22"/>
          <w:szCs w:val="22"/>
        </w:rPr>
        <w:t xml:space="preserve"> for the first time</w:t>
      </w:r>
      <w:r w:rsidR="0039513E">
        <w:rPr>
          <w:snapToGrid/>
          <w:sz w:val="22"/>
          <w:szCs w:val="22"/>
        </w:rPr>
        <w:t xml:space="preserve"> that he has an “economic interest in this matter,” citing</w:t>
      </w:r>
      <w:r w:rsidR="008B6BDE" w:rsidRPr="000E70E1">
        <w:rPr>
          <w:snapToGrid/>
          <w:sz w:val="22"/>
          <w:szCs w:val="22"/>
        </w:rPr>
        <w:t xml:space="preserve"> </w:t>
      </w:r>
      <w:r w:rsidR="004C6657" w:rsidRPr="000E70E1">
        <w:rPr>
          <w:snapToGrid/>
          <w:sz w:val="22"/>
          <w:szCs w:val="22"/>
        </w:rPr>
        <w:t>pending litigation in the United States Court of Appeals for the D</w:t>
      </w:r>
      <w:r w:rsidR="00706D0B">
        <w:rPr>
          <w:snapToGrid/>
          <w:sz w:val="22"/>
          <w:szCs w:val="22"/>
        </w:rPr>
        <w:t xml:space="preserve">istrict of Columbia </w:t>
      </w:r>
      <w:r w:rsidR="004C6657" w:rsidRPr="000E70E1">
        <w:rPr>
          <w:snapToGrid/>
          <w:sz w:val="22"/>
          <w:szCs w:val="22"/>
        </w:rPr>
        <w:t xml:space="preserve">Circuit </w:t>
      </w:r>
      <w:r w:rsidR="00706D0B">
        <w:rPr>
          <w:snapToGrid/>
          <w:sz w:val="22"/>
          <w:szCs w:val="22"/>
        </w:rPr>
        <w:t xml:space="preserve">in which Stolz is attempting </w:t>
      </w:r>
      <w:r w:rsidR="004C6657" w:rsidRPr="000E70E1">
        <w:rPr>
          <w:snapToGrid/>
          <w:sz w:val="22"/>
          <w:szCs w:val="22"/>
        </w:rPr>
        <w:t xml:space="preserve">to recoup </w:t>
      </w:r>
      <w:r w:rsidR="00706D0B">
        <w:rPr>
          <w:snapToGrid/>
          <w:sz w:val="22"/>
          <w:szCs w:val="22"/>
        </w:rPr>
        <w:t>S</w:t>
      </w:r>
      <w:r w:rsidR="004C6657" w:rsidRPr="000E70E1">
        <w:rPr>
          <w:snapToGrid/>
          <w:sz w:val="22"/>
          <w:szCs w:val="22"/>
        </w:rPr>
        <w:t>tation KUDL</w:t>
      </w:r>
      <w:r w:rsidR="003A2670">
        <w:rPr>
          <w:snapToGrid/>
          <w:sz w:val="22"/>
          <w:szCs w:val="22"/>
        </w:rPr>
        <w:t>(FM)</w:t>
      </w:r>
      <w:r w:rsidR="004C6657" w:rsidRPr="000E70E1">
        <w:rPr>
          <w:snapToGrid/>
          <w:sz w:val="22"/>
          <w:szCs w:val="22"/>
        </w:rPr>
        <w:t xml:space="preserve"> from Entercom.</w:t>
      </w:r>
      <w:r w:rsidR="00F01E78" w:rsidRPr="000E70E1">
        <w:rPr>
          <w:rStyle w:val="FootnoteReference"/>
          <w:rFonts w:ascii="Times New Roman" w:hAnsi="Times New Roman"/>
          <w:snapToGrid/>
          <w:sz w:val="22"/>
          <w:szCs w:val="22"/>
        </w:rPr>
        <w:footnoteReference w:id="8"/>
      </w:r>
      <w:r w:rsidR="004C6657" w:rsidRPr="000E70E1">
        <w:rPr>
          <w:snapToGrid/>
          <w:sz w:val="22"/>
          <w:szCs w:val="22"/>
        </w:rPr>
        <w:t xml:space="preserve"> </w:t>
      </w:r>
      <w:r w:rsidR="005D1844" w:rsidRPr="000E70E1">
        <w:rPr>
          <w:snapToGrid/>
          <w:sz w:val="22"/>
          <w:szCs w:val="22"/>
        </w:rPr>
        <w:t xml:space="preserve"> </w:t>
      </w:r>
      <w:r w:rsidR="00F20FAB" w:rsidRPr="000E70E1">
        <w:rPr>
          <w:snapToGrid/>
          <w:sz w:val="22"/>
          <w:szCs w:val="22"/>
        </w:rPr>
        <w:t xml:space="preserve">Stolz urges the Renewal Applications be designated for hearing upon unresolved issues </w:t>
      </w:r>
      <w:r w:rsidR="008B6BDE" w:rsidRPr="000E70E1">
        <w:rPr>
          <w:snapToGrid/>
          <w:sz w:val="22"/>
          <w:szCs w:val="22"/>
        </w:rPr>
        <w:t xml:space="preserve">stemming from the </w:t>
      </w:r>
      <w:r w:rsidR="008B6BDE" w:rsidRPr="000E70E1">
        <w:rPr>
          <w:i/>
          <w:snapToGrid/>
          <w:sz w:val="22"/>
          <w:szCs w:val="22"/>
        </w:rPr>
        <w:t>KDND HDO</w:t>
      </w:r>
      <w:r w:rsidR="008B6BDE" w:rsidRPr="000E70E1">
        <w:rPr>
          <w:snapToGrid/>
          <w:sz w:val="22"/>
          <w:szCs w:val="22"/>
        </w:rPr>
        <w:t xml:space="preserve"> and that he be granted status as an intervenor in such hearing.</w:t>
      </w:r>
      <w:r w:rsidR="008B6BDE" w:rsidRPr="000E70E1">
        <w:rPr>
          <w:rStyle w:val="FootnoteReference"/>
          <w:rFonts w:ascii="Times New Roman" w:hAnsi="Times New Roman"/>
          <w:snapToGrid/>
          <w:sz w:val="22"/>
          <w:szCs w:val="22"/>
        </w:rPr>
        <w:footnoteReference w:id="9"/>
      </w:r>
    </w:p>
    <w:p w14:paraId="58F46AE3" w14:textId="77777777" w:rsidR="00B10E54" w:rsidRPr="000E70E1" w:rsidRDefault="00B10E54" w:rsidP="008B6BDE">
      <w:pPr>
        <w:widowControl/>
        <w:ind w:firstLine="720"/>
        <w:rPr>
          <w:snapToGrid/>
          <w:sz w:val="22"/>
          <w:szCs w:val="22"/>
        </w:rPr>
      </w:pPr>
    </w:p>
    <w:p w14:paraId="33B57CB4" w14:textId="5BF83E2E" w:rsidR="00B10E54" w:rsidRPr="000E70E1" w:rsidRDefault="00B10E54" w:rsidP="008B6BDE">
      <w:pPr>
        <w:widowControl/>
        <w:ind w:firstLine="720"/>
        <w:rPr>
          <w:snapToGrid/>
          <w:sz w:val="22"/>
          <w:szCs w:val="22"/>
        </w:rPr>
      </w:pPr>
      <w:r w:rsidRPr="000E70E1">
        <w:rPr>
          <w:snapToGrid/>
          <w:sz w:val="22"/>
          <w:szCs w:val="22"/>
        </w:rPr>
        <w:t xml:space="preserve">In its </w:t>
      </w:r>
      <w:r w:rsidR="00EA4363" w:rsidRPr="000E70E1">
        <w:rPr>
          <w:snapToGrid/>
          <w:sz w:val="22"/>
          <w:szCs w:val="22"/>
        </w:rPr>
        <w:t>Opposition, Entercom argues the Petition should be dismissed or denied because</w:t>
      </w:r>
      <w:r w:rsidRPr="000E70E1">
        <w:rPr>
          <w:snapToGrid/>
          <w:sz w:val="22"/>
          <w:szCs w:val="22"/>
        </w:rPr>
        <w:t xml:space="preserve"> “Stolz lacks standing and fails to identify any error in the [</w:t>
      </w:r>
      <w:r w:rsidRPr="000E70E1">
        <w:rPr>
          <w:i/>
          <w:snapToGrid/>
          <w:sz w:val="22"/>
          <w:szCs w:val="22"/>
        </w:rPr>
        <w:t>Letter Decision</w:t>
      </w:r>
      <w:r w:rsidRPr="000E70E1">
        <w:rPr>
          <w:snapToGrid/>
          <w:sz w:val="22"/>
          <w:szCs w:val="22"/>
        </w:rPr>
        <w:t>] or otherwise provide any basis sufficient to warrant reconsideration.”</w:t>
      </w:r>
      <w:r w:rsidR="00EA4363" w:rsidRPr="000E70E1">
        <w:rPr>
          <w:rStyle w:val="FootnoteReference"/>
          <w:rFonts w:ascii="Times New Roman" w:hAnsi="Times New Roman"/>
          <w:snapToGrid/>
          <w:sz w:val="22"/>
          <w:szCs w:val="22"/>
        </w:rPr>
        <w:footnoteReference w:id="10"/>
      </w:r>
      <w:r w:rsidR="005F7349">
        <w:rPr>
          <w:snapToGrid/>
          <w:sz w:val="22"/>
          <w:szCs w:val="22"/>
        </w:rPr>
        <w:t xml:space="preserve"> </w:t>
      </w:r>
      <w:r w:rsidR="00EA4363" w:rsidRPr="000E70E1">
        <w:rPr>
          <w:snapToGrid/>
          <w:sz w:val="22"/>
          <w:szCs w:val="22"/>
        </w:rPr>
        <w:t xml:space="preserve"> With regard to standing, Entercom notes that Stolz does not identify any material error in the </w:t>
      </w:r>
      <w:r w:rsidR="00EA4363" w:rsidRPr="000E70E1">
        <w:rPr>
          <w:i/>
          <w:snapToGrid/>
          <w:sz w:val="22"/>
          <w:szCs w:val="22"/>
        </w:rPr>
        <w:t>Letter Decision’s</w:t>
      </w:r>
      <w:r w:rsidR="00EA4363" w:rsidRPr="000E70E1">
        <w:rPr>
          <w:snapToGrid/>
          <w:sz w:val="22"/>
          <w:szCs w:val="22"/>
        </w:rPr>
        <w:t xml:space="preserve"> finding that the transient contacts </w:t>
      </w:r>
      <w:r w:rsidR="00984D0B" w:rsidRPr="000E70E1">
        <w:rPr>
          <w:snapToGrid/>
          <w:sz w:val="22"/>
          <w:szCs w:val="22"/>
        </w:rPr>
        <w:t>with which Stolz</w:t>
      </w:r>
      <w:r w:rsidR="00EA4363" w:rsidRPr="000E70E1">
        <w:rPr>
          <w:snapToGrid/>
          <w:sz w:val="22"/>
          <w:szCs w:val="22"/>
        </w:rPr>
        <w:t xml:space="preserve"> shares</w:t>
      </w:r>
      <w:r w:rsidR="009C5D22" w:rsidRPr="000E70E1">
        <w:rPr>
          <w:snapToGrid/>
          <w:sz w:val="22"/>
          <w:szCs w:val="22"/>
        </w:rPr>
        <w:t xml:space="preserve"> with the Stations were insuffi</w:t>
      </w:r>
      <w:r w:rsidR="00EA4363" w:rsidRPr="000E70E1">
        <w:rPr>
          <w:snapToGrid/>
          <w:sz w:val="22"/>
          <w:szCs w:val="22"/>
        </w:rPr>
        <w:t>c</w:t>
      </w:r>
      <w:r w:rsidR="009C5D22" w:rsidRPr="000E70E1">
        <w:rPr>
          <w:snapToGrid/>
          <w:sz w:val="22"/>
          <w:szCs w:val="22"/>
        </w:rPr>
        <w:t>ie</w:t>
      </w:r>
      <w:r w:rsidR="00EA4363" w:rsidRPr="000E70E1">
        <w:rPr>
          <w:snapToGrid/>
          <w:sz w:val="22"/>
          <w:szCs w:val="22"/>
        </w:rPr>
        <w:t xml:space="preserve">nt </w:t>
      </w:r>
      <w:r w:rsidR="009C5D22" w:rsidRPr="000E70E1">
        <w:rPr>
          <w:snapToGrid/>
          <w:sz w:val="22"/>
          <w:szCs w:val="22"/>
        </w:rPr>
        <w:t>to support</w:t>
      </w:r>
      <w:r w:rsidR="00CD5A11" w:rsidRPr="000E70E1">
        <w:rPr>
          <w:snapToGrid/>
          <w:sz w:val="22"/>
          <w:szCs w:val="22"/>
        </w:rPr>
        <w:t xml:space="preserve"> his claim of listener standing and that Stolz failed to sign the declaration in his earlier objection to the Applications.</w:t>
      </w:r>
      <w:r w:rsidR="00CD5A11" w:rsidRPr="000E70E1">
        <w:rPr>
          <w:rStyle w:val="FootnoteReference"/>
          <w:rFonts w:ascii="Times New Roman" w:hAnsi="Times New Roman"/>
          <w:snapToGrid/>
          <w:sz w:val="22"/>
          <w:szCs w:val="22"/>
        </w:rPr>
        <w:t xml:space="preserve"> </w:t>
      </w:r>
      <w:r w:rsidR="00EA4363" w:rsidRPr="000E70E1">
        <w:rPr>
          <w:rStyle w:val="FootnoteReference"/>
          <w:rFonts w:ascii="Times New Roman" w:hAnsi="Times New Roman"/>
          <w:snapToGrid/>
          <w:sz w:val="22"/>
          <w:szCs w:val="22"/>
        </w:rPr>
        <w:footnoteReference w:id="11"/>
      </w:r>
      <w:r w:rsidR="009C5D22" w:rsidRPr="000E70E1">
        <w:rPr>
          <w:snapToGrid/>
          <w:sz w:val="22"/>
          <w:szCs w:val="22"/>
        </w:rPr>
        <w:t xml:space="preserve">  Entercom also challenges Stolz</w:t>
      </w:r>
      <w:r w:rsidR="003F0678">
        <w:rPr>
          <w:snapToGrid/>
          <w:sz w:val="22"/>
          <w:szCs w:val="22"/>
        </w:rPr>
        <w:t>’s</w:t>
      </w:r>
      <w:r w:rsidR="009C5D22" w:rsidRPr="000E70E1">
        <w:rPr>
          <w:snapToGrid/>
          <w:sz w:val="22"/>
          <w:szCs w:val="22"/>
        </w:rPr>
        <w:t xml:space="preserve"> economic s</w:t>
      </w:r>
      <w:r w:rsidR="00EB060E" w:rsidRPr="000E70E1">
        <w:rPr>
          <w:snapToGrid/>
          <w:sz w:val="22"/>
          <w:szCs w:val="22"/>
        </w:rPr>
        <w:t>tanding argument</w:t>
      </w:r>
      <w:r w:rsidR="00DA2C3A" w:rsidRPr="000E70E1">
        <w:rPr>
          <w:snapToGrid/>
          <w:sz w:val="22"/>
          <w:szCs w:val="22"/>
        </w:rPr>
        <w:t xml:space="preserve"> as being untimely, and argues</w:t>
      </w:r>
      <w:r w:rsidR="00EB060E" w:rsidRPr="000E70E1">
        <w:rPr>
          <w:snapToGrid/>
          <w:sz w:val="22"/>
          <w:szCs w:val="22"/>
        </w:rPr>
        <w:t xml:space="preserve"> Stolz has not demonstrated concrete injury as a direct and current competitor or other likely financial injury.</w:t>
      </w:r>
      <w:r w:rsidR="00EB060E" w:rsidRPr="000E70E1">
        <w:rPr>
          <w:rStyle w:val="FootnoteReference"/>
          <w:rFonts w:ascii="Times New Roman" w:hAnsi="Times New Roman"/>
          <w:snapToGrid/>
          <w:sz w:val="22"/>
          <w:szCs w:val="22"/>
        </w:rPr>
        <w:footnoteReference w:id="12"/>
      </w:r>
      <w:r w:rsidR="005D1844" w:rsidRPr="000E70E1">
        <w:rPr>
          <w:snapToGrid/>
          <w:sz w:val="22"/>
          <w:szCs w:val="22"/>
        </w:rPr>
        <w:t xml:space="preserve">  </w:t>
      </w:r>
      <w:r w:rsidR="00EB060E" w:rsidRPr="000E70E1">
        <w:rPr>
          <w:snapToGrid/>
          <w:sz w:val="22"/>
          <w:szCs w:val="22"/>
        </w:rPr>
        <w:t>Finally, Entercom argues Stolz lack</w:t>
      </w:r>
      <w:r w:rsidR="005D1678" w:rsidRPr="000E70E1">
        <w:rPr>
          <w:snapToGrid/>
          <w:sz w:val="22"/>
          <w:szCs w:val="22"/>
        </w:rPr>
        <w:t>s</w:t>
      </w:r>
      <w:r w:rsidR="00EB060E" w:rsidRPr="000E70E1">
        <w:rPr>
          <w:snapToGrid/>
          <w:sz w:val="22"/>
          <w:szCs w:val="22"/>
        </w:rPr>
        <w:t xml:space="preserve"> </w:t>
      </w:r>
      <w:r w:rsidR="005D1678" w:rsidRPr="000E70E1">
        <w:rPr>
          <w:snapToGrid/>
          <w:sz w:val="22"/>
          <w:szCs w:val="22"/>
        </w:rPr>
        <w:t>sufficient</w:t>
      </w:r>
      <w:r w:rsidR="00EB060E" w:rsidRPr="000E70E1">
        <w:rPr>
          <w:snapToGrid/>
          <w:sz w:val="22"/>
          <w:szCs w:val="22"/>
        </w:rPr>
        <w:t xml:space="preserve"> </w:t>
      </w:r>
      <w:r w:rsidR="005D1678" w:rsidRPr="000E70E1">
        <w:rPr>
          <w:snapToGrid/>
          <w:sz w:val="22"/>
          <w:szCs w:val="22"/>
        </w:rPr>
        <w:t xml:space="preserve">basis </w:t>
      </w:r>
      <w:r w:rsidR="00EB060E" w:rsidRPr="000E70E1">
        <w:rPr>
          <w:snapToGrid/>
          <w:sz w:val="22"/>
          <w:szCs w:val="22"/>
        </w:rPr>
        <w:t xml:space="preserve">to </w:t>
      </w:r>
      <w:r w:rsidR="005D1678" w:rsidRPr="000E70E1">
        <w:rPr>
          <w:snapToGrid/>
          <w:sz w:val="22"/>
          <w:szCs w:val="22"/>
        </w:rPr>
        <w:t xml:space="preserve">warrant reconsideration of the </w:t>
      </w:r>
      <w:r w:rsidR="00EB060E" w:rsidRPr="000E70E1">
        <w:rPr>
          <w:i/>
          <w:snapToGrid/>
          <w:sz w:val="22"/>
          <w:szCs w:val="22"/>
        </w:rPr>
        <w:t>Letter Decision</w:t>
      </w:r>
      <w:r w:rsidR="005D1678" w:rsidRPr="000E70E1">
        <w:rPr>
          <w:snapToGrid/>
          <w:sz w:val="22"/>
          <w:szCs w:val="22"/>
        </w:rPr>
        <w:t>, cit</w:t>
      </w:r>
      <w:r w:rsidR="002030C3" w:rsidRPr="000E70E1">
        <w:rPr>
          <w:snapToGrid/>
          <w:sz w:val="22"/>
          <w:szCs w:val="22"/>
        </w:rPr>
        <w:t>ing to Section 309(k)(1) of the Rules</w:t>
      </w:r>
      <w:r w:rsidR="005D1678" w:rsidRPr="000E70E1">
        <w:rPr>
          <w:snapToGrid/>
          <w:sz w:val="22"/>
          <w:szCs w:val="22"/>
        </w:rPr>
        <w:t xml:space="preserve"> which limit the Commission’s review of broadcast license renewal applications exclusively to matters occurring at the station whose licenses is at issue.</w:t>
      </w:r>
      <w:r w:rsidR="005D1678" w:rsidRPr="000E70E1">
        <w:rPr>
          <w:rStyle w:val="FootnoteReference"/>
          <w:rFonts w:ascii="Times New Roman" w:hAnsi="Times New Roman"/>
          <w:snapToGrid/>
          <w:sz w:val="22"/>
          <w:szCs w:val="22"/>
        </w:rPr>
        <w:footnoteReference w:id="13"/>
      </w:r>
    </w:p>
    <w:p w14:paraId="4A9BD32F" w14:textId="77777777" w:rsidR="005D1844" w:rsidRPr="000E70E1" w:rsidRDefault="005D1844" w:rsidP="008B6BDE">
      <w:pPr>
        <w:widowControl/>
        <w:ind w:firstLine="720"/>
        <w:rPr>
          <w:snapToGrid/>
          <w:sz w:val="22"/>
          <w:szCs w:val="22"/>
        </w:rPr>
      </w:pPr>
    </w:p>
    <w:p w14:paraId="78EC18D1" w14:textId="5C3837E0" w:rsidR="00F82245" w:rsidRPr="000E70E1" w:rsidRDefault="005D1844" w:rsidP="00F82245">
      <w:pPr>
        <w:widowControl/>
        <w:ind w:firstLine="720"/>
        <w:rPr>
          <w:snapToGrid/>
          <w:sz w:val="22"/>
          <w:szCs w:val="22"/>
        </w:rPr>
      </w:pPr>
      <w:r w:rsidRPr="000E70E1">
        <w:rPr>
          <w:i/>
          <w:snapToGrid/>
          <w:sz w:val="22"/>
          <w:szCs w:val="22"/>
        </w:rPr>
        <w:t>Discussion</w:t>
      </w:r>
      <w:r w:rsidRPr="000E70E1">
        <w:rPr>
          <w:snapToGrid/>
          <w:sz w:val="22"/>
          <w:szCs w:val="22"/>
        </w:rPr>
        <w:t>.</w:t>
      </w:r>
      <w:r w:rsidR="00F82245" w:rsidRPr="000E70E1">
        <w:rPr>
          <w:snapToGrid/>
          <w:sz w:val="22"/>
          <w:szCs w:val="22"/>
        </w:rPr>
        <w:t xml:space="preserve">  The Commission will consider a petition for reconsideration only when the petitioner shows either a material error in the Commission's original order, or raises additional facts, not known or existing at the time of the petitioner's last opportunity to present such matters.</w:t>
      </w:r>
      <w:r w:rsidR="00F82245" w:rsidRPr="000E70E1">
        <w:rPr>
          <w:snapToGrid/>
          <w:sz w:val="22"/>
          <w:szCs w:val="22"/>
          <w:vertAlign w:val="superscript"/>
        </w:rPr>
        <w:footnoteReference w:id="14"/>
      </w:r>
      <w:r w:rsidR="00F82245" w:rsidRPr="000E70E1">
        <w:rPr>
          <w:snapToGrid/>
          <w:sz w:val="22"/>
          <w:szCs w:val="22"/>
        </w:rPr>
        <w:t xml:space="preserve">  If the petitioner is not a party to the proceeding, it must state with particularity the manner in which its interests are adversely affected and show good reason why it was not possible to participate in the earlier stages of the proceeding.</w:t>
      </w:r>
      <w:r w:rsidR="00F82245" w:rsidRPr="000E70E1">
        <w:rPr>
          <w:snapToGrid/>
          <w:sz w:val="22"/>
          <w:szCs w:val="22"/>
          <w:vertAlign w:val="superscript"/>
        </w:rPr>
        <w:footnoteReference w:id="15"/>
      </w:r>
      <w:r w:rsidR="00F82245" w:rsidRPr="000E70E1">
        <w:rPr>
          <w:snapToGrid/>
          <w:sz w:val="22"/>
          <w:szCs w:val="22"/>
        </w:rPr>
        <w:t xml:space="preserve">  </w:t>
      </w:r>
    </w:p>
    <w:p w14:paraId="6C92A7E7" w14:textId="51404200" w:rsidR="00F82245" w:rsidRPr="000E70E1" w:rsidRDefault="00F82245" w:rsidP="00F82245">
      <w:pPr>
        <w:widowControl/>
        <w:ind w:firstLine="720"/>
        <w:rPr>
          <w:snapToGrid/>
          <w:sz w:val="22"/>
          <w:szCs w:val="22"/>
        </w:rPr>
      </w:pPr>
      <w:r w:rsidRPr="000E70E1">
        <w:rPr>
          <w:snapToGrid/>
          <w:sz w:val="22"/>
          <w:szCs w:val="22"/>
        </w:rPr>
        <w:tab/>
      </w:r>
    </w:p>
    <w:p w14:paraId="2930E839" w14:textId="16CE1E94" w:rsidR="00F82245" w:rsidRPr="000E70E1" w:rsidRDefault="0080338C" w:rsidP="00F82245">
      <w:pPr>
        <w:widowControl/>
        <w:ind w:firstLine="720"/>
        <w:rPr>
          <w:snapToGrid/>
          <w:sz w:val="22"/>
          <w:szCs w:val="22"/>
        </w:rPr>
      </w:pPr>
      <w:r w:rsidRPr="000E70E1">
        <w:rPr>
          <w:snapToGrid/>
          <w:sz w:val="22"/>
          <w:szCs w:val="22"/>
        </w:rPr>
        <w:t xml:space="preserve">  </w:t>
      </w:r>
      <w:r w:rsidR="00430BE0" w:rsidRPr="00391E50">
        <w:rPr>
          <w:color w:val="212121"/>
          <w:sz w:val="22"/>
          <w:szCs w:val="22"/>
        </w:rPr>
        <w:t xml:space="preserve">Unlike the filing of a petition to deny, the filing of an </w:t>
      </w:r>
      <w:r w:rsidR="008D50F1">
        <w:rPr>
          <w:color w:val="212121"/>
          <w:sz w:val="22"/>
          <w:szCs w:val="22"/>
        </w:rPr>
        <w:t>informal objection</w:t>
      </w:r>
      <w:r w:rsidR="00430BE0" w:rsidRPr="00391E50">
        <w:rPr>
          <w:color w:val="212121"/>
          <w:sz w:val="22"/>
          <w:szCs w:val="22"/>
        </w:rPr>
        <w:t xml:space="preserve"> does not confer party status upon the objector.</w:t>
      </w:r>
      <w:r w:rsidR="00430BE0" w:rsidRPr="00391E50">
        <w:rPr>
          <w:rStyle w:val="FootnoteReference"/>
          <w:rFonts w:ascii="Times New Roman" w:hAnsi="Times New Roman"/>
          <w:color w:val="212121"/>
          <w:sz w:val="22"/>
          <w:szCs w:val="22"/>
        </w:rPr>
        <w:footnoteReference w:id="16"/>
      </w:r>
      <w:r w:rsidR="00430BE0" w:rsidRPr="00391E50">
        <w:rPr>
          <w:color w:val="212121"/>
          <w:sz w:val="22"/>
          <w:szCs w:val="22"/>
        </w:rPr>
        <w:t xml:space="preserve"> </w:t>
      </w:r>
      <w:r w:rsidR="008D50F1">
        <w:rPr>
          <w:color w:val="212121"/>
          <w:sz w:val="22"/>
          <w:szCs w:val="22"/>
        </w:rPr>
        <w:t xml:space="preserve"> Thus, </w:t>
      </w:r>
      <w:r w:rsidR="008D50F1">
        <w:rPr>
          <w:snapToGrid/>
          <w:sz w:val="22"/>
          <w:szCs w:val="22"/>
        </w:rPr>
        <w:t>b</w:t>
      </w:r>
      <w:r w:rsidRPr="00DB3542">
        <w:rPr>
          <w:snapToGrid/>
          <w:sz w:val="22"/>
          <w:szCs w:val="22"/>
        </w:rPr>
        <w:t xml:space="preserve">y failing </w:t>
      </w:r>
      <w:r w:rsidR="00EE483F" w:rsidRPr="00DB3542">
        <w:rPr>
          <w:snapToGrid/>
          <w:sz w:val="22"/>
          <w:szCs w:val="22"/>
        </w:rPr>
        <w:t xml:space="preserve">in the initial stage </w:t>
      </w:r>
      <w:r w:rsidRPr="00DB3542">
        <w:rPr>
          <w:snapToGrid/>
          <w:sz w:val="22"/>
          <w:szCs w:val="22"/>
        </w:rPr>
        <w:t xml:space="preserve">to </w:t>
      </w:r>
      <w:r w:rsidR="00984D0B" w:rsidRPr="00DB3542">
        <w:rPr>
          <w:snapToGrid/>
          <w:sz w:val="22"/>
          <w:szCs w:val="22"/>
        </w:rPr>
        <w:t xml:space="preserve">adequately </w:t>
      </w:r>
      <w:r w:rsidRPr="00DB3542">
        <w:rPr>
          <w:snapToGrid/>
          <w:sz w:val="22"/>
          <w:szCs w:val="22"/>
        </w:rPr>
        <w:t>demonstrate</w:t>
      </w:r>
      <w:r w:rsidR="000A1809" w:rsidRPr="00DB3542">
        <w:rPr>
          <w:snapToGrid/>
          <w:sz w:val="22"/>
          <w:szCs w:val="22"/>
        </w:rPr>
        <w:t xml:space="preserve"> standing as a regular listener,</w:t>
      </w:r>
      <w:r w:rsidRPr="00DB3542">
        <w:rPr>
          <w:snapToGrid/>
          <w:sz w:val="22"/>
          <w:szCs w:val="22"/>
        </w:rPr>
        <w:t xml:space="preserve"> or some other injury of</w:t>
      </w:r>
      <w:r w:rsidRPr="000E70E1">
        <w:rPr>
          <w:snapToGrid/>
          <w:sz w:val="22"/>
          <w:szCs w:val="22"/>
        </w:rPr>
        <w:t xml:space="preserve"> a direct, tangible or substantial nature</w:t>
      </w:r>
      <w:r w:rsidR="00851F50" w:rsidRPr="000E70E1">
        <w:rPr>
          <w:snapToGrid/>
          <w:sz w:val="22"/>
          <w:szCs w:val="22"/>
        </w:rPr>
        <w:t>, Stolz forfeited his right to seek reconsideration in this proceeding</w:t>
      </w:r>
      <w:r w:rsidR="000815DA">
        <w:rPr>
          <w:snapToGrid/>
          <w:sz w:val="22"/>
          <w:szCs w:val="22"/>
        </w:rPr>
        <w:t>.</w:t>
      </w:r>
      <w:r w:rsidR="00851F50" w:rsidRPr="000E70E1">
        <w:rPr>
          <w:rStyle w:val="FootnoteReference"/>
          <w:rFonts w:ascii="Times New Roman" w:hAnsi="Times New Roman"/>
          <w:snapToGrid/>
          <w:sz w:val="22"/>
          <w:szCs w:val="22"/>
        </w:rPr>
        <w:footnoteReference w:id="17"/>
      </w:r>
      <w:r w:rsidR="00440350">
        <w:rPr>
          <w:rStyle w:val="FootnoteReference"/>
          <w:rFonts w:ascii="Times New Roman" w:hAnsi="Times New Roman"/>
          <w:snapToGrid/>
          <w:sz w:val="22"/>
          <w:szCs w:val="22"/>
        </w:rPr>
        <w:t xml:space="preserve"> </w:t>
      </w:r>
      <w:r w:rsidR="000815DA">
        <w:rPr>
          <w:snapToGrid/>
          <w:sz w:val="22"/>
          <w:szCs w:val="22"/>
        </w:rPr>
        <w:t xml:space="preserve"> </w:t>
      </w:r>
      <w:r w:rsidR="00851F50" w:rsidRPr="000E70E1">
        <w:rPr>
          <w:snapToGrid/>
          <w:sz w:val="22"/>
          <w:szCs w:val="22"/>
        </w:rPr>
        <w:t xml:space="preserve">Stolz’s </w:t>
      </w:r>
      <w:r w:rsidR="00775B65" w:rsidRPr="000E70E1">
        <w:rPr>
          <w:snapToGrid/>
          <w:sz w:val="22"/>
          <w:szCs w:val="22"/>
        </w:rPr>
        <w:t xml:space="preserve">reassertion of listener standing </w:t>
      </w:r>
      <w:r w:rsidR="00775B65">
        <w:rPr>
          <w:snapToGrid/>
          <w:sz w:val="22"/>
          <w:szCs w:val="22"/>
        </w:rPr>
        <w:t xml:space="preserve">and his </w:t>
      </w:r>
      <w:r w:rsidR="004C6657" w:rsidRPr="000E70E1">
        <w:rPr>
          <w:snapToGrid/>
          <w:sz w:val="22"/>
          <w:szCs w:val="22"/>
        </w:rPr>
        <w:t>untimely</w:t>
      </w:r>
      <w:r w:rsidR="00851F50" w:rsidRPr="000E70E1">
        <w:rPr>
          <w:snapToGrid/>
          <w:sz w:val="22"/>
          <w:szCs w:val="22"/>
        </w:rPr>
        <w:t xml:space="preserve"> assertion </w:t>
      </w:r>
      <w:r w:rsidR="004C6657" w:rsidRPr="000E70E1">
        <w:rPr>
          <w:snapToGrid/>
          <w:sz w:val="22"/>
          <w:szCs w:val="22"/>
        </w:rPr>
        <w:t>of “</w:t>
      </w:r>
      <w:r w:rsidR="00851F50" w:rsidRPr="000E70E1">
        <w:rPr>
          <w:snapToGrid/>
          <w:sz w:val="22"/>
          <w:szCs w:val="22"/>
        </w:rPr>
        <w:t xml:space="preserve">economic standing” also do not </w:t>
      </w:r>
      <w:r w:rsidR="005D38E4">
        <w:rPr>
          <w:snapToGrid/>
          <w:sz w:val="22"/>
          <w:szCs w:val="22"/>
        </w:rPr>
        <w:t xml:space="preserve">indicate that the Bureau erred in finding in the </w:t>
      </w:r>
      <w:r w:rsidR="005D38E4">
        <w:rPr>
          <w:i/>
          <w:snapToGrid/>
          <w:sz w:val="22"/>
          <w:szCs w:val="22"/>
        </w:rPr>
        <w:t>Letter Decision</w:t>
      </w:r>
      <w:r w:rsidR="005D38E4">
        <w:rPr>
          <w:snapToGrid/>
          <w:sz w:val="22"/>
          <w:szCs w:val="22"/>
        </w:rPr>
        <w:t xml:space="preserve"> that Stolz lacked standing to file a petition to deny</w:t>
      </w:r>
      <w:r w:rsidR="002F7B5B" w:rsidRPr="000E70E1">
        <w:rPr>
          <w:snapToGrid/>
          <w:sz w:val="22"/>
          <w:szCs w:val="22"/>
        </w:rPr>
        <w:t>.</w:t>
      </w:r>
      <w:r w:rsidR="0094610D" w:rsidRPr="000E70E1">
        <w:rPr>
          <w:snapToGrid/>
          <w:sz w:val="22"/>
          <w:szCs w:val="22"/>
        </w:rPr>
        <w:t xml:space="preserve">  </w:t>
      </w:r>
      <w:r w:rsidR="005D38E4">
        <w:rPr>
          <w:snapToGrid/>
          <w:sz w:val="22"/>
          <w:szCs w:val="22"/>
        </w:rPr>
        <w:t>A</w:t>
      </w:r>
      <w:r w:rsidR="002F7B5B" w:rsidRPr="000E70E1">
        <w:rPr>
          <w:snapToGrid/>
          <w:sz w:val="22"/>
          <w:szCs w:val="22"/>
        </w:rPr>
        <w:t>s Entercom note</w:t>
      </w:r>
      <w:r w:rsidR="0094610D" w:rsidRPr="000E70E1">
        <w:rPr>
          <w:snapToGrid/>
          <w:sz w:val="22"/>
          <w:szCs w:val="22"/>
        </w:rPr>
        <w:t xml:space="preserve">s and </w:t>
      </w:r>
      <w:r w:rsidR="005D38E4">
        <w:rPr>
          <w:snapToGrid/>
          <w:sz w:val="22"/>
          <w:szCs w:val="22"/>
        </w:rPr>
        <w:t xml:space="preserve">both the Bureau and Commission </w:t>
      </w:r>
      <w:r w:rsidR="0094610D" w:rsidRPr="000E70E1">
        <w:rPr>
          <w:snapToGrid/>
          <w:sz w:val="22"/>
          <w:szCs w:val="22"/>
        </w:rPr>
        <w:t>have stated in previous</w:t>
      </w:r>
      <w:r w:rsidR="005D38E4">
        <w:rPr>
          <w:snapToGrid/>
          <w:sz w:val="22"/>
          <w:szCs w:val="22"/>
        </w:rPr>
        <w:t>ly addressing</w:t>
      </w:r>
      <w:r w:rsidR="002F7B5B" w:rsidRPr="000E70E1">
        <w:rPr>
          <w:snapToGrid/>
          <w:sz w:val="22"/>
          <w:szCs w:val="22"/>
        </w:rPr>
        <w:t xml:space="preserve"> Stolz</w:t>
      </w:r>
      <w:r w:rsidR="005D38E4">
        <w:rPr>
          <w:snapToGrid/>
          <w:sz w:val="22"/>
          <w:szCs w:val="22"/>
        </w:rPr>
        <w:t xml:space="preserve"> pleadings</w:t>
      </w:r>
      <w:r w:rsidR="002F7B5B" w:rsidRPr="000E70E1">
        <w:rPr>
          <w:snapToGrid/>
          <w:sz w:val="22"/>
          <w:szCs w:val="22"/>
        </w:rPr>
        <w:t xml:space="preserve">, </w:t>
      </w:r>
      <w:r w:rsidR="0094610D" w:rsidRPr="000E70E1">
        <w:rPr>
          <w:snapToGrid/>
          <w:sz w:val="22"/>
          <w:szCs w:val="22"/>
        </w:rPr>
        <w:t>“</w:t>
      </w:r>
      <w:r w:rsidR="002F7B5B" w:rsidRPr="000E70E1">
        <w:rPr>
          <w:snapToGrid/>
          <w:sz w:val="22"/>
          <w:szCs w:val="22"/>
        </w:rPr>
        <w:t>property ownership without residency is not a reliable indicator of radio listenership</w:t>
      </w:r>
      <w:r w:rsidR="0094610D" w:rsidRPr="000E70E1">
        <w:rPr>
          <w:snapToGrid/>
          <w:sz w:val="22"/>
          <w:szCs w:val="22"/>
        </w:rPr>
        <w:t>”</w:t>
      </w:r>
      <w:r w:rsidR="002F7B5B" w:rsidRPr="000E70E1">
        <w:rPr>
          <w:snapToGrid/>
          <w:sz w:val="22"/>
          <w:szCs w:val="22"/>
        </w:rPr>
        <w:t xml:space="preserve"> and will not confer party in interest status.</w:t>
      </w:r>
      <w:r w:rsidR="002F7B5B" w:rsidRPr="000E70E1">
        <w:rPr>
          <w:rStyle w:val="FootnoteReference"/>
          <w:rFonts w:ascii="Times New Roman" w:hAnsi="Times New Roman"/>
          <w:snapToGrid/>
          <w:sz w:val="22"/>
          <w:szCs w:val="22"/>
        </w:rPr>
        <w:footnoteReference w:id="18"/>
      </w:r>
      <w:r w:rsidR="002F7B5B" w:rsidRPr="000E70E1">
        <w:rPr>
          <w:snapToGrid/>
          <w:sz w:val="22"/>
          <w:szCs w:val="22"/>
        </w:rPr>
        <w:t xml:space="preserve">  Likewise, setting aside the fact that Stolz “economic standing” argument is untimely,</w:t>
      </w:r>
      <w:r w:rsidR="0070275B" w:rsidRPr="000E70E1">
        <w:rPr>
          <w:rStyle w:val="FootnoteReference"/>
          <w:rFonts w:ascii="Times New Roman" w:hAnsi="Times New Roman"/>
          <w:snapToGrid/>
          <w:sz w:val="22"/>
          <w:szCs w:val="22"/>
        </w:rPr>
        <w:footnoteReference w:id="19"/>
      </w:r>
      <w:r w:rsidR="0070275B" w:rsidRPr="000E70E1">
        <w:rPr>
          <w:snapToGrid/>
          <w:sz w:val="22"/>
          <w:szCs w:val="22"/>
        </w:rPr>
        <w:t xml:space="preserve">  Stolz </w:t>
      </w:r>
      <w:r w:rsidR="005D02BE">
        <w:rPr>
          <w:snapToGrid/>
          <w:sz w:val="22"/>
          <w:szCs w:val="22"/>
        </w:rPr>
        <w:t xml:space="preserve">fails to demonstrate that he </w:t>
      </w:r>
      <w:r w:rsidR="0070275B" w:rsidRPr="000E70E1">
        <w:rPr>
          <w:snapToGrid/>
          <w:sz w:val="22"/>
          <w:szCs w:val="22"/>
        </w:rPr>
        <w:t>is current</w:t>
      </w:r>
      <w:r w:rsidR="0094610D" w:rsidRPr="000E70E1">
        <w:rPr>
          <w:snapToGrid/>
          <w:sz w:val="22"/>
          <w:szCs w:val="22"/>
        </w:rPr>
        <w:t>ly a competitor in the Stations’</w:t>
      </w:r>
      <w:r w:rsidR="0070275B" w:rsidRPr="000E70E1">
        <w:rPr>
          <w:snapToGrid/>
          <w:sz w:val="22"/>
          <w:szCs w:val="22"/>
        </w:rPr>
        <w:t xml:space="preserve"> market and lacks the direct competitive injury or likely financial injury required to assert such standing</w:t>
      </w:r>
      <w:r w:rsidR="008D50F1">
        <w:rPr>
          <w:snapToGrid/>
          <w:sz w:val="22"/>
          <w:szCs w:val="22"/>
        </w:rPr>
        <w:t xml:space="preserve"> as an “aggrieved party.”</w:t>
      </w:r>
      <w:r w:rsidR="0070275B" w:rsidRPr="000E70E1">
        <w:rPr>
          <w:rStyle w:val="FootnoteReference"/>
          <w:rFonts w:ascii="Times New Roman" w:hAnsi="Times New Roman"/>
          <w:snapToGrid/>
          <w:sz w:val="22"/>
          <w:szCs w:val="22"/>
        </w:rPr>
        <w:footnoteReference w:id="20"/>
      </w:r>
      <w:r w:rsidR="000815DA">
        <w:rPr>
          <w:snapToGrid/>
          <w:sz w:val="22"/>
          <w:szCs w:val="22"/>
        </w:rPr>
        <w:t xml:space="preserve">  Accordingly, we will dismiss the Petition.</w:t>
      </w:r>
    </w:p>
    <w:p w14:paraId="1AA5AF4D" w14:textId="77777777" w:rsidR="00EE483F" w:rsidRPr="000E70E1" w:rsidRDefault="00EE483F" w:rsidP="00F82245">
      <w:pPr>
        <w:widowControl/>
        <w:ind w:firstLine="720"/>
        <w:rPr>
          <w:snapToGrid/>
          <w:sz w:val="22"/>
          <w:szCs w:val="22"/>
        </w:rPr>
      </w:pPr>
    </w:p>
    <w:p w14:paraId="20A0C082" w14:textId="38FCE2F2" w:rsidR="006F6EDE" w:rsidRDefault="00280A7B" w:rsidP="006F6EDE">
      <w:pPr>
        <w:widowControl/>
        <w:ind w:firstLine="720"/>
        <w:rPr>
          <w:snapToGrid/>
          <w:sz w:val="22"/>
          <w:szCs w:val="22"/>
        </w:rPr>
      </w:pPr>
      <w:r w:rsidRPr="00F33537">
        <w:rPr>
          <w:snapToGrid/>
          <w:sz w:val="22"/>
          <w:szCs w:val="22"/>
        </w:rPr>
        <w:t>Even if we wer</w:t>
      </w:r>
      <w:r w:rsidR="0094610D" w:rsidRPr="00F33537">
        <w:rPr>
          <w:snapToGrid/>
          <w:sz w:val="22"/>
          <w:szCs w:val="22"/>
        </w:rPr>
        <w:t>e to find Stolz has standing</w:t>
      </w:r>
      <w:r w:rsidR="003351A3" w:rsidRPr="00F33537">
        <w:rPr>
          <w:snapToGrid/>
          <w:sz w:val="22"/>
          <w:szCs w:val="22"/>
        </w:rPr>
        <w:t xml:space="preserve"> and considered the Petition on its merits</w:t>
      </w:r>
      <w:r w:rsidR="0094610D" w:rsidRPr="00F33537">
        <w:rPr>
          <w:snapToGrid/>
          <w:sz w:val="22"/>
          <w:szCs w:val="22"/>
        </w:rPr>
        <w:t>, we would deny the Petition because Stolz has not</w:t>
      </w:r>
      <w:r w:rsidRPr="00F33537">
        <w:rPr>
          <w:snapToGrid/>
          <w:sz w:val="22"/>
          <w:szCs w:val="22"/>
        </w:rPr>
        <w:t xml:space="preserve"> raise</w:t>
      </w:r>
      <w:r w:rsidR="0094610D" w:rsidRPr="00F33537">
        <w:rPr>
          <w:snapToGrid/>
          <w:sz w:val="22"/>
          <w:szCs w:val="22"/>
        </w:rPr>
        <w:t>d</w:t>
      </w:r>
      <w:r w:rsidRPr="00F33537">
        <w:rPr>
          <w:snapToGrid/>
          <w:sz w:val="22"/>
          <w:szCs w:val="22"/>
        </w:rPr>
        <w:t xml:space="preserve"> new facts or changed circumstances which warrant reconsi</w:t>
      </w:r>
      <w:r w:rsidR="00AC6858" w:rsidRPr="00F33537">
        <w:rPr>
          <w:snapToGrid/>
          <w:sz w:val="22"/>
          <w:szCs w:val="22"/>
        </w:rPr>
        <w:t xml:space="preserve">deration.  As stated in the </w:t>
      </w:r>
      <w:r w:rsidR="00AC6858" w:rsidRPr="00F33537">
        <w:rPr>
          <w:i/>
          <w:snapToGrid/>
          <w:sz w:val="22"/>
          <w:szCs w:val="22"/>
        </w:rPr>
        <w:t>Letter Decision</w:t>
      </w:r>
      <w:r w:rsidR="003351A3" w:rsidRPr="00F33537">
        <w:rPr>
          <w:i/>
          <w:snapToGrid/>
          <w:sz w:val="22"/>
          <w:szCs w:val="22"/>
        </w:rPr>
        <w:t xml:space="preserve"> </w:t>
      </w:r>
      <w:r w:rsidR="003351A3" w:rsidRPr="00F33537">
        <w:rPr>
          <w:snapToGrid/>
          <w:sz w:val="22"/>
          <w:szCs w:val="22"/>
        </w:rPr>
        <w:t>and by the Commission</w:t>
      </w:r>
      <w:r w:rsidR="00AC6858" w:rsidRPr="00F33537">
        <w:rPr>
          <w:snapToGrid/>
          <w:sz w:val="22"/>
          <w:szCs w:val="22"/>
        </w:rPr>
        <w:t>, Section 309(k) limits the scope of the "violations</w:t>
      </w:r>
      <w:r w:rsidR="0094610D" w:rsidRPr="00F33537">
        <w:rPr>
          <w:snapToGrid/>
          <w:sz w:val="22"/>
          <w:szCs w:val="22"/>
        </w:rPr>
        <w:t>" listed in Section 309(k)(1)</w:t>
      </w:r>
      <w:r w:rsidR="00AC6858" w:rsidRPr="00F33537">
        <w:rPr>
          <w:snapToGrid/>
          <w:sz w:val="22"/>
          <w:szCs w:val="22"/>
        </w:rPr>
        <w:t xml:space="preserve"> to the station for</w:t>
      </w:r>
      <w:r w:rsidR="00F33537">
        <w:rPr>
          <w:snapToGrid/>
          <w:sz w:val="22"/>
          <w:szCs w:val="22"/>
        </w:rPr>
        <w:t xml:space="preserve"> which license renewal is being </w:t>
      </w:r>
      <w:r w:rsidR="00AC6858" w:rsidRPr="00F33537">
        <w:rPr>
          <w:snapToGrid/>
          <w:sz w:val="22"/>
          <w:szCs w:val="22"/>
        </w:rPr>
        <w:t>considered.</w:t>
      </w:r>
      <w:r w:rsidR="00AC6858" w:rsidRPr="00F33537">
        <w:rPr>
          <w:snapToGrid/>
          <w:sz w:val="22"/>
          <w:szCs w:val="22"/>
          <w:vertAlign w:val="superscript"/>
        </w:rPr>
        <w:footnoteReference w:id="21"/>
      </w:r>
      <w:r w:rsidR="00AC6858" w:rsidRPr="00F33537">
        <w:rPr>
          <w:snapToGrid/>
          <w:sz w:val="22"/>
          <w:szCs w:val="22"/>
        </w:rPr>
        <w:t xml:space="preserve">  Thus, we are barred from consideri</w:t>
      </w:r>
      <w:r w:rsidR="00B93548" w:rsidRPr="00F33537">
        <w:rPr>
          <w:snapToGrid/>
          <w:sz w:val="22"/>
          <w:szCs w:val="22"/>
        </w:rPr>
        <w:t>ng conduct of station K</w:t>
      </w:r>
      <w:r w:rsidR="00AC6858" w:rsidRPr="00F33537">
        <w:rPr>
          <w:snapToGrid/>
          <w:sz w:val="22"/>
          <w:szCs w:val="22"/>
        </w:rPr>
        <w:t>DN</w:t>
      </w:r>
      <w:r w:rsidR="00B93548" w:rsidRPr="00F33537">
        <w:rPr>
          <w:snapToGrid/>
          <w:sz w:val="22"/>
          <w:szCs w:val="22"/>
        </w:rPr>
        <w:t>D</w:t>
      </w:r>
      <w:r w:rsidR="00AC6858" w:rsidRPr="00F33537">
        <w:rPr>
          <w:snapToGrid/>
          <w:sz w:val="22"/>
          <w:szCs w:val="22"/>
        </w:rPr>
        <w:t xml:space="preserve">(FM) or any stations other </w:t>
      </w:r>
      <w:r w:rsidR="0094610D" w:rsidRPr="00F33537">
        <w:rPr>
          <w:snapToGrid/>
          <w:sz w:val="22"/>
          <w:szCs w:val="22"/>
        </w:rPr>
        <w:t xml:space="preserve">than those </w:t>
      </w:r>
      <w:r w:rsidR="003351A3" w:rsidRPr="00F33537">
        <w:rPr>
          <w:snapToGrid/>
          <w:sz w:val="22"/>
          <w:szCs w:val="22"/>
        </w:rPr>
        <w:t>whose applications are before us here</w:t>
      </w:r>
      <w:r w:rsidR="0094610D" w:rsidRPr="00F33537">
        <w:rPr>
          <w:snapToGrid/>
          <w:sz w:val="22"/>
          <w:szCs w:val="22"/>
        </w:rPr>
        <w:t xml:space="preserve">.  </w:t>
      </w:r>
      <w:r w:rsidR="000A080E">
        <w:rPr>
          <w:snapToGrid/>
          <w:sz w:val="22"/>
          <w:szCs w:val="22"/>
        </w:rPr>
        <w:t>Likewise</w:t>
      </w:r>
      <w:r w:rsidR="0094610D" w:rsidRPr="00F33537">
        <w:rPr>
          <w:snapToGrid/>
          <w:sz w:val="22"/>
          <w:szCs w:val="22"/>
        </w:rPr>
        <w:t>,</w:t>
      </w:r>
      <w:r w:rsidR="00BC3A82" w:rsidRPr="00F33537">
        <w:rPr>
          <w:snapToGrid/>
          <w:sz w:val="22"/>
          <w:szCs w:val="22"/>
        </w:rPr>
        <w:t xml:space="preserve"> </w:t>
      </w:r>
      <w:r w:rsidR="00F33537" w:rsidRPr="00F33537">
        <w:rPr>
          <w:snapToGrid/>
          <w:sz w:val="22"/>
          <w:szCs w:val="22"/>
        </w:rPr>
        <w:t>the termination of the KDND proceeding upon Entercom’s surrender of the Station’s license is not a new fact or changed circumstance</w:t>
      </w:r>
      <w:r w:rsidR="00F33537">
        <w:rPr>
          <w:snapToGrid/>
          <w:sz w:val="22"/>
          <w:szCs w:val="22"/>
        </w:rPr>
        <w:t xml:space="preserve"> </w:t>
      </w:r>
      <w:r w:rsidR="00C74FAF">
        <w:rPr>
          <w:snapToGrid/>
          <w:sz w:val="22"/>
          <w:szCs w:val="22"/>
        </w:rPr>
        <w:t>with respect to this proceeding</w:t>
      </w:r>
      <w:r w:rsidR="00F33537">
        <w:rPr>
          <w:snapToGrid/>
          <w:sz w:val="22"/>
          <w:szCs w:val="22"/>
        </w:rPr>
        <w:t>.</w:t>
      </w:r>
    </w:p>
    <w:p w14:paraId="682E345E" w14:textId="77777777" w:rsidR="00F33537" w:rsidRPr="000E70E1" w:rsidRDefault="00F33537" w:rsidP="006F6EDE">
      <w:pPr>
        <w:widowControl/>
        <w:ind w:firstLine="720"/>
        <w:rPr>
          <w:i/>
          <w:snapToGrid/>
          <w:sz w:val="22"/>
          <w:szCs w:val="22"/>
        </w:rPr>
      </w:pPr>
    </w:p>
    <w:p w14:paraId="59138C2B" w14:textId="34773C2A" w:rsidR="008B0C25" w:rsidRDefault="008C7EEA" w:rsidP="005D7F70">
      <w:pPr>
        <w:widowControl/>
        <w:ind w:firstLine="720"/>
        <w:rPr>
          <w:i/>
          <w:snapToGrid/>
          <w:kern w:val="28"/>
          <w:sz w:val="22"/>
          <w:szCs w:val="22"/>
        </w:rPr>
      </w:pPr>
      <w:r w:rsidRPr="000E70E1">
        <w:rPr>
          <w:i/>
          <w:snapToGrid/>
          <w:sz w:val="22"/>
          <w:szCs w:val="22"/>
        </w:rPr>
        <w:t>Conclusion/</w:t>
      </w:r>
      <w:r w:rsidRPr="00391E50">
        <w:rPr>
          <w:i/>
          <w:snapToGrid/>
          <w:sz w:val="22"/>
          <w:szCs w:val="22"/>
        </w:rPr>
        <w:t>Actions</w:t>
      </w:r>
      <w:r w:rsidRPr="000E70E1">
        <w:rPr>
          <w:snapToGrid/>
          <w:sz w:val="22"/>
          <w:szCs w:val="22"/>
        </w:rPr>
        <w:t xml:space="preserve">.  For the reasons stated herein, we find Stolz is not a party to this proceeding and lacks standing to seek reconsideration of the </w:t>
      </w:r>
      <w:r w:rsidRPr="000E70E1">
        <w:rPr>
          <w:i/>
          <w:snapToGrid/>
          <w:sz w:val="22"/>
          <w:szCs w:val="22"/>
        </w:rPr>
        <w:t>Letter Decision.</w:t>
      </w:r>
    </w:p>
    <w:p w14:paraId="65818279" w14:textId="77777777" w:rsidR="008B0C25" w:rsidRPr="000E70E1" w:rsidRDefault="008B0C25" w:rsidP="005D7F70">
      <w:pPr>
        <w:widowControl/>
        <w:ind w:firstLine="720"/>
        <w:rPr>
          <w:snapToGrid/>
          <w:sz w:val="22"/>
          <w:szCs w:val="22"/>
        </w:rPr>
      </w:pPr>
    </w:p>
    <w:p w14:paraId="6D181A9C" w14:textId="77777777" w:rsidR="006956CC" w:rsidRDefault="006956CC">
      <w:pPr>
        <w:widowControl/>
        <w:spacing w:after="200" w:line="276" w:lineRule="auto"/>
        <w:rPr>
          <w:snapToGrid/>
          <w:kern w:val="28"/>
          <w:sz w:val="22"/>
          <w:szCs w:val="22"/>
        </w:rPr>
      </w:pPr>
      <w:r>
        <w:rPr>
          <w:snapToGrid/>
          <w:szCs w:val="22"/>
        </w:rPr>
        <w:br w:type="page"/>
      </w:r>
    </w:p>
    <w:p w14:paraId="16FEE3A9" w14:textId="20AECDC1" w:rsidR="005D7F70" w:rsidRPr="000E70E1" w:rsidRDefault="008C7EEA" w:rsidP="006A3A26">
      <w:pPr>
        <w:pStyle w:val="ParaNum"/>
        <w:numPr>
          <w:ilvl w:val="0"/>
          <w:numId w:val="0"/>
        </w:numPr>
        <w:spacing w:after="0"/>
        <w:ind w:firstLine="720"/>
        <w:rPr>
          <w:snapToGrid/>
          <w:szCs w:val="22"/>
        </w:rPr>
      </w:pPr>
      <w:r w:rsidRPr="000E70E1">
        <w:rPr>
          <w:snapToGrid/>
          <w:szCs w:val="22"/>
        </w:rPr>
        <w:t xml:space="preserve">Accordingly, </w:t>
      </w:r>
      <w:r w:rsidR="001B4502" w:rsidRPr="000E70E1">
        <w:rPr>
          <w:snapToGrid/>
          <w:szCs w:val="22"/>
        </w:rPr>
        <w:t>IT IS ORDERED</w:t>
      </w:r>
      <w:r w:rsidR="000C122F" w:rsidRPr="000E70E1">
        <w:rPr>
          <w:snapToGrid/>
          <w:szCs w:val="22"/>
        </w:rPr>
        <w:t>,</w:t>
      </w:r>
      <w:r w:rsidRPr="000E70E1">
        <w:rPr>
          <w:snapToGrid/>
          <w:szCs w:val="22"/>
        </w:rPr>
        <w:t xml:space="preserve"> that the Petition for Reconsideration filed on February 17, 2017, by Edward Stolz II, IS DISMISSED.  </w:t>
      </w:r>
    </w:p>
    <w:p w14:paraId="3A9D6B21" w14:textId="77777777" w:rsidR="00E07DC5" w:rsidRPr="000E70E1" w:rsidRDefault="00E07DC5" w:rsidP="00E07DC5">
      <w:pPr>
        <w:keepNext/>
        <w:keepLines/>
        <w:widowControl/>
        <w:tabs>
          <w:tab w:val="left" w:pos="0"/>
          <w:tab w:val="left" w:pos="5400"/>
          <w:tab w:val="left" w:pos="5628"/>
          <w:tab w:val="left" w:pos="6288"/>
          <w:tab w:val="left" w:pos="6600"/>
          <w:tab w:val="left" w:pos="7200"/>
        </w:tabs>
        <w:suppressAutoHyphens/>
        <w:rPr>
          <w:snapToGrid/>
          <w:sz w:val="22"/>
          <w:szCs w:val="22"/>
        </w:rPr>
      </w:pPr>
      <w:r w:rsidRPr="000E70E1">
        <w:rPr>
          <w:snapToGrid/>
          <w:sz w:val="22"/>
          <w:szCs w:val="22"/>
        </w:rPr>
        <w:fldChar w:fldCharType="begin"/>
      </w:r>
      <w:r w:rsidRPr="000E70E1">
        <w:rPr>
          <w:snapToGrid/>
          <w:sz w:val="22"/>
          <w:szCs w:val="22"/>
        </w:rPr>
        <w:instrText xml:space="preserve">PRIVATE </w:instrText>
      </w:r>
      <w:r w:rsidRPr="000E70E1">
        <w:rPr>
          <w:snapToGrid/>
          <w:sz w:val="22"/>
          <w:szCs w:val="22"/>
        </w:rPr>
        <w:fldChar w:fldCharType="end"/>
      </w:r>
    </w:p>
    <w:p w14:paraId="4423B086" w14:textId="77777777" w:rsidR="005A1CF0" w:rsidRPr="000E70E1" w:rsidRDefault="00E07DC5" w:rsidP="00DF5C2E">
      <w:pPr>
        <w:tabs>
          <w:tab w:val="left" w:pos="0"/>
          <w:tab w:val="left" w:pos="5400"/>
          <w:tab w:val="left" w:pos="5628"/>
          <w:tab w:val="left" w:pos="6288"/>
          <w:tab w:val="left" w:pos="6600"/>
          <w:tab w:val="left" w:pos="7200"/>
        </w:tabs>
        <w:suppressAutoHyphens/>
        <w:rPr>
          <w:sz w:val="22"/>
          <w:szCs w:val="22"/>
        </w:rPr>
      </w:pPr>
      <w:r w:rsidRPr="000E70E1">
        <w:rPr>
          <w:snapToGrid/>
          <w:sz w:val="22"/>
          <w:szCs w:val="22"/>
        </w:rPr>
        <w:tab/>
      </w:r>
      <w:r w:rsidRPr="000E70E1">
        <w:rPr>
          <w:snapToGrid/>
          <w:sz w:val="22"/>
          <w:szCs w:val="22"/>
        </w:rPr>
        <w:tab/>
      </w:r>
    </w:p>
    <w:p w14:paraId="2837CEDC" w14:textId="77777777" w:rsidR="005A1CF0" w:rsidRPr="000E70E1" w:rsidRDefault="005A1CF0" w:rsidP="005A1CF0">
      <w:pPr>
        <w:pStyle w:val="BodyText"/>
        <w:ind w:left="5040"/>
        <w:rPr>
          <w:sz w:val="22"/>
          <w:szCs w:val="22"/>
        </w:rPr>
      </w:pPr>
      <w:r w:rsidRPr="000E70E1">
        <w:rPr>
          <w:sz w:val="22"/>
          <w:szCs w:val="22"/>
        </w:rPr>
        <w:t>Sincerely,</w:t>
      </w:r>
    </w:p>
    <w:p w14:paraId="0007A106" w14:textId="77777777" w:rsidR="005A1CF0" w:rsidRPr="000E70E1" w:rsidRDefault="005A1CF0" w:rsidP="005A1CF0">
      <w:pPr>
        <w:pStyle w:val="BodyText"/>
        <w:rPr>
          <w:sz w:val="22"/>
          <w:szCs w:val="22"/>
        </w:rPr>
      </w:pPr>
    </w:p>
    <w:p w14:paraId="3FB90127" w14:textId="77777777" w:rsidR="005A1CF0" w:rsidRPr="000E70E1" w:rsidRDefault="005A1CF0" w:rsidP="005A1CF0">
      <w:pPr>
        <w:pStyle w:val="BodyText"/>
        <w:rPr>
          <w:sz w:val="22"/>
          <w:szCs w:val="22"/>
        </w:rPr>
      </w:pPr>
    </w:p>
    <w:p w14:paraId="376E01D2" w14:textId="77777777" w:rsidR="005A1CF0" w:rsidRPr="000E70E1" w:rsidRDefault="005A1CF0" w:rsidP="005A1CF0">
      <w:pPr>
        <w:pStyle w:val="BodyText"/>
        <w:rPr>
          <w:sz w:val="22"/>
          <w:szCs w:val="22"/>
        </w:rPr>
      </w:pPr>
    </w:p>
    <w:p w14:paraId="1248B5CD" w14:textId="77777777" w:rsidR="005A1CF0" w:rsidRPr="000E70E1" w:rsidRDefault="005A1CF0" w:rsidP="005A1CF0">
      <w:pPr>
        <w:pStyle w:val="BodyText"/>
        <w:rPr>
          <w:sz w:val="22"/>
          <w:szCs w:val="22"/>
        </w:rPr>
      </w:pPr>
      <w:r w:rsidRPr="000E70E1">
        <w:rPr>
          <w:sz w:val="22"/>
          <w:szCs w:val="22"/>
        </w:rPr>
        <w:tab/>
      </w:r>
      <w:r w:rsidRPr="000E70E1">
        <w:rPr>
          <w:sz w:val="22"/>
          <w:szCs w:val="22"/>
        </w:rPr>
        <w:tab/>
      </w:r>
      <w:r w:rsidRPr="000E70E1">
        <w:rPr>
          <w:sz w:val="22"/>
          <w:szCs w:val="22"/>
        </w:rPr>
        <w:tab/>
      </w:r>
      <w:r w:rsidRPr="000E70E1">
        <w:rPr>
          <w:sz w:val="22"/>
          <w:szCs w:val="22"/>
        </w:rPr>
        <w:tab/>
      </w:r>
      <w:r w:rsidRPr="000E70E1">
        <w:rPr>
          <w:sz w:val="22"/>
          <w:szCs w:val="22"/>
        </w:rPr>
        <w:tab/>
      </w:r>
      <w:r w:rsidRPr="000E70E1">
        <w:rPr>
          <w:sz w:val="22"/>
          <w:szCs w:val="22"/>
        </w:rPr>
        <w:tab/>
      </w:r>
      <w:r w:rsidRPr="000E70E1">
        <w:rPr>
          <w:sz w:val="22"/>
          <w:szCs w:val="22"/>
        </w:rPr>
        <w:tab/>
        <w:t>Peter H. Doyle</w:t>
      </w:r>
    </w:p>
    <w:p w14:paraId="0A732B27" w14:textId="77777777" w:rsidR="005A1CF0" w:rsidRPr="000E70E1" w:rsidRDefault="005A1CF0" w:rsidP="005A1CF0">
      <w:pPr>
        <w:pStyle w:val="BodyText"/>
        <w:rPr>
          <w:sz w:val="22"/>
          <w:szCs w:val="22"/>
        </w:rPr>
      </w:pPr>
      <w:r w:rsidRPr="000E70E1">
        <w:rPr>
          <w:sz w:val="22"/>
          <w:szCs w:val="22"/>
        </w:rPr>
        <w:tab/>
      </w:r>
      <w:r w:rsidRPr="000E70E1">
        <w:rPr>
          <w:sz w:val="22"/>
          <w:szCs w:val="22"/>
        </w:rPr>
        <w:tab/>
      </w:r>
      <w:r w:rsidRPr="000E70E1">
        <w:rPr>
          <w:sz w:val="22"/>
          <w:szCs w:val="22"/>
        </w:rPr>
        <w:tab/>
      </w:r>
      <w:r w:rsidRPr="000E70E1">
        <w:rPr>
          <w:sz w:val="22"/>
          <w:szCs w:val="22"/>
        </w:rPr>
        <w:tab/>
      </w:r>
      <w:r w:rsidRPr="000E70E1">
        <w:rPr>
          <w:sz w:val="22"/>
          <w:szCs w:val="22"/>
        </w:rPr>
        <w:tab/>
      </w:r>
      <w:r w:rsidRPr="000E70E1">
        <w:rPr>
          <w:sz w:val="22"/>
          <w:szCs w:val="22"/>
        </w:rPr>
        <w:tab/>
      </w:r>
      <w:r w:rsidRPr="000E70E1">
        <w:rPr>
          <w:sz w:val="22"/>
          <w:szCs w:val="22"/>
        </w:rPr>
        <w:tab/>
        <w:t>Chief, Audio Division</w:t>
      </w:r>
    </w:p>
    <w:p w14:paraId="0425514B" w14:textId="23DC7983" w:rsidR="00E47C02" w:rsidRPr="000E70E1" w:rsidRDefault="005A1CF0" w:rsidP="006A3A26">
      <w:pPr>
        <w:ind w:left="2160" w:firstLine="720"/>
        <w:rPr>
          <w:sz w:val="22"/>
          <w:szCs w:val="22"/>
        </w:rPr>
      </w:pPr>
      <w:r w:rsidRPr="000E70E1">
        <w:rPr>
          <w:sz w:val="22"/>
          <w:szCs w:val="22"/>
        </w:rPr>
        <w:tab/>
      </w:r>
      <w:r w:rsidRPr="000E70E1">
        <w:rPr>
          <w:sz w:val="22"/>
          <w:szCs w:val="22"/>
        </w:rPr>
        <w:tab/>
      </w:r>
      <w:r w:rsidRPr="000E70E1">
        <w:rPr>
          <w:sz w:val="22"/>
          <w:szCs w:val="22"/>
        </w:rPr>
        <w:tab/>
        <w:t>Media Bureau</w:t>
      </w:r>
    </w:p>
    <w:sectPr w:rsidR="00E47C02" w:rsidRPr="000E70E1" w:rsidSect="00BF6E58">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51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E00D3" w14:textId="77777777" w:rsidR="004315FF" w:rsidRDefault="004315FF" w:rsidP="00DE5E79">
      <w:r>
        <w:separator/>
      </w:r>
    </w:p>
  </w:endnote>
  <w:endnote w:type="continuationSeparator" w:id="0">
    <w:p w14:paraId="27277F2D" w14:textId="77777777" w:rsidR="004315FF" w:rsidRDefault="004315FF" w:rsidP="00DE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B487" w14:textId="77777777"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638984" w14:textId="77777777" w:rsidR="00BF6E58" w:rsidRDefault="00A925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03EC" w14:textId="003C2D2F" w:rsidR="00BF6E58" w:rsidRDefault="0092040F" w:rsidP="00BF6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76E1">
      <w:rPr>
        <w:rStyle w:val="PageNumber"/>
        <w:noProof/>
      </w:rPr>
      <w:t>5</w:t>
    </w:r>
    <w:r>
      <w:rPr>
        <w:rStyle w:val="PageNumber"/>
      </w:rPr>
      <w:fldChar w:fldCharType="end"/>
    </w:r>
  </w:p>
  <w:p w14:paraId="0D491EEC" w14:textId="77777777" w:rsidR="00BF6E58" w:rsidRDefault="00A925BB">
    <w:pPr>
      <w:spacing w:before="140" w:line="100" w:lineRule="exact"/>
      <w:rPr>
        <w:sz w:val="10"/>
      </w:rPr>
    </w:pPr>
  </w:p>
  <w:p w14:paraId="49340153" w14:textId="77777777" w:rsidR="00BF6E58" w:rsidRDefault="00A925BB">
    <w:pPr>
      <w:suppressAutoHyphens/>
      <w:spacing w:line="227" w:lineRule="auto"/>
      <w:jc w:val="both"/>
    </w:pPr>
  </w:p>
  <w:p w14:paraId="6B23B2D4" w14:textId="77777777" w:rsidR="00BF6E58" w:rsidRDefault="00A925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B3B9" w14:textId="77777777" w:rsidR="00347240" w:rsidRDefault="00347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D65A" w14:textId="77777777" w:rsidR="004315FF" w:rsidRDefault="004315FF" w:rsidP="00DE5E79">
      <w:r>
        <w:separator/>
      </w:r>
    </w:p>
  </w:footnote>
  <w:footnote w:type="continuationSeparator" w:id="0">
    <w:p w14:paraId="02A0CAE9" w14:textId="77777777" w:rsidR="004315FF" w:rsidRDefault="004315FF" w:rsidP="00DE5E79">
      <w:r>
        <w:continuationSeparator/>
      </w:r>
    </w:p>
  </w:footnote>
  <w:footnote w:id="1">
    <w:p w14:paraId="5DAA341D" w14:textId="5FC200B2" w:rsidR="00F42683" w:rsidRDefault="00F42683">
      <w:pPr>
        <w:pStyle w:val="FootnoteText"/>
      </w:pPr>
      <w:r>
        <w:rPr>
          <w:rStyle w:val="FootnoteReference"/>
        </w:rPr>
        <w:footnoteRef/>
      </w:r>
      <w:r>
        <w:t xml:space="preserve"> Entercom License, LLC filed an Opposition to the Petition on March 2, 2017.</w:t>
      </w:r>
    </w:p>
  </w:footnote>
  <w:footnote w:id="2">
    <w:p w14:paraId="6788071B" w14:textId="2BE121D1" w:rsidR="00B10E54" w:rsidRPr="000E70E1" w:rsidRDefault="00B10E54">
      <w:pPr>
        <w:pStyle w:val="FootnoteText"/>
        <w:rPr>
          <w:i/>
        </w:rPr>
      </w:pPr>
      <w:r w:rsidRPr="000E70E1">
        <w:rPr>
          <w:rStyle w:val="FootnoteReference"/>
          <w:rFonts w:ascii="Times New Roman" w:hAnsi="Times New Roman"/>
        </w:rPr>
        <w:footnoteRef/>
      </w:r>
      <w:r w:rsidRPr="000E70E1">
        <w:t xml:space="preserve"> </w:t>
      </w:r>
      <w:r w:rsidR="00D21B03" w:rsidRPr="000E70E1">
        <w:rPr>
          <w:i/>
        </w:rPr>
        <w:t>Entercom Sacramento Licenses, LLC</w:t>
      </w:r>
      <w:r w:rsidR="00D21B03" w:rsidRPr="000E70E1">
        <w:t>, Letter</w:t>
      </w:r>
      <w:r w:rsidR="00AD3BBE">
        <w:t xml:space="preserve"> Order</w:t>
      </w:r>
      <w:r w:rsidR="00D21B03" w:rsidRPr="000E70E1">
        <w:t>, 1800B3-JM (January 18, 2017) (</w:t>
      </w:r>
      <w:r w:rsidR="00D21B03" w:rsidRPr="000E70E1">
        <w:rPr>
          <w:i/>
        </w:rPr>
        <w:t>Letter Decision</w:t>
      </w:r>
      <w:r w:rsidR="00D21B03" w:rsidRPr="000E70E1">
        <w:t>).</w:t>
      </w:r>
      <w:r w:rsidR="00D21B03" w:rsidRPr="000E70E1">
        <w:rPr>
          <w:i/>
        </w:rPr>
        <w:t xml:space="preserve"> </w:t>
      </w:r>
    </w:p>
  </w:footnote>
  <w:footnote w:id="3">
    <w:p w14:paraId="2EBC897C" w14:textId="65A02FBF" w:rsidR="001C62CD" w:rsidRPr="008A45AC" w:rsidRDefault="001C62CD">
      <w:pPr>
        <w:pStyle w:val="FootnoteText"/>
      </w:pPr>
      <w:r w:rsidRPr="000E70E1">
        <w:rPr>
          <w:rStyle w:val="FootnoteReference"/>
          <w:rFonts w:ascii="Times New Roman" w:hAnsi="Times New Roman"/>
        </w:rPr>
        <w:footnoteRef/>
      </w:r>
      <w:r w:rsidRPr="000E70E1">
        <w:t xml:space="preserve"> </w:t>
      </w:r>
      <w:r w:rsidR="006A205F">
        <w:t xml:space="preserve">The Bureau </w:t>
      </w:r>
      <w:r w:rsidRPr="000E70E1">
        <w:t>in</w:t>
      </w:r>
      <w:r w:rsidR="006A205F">
        <w:t xml:space="preserve"> the</w:t>
      </w:r>
      <w:r w:rsidRPr="000E70E1">
        <w:t xml:space="preserve"> </w:t>
      </w:r>
      <w:r w:rsidRPr="000E70E1">
        <w:rPr>
          <w:i/>
        </w:rPr>
        <w:t>Letter Decision</w:t>
      </w:r>
      <w:r w:rsidRPr="000E70E1">
        <w:t xml:space="preserve"> </w:t>
      </w:r>
      <w:r w:rsidR="006A205F">
        <w:t>found that Stolz</w:t>
      </w:r>
      <w:r w:rsidRPr="000E70E1">
        <w:t xml:space="preserve"> lack</w:t>
      </w:r>
      <w:r w:rsidR="006A205F">
        <w:t>ed</w:t>
      </w:r>
      <w:r w:rsidRPr="000E70E1">
        <w:t xml:space="preserve"> standing to file a petition to deny.  </w:t>
      </w:r>
      <w:r w:rsidRPr="000E70E1">
        <w:rPr>
          <w:i/>
        </w:rPr>
        <w:t xml:space="preserve">Letter Decision </w:t>
      </w:r>
      <w:r w:rsidRPr="000E70E1">
        <w:t>at 3-4.</w:t>
      </w:r>
      <w:r w:rsidR="004661A0" w:rsidRPr="000E70E1">
        <w:t xml:space="preserve">  </w:t>
      </w:r>
      <w:r w:rsidR="00FF7250" w:rsidRPr="00FF7250">
        <w:t xml:space="preserve">Stolz claimed to have party in interest status </w:t>
      </w:r>
      <w:r w:rsidR="00496E93">
        <w:t>because he own</w:t>
      </w:r>
      <w:r w:rsidR="00676345">
        <w:t>ed</w:t>
      </w:r>
      <w:r w:rsidR="00496E93">
        <w:t xml:space="preserve"> a residence</w:t>
      </w:r>
      <w:r w:rsidR="00FF7250" w:rsidRPr="00FF7250">
        <w:t xml:space="preserve"> within KUDL(FM)’s service contour</w:t>
      </w:r>
      <w:r w:rsidR="00496E93">
        <w:t xml:space="preserve"> and listen</w:t>
      </w:r>
      <w:r w:rsidR="00676345">
        <w:t>ed</w:t>
      </w:r>
      <w:r w:rsidR="00496E93">
        <w:t xml:space="preserve"> to the station when he is there, </w:t>
      </w:r>
      <w:r w:rsidR="00496E93" w:rsidRPr="00496E93">
        <w:t xml:space="preserve">with no indication of how regularly </w:t>
      </w:r>
      <w:r w:rsidR="00496E93">
        <w:t>he</w:t>
      </w:r>
      <w:r w:rsidR="00496E93" w:rsidRPr="00496E93">
        <w:t xml:space="preserve"> occupie</w:t>
      </w:r>
      <w:r w:rsidR="00676345">
        <w:t>d</w:t>
      </w:r>
      <w:r w:rsidR="00496E93" w:rsidRPr="00496E93">
        <w:t xml:space="preserve"> this residence</w:t>
      </w:r>
      <w:r w:rsidR="00496E93">
        <w:t xml:space="preserve">. </w:t>
      </w:r>
      <w:r w:rsidR="004E18DC">
        <w:t xml:space="preserve"> </w:t>
      </w:r>
      <w:r w:rsidR="00496E93">
        <w:t>T</w:t>
      </w:r>
      <w:r w:rsidR="00FF7250" w:rsidRPr="00FF7250">
        <w:t xml:space="preserve">he Bureau found that Stolz’s contacts </w:t>
      </w:r>
      <w:r w:rsidR="00496E93" w:rsidRPr="00FF7250">
        <w:t>with the Stations</w:t>
      </w:r>
      <w:r w:rsidR="00496E93">
        <w:t>,</w:t>
      </w:r>
      <w:r w:rsidR="00496E93" w:rsidRPr="00FF7250">
        <w:t xml:space="preserve"> at most</w:t>
      </w:r>
      <w:r w:rsidR="00496E93">
        <w:t>, were transient</w:t>
      </w:r>
      <w:r w:rsidR="00FF7250" w:rsidRPr="00FF7250">
        <w:t xml:space="preserve">.  </w:t>
      </w:r>
      <w:r w:rsidR="000F49DE" w:rsidRPr="000E70E1">
        <w:rPr>
          <w:i/>
        </w:rPr>
        <w:t xml:space="preserve">Id. </w:t>
      </w:r>
      <w:r w:rsidR="005F7349">
        <w:t xml:space="preserve">at 4. </w:t>
      </w:r>
      <w:r w:rsidR="000F49DE" w:rsidRPr="000E70E1">
        <w:rPr>
          <w:i/>
        </w:rPr>
        <w:t xml:space="preserve"> </w:t>
      </w:r>
      <w:r w:rsidR="004661A0" w:rsidRPr="000E70E1">
        <w:t xml:space="preserve">Additionally, </w:t>
      </w:r>
      <w:r w:rsidR="003E36B2">
        <w:t xml:space="preserve">we note that </w:t>
      </w:r>
      <w:r w:rsidR="004661A0" w:rsidRPr="000E70E1">
        <w:t xml:space="preserve">Stolz’s affidavit was not signed as required by Section 1.16 of the Commission’s Rules (Rules).  </w:t>
      </w:r>
      <w:r w:rsidR="004661A0" w:rsidRPr="000E70E1">
        <w:rPr>
          <w:i/>
        </w:rPr>
        <w:t xml:space="preserve">See </w:t>
      </w:r>
      <w:r w:rsidR="004661A0" w:rsidRPr="000E70E1">
        <w:t>47 CFR § 1.16.</w:t>
      </w:r>
    </w:p>
  </w:footnote>
  <w:footnote w:id="4">
    <w:p w14:paraId="44309669" w14:textId="0F09D324" w:rsidR="002617A8" w:rsidRPr="000E70E1" w:rsidRDefault="002617A8">
      <w:pPr>
        <w:pStyle w:val="FootnoteText"/>
      </w:pPr>
      <w:r w:rsidRPr="000E70E1">
        <w:rPr>
          <w:rStyle w:val="FootnoteReference"/>
          <w:rFonts w:ascii="Times New Roman" w:hAnsi="Times New Roman"/>
        </w:rPr>
        <w:footnoteRef/>
      </w:r>
      <w:r w:rsidRPr="000E70E1">
        <w:t xml:space="preserve"> </w:t>
      </w:r>
      <w:r w:rsidRPr="000E70E1">
        <w:rPr>
          <w:i/>
        </w:rPr>
        <w:t xml:space="preserve">See Entercom License, LLC, </w:t>
      </w:r>
      <w:r w:rsidRPr="000E70E1">
        <w:t>Order, FCC 17M-02, 2017 WL 499210 (</w:t>
      </w:r>
      <w:r w:rsidR="001F2188">
        <w:t xml:space="preserve">ALJ </w:t>
      </w:r>
      <w:r w:rsidRPr="000E70E1">
        <w:t>Feb. 6, 2017)</w:t>
      </w:r>
      <w:r w:rsidR="00DE7365" w:rsidRPr="000E70E1">
        <w:t xml:space="preserve"> (</w:t>
      </w:r>
      <w:r w:rsidR="00DE7365" w:rsidRPr="000E70E1">
        <w:rPr>
          <w:i/>
        </w:rPr>
        <w:t>Entercom Relinquishment Order)</w:t>
      </w:r>
      <w:r w:rsidRPr="000E70E1">
        <w:t>.</w:t>
      </w:r>
    </w:p>
  </w:footnote>
  <w:footnote w:id="5">
    <w:p w14:paraId="1A42A7DC" w14:textId="238C2D5E" w:rsidR="00CD5A11" w:rsidRPr="000E70E1" w:rsidRDefault="00CD5A11">
      <w:pPr>
        <w:pStyle w:val="FootnoteText"/>
      </w:pPr>
      <w:r w:rsidRPr="000E70E1">
        <w:rPr>
          <w:rStyle w:val="FootnoteReference"/>
          <w:rFonts w:ascii="Times New Roman" w:hAnsi="Times New Roman"/>
        </w:rPr>
        <w:footnoteRef/>
      </w:r>
      <w:r w:rsidRPr="000E70E1">
        <w:t xml:space="preserve"> </w:t>
      </w:r>
      <w:r w:rsidRPr="000E70E1">
        <w:rPr>
          <w:i/>
        </w:rPr>
        <w:t>See Entercom Licenses, LLC</w:t>
      </w:r>
      <w:r w:rsidRPr="000E70E1">
        <w:t>, Hearing Designation Order</w:t>
      </w:r>
      <w:r w:rsidR="001F2188">
        <w:t xml:space="preserve"> and Notice of Opportunity for Hearing</w:t>
      </w:r>
      <w:r w:rsidRPr="000E70E1">
        <w:t>, 31 FCC Rcd 12196, 12229, para. 83 (2016) (</w:t>
      </w:r>
      <w:r w:rsidRPr="000E70E1">
        <w:rPr>
          <w:i/>
        </w:rPr>
        <w:t>KDND HDO</w:t>
      </w:r>
      <w:r w:rsidRPr="000E70E1">
        <w:t>).</w:t>
      </w:r>
    </w:p>
  </w:footnote>
  <w:footnote w:id="6">
    <w:p w14:paraId="1E714A00" w14:textId="6441BABD" w:rsidR="00214AB2" w:rsidRPr="000E70E1" w:rsidRDefault="00214AB2">
      <w:pPr>
        <w:pStyle w:val="FootnoteText"/>
      </w:pPr>
      <w:r w:rsidRPr="000E70E1">
        <w:rPr>
          <w:rStyle w:val="FootnoteReference"/>
          <w:rFonts w:ascii="Times New Roman" w:hAnsi="Times New Roman"/>
        </w:rPr>
        <w:footnoteRef/>
      </w:r>
      <w:r w:rsidR="00DE7365" w:rsidRPr="000E70E1">
        <w:t xml:space="preserve"> </w:t>
      </w:r>
      <w:r w:rsidRPr="000E70E1">
        <w:t>Petition at 3-4.</w:t>
      </w:r>
    </w:p>
  </w:footnote>
  <w:footnote w:id="7">
    <w:p w14:paraId="7B79819A" w14:textId="6CB796D5" w:rsidR="00F20FAB" w:rsidRPr="000E70E1" w:rsidRDefault="00F20FAB">
      <w:pPr>
        <w:pStyle w:val="FootnoteText"/>
      </w:pPr>
      <w:r w:rsidRPr="000E70E1">
        <w:rPr>
          <w:rStyle w:val="FootnoteReference"/>
          <w:rFonts w:ascii="Times New Roman" w:hAnsi="Times New Roman"/>
        </w:rPr>
        <w:footnoteRef/>
      </w:r>
      <w:r w:rsidRPr="000E70E1">
        <w:t xml:space="preserve"> </w:t>
      </w:r>
      <w:r w:rsidRPr="000E70E1">
        <w:rPr>
          <w:i/>
        </w:rPr>
        <w:t xml:space="preserve">Id </w:t>
      </w:r>
      <w:r w:rsidRPr="000E70E1">
        <w:t xml:space="preserve">at 4.  </w:t>
      </w:r>
    </w:p>
  </w:footnote>
  <w:footnote w:id="8">
    <w:p w14:paraId="138EBE21" w14:textId="4F36AEF2" w:rsidR="00F01E78" w:rsidRPr="000E70E1" w:rsidRDefault="00F01E78" w:rsidP="00F01E78">
      <w:pPr>
        <w:pStyle w:val="FootnoteText"/>
      </w:pPr>
      <w:r w:rsidRPr="000E70E1">
        <w:rPr>
          <w:rStyle w:val="FootnoteReference"/>
          <w:rFonts w:ascii="Times New Roman" w:hAnsi="Times New Roman"/>
        </w:rPr>
        <w:footnoteRef/>
      </w:r>
      <w:r w:rsidRPr="000E70E1">
        <w:t xml:space="preserve"> </w:t>
      </w:r>
      <w:r w:rsidRPr="000E70E1">
        <w:rPr>
          <w:i/>
        </w:rPr>
        <w:t>Id</w:t>
      </w:r>
      <w:r w:rsidRPr="000E70E1">
        <w:t>. at 6-7</w:t>
      </w:r>
      <w:r w:rsidR="000A1809" w:rsidRPr="000E70E1">
        <w:t xml:space="preserve"> (citing </w:t>
      </w:r>
      <w:r w:rsidR="000A1809" w:rsidRPr="000E70E1">
        <w:rPr>
          <w:i/>
        </w:rPr>
        <w:t xml:space="preserve">Stolz v. FCC, </w:t>
      </w:r>
      <w:r w:rsidR="000A1809" w:rsidRPr="000E70E1">
        <w:t xml:space="preserve">Case No. </w:t>
      </w:r>
      <w:r w:rsidR="00B93548" w:rsidRPr="000E70E1">
        <w:t>16-1248 (D.C. Cir. 2016))</w:t>
      </w:r>
      <w:r w:rsidRPr="000E70E1">
        <w:t>.</w:t>
      </w:r>
    </w:p>
  </w:footnote>
  <w:footnote w:id="9">
    <w:p w14:paraId="4CBF6A7E" w14:textId="33D7725C" w:rsidR="008B6BDE" w:rsidRPr="000E70E1" w:rsidRDefault="008B6BDE">
      <w:pPr>
        <w:pStyle w:val="FootnoteText"/>
        <w:rPr>
          <w:i/>
        </w:rPr>
      </w:pPr>
      <w:r w:rsidRPr="000E70E1">
        <w:rPr>
          <w:rStyle w:val="FootnoteReference"/>
          <w:rFonts w:ascii="Times New Roman" w:hAnsi="Times New Roman"/>
        </w:rPr>
        <w:footnoteRef/>
      </w:r>
      <w:r w:rsidRPr="000E70E1">
        <w:t xml:space="preserve"> Petition at 7.</w:t>
      </w:r>
    </w:p>
  </w:footnote>
  <w:footnote w:id="10">
    <w:p w14:paraId="6E3771F9" w14:textId="7D92A5D7" w:rsidR="00EA4363" w:rsidRPr="000E70E1" w:rsidRDefault="00EA4363">
      <w:pPr>
        <w:pStyle w:val="FootnoteText"/>
      </w:pPr>
      <w:r w:rsidRPr="000E70E1">
        <w:rPr>
          <w:rStyle w:val="FootnoteReference"/>
          <w:rFonts w:ascii="Times New Roman" w:hAnsi="Times New Roman"/>
        </w:rPr>
        <w:footnoteRef/>
      </w:r>
      <w:r w:rsidRPr="000E70E1">
        <w:t xml:space="preserve"> Opposition at 1.</w:t>
      </w:r>
    </w:p>
  </w:footnote>
  <w:footnote w:id="11">
    <w:p w14:paraId="20AD6EF4" w14:textId="2FD49EC7" w:rsidR="00EA4363" w:rsidRPr="000E70E1" w:rsidRDefault="00EA4363">
      <w:pPr>
        <w:pStyle w:val="FootnoteText"/>
        <w:rPr>
          <w:i/>
        </w:rPr>
      </w:pPr>
      <w:r w:rsidRPr="000E70E1">
        <w:rPr>
          <w:rStyle w:val="FootnoteReference"/>
          <w:rFonts w:ascii="Times New Roman" w:hAnsi="Times New Roman"/>
        </w:rPr>
        <w:footnoteRef/>
      </w:r>
      <w:r w:rsidRPr="000E70E1">
        <w:t xml:space="preserve"> Stolz only mentions that he “owns a residence in the Arden-Arcade district in Sacramento, California</w:t>
      </w:r>
      <w:r w:rsidR="009C5D22" w:rsidRPr="000E70E1">
        <w:t>,</w:t>
      </w:r>
      <w:r w:rsidRPr="000E70E1">
        <w:t>”</w:t>
      </w:r>
      <w:r w:rsidR="009C5D22" w:rsidRPr="000E70E1">
        <w:t xml:space="preserve"> with no mention of whether he primarily resides there or regularly frequents the residence and listens to the station. </w:t>
      </w:r>
      <w:r w:rsidR="009C5D22" w:rsidRPr="000E70E1">
        <w:rPr>
          <w:i/>
        </w:rPr>
        <w:t xml:space="preserve"> See </w:t>
      </w:r>
      <w:r w:rsidR="00EE483F" w:rsidRPr="000E70E1">
        <w:t>Petition at 6.</w:t>
      </w:r>
    </w:p>
  </w:footnote>
  <w:footnote w:id="12">
    <w:p w14:paraId="448259B4" w14:textId="3EA1E0C9" w:rsidR="00EB060E" w:rsidRPr="000E70E1" w:rsidRDefault="00EB060E">
      <w:pPr>
        <w:pStyle w:val="FootnoteText"/>
      </w:pPr>
      <w:r w:rsidRPr="000E70E1">
        <w:rPr>
          <w:rStyle w:val="FootnoteReference"/>
          <w:rFonts w:ascii="Times New Roman" w:hAnsi="Times New Roman"/>
        </w:rPr>
        <w:footnoteRef/>
      </w:r>
      <w:r w:rsidRPr="000E70E1">
        <w:t xml:space="preserve"> </w:t>
      </w:r>
      <w:r w:rsidRPr="000E70E1">
        <w:rPr>
          <w:i/>
        </w:rPr>
        <w:t xml:space="preserve">Id. </w:t>
      </w:r>
      <w:r w:rsidRPr="000E70E1">
        <w:t>at 3.</w:t>
      </w:r>
    </w:p>
  </w:footnote>
  <w:footnote w:id="13">
    <w:p w14:paraId="4AB8388C" w14:textId="0A798D94" w:rsidR="005D1678" w:rsidRPr="000E70E1" w:rsidRDefault="005D1678">
      <w:pPr>
        <w:pStyle w:val="FootnoteText"/>
      </w:pPr>
      <w:r w:rsidRPr="000E70E1">
        <w:rPr>
          <w:rStyle w:val="FootnoteReference"/>
          <w:rFonts w:ascii="Times New Roman" w:hAnsi="Times New Roman"/>
        </w:rPr>
        <w:footnoteRef/>
      </w:r>
      <w:r w:rsidRPr="000E70E1">
        <w:t xml:space="preserve"> 47 U.S.C. § 309(k)(1); Opposition at 4.</w:t>
      </w:r>
    </w:p>
  </w:footnote>
  <w:footnote w:id="14">
    <w:p w14:paraId="14811346" w14:textId="51B3613B" w:rsidR="00F82245" w:rsidRPr="000E70E1" w:rsidRDefault="00F82245" w:rsidP="00F82245">
      <w:pPr>
        <w:pStyle w:val="FootnoteText"/>
      </w:pPr>
      <w:r w:rsidRPr="000E70E1">
        <w:rPr>
          <w:rStyle w:val="FootnoteReference"/>
          <w:rFonts w:ascii="Times New Roman" w:hAnsi="Times New Roman"/>
        </w:rPr>
        <w:footnoteRef/>
      </w:r>
      <w:r w:rsidRPr="000E70E1">
        <w:t xml:space="preserve"> </w:t>
      </w:r>
      <w:r w:rsidRPr="000E70E1">
        <w:rPr>
          <w:i/>
          <w:iCs/>
        </w:rPr>
        <w:t>See</w:t>
      </w:r>
      <w:r w:rsidRPr="000E70E1">
        <w:t> </w:t>
      </w:r>
      <w:r w:rsidRPr="000E70E1">
        <w:rPr>
          <w:bCs/>
        </w:rPr>
        <w:t>47 CFR § 1.106(c)</w:t>
      </w:r>
      <w:r w:rsidRPr="000E70E1">
        <w:t>,</w:t>
      </w:r>
      <w:r w:rsidRPr="000E70E1">
        <w:rPr>
          <w:bCs/>
        </w:rPr>
        <w:t>(d)</w:t>
      </w:r>
      <w:r w:rsidRPr="000E70E1">
        <w:t>; </w:t>
      </w:r>
      <w:r w:rsidRPr="000E70E1">
        <w:rPr>
          <w:i/>
          <w:iCs/>
        </w:rPr>
        <w:t>see also WWIZ, Inc.</w:t>
      </w:r>
      <w:r w:rsidRPr="000E70E1">
        <w:t>, Memorandum Opinion and Order, 37 FCC 685, 686</w:t>
      </w:r>
      <w:r w:rsidR="00B93548" w:rsidRPr="000E70E1">
        <w:t>, para. 2</w:t>
      </w:r>
      <w:r w:rsidRPr="000E70E1">
        <w:t xml:space="preserve"> (1964), </w:t>
      </w:r>
      <w:r w:rsidRPr="000E70E1">
        <w:rPr>
          <w:i/>
          <w:iCs/>
        </w:rPr>
        <w:t>aff'd sub nom. Lorain Journal Co. v. FCC</w:t>
      </w:r>
      <w:r w:rsidRPr="000E70E1">
        <w:t>, 351 F.2d 824 (D.C. Cir. 1965), </w:t>
      </w:r>
      <w:r w:rsidRPr="000E70E1">
        <w:rPr>
          <w:i/>
          <w:iCs/>
        </w:rPr>
        <w:t>cert. denied</w:t>
      </w:r>
      <w:r w:rsidRPr="000E70E1">
        <w:t>, 387 U.S. 967 (1966).</w:t>
      </w:r>
    </w:p>
  </w:footnote>
  <w:footnote w:id="15">
    <w:p w14:paraId="36CD15F5" w14:textId="77777777" w:rsidR="00F82245" w:rsidRPr="000E70E1" w:rsidRDefault="00F82245" w:rsidP="00F82245">
      <w:pPr>
        <w:pStyle w:val="FootnoteText"/>
      </w:pPr>
      <w:r w:rsidRPr="000E70E1">
        <w:rPr>
          <w:rStyle w:val="FootnoteReference"/>
          <w:rFonts w:ascii="Times New Roman" w:hAnsi="Times New Roman"/>
        </w:rPr>
        <w:footnoteRef/>
      </w:r>
      <w:r w:rsidRPr="000E70E1">
        <w:t xml:space="preserve"> </w:t>
      </w:r>
      <w:r w:rsidRPr="000E70E1">
        <w:rPr>
          <w:bCs/>
        </w:rPr>
        <w:t>47 CFR § 1.106(b)(1)</w:t>
      </w:r>
      <w:r w:rsidRPr="000E70E1">
        <w:t>.</w:t>
      </w:r>
    </w:p>
  </w:footnote>
  <w:footnote w:id="16">
    <w:p w14:paraId="6A1F2830" w14:textId="4ACC36C6" w:rsidR="00430BE0" w:rsidRPr="005972F3" w:rsidRDefault="00430BE0">
      <w:pPr>
        <w:pStyle w:val="FootnoteText"/>
      </w:pPr>
      <w:r>
        <w:rPr>
          <w:rStyle w:val="FootnoteReference"/>
        </w:rPr>
        <w:footnoteRef/>
      </w:r>
      <w:r>
        <w:t xml:space="preserve"> </w:t>
      </w:r>
      <w:r w:rsidRPr="00391E50">
        <w:rPr>
          <w:i/>
          <w:iCs/>
        </w:rPr>
        <w:t>Montgomery County Broad</w:t>
      </w:r>
      <w:r w:rsidR="00DB3542" w:rsidRPr="005972F3">
        <w:rPr>
          <w:i/>
          <w:iCs/>
        </w:rPr>
        <w:t>.</w:t>
      </w:r>
      <w:r w:rsidRPr="00391E50">
        <w:rPr>
          <w:i/>
          <w:iCs/>
        </w:rPr>
        <w:t xml:space="preserve"> Corp.,</w:t>
      </w:r>
      <w:r w:rsidRPr="005972F3">
        <w:t xml:space="preserve"> </w:t>
      </w:r>
      <w:r w:rsidR="005972F3" w:rsidRPr="005972F3">
        <w:t xml:space="preserve">Memorandum Opinion and Order, </w:t>
      </w:r>
      <w:r w:rsidRPr="005972F3">
        <w:t>65 F</w:t>
      </w:r>
      <w:r w:rsidRPr="00391E50">
        <w:t>CC</w:t>
      </w:r>
      <w:r w:rsidRPr="005972F3">
        <w:t xml:space="preserve"> </w:t>
      </w:r>
      <w:r w:rsidRPr="00391E50">
        <w:t>2d 876, 877 n.2 (1977)</w:t>
      </w:r>
      <w:r w:rsidR="009D7797">
        <w:t>.</w:t>
      </w:r>
      <w:r w:rsidR="009D7797" w:rsidRPr="00391E50">
        <w:t xml:space="preserve"> </w:t>
      </w:r>
    </w:p>
  </w:footnote>
  <w:footnote w:id="17">
    <w:p w14:paraId="76B5CB3D" w14:textId="5FEA2A9C" w:rsidR="00851F50" w:rsidRPr="000E70E1" w:rsidRDefault="00851F50" w:rsidP="00851F50">
      <w:pPr>
        <w:pStyle w:val="FootnoteText"/>
      </w:pPr>
      <w:r w:rsidRPr="000E70E1">
        <w:rPr>
          <w:rStyle w:val="FootnoteReference"/>
          <w:rFonts w:ascii="Times New Roman" w:hAnsi="Times New Roman"/>
        </w:rPr>
        <w:footnoteRef/>
      </w:r>
      <w:r w:rsidRPr="000E70E1">
        <w:t xml:space="preserve"> </w:t>
      </w:r>
      <w:r w:rsidR="009D7797" w:rsidRPr="006956CC">
        <w:rPr>
          <w:i/>
          <w:iCs/>
        </w:rPr>
        <w:t>Id</w:t>
      </w:r>
      <w:r w:rsidRPr="000E70E1">
        <w:rPr>
          <w:iCs/>
        </w:rPr>
        <w:t>.</w:t>
      </w:r>
      <w:r w:rsidR="00742187">
        <w:rPr>
          <w:iCs/>
        </w:rPr>
        <w:t xml:space="preserve"> </w:t>
      </w:r>
      <w:r w:rsidR="00742187" w:rsidRPr="005972F3">
        <w:t>(</w:t>
      </w:r>
      <w:r w:rsidR="00742187" w:rsidRPr="00391E50">
        <w:rPr>
          <w:color w:val="212121"/>
        </w:rPr>
        <w:t>an informal pre-grant objector who could have filed a petition to deny but did not and who later files a petition for reconsideration is not, as a matter of right, entitled to a decision on the merits</w:t>
      </w:r>
      <w:r w:rsidR="00742187">
        <w:rPr>
          <w:color w:val="212121"/>
        </w:rPr>
        <w:t>).</w:t>
      </w:r>
    </w:p>
  </w:footnote>
  <w:footnote w:id="18">
    <w:p w14:paraId="23F0172D" w14:textId="280F994E" w:rsidR="002F7B5B" w:rsidRPr="000E70E1" w:rsidRDefault="002F7B5B">
      <w:pPr>
        <w:pStyle w:val="FootnoteText"/>
      </w:pPr>
      <w:r w:rsidRPr="000E70E1">
        <w:rPr>
          <w:rStyle w:val="FootnoteReference"/>
          <w:rFonts w:ascii="Times New Roman" w:hAnsi="Times New Roman"/>
        </w:rPr>
        <w:footnoteRef/>
      </w:r>
      <w:r w:rsidRPr="000E70E1">
        <w:t xml:space="preserve"> </w:t>
      </w:r>
      <w:r w:rsidR="000A1809" w:rsidRPr="000E70E1">
        <w:rPr>
          <w:i/>
        </w:rPr>
        <w:t xml:space="preserve">KDND HDO, </w:t>
      </w:r>
      <w:r w:rsidR="000A1809" w:rsidRPr="000E70E1">
        <w:t>31 FCC Rcd at 12206, para. 23</w:t>
      </w:r>
      <w:r w:rsidRPr="000E70E1">
        <w:t xml:space="preserve">; </w:t>
      </w:r>
      <w:r w:rsidRPr="000E70E1">
        <w:rPr>
          <w:i/>
        </w:rPr>
        <w:t xml:space="preserve">see Letter Decision </w:t>
      </w:r>
      <w:r w:rsidRPr="000E70E1">
        <w:t>at 3-4; Opposition at 3.</w:t>
      </w:r>
    </w:p>
  </w:footnote>
  <w:footnote w:id="19">
    <w:p w14:paraId="60E4F529" w14:textId="4979A500" w:rsidR="0070275B" w:rsidRPr="000E70E1" w:rsidRDefault="0070275B">
      <w:pPr>
        <w:pStyle w:val="FootnoteText"/>
      </w:pPr>
      <w:r w:rsidRPr="000E70E1">
        <w:rPr>
          <w:rStyle w:val="FootnoteReference"/>
          <w:rFonts w:ascii="Times New Roman" w:hAnsi="Times New Roman"/>
        </w:rPr>
        <w:footnoteRef/>
      </w:r>
      <w:r w:rsidRPr="000E70E1">
        <w:t xml:space="preserve"> 47 CFR § 1.106(c)</w:t>
      </w:r>
      <w:r w:rsidR="00775B65">
        <w:t xml:space="preserve"> (</w:t>
      </w:r>
      <w:r w:rsidR="00F33537">
        <w:t xml:space="preserve">requiring that the petition rely on </w:t>
      </w:r>
      <w:r w:rsidR="00F33537" w:rsidRPr="00F33537">
        <w:t>facts or arguments unknown to petitioner until after his last opportunity to present them</w:t>
      </w:r>
      <w:r w:rsidR="00F33537">
        <w:t>).</w:t>
      </w:r>
    </w:p>
  </w:footnote>
  <w:footnote w:id="20">
    <w:p w14:paraId="1B060D74" w14:textId="2CC774B9" w:rsidR="0070275B" w:rsidRPr="00AD3BBE" w:rsidRDefault="0070275B">
      <w:pPr>
        <w:pStyle w:val="FootnoteText"/>
      </w:pPr>
      <w:r w:rsidRPr="000E70E1">
        <w:rPr>
          <w:rStyle w:val="FootnoteReference"/>
          <w:rFonts w:ascii="Times New Roman" w:hAnsi="Times New Roman"/>
        </w:rPr>
        <w:footnoteRef/>
      </w:r>
      <w:r w:rsidRPr="000E70E1">
        <w:t xml:space="preserve"> Stolz argues </w:t>
      </w:r>
      <w:r w:rsidR="003351A3">
        <w:t xml:space="preserve">economic </w:t>
      </w:r>
      <w:r w:rsidRPr="000E70E1">
        <w:t>standing on the basis that he is “attempting to get station KUDL (</w:t>
      </w:r>
      <w:r w:rsidR="00280A7B" w:rsidRPr="000E70E1">
        <w:t>formerly</w:t>
      </w:r>
      <w:r w:rsidRPr="000E70E1">
        <w:t xml:space="preserve"> KWOD) back from Entercom.”  Stolz argument r</w:t>
      </w:r>
      <w:r w:rsidR="000A1809" w:rsidRPr="000E70E1">
        <w:t>ests on the anticipation that he</w:t>
      </w:r>
      <w:r w:rsidRPr="000E70E1">
        <w:t xml:space="preserve"> will re</w:t>
      </w:r>
      <w:r w:rsidR="000A1809" w:rsidRPr="000E70E1">
        <w:t>ceive a favorable outcome in the</w:t>
      </w:r>
      <w:r w:rsidRPr="000E70E1">
        <w:t xml:space="preserve"> pending litigation and be awarded a Commission license.</w:t>
      </w:r>
      <w:r w:rsidR="00280A7B" w:rsidRPr="000E70E1">
        <w:t xml:space="preserve"> </w:t>
      </w:r>
      <w:r w:rsidR="000A1809" w:rsidRPr="000E70E1">
        <w:t xml:space="preserve"> Arguments for</w:t>
      </w:r>
      <w:r w:rsidR="00280A7B" w:rsidRPr="000E70E1">
        <w:t xml:space="preserve"> </w:t>
      </w:r>
      <w:r w:rsidR="000A1809" w:rsidRPr="000E70E1">
        <w:t xml:space="preserve">competitor or “economic” </w:t>
      </w:r>
      <w:r w:rsidR="00280A7B" w:rsidRPr="000E70E1">
        <w:t xml:space="preserve">standing require an “actual state of competition, not the future prospect thereof.”  </w:t>
      </w:r>
      <w:r w:rsidR="00280A7B" w:rsidRPr="000E70E1">
        <w:rPr>
          <w:i/>
        </w:rPr>
        <w:t>See</w:t>
      </w:r>
      <w:r w:rsidR="00280A7B" w:rsidRPr="000E70E1">
        <w:t xml:space="preserve"> </w:t>
      </w:r>
      <w:r w:rsidR="00280A7B" w:rsidRPr="000E70E1">
        <w:rPr>
          <w:i/>
        </w:rPr>
        <w:t>William L. Fox, et al</w:t>
      </w:r>
      <w:r w:rsidR="003F0678">
        <w:rPr>
          <w:i/>
        </w:rPr>
        <w:t>.</w:t>
      </w:r>
      <w:r w:rsidR="00280A7B" w:rsidRPr="000E70E1">
        <w:rPr>
          <w:i/>
        </w:rPr>
        <w:t xml:space="preserve">, </w:t>
      </w:r>
      <w:r w:rsidR="00280A7B" w:rsidRPr="000E70E1">
        <w:t>Memorandum Opinion and Order</w:t>
      </w:r>
      <w:r w:rsidR="00280A7B" w:rsidRPr="000E70E1">
        <w:rPr>
          <w:i/>
        </w:rPr>
        <w:t xml:space="preserve">, </w:t>
      </w:r>
      <w:r w:rsidR="00280A7B" w:rsidRPr="000E70E1">
        <w:t>17 FCC 2d 876, 877, para. 3 (1969)</w:t>
      </w:r>
      <w:r w:rsidR="00FF7250" w:rsidRPr="00FF7250">
        <w:t xml:space="preserve">; </w:t>
      </w:r>
      <w:r w:rsidR="00FF7250" w:rsidRPr="00FF7250">
        <w:rPr>
          <w:i/>
        </w:rPr>
        <w:t>cf</w:t>
      </w:r>
      <w:r w:rsidR="00FF7250" w:rsidRPr="00FF7250">
        <w:t xml:space="preserve">. </w:t>
      </w:r>
      <w:r w:rsidR="00FF7250" w:rsidRPr="00FF7250">
        <w:rPr>
          <w:i/>
        </w:rPr>
        <w:t xml:space="preserve">Cloud Nine Broad., Inc., </w:t>
      </w:r>
      <w:r w:rsidR="00AD3BBE">
        <w:t xml:space="preserve">Letter Order, </w:t>
      </w:r>
      <w:r w:rsidR="00FF7250" w:rsidRPr="00FF7250">
        <w:t>10 FCC Rcd 11555, 11556 (MMB 1995) (finding that, by stating with particularity the manner in which the person’s interest are adversely affected by the action taken and showing good reason why it was not possible to participate in the earlier stages of a proceeding, a petitioner who was not previously a party to the proceeding had standing to file a petition for reconsideration as an aggrieved party).</w:t>
      </w:r>
      <w:r w:rsidR="00AD3BBE">
        <w:t xml:space="preserve">  Moreover, the Commission has rejected precisely this argument with regard to </w:t>
      </w:r>
      <w:r w:rsidR="009F0060">
        <w:t xml:space="preserve">Stolz’s standing in the </w:t>
      </w:r>
      <w:r w:rsidR="00AD3BBE">
        <w:t>KDND</w:t>
      </w:r>
      <w:r w:rsidR="009F0060">
        <w:t xml:space="preserve"> proceeding</w:t>
      </w:r>
      <w:r w:rsidR="00AD3BBE">
        <w:t xml:space="preserve">.  </w:t>
      </w:r>
      <w:r w:rsidR="00AD3BBE">
        <w:rPr>
          <w:i/>
        </w:rPr>
        <w:t>Entercom License, LLC</w:t>
      </w:r>
      <w:r w:rsidR="00AD3BBE">
        <w:t xml:space="preserve">, Memorandum </w:t>
      </w:r>
      <w:r w:rsidR="009F0060">
        <w:t xml:space="preserve">Opinion and Order, FCC 17-114, para. 4 (2017) (finding Stolz lacked standing to file a petition for reconsideration of the </w:t>
      </w:r>
      <w:r w:rsidR="009F0060">
        <w:rPr>
          <w:i/>
        </w:rPr>
        <w:t>KDND HDO</w:t>
      </w:r>
      <w:r w:rsidR="009F0060">
        <w:t>).</w:t>
      </w:r>
    </w:p>
  </w:footnote>
  <w:footnote w:id="21">
    <w:p w14:paraId="03E93ED3" w14:textId="77777777" w:rsidR="00AC6858" w:rsidRPr="00240995" w:rsidRDefault="00AC6858" w:rsidP="00AC6858">
      <w:pPr>
        <w:pStyle w:val="FootnoteText"/>
      </w:pPr>
      <w:r w:rsidRPr="000E70E1">
        <w:rPr>
          <w:rStyle w:val="FootnoteReference"/>
          <w:rFonts w:ascii="Times New Roman" w:hAnsi="Times New Roman"/>
        </w:rPr>
        <w:footnoteRef/>
      </w:r>
      <w:r w:rsidRPr="000E70E1">
        <w:t xml:space="preserve"> </w:t>
      </w:r>
      <w:r w:rsidRPr="000E70E1">
        <w:rPr>
          <w:i/>
        </w:rPr>
        <w:t xml:space="preserve">Sagittarius </w:t>
      </w:r>
      <w:r w:rsidRPr="000E70E1">
        <w:rPr>
          <w:i/>
          <w:iCs/>
        </w:rPr>
        <w:t xml:space="preserve">Broad. Corp., </w:t>
      </w:r>
      <w:r w:rsidRPr="000E70E1">
        <w:t>Memorandum Opinion and Order, 18 FCC Rcd 225</w:t>
      </w:r>
      <w:r w:rsidRPr="00240995">
        <w:t>51, 22555, para. 8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A0CCE" w14:textId="77777777" w:rsidR="00347240" w:rsidRDefault="003472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CA5D" w14:textId="77777777" w:rsidR="00BF6E58" w:rsidRDefault="00A925BB">
    <w:pPr>
      <w:tabs>
        <w:tab w:val="center" w:pos="4680"/>
        <w:tab w:val="right" w:pos="9360"/>
      </w:tabs>
      <w:suppressAutoHyphens/>
      <w:spacing w:line="227" w:lineRule="auto"/>
      <w:jc w:val="both"/>
      <w:rPr>
        <w:rFonts w:ascii="Calisto MT" w:hAnsi="Calisto MT"/>
        <w:spacing w:val="-2"/>
      </w:rPr>
    </w:pPr>
  </w:p>
  <w:p w14:paraId="666401BD" w14:textId="77777777" w:rsidR="00BF6E58" w:rsidRDefault="00A925BB">
    <w:pPr>
      <w:tabs>
        <w:tab w:val="left" w:pos="-720"/>
      </w:tabs>
      <w:suppressAutoHyphens/>
      <w:spacing w:line="19" w:lineRule="exact"/>
      <w:jc w:val="both"/>
      <w:rPr>
        <w:sz w:val="10"/>
      </w:rPr>
    </w:pPr>
  </w:p>
  <w:p w14:paraId="25A39318" w14:textId="77777777" w:rsidR="00BF6E58" w:rsidRDefault="00A925BB">
    <w:pPr>
      <w:tabs>
        <w:tab w:val="left" w:pos="-720"/>
      </w:tabs>
      <w:suppressAutoHyphens/>
      <w:spacing w:line="19" w:lineRule="exact"/>
      <w:jc w:val="both"/>
      <w:rPr>
        <w:sz w:val="10"/>
      </w:rPr>
    </w:pPr>
  </w:p>
  <w:p w14:paraId="0F4EB49F" w14:textId="77777777" w:rsidR="00BF6E58" w:rsidRDefault="00A925BB">
    <w:pPr>
      <w:tabs>
        <w:tab w:val="left" w:pos="-720"/>
      </w:tabs>
      <w:suppressAutoHyphens/>
      <w:spacing w:line="19" w:lineRule="exact"/>
      <w:jc w:val="both"/>
      <w:rPr>
        <w:sz w:val="10"/>
      </w:rPr>
    </w:pPr>
  </w:p>
  <w:p w14:paraId="5973F461" w14:textId="77777777" w:rsidR="00BF6E58" w:rsidRDefault="00A925BB">
    <w:pPr>
      <w:tabs>
        <w:tab w:val="left" w:pos="-720"/>
      </w:tabs>
      <w:suppressAutoHyphens/>
      <w:spacing w:line="19" w:lineRule="exact"/>
      <w:jc w:val="both"/>
      <w:rPr>
        <w:sz w:val="10"/>
      </w:rPr>
    </w:pPr>
  </w:p>
  <w:p w14:paraId="5073050E" w14:textId="77777777" w:rsidR="00BF6E58" w:rsidRDefault="00A925BB">
    <w:pPr>
      <w:tabs>
        <w:tab w:val="left" w:pos="-720"/>
      </w:tabs>
      <w:suppressAutoHyphens/>
      <w:spacing w:line="19" w:lineRule="exact"/>
      <w:jc w:val="both"/>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38B07" w14:textId="77777777" w:rsidR="00BF6E58" w:rsidRPr="00504897" w:rsidRDefault="00A925BB">
    <w:pPr>
      <w:pStyle w:val="Heading2"/>
      <w:spacing w:line="240" w:lineRule="auto"/>
      <w:rPr>
        <w:rFonts w:ascii="CG Times" w:hAnsi="CG Times"/>
        <w:b/>
        <w:color w:val="000000"/>
        <w:szCs w:val="24"/>
      </w:rPr>
    </w:pPr>
    <w:r>
      <w:rPr>
        <w:rFonts w:ascii="CG Times" w:hAnsi="CG Times"/>
        <w:b/>
        <w:noProof/>
        <w:snapToGrid/>
        <w:color w:val="000000"/>
        <w:szCs w:val="24"/>
      </w:rPr>
      <w:pict w14:anchorId="44BFE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4.8pt;margin-top:2pt;width:69.3pt;height:64.8pt;z-index:251658240;visibility:visible;mso-wrap-edited:f" o:allowincell="f" filled="t" fillcolor="#3cc">
          <v:imagedata r:id="rId1" o:title="" gain="69719f"/>
        </v:shape>
        <o:OLEObject Type="Embed" ProgID="Word.Picture.8" ShapeID="_x0000_s2051" DrawAspect="Content" ObjectID="_1566625521" r:id="rId2"/>
      </w:pict>
    </w:r>
    <w:r w:rsidR="0092040F" w:rsidRPr="00504897">
      <w:rPr>
        <w:rFonts w:ascii="CG Times" w:hAnsi="CG Times"/>
        <w:b/>
        <w:color w:val="000000"/>
        <w:szCs w:val="24"/>
      </w:rPr>
      <w:t>Federal Communications Commission</w:t>
    </w:r>
  </w:p>
  <w:p w14:paraId="5CC96E99" w14:textId="77777777" w:rsidR="00BF6E58" w:rsidRPr="00504897" w:rsidRDefault="0092040F">
    <w:pPr>
      <w:jc w:val="center"/>
      <w:rPr>
        <w:rFonts w:ascii="CG Times" w:hAnsi="CG Times"/>
        <w:b/>
        <w:color w:val="000000"/>
        <w:spacing w:val="-2"/>
        <w:sz w:val="28"/>
      </w:rPr>
    </w:pPr>
    <w:r w:rsidRPr="00504897">
      <w:rPr>
        <w:rFonts w:ascii="CG Times" w:hAnsi="CG Times"/>
        <w:b/>
        <w:color w:val="000000"/>
        <w:spacing w:val="-2"/>
        <w:szCs w:val="24"/>
      </w:rPr>
      <w:t>Washington, D.C. 20554</w:t>
    </w:r>
  </w:p>
  <w:sdt>
    <w:sdtPr>
      <w:rPr>
        <w:rStyle w:val="Style1"/>
        <w:sz w:val="20"/>
      </w:rPr>
      <w:alias w:val="Date"/>
      <w:tag w:val="Date"/>
      <w:id w:val="-218359185"/>
      <w:placeholder>
        <w:docPart w:val="84DAFB467D374900A25926CB54ABC85E"/>
      </w:placeholder>
      <w:date w:fullDate="2017-09-11T00:00:00Z">
        <w:dateFormat w:val="MMMM d, yyyy"/>
        <w:lid w:val="en-US"/>
        <w:storeMappedDataAs w:val="dateTime"/>
        <w:calendar w:val="gregorian"/>
      </w:date>
    </w:sdtPr>
    <w:sdtEndPr>
      <w:rPr>
        <w:rStyle w:val="Style1"/>
      </w:rPr>
    </w:sdtEndPr>
    <w:sdtContent>
      <w:p w14:paraId="36A4C25E" w14:textId="247A07EA" w:rsidR="00BF6E58" w:rsidRPr="00587709" w:rsidRDefault="00587709">
        <w:pPr>
          <w:jc w:val="center"/>
          <w:rPr>
            <w:color w:val="000000"/>
            <w:spacing w:val="-2"/>
            <w:sz w:val="20"/>
          </w:rPr>
        </w:pPr>
        <w:r w:rsidRPr="00587709">
          <w:rPr>
            <w:rStyle w:val="Style1"/>
            <w:sz w:val="20"/>
          </w:rPr>
          <w:t>September 11, 2017</w:t>
        </w:r>
      </w:p>
    </w:sdtContent>
  </w:sdt>
  <w:p w14:paraId="69C1615E" w14:textId="77777777" w:rsidR="00BF6E58" w:rsidRPr="00587709" w:rsidRDefault="00A925BB" w:rsidP="00BF6E58">
    <w:pPr>
      <w:rPr>
        <w:spacing w:val="-2"/>
        <w:sz w:val="20"/>
      </w:rPr>
    </w:pPr>
  </w:p>
  <w:p w14:paraId="3AC14F75" w14:textId="77777777" w:rsidR="00BF6E58" w:rsidRDefault="00A925B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7FD1"/>
    <w:multiLevelType w:val="hybridMultilevel"/>
    <w:tmpl w:val="90E29B8C"/>
    <w:lvl w:ilvl="0" w:tplc="1D025C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730F62"/>
    <w:multiLevelType w:val="hybridMultilevel"/>
    <w:tmpl w:val="4D7E380A"/>
    <w:lvl w:ilvl="0" w:tplc="020A716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D376C2"/>
    <w:multiLevelType w:val="hybridMultilevel"/>
    <w:tmpl w:val="4D6CA96E"/>
    <w:lvl w:ilvl="0" w:tplc="F886B5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4">
    <w:nsid w:val="668971C8"/>
    <w:multiLevelType w:val="hybridMultilevel"/>
    <w:tmpl w:val="BD807D2E"/>
    <w:lvl w:ilvl="0" w:tplc="7F7C2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C5"/>
    <w:rsid w:val="00002CA4"/>
    <w:rsid w:val="00003CBA"/>
    <w:rsid w:val="0000758F"/>
    <w:rsid w:val="00012118"/>
    <w:rsid w:val="00012853"/>
    <w:rsid w:val="00015BD9"/>
    <w:rsid w:val="00022013"/>
    <w:rsid w:val="00022236"/>
    <w:rsid w:val="00024071"/>
    <w:rsid w:val="00034D92"/>
    <w:rsid w:val="0004128E"/>
    <w:rsid w:val="00041977"/>
    <w:rsid w:val="00042D42"/>
    <w:rsid w:val="00042E1B"/>
    <w:rsid w:val="00047815"/>
    <w:rsid w:val="0005133A"/>
    <w:rsid w:val="00051D66"/>
    <w:rsid w:val="00052009"/>
    <w:rsid w:val="00053B86"/>
    <w:rsid w:val="000624CA"/>
    <w:rsid w:val="000659C2"/>
    <w:rsid w:val="00066598"/>
    <w:rsid w:val="00070FCF"/>
    <w:rsid w:val="0008000F"/>
    <w:rsid w:val="000815DA"/>
    <w:rsid w:val="00082358"/>
    <w:rsid w:val="000835AD"/>
    <w:rsid w:val="00087CDE"/>
    <w:rsid w:val="00091CF8"/>
    <w:rsid w:val="000932D8"/>
    <w:rsid w:val="0009630D"/>
    <w:rsid w:val="000A080E"/>
    <w:rsid w:val="000A0EEF"/>
    <w:rsid w:val="000A1809"/>
    <w:rsid w:val="000A1BB8"/>
    <w:rsid w:val="000A37DE"/>
    <w:rsid w:val="000B0118"/>
    <w:rsid w:val="000B690E"/>
    <w:rsid w:val="000C0C00"/>
    <w:rsid w:val="000C122F"/>
    <w:rsid w:val="000C17E2"/>
    <w:rsid w:val="000C4D57"/>
    <w:rsid w:val="000C5C94"/>
    <w:rsid w:val="000C619E"/>
    <w:rsid w:val="000D191E"/>
    <w:rsid w:val="000D401B"/>
    <w:rsid w:val="000E6F11"/>
    <w:rsid w:val="000E70E1"/>
    <w:rsid w:val="000E798B"/>
    <w:rsid w:val="000F1FE7"/>
    <w:rsid w:val="000F2F8E"/>
    <w:rsid w:val="000F400A"/>
    <w:rsid w:val="000F49DE"/>
    <w:rsid w:val="000F53CC"/>
    <w:rsid w:val="00101AA7"/>
    <w:rsid w:val="00107965"/>
    <w:rsid w:val="00126366"/>
    <w:rsid w:val="00130105"/>
    <w:rsid w:val="0013057B"/>
    <w:rsid w:val="001333BF"/>
    <w:rsid w:val="00134547"/>
    <w:rsid w:val="00136843"/>
    <w:rsid w:val="00136D33"/>
    <w:rsid w:val="00137E5E"/>
    <w:rsid w:val="00140611"/>
    <w:rsid w:val="00141F4C"/>
    <w:rsid w:val="00142DE0"/>
    <w:rsid w:val="00143955"/>
    <w:rsid w:val="001538FE"/>
    <w:rsid w:val="001545B9"/>
    <w:rsid w:val="001565CA"/>
    <w:rsid w:val="0015710F"/>
    <w:rsid w:val="001613C9"/>
    <w:rsid w:val="00163DC2"/>
    <w:rsid w:val="001674FC"/>
    <w:rsid w:val="001708D8"/>
    <w:rsid w:val="001746A7"/>
    <w:rsid w:val="00174C40"/>
    <w:rsid w:val="00176F65"/>
    <w:rsid w:val="001773E5"/>
    <w:rsid w:val="00180985"/>
    <w:rsid w:val="00180AAE"/>
    <w:rsid w:val="00187A8C"/>
    <w:rsid w:val="0019332E"/>
    <w:rsid w:val="00194666"/>
    <w:rsid w:val="00197F69"/>
    <w:rsid w:val="001A1612"/>
    <w:rsid w:val="001A4257"/>
    <w:rsid w:val="001B28FC"/>
    <w:rsid w:val="001B4502"/>
    <w:rsid w:val="001B47E9"/>
    <w:rsid w:val="001B66EF"/>
    <w:rsid w:val="001C057C"/>
    <w:rsid w:val="001C32DC"/>
    <w:rsid w:val="001C458A"/>
    <w:rsid w:val="001C481D"/>
    <w:rsid w:val="001C51F1"/>
    <w:rsid w:val="001C62CD"/>
    <w:rsid w:val="001C655A"/>
    <w:rsid w:val="001C6BE4"/>
    <w:rsid w:val="001C7CD7"/>
    <w:rsid w:val="001D0EC7"/>
    <w:rsid w:val="001D24A8"/>
    <w:rsid w:val="001E1CE5"/>
    <w:rsid w:val="001F03BE"/>
    <w:rsid w:val="001F2188"/>
    <w:rsid w:val="001F319E"/>
    <w:rsid w:val="001F3C59"/>
    <w:rsid w:val="001F4B25"/>
    <w:rsid w:val="001F4EA4"/>
    <w:rsid w:val="001F53F9"/>
    <w:rsid w:val="001F6D38"/>
    <w:rsid w:val="00200C90"/>
    <w:rsid w:val="00201064"/>
    <w:rsid w:val="0020206F"/>
    <w:rsid w:val="002030C3"/>
    <w:rsid w:val="00206D48"/>
    <w:rsid w:val="002073F7"/>
    <w:rsid w:val="002142DF"/>
    <w:rsid w:val="00214561"/>
    <w:rsid w:val="00214AB2"/>
    <w:rsid w:val="00220F78"/>
    <w:rsid w:val="00224DD0"/>
    <w:rsid w:val="00231138"/>
    <w:rsid w:val="002411DD"/>
    <w:rsid w:val="0024615B"/>
    <w:rsid w:val="00247119"/>
    <w:rsid w:val="0024766A"/>
    <w:rsid w:val="00254090"/>
    <w:rsid w:val="00256682"/>
    <w:rsid w:val="00256790"/>
    <w:rsid w:val="002617A8"/>
    <w:rsid w:val="00261967"/>
    <w:rsid w:val="00261F61"/>
    <w:rsid w:val="00263563"/>
    <w:rsid w:val="00265D4E"/>
    <w:rsid w:val="0027253D"/>
    <w:rsid w:val="00272AF0"/>
    <w:rsid w:val="00280A7B"/>
    <w:rsid w:val="00282254"/>
    <w:rsid w:val="00285DB8"/>
    <w:rsid w:val="00286436"/>
    <w:rsid w:val="00294D17"/>
    <w:rsid w:val="002A03CE"/>
    <w:rsid w:val="002A3A3E"/>
    <w:rsid w:val="002A51D0"/>
    <w:rsid w:val="002A7D51"/>
    <w:rsid w:val="002B33D3"/>
    <w:rsid w:val="002C0900"/>
    <w:rsid w:val="002C7EB7"/>
    <w:rsid w:val="002D26D6"/>
    <w:rsid w:val="002D6A6A"/>
    <w:rsid w:val="002D7B4C"/>
    <w:rsid w:val="002D7DDA"/>
    <w:rsid w:val="002E600B"/>
    <w:rsid w:val="002F7591"/>
    <w:rsid w:val="002F7B5B"/>
    <w:rsid w:val="0030097C"/>
    <w:rsid w:val="00302503"/>
    <w:rsid w:val="00303449"/>
    <w:rsid w:val="00310174"/>
    <w:rsid w:val="003103E2"/>
    <w:rsid w:val="00311895"/>
    <w:rsid w:val="003147E1"/>
    <w:rsid w:val="00320B5D"/>
    <w:rsid w:val="003225F0"/>
    <w:rsid w:val="00323E49"/>
    <w:rsid w:val="00330C08"/>
    <w:rsid w:val="003351A3"/>
    <w:rsid w:val="00340958"/>
    <w:rsid w:val="00342313"/>
    <w:rsid w:val="00344CA0"/>
    <w:rsid w:val="00346C00"/>
    <w:rsid w:val="00347240"/>
    <w:rsid w:val="00347EE5"/>
    <w:rsid w:val="0035757A"/>
    <w:rsid w:val="00357D30"/>
    <w:rsid w:val="00362AB0"/>
    <w:rsid w:val="0037110B"/>
    <w:rsid w:val="0037772A"/>
    <w:rsid w:val="003856D9"/>
    <w:rsid w:val="00391E50"/>
    <w:rsid w:val="00392984"/>
    <w:rsid w:val="0039513E"/>
    <w:rsid w:val="003979BE"/>
    <w:rsid w:val="003A2670"/>
    <w:rsid w:val="003A3A72"/>
    <w:rsid w:val="003A48D8"/>
    <w:rsid w:val="003B59B8"/>
    <w:rsid w:val="003C6E5D"/>
    <w:rsid w:val="003D1300"/>
    <w:rsid w:val="003D1D72"/>
    <w:rsid w:val="003D38F5"/>
    <w:rsid w:val="003D4953"/>
    <w:rsid w:val="003D4FE7"/>
    <w:rsid w:val="003D6B6F"/>
    <w:rsid w:val="003E36B2"/>
    <w:rsid w:val="003F0678"/>
    <w:rsid w:val="003F0A77"/>
    <w:rsid w:val="003F2285"/>
    <w:rsid w:val="0040489E"/>
    <w:rsid w:val="00404A2A"/>
    <w:rsid w:val="00407473"/>
    <w:rsid w:val="00411D1B"/>
    <w:rsid w:val="004134DE"/>
    <w:rsid w:val="004152ED"/>
    <w:rsid w:val="00422CE3"/>
    <w:rsid w:val="00427C7B"/>
    <w:rsid w:val="00430BE0"/>
    <w:rsid w:val="004315FF"/>
    <w:rsid w:val="00434E87"/>
    <w:rsid w:val="004363CC"/>
    <w:rsid w:val="00436669"/>
    <w:rsid w:val="004376E1"/>
    <w:rsid w:val="00440350"/>
    <w:rsid w:val="00443C72"/>
    <w:rsid w:val="0044495C"/>
    <w:rsid w:val="0045079A"/>
    <w:rsid w:val="00465902"/>
    <w:rsid w:val="004661A0"/>
    <w:rsid w:val="004728F3"/>
    <w:rsid w:val="00476BB2"/>
    <w:rsid w:val="00483345"/>
    <w:rsid w:val="00493725"/>
    <w:rsid w:val="00493EB4"/>
    <w:rsid w:val="00494216"/>
    <w:rsid w:val="00494EAA"/>
    <w:rsid w:val="00496E93"/>
    <w:rsid w:val="004A5C71"/>
    <w:rsid w:val="004A7EE0"/>
    <w:rsid w:val="004B0291"/>
    <w:rsid w:val="004B0A5B"/>
    <w:rsid w:val="004B3D55"/>
    <w:rsid w:val="004B5802"/>
    <w:rsid w:val="004B63D4"/>
    <w:rsid w:val="004C49F5"/>
    <w:rsid w:val="004C4A71"/>
    <w:rsid w:val="004C4BAC"/>
    <w:rsid w:val="004C4D7F"/>
    <w:rsid w:val="004C4E1E"/>
    <w:rsid w:val="004C6657"/>
    <w:rsid w:val="004D026A"/>
    <w:rsid w:val="004D1E20"/>
    <w:rsid w:val="004D280C"/>
    <w:rsid w:val="004D511C"/>
    <w:rsid w:val="004D6759"/>
    <w:rsid w:val="004E13A9"/>
    <w:rsid w:val="004E18C1"/>
    <w:rsid w:val="004E18DC"/>
    <w:rsid w:val="004F43CE"/>
    <w:rsid w:val="00504897"/>
    <w:rsid w:val="00505542"/>
    <w:rsid w:val="00512E81"/>
    <w:rsid w:val="00513308"/>
    <w:rsid w:val="00515389"/>
    <w:rsid w:val="00523A90"/>
    <w:rsid w:val="00524276"/>
    <w:rsid w:val="00526333"/>
    <w:rsid w:val="00527768"/>
    <w:rsid w:val="00536B6B"/>
    <w:rsid w:val="005425CB"/>
    <w:rsid w:val="00542C49"/>
    <w:rsid w:val="00544166"/>
    <w:rsid w:val="0054492F"/>
    <w:rsid w:val="00544B21"/>
    <w:rsid w:val="005459F8"/>
    <w:rsid w:val="00546FFA"/>
    <w:rsid w:val="00547C2C"/>
    <w:rsid w:val="00550888"/>
    <w:rsid w:val="0055604F"/>
    <w:rsid w:val="00556A2B"/>
    <w:rsid w:val="00557BAD"/>
    <w:rsid w:val="005646C1"/>
    <w:rsid w:val="0056590D"/>
    <w:rsid w:val="005745EF"/>
    <w:rsid w:val="00581621"/>
    <w:rsid w:val="005834B6"/>
    <w:rsid w:val="00587709"/>
    <w:rsid w:val="005937D7"/>
    <w:rsid w:val="005972F3"/>
    <w:rsid w:val="005A0057"/>
    <w:rsid w:val="005A019C"/>
    <w:rsid w:val="005A1CF0"/>
    <w:rsid w:val="005A3A94"/>
    <w:rsid w:val="005B189C"/>
    <w:rsid w:val="005C2D6E"/>
    <w:rsid w:val="005C6A7C"/>
    <w:rsid w:val="005D02BE"/>
    <w:rsid w:val="005D1678"/>
    <w:rsid w:val="005D1844"/>
    <w:rsid w:val="005D38E4"/>
    <w:rsid w:val="005D407D"/>
    <w:rsid w:val="005D7AF7"/>
    <w:rsid w:val="005D7F70"/>
    <w:rsid w:val="005E43DB"/>
    <w:rsid w:val="005F3A37"/>
    <w:rsid w:val="005F5198"/>
    <w:rsid w:val="005F581E"/>
    <w:rsid w:val="005F6B6F"/>
    <w:rsid w:val="005F7349"/>
    <w:rsid w:val="0060064C"/>
    <w:rsid w:val="0060135A"/>
    <w:rsid w:val="00602923"/>
    <w:rsid w:val="00613658"/>
    <w:rsid w:val="00617C8C"/>
    <w:rsid w:val="006201AB"/>
    <w:rsid w:val="00620A53"/>
    <w:rsid w:val="00620F04"/>
    <w:rsid w:val="00627072"/>
    <w:rsid w:val="0063140F"/>
    <w:rsid w:val="00631A89"/>
    <w:rsid w:val="00645C2A"/>
    <w:rsid w:val="006540B7"/>
    <w:rsid w:val="00656B66"/>
    <w:rsid w:val="00662424"/>
    <w:rsid w:val="00666CE1"/>
    <w:rsid w:val="00667DA3"/>
    <w:rsid w:val="00676345"/>
    <w:rsid w:val="00676940"/>
    <w:rsid w:val="006814DA"/>
    <w:rsid w:val="00682E31"/>
    <w:rsid w:val="00684012"/>
    <w:rsid w:val="006956CC"/>
    <w:rsid w:val="006A205F"/>
    <w:rsid w:val="006A3A26"/>
    <w:rsid w:val="006A3C59"/>
    <w:rsid w:val="006A3E62"/>
    <w:rsid w:val="006B108D"/>
    <w:rsid w:val="006B26A7"/>
    <w:rsid w:val="006B7804"/>
    <w:rsid w:val="006B7FA0"/>
    <w:rsid w:val="006C1725"/>
    <w:rsid w:val="006C4231"/>
    <w:rsid w:val="006C4A14"/>
    <w:rsid w:val="006C6791"/>
    <w:rsid w:val="006D7636"/>
    <w:rsid w:val="006E128B"/>
    <w:rsid w:val="006E3675"/>
    <w:rsid w:val="006E3AF1"/>
    <w:rsid w:val="006E4336"/>
    <w:rsid w:val="006E46F6"/>
    <w:rsid w:val="006F259A"/>
    <w:rsid w:val="006F6EDE"/>
    <w:rsid w:val="0070275B"/>
    <w:rsid w:val="0070635E"/>
    <w:rsid w:val="00706D0B"/>
    <w:rsid w:val="007257A6"/>
    <w:rsid w:val="00733D52"/>
    <w:rsid w:val="007378CF"/>
    <w:rsid w:val="00740E18"/>
    <w:rsid w:val="00742038"/>
    <w:rsid w:val="00742187"/>
    <w:rsid w:val="0074314E"/>
    <w:rsid w:val="0074508A"/>
    <w:rsid w:val="007521D2"/>
    <w:rsid w:val="00752679"/>
    <w:rsid w:val="0075508F"/>
    <w:rsid w:val="00756F39"/>
    <w:rsid w:val="00762051"/>
    <w:rsid w:val="00762D7C"/>
    <w:rsid w:val="00763B66"/>
    <w:rsid w:val="007656C3"/>
    <w:rsid w:val="0076573D"/>
    <w:rsid w:val="00765A17"/>
    <w:rsid w:val="00771A46"/>
    <w:rsid w:val="0077599A"/>
    <w:rsid w:val="00775B65"/>
    <w:rsid w:val="00776968"/>
    <w:rsid w:val="007828C8"/>
    <w:rsid w:val="00782B3C"/>
    <w:rsid w:val="00782DFF"/>
    <w:rsid w:val="007844A0"/>
    <w:rsid w:val="00793F60"/>
    <w:rsid w:val="007971DC"/>
    <w:rsid w:val="007972B7"/>
    <w:rsid w:val="007A5F15"/>
    <w:rsid w:val="007B0368"/>
    <w:rsid w:val="007B0610"/>
    <w:rsid w:val="007B44A2"/>
    <w:rsid w:val="007B60AA"/>
    <w:rsid w:val="007C19B3"/>
    <w:rsid w:val="007C2C8D"/>
    <w:rsid w:val="007C2FFE"/>
    <w:rsid w:val="007C4294"/>
    <w:rsid w:val="007C79FB"/>
    <w:rsid w:val="007C7FDE"/>
    <w:rsid w:val="007C7FE1"/>
    <w:rsid w:val="007D188F"/>
    <w:rsid w:val="007D3813"/>
    <w:rsid w:val="007D4EB1"/>
    <w:rsid w:val="007E01BB"/>
    <w:rsid w:val="007E31F9"/>
    <w:rsid w:val="007E4B86"/>
    <w:rsid w:val="007E7AA5"/>
    <w:rsid w:val="007F2959"/>
    <w:rsid w:val="007F7EC1"/>
    <w:rsid w:val="0080338C"/>
    <w:rsid w:val="0080577C"/>
    <w:rsid w:val="00806E9C"/>
    <w:rsid w:val="00810780"/>
    <w:rsid w:val="008107D4"/>
    <w:rsid w:val="00811565"/>
    <w:rsid w:val="00812A68"/>
    <w:rsid w:val="0081353D"/>
    <w:rsid w:val="00816977"/>
    <w:rsid w:val="00817999"/>
    <w:rsid w:val="00826CB1"/>
    <w:rsid w:val="008301F7"/>
    <w:rsid w:val="00830993"/>
    <w:rsid w:val="0083143B"/>
    <w:rsid w:val="00831CFE"/>
    <w:rsid w:val="00833054"/>
    <w:rsid w:val="00842060"/>
    <w:rsid w:val="0085133B"/>
    <w:rsid w:val="00851F50"/>
    <w:rsid w:val="00867A34"/>
    <w:rsid w:val="008751C6"/>
    <w:rsid w:val="00877D93"/>
    <w:rsid w:val="00892F27"/>
    <w:rsid w:val="008A0F7C"/>
    <w:rsid w:val="008A19BF"/>
    <w:rsid w:val="008A2A90"/>
    <w:rsid w:val="008A3DAC"/>
    <w:rsid w:val="008A45AC"/>
    <w:rsid w:val="008A4C7D"/>
    <w:rsid w:val="008A5837"/>
    <w:rsid w:val="008A625C"/>
    <w:rsid w:val="008B0C25"/>
    <w:rsid w:val="008B3E35"/>
    <w:rsid w:val="008B4964"/>
    <w:rsid w:val="008B4BDC"/>
    <w:rsid w:val="008B6BDE"/>
    <w:rsid w:val="008C1026"/>
    <w:rsid w:val="008C2CC0"/>
    <w:rsid w:val="008C3BFE"/>
    <w:rsid w:val="008C7D6F"/>
    <w:rsid w:val="008C7EEA"/>
    <w:rsid w:val="008D2845"/>
    <w:rsid w:val="008D50F1"/>
    <w:rsid w:val="008E08F9"/>
    <w:rsid w:val="008E2529"/>
    <w:rsid w:val="008E4553"/>
    <w:rsid w:val="008E477B"/>
    <w:rsid w:val="008E4F70"/>
    <w:rsid w:val="008E735F"/>
    <w:rsid w:val="008E7402"/>
    <w:rsid w:val="008F088C"/>
    <w:rsid w:val="008F124A"/>
    <w:rsid w:val="008F17D5"/>
    <w:rsid w:val="008F1A4F"/>
    <w:rsid w:val="00902A2F"/>
    <w:rsid w:val="00904642"/>
    <w:rsid w:val="0092040F"/>
    <w:rsid w:val="009250D8"/>
    <w:rsid w:val="0092591D"/>
    <w:rsid w:val="00933D37"/>
    <w:rsid w:val="00943117"/>
    <w:rsid w:val="0094610D"/>
    <w:rsid w:val="00946AD0"/>
    <w:rsid w:val="00950A7A"/>
    <w:rsid w:val="00952364"/>
    <w:rsid w:val="00956255"/>
    <w:rsid w:val="00957D4A"/>
    <w:rsid w:val="0096145A"/>
    <w:rsid w:val="00965069"/>
    <w:rsid w:val="00972258"/>
    <w:rsid w:val="00974A62"/>
    <w:rsid w:val="00974C3C"/>
    <w:rsid w:val="009774D0"/>
    <w:rsid w:val="00977F6F"/>
    <w:rsid w:val="00983950"/>
    <w:rsid w:val="00983FB7"/>
    <w:rsid w:val="00984D0B"/>
    <w:rsid w:val="009939E8"/>
    <w:rsid w:val="00995D89"/>
    <w:rsid w:val="00997DEA"/>
    <w:rsid w:val="009A224E"/>
    <w:rsid w:val="009A4A88"/>
    <w:rsid w:val="009B3580"/>
    <w:rsid w:val="009B7C4A"/>
    <w:rsid w:val="009C03F3"/>
    <w:rsid w:val="009C4A06"/>
    <w:rsid w:val="009C5D22"/>
    <w:rsid w:val="009D0D9F"/>
    <w:rsid w:val="009D3532"/>
    <w:rsid w:val="009D4F17"/>
    <w:rsid w:val="009D6D00"/>
    <w:rsid w:val="009D76FE"/>
    <w:rsid w:val="009D7797"/>
    <w:rsid w:val="009D7AD5"/>
    <w:rsid w:val="009D7B1A"/>
    <w:rsid w:val="009D7DD4"/>
    <w:rsid w:val="009E4CBB"/>
    <w:rsid w:val="009E50F4"/>
    <w:rsid w:val="009E75F2"/>
    <w:rsid w:val="009E7C1A"/>
    <w:rsid w:val="009F0060"/>
    <w:rsid w:val="009F097A"/>
    <w:rsid w:val="00A00449"/>
    <w:rsid w:val="00A027DB"/>
    <w:rsid w:val="00A04AC0"/>
    <w:rsid w:val="00A164D6"/>
    <w:rsid w:val="00A24AAC"/>
    <w:rsid w:val="00A264CB"/>
    <w:rsid w:val="00A26A72"/>
    <w:rsid w:val="00A30E39"/>
    <w:rsid w:val="00A34539"/>
    <w:rsid w:val="00A416AB"/>
    <w:rsid w:val="00A4377C"/>
    <w:rsid w:val="00A4415F"/>
    <w:rsid w:val="00A46EAE"/>
    <w:rsid w:val="00A47B6D"/>
    <w:rsid w:val="00A53E1D"/>
    <w:rsid w:val="00A55D3A"/>
    <w:rsid w:val="00A632C0"/>
    <w:rsid w:val="00A65ED3"/>
    <w:rsid w:val="00A71D4E"/>
    <w:rsid w:val="00A724DC"/>
    <w:rsid w:val="00A7439D"/>
    <w:rsid w:val="00A76013"/>
    <w:rsid w:val="00A82A67"/>
    <w:rsid w:val="00A84C5B"/>
    <w:rsid w:val="00A85CED"/>
    <w:rsid w:val="00A90AD0"/>
    <w:rsid w:val="00A925BB"/>
    <w:rsid w:val="00A92F9B"/>
    <w:rsid w:val="00A941D1"/>
    <w:rsid w:val="00AA0C4E"/>
    <w:rsid w:val="00AB3552"/>
    <w:rsid w:val="00AB434D"/>
    <w:rsid w:val="00AB551F"/>
    <w:rsid w:val="00AB6A52"/>
    <w:rsid w:val="00AC38C9"/>
    <w:rsid w:val="00AC6858"/>
    <w:rsid w:val="00AD0F3C"/>
    <w:rsid w:val="00AD3BBE"/>
    <w:rsid w:val="00AD7CF1"/>
    <w:rsid w:val="00AE6389"/>
    <w:rsid w:val="00AE707E"/>
    <w:rsid w:val="00AE7A92"/>
    <w:rsid w:val="00AE7E61"/>
    <w:rsid w:val="00AF25CF"/>
    <w:rsid w:val="00AF415F"/>
    <w:rsid w:val="00AF769D"/>
    <w:rsid w:val="00B013E4"/>
    <w:rsid w:val="00B0557A"/>
    <w:rsid w:val="00B07B0F"/>
    <w:rsid w:val="00B10E54"/>
    <w:rsid w:val="00B14142"/>
    <w:rsid w:val="00B15BAB"/>
    <w:rsid w:val="00B1717A"/>
    <w:rsid w:val="00B210EB"/>
    <w:rsid w:val="00B2118A"/>
    <w:rsid w:val="00B21BF1"/>
    <w:rsid w:val="00B2225C"/>
    <w:rsid w:val="00B32503"/>
    <w:rsid w:val="00B33311"/>
    <w:rsid w:val="00B347AE"/>
    <w:rsid w:val="00B35607"/>
    <w:rsid w:val="00B47A4C"/>
    <w:rsid w:val="00B634BB"/>
    <w:rsid w:val="00B72380"/>
    <w:rsid w:val="00B811CD"/>
    <w:rsid w:val="00B83121"/>
    <w:rsid w:val="00B834CB"/>
    <w:rsid w:val="00B8372F"/>
    <w:rsid w:val="00B85E10"/>
    <w:rsid w:val="00B93548"/>
    <w:rsid w:val="00B94B37"/>
    <w:rsid w:val="00B94BF9"/>
    <w:rsid w:val="00B967C9"/>
    <w:rsid w:val="00BA2E28"/>
    <w:rsid w:val="00BA318D"/>
    <w:rsid w:val="00BA3EF8"/>
    <w:rsid w:val="00BA553D"/>
    <w:rsid w:val="00BB4EE0"/>
    <w:rsid w:val="00BB52F7"/>
    <w:rsid w:val="00BB7E82"/>
    <w:rsid w:val="00BC190E"/>
    <w:rsid w:val="00BC3A82"/>
    <w:rsid w:val="00BD68B0"/>
    <w:rsid w:val="00BE6948"/>
    <w:rsid w:val="00BF123A"/>
    <w:rsid w:val="00BF4EF0"/>
    <w:rsid w:val="00C042D0"/>
    <w:rsid w:val="00C04F1C"/>
    <w:rsid w:val="00C116A0"/>
    <w:rsid w:val="00C118CF"/>
    <w:rsid w:val="00C1217A"/>
    <w:rsid w:val="00C12B90"/>
    <w:rsid w:val="00C142F4"/>
    <w:rsid w:val="00C220D6"/>
    <w:rsid w:val="00C22DA5"/>
    <w:rsid w:val="00C25BA6"/>
    <w:rsid w:val="00C2749A"/>
    <w:rsid w:val="00C2762F"/>
    <w:rsid w:val="00C34168"/>
    <w:rsid w:val="00C3579B"/>
    <w:rsid w:val="00C4140F"/>
    <w:rsid w:val="00C41848"/>
    <w:rsid w:val="00C43C0A"/>
    <w:rsid w:val="00C5616B"/>
    <w:rsid w:val="00C577C2"/>
    <w:rsid w:val="00C63236"/>
    <w:rsid w:val="00C6371B"/>
    <w:rsid w:val="00C661BD"/>
    <w:rsid w:val="00C679E2"/>
    <w:rsid w:val="00C70DE7"/>
    <w:rsid w:val="00C719DE"/>
    <w:rsid w:val="00C73606"/>
    <w:rsid w:val="00C74FAF"/>
    <w:rsid w:val="00C81AA5"/>
    <w:rsid w:val="00C8340F"/>
    <w:rsid w:val="00C87C06"/>
    <w:rsid w:val="00C9086D"/>
    <w:rsid w:val="00C929D2"/>
    <w:rsid w:val="00C96D85"/>
    <w:rsid w:val="00CA01C7"/>
    <w:rsid w:val="00CA1882"/>
    <w:rsid w:val="00CA796E"/>
    <w:rsid w:val="00CB0E56"/>
    <w:rsid w:val="00CC5E5B"/>
    <w:rsid w:val="00CD1E1D"/>
    <w:rsid w:val="00CD1EC6"/>
    <w:rsid w:val="00CD28FD"/>
    <w:rsid w:val="00CD4E42"/>
    <w:rsid w:val="00CD5A11"/>
    <w:rsid w:val="00CD5CD3"/>
    <w:rsid w:val="00CD6ACF"/>
    <w:rsid w:val="00CE11EA"/>
    <w:rsid w:val="00CE12ED"/>
    <w:rsid w:val="00CE1EB5"/>
    <w:rsid w:val="00CE20D7"/>
    <w:rsid w:val="00CE22EA"/>
    <w:rsid w:val="00CE356A"/>
    <w:rsid w:val="00CE6B7C"/>
    <w:rsid w:val="00CF1BC9"/>
    <w:rsid w:val="00CF44AD"/>
    <w:rsid w:val="00CF74CB"/>
    <w:rsid w:val="00CF7641"/>
    <w:rsid w:val="00D015FD"/>
    <w:rsid w:val="00D01965"/>
    <w:rsid w:val="00D02845"/>
    <w:rsid w:val="00D1724B"/>
    <w:rsid w:val="00D21B03"/>
    <w:rsid w:val="00D2696F"/>
    <w:rsid w:val="00D26F1B"/>
    <w:rsid w:val="00D27559"/>
    <w:rsid w:val="00D32885"/>
    <w:rsid w:val="00D32E85"/>
    <w:rsid w:val="00D37475"/>
    <w:rsid w:val="00D403AF"/>
    <w:rsid w:val="00D44A6F"/>
    <w:rsid w:val="00D46BFE"/>
    <w:rsid w:val="00D53CB1"/>
    <w:rsid w:val="00D5510E"/>
    <w:rsid w:val="00D63BB3"/>
    <w:rsid w:val="00D72206"/>
    <w:rsid w:val="00D734A6"/>
    <w:rsid w:val="00D763EC"/>
    <w:rsid w:val="00D7731A"/>
    <w:rsid w:val="00D804A1"/>
    <w:rsid w:val="00D8069F"/>
    <w:rsid w:val="00D80CFA"/>
    <w:rsid w:val="00D816DA"/>
    <w:rsid w:val="00D82B24"/>
    <w:rsid w:val="00D82D7D"/>
    <w:rsid w:val="00D872E4"/>
    <w:rsid w:val="00D90236"/>
    <w:rsid w:val="00D933D1"/>
    <w:rsid w:val="00D93A62"/>
    <w:rsid w:val="00D9416E"/>
    <w:rsid w:val="00D9620C"/>
    <w:rsid w:val="00D9638C"/>
    <w:rsid w:val="00DA2C3A"/>
    <w:rsid w:val="00DA621E"/>
    <w:rsid w:val="00DB3542"/>
    <w:rsid w:val="00DB3EB0"/>
    <w:rsid w:val="00DB4E31"/>
    <w:rsid w:val="00DC3001"/>
    <w:rsid w:val="00DC3AA8"/>
    <w:rsid w:val="00DC55BE"/>
    <w:rsid w:val="00DC7A50"/>
    <w:rsid w:val="00DD0852"/>
    <w:rsid w:val="00DD0DAA"/>
    <w:rsid w:val="00DD29C7"/>
    <w:rsid w:val="00DE0184"/>
    <w:rsid w:val="00DE0E5F"/>
    <w:rsid w:val="00DE408A"/>
    <w:rsid w:val="00DE5E79"/>
    <w:rsid w:val="00DE7365"/>
    <w:rsid w:val="00DF3226"/>
    <w:rsid w:val="00DF4787"/>
    <w:rsid w:val="00DF585B"/>
    <w:rsid w:val="00DF5C2E"/>
    <w:rsid w:val="00DF6021"/>
    <w:rsid w:val="00E004E5"/>
    <w:rsid w:val="00E00D80"/>
    <w:rsid w:val="00E05B9A"/>
    <w:rsid w:val="00E064D7"/>
    <w:rsid w:val="00E078A8"/>
    <w:rsid w:val="00E07B6E"/>
    <w:rsid w:val="00E07DC5"/>
    <w:rsid w:val="00E126AC"/>
    <w:rsid w:val="00E14275"/>
    <w:rsid w:val="00E15396"/>
    <w:rsid w:val="00E15B66"/>
    <w:rsid w:val="00E202D0"/>
    <w:rsid w:val="00E2644E"/>
    <w:rsid w:val="00E32245"/>
    <w:rsid w:val="00E34D9A"/>
    <w:rsid w:val="00E4320E"/>
    <w:rsid w:val="00E4532C"/>
    <w:rsid w:val="00E47C02"/>
    <w:rsid w:val="00E507CA"/>
    <w:rsid w:val="00E51198"/>
    <w:rsid w:val="00E621C4"/>
    <w:rsid w:val="00E6359D"/>
    <w:rsid w:val="00E73C13"/>
    <w:rsid w:val="00E76DCB"/>
    <w:rsid w:val="00E80676"/>
    <w:rsid w:val="00E80D54"/>
    <w:rsid w:val="00E82352"/>
    <w:rsid w:val="00E85C45"/>
    <w:rsid w:val="00E90BFE"/>
    <w:rsid w:val="00E92677"/>
    <w:rsid w:val="00E93E1D"/>
    <w:rsid w:val="00E97407"/>
    <w:rsid w:val="00EA1244"/>
    <w:rsid w:val="00EA222F"/>
    <w:rsid w:val="00EA4363"/>
    <w:rsid w:val="00EA451F"/>
    <w:rsid w:val="00EA48CE"/>
    <w:rsid w:val="00EB060E"/>
    <w:rsid w:val="00EB2772"/>
    <w:rsid w:val="00EB4794"/>
    <w:rsid w:val="00EC190E"/>
    <w:rsid w:val="00EC2A43"/>
    <w:rsid w:val="00EC6AC1"/>
    <w:rsid w:val="00EE2EF9"/>
    <w:rsid w:val="00EE381C"/>
    <w:rsid w:val="00EE483F"/>
    <w:rsid w:val="00EE4BA2"/>
    <w:rsid w:val="00EE631F"/>
    <w:rsid w:val="00EE7A6C"/>
    <w:rsid w:val="00EF19FB"/>
    <w:rsid w:val="00EF1A2D"/>
    <w:rsid w:val="00EF3AE7"/>
    <w:rsid w:val="00EF6D70"/>
    <w:rsid w:val="00F0023F"/>
    <w:rsid w:val="00F017F1"/>
    <w:rsid w:val="00F01E78"/>
    <w:rsid w:val="00F02BFF"/>
    <w:rsid w:val="00F13D65"/>
    <w:rsid w:val="00F144D3"/>
    <w:rsid w:val="00F16681"/>
    <w:rsid w:val="00F1714A"/>
    <w:rsid w:val="00F20FAB"/>
    <w:rsid w:val="00F2215D"/>
    <w:rsid w:val="00F22217"/>
    <w:rsid w:val="00F24BDB"/>
    <w:rsid w:val="00F27AF1"/>
    <w:rsid w:val="00F32678"/>
    <w:rsid w:val="00F33537"/>
    <w:rsid w:val="00F33E8B"/>
    <w:rsid w:val="00F34E58"/>
    <w:rsid w:val="00F35809"/>
    <w:rsid w:val="00F41F37"/>
    <w:rsid w:val="00F42683"/>
    <w:rsid w:val="00F4401E"/>
    <w:rsid w:val="00F4556A"/>
    <w:rsid w:val="00F47688"/>
    <w:rsid w:val="00F507CB"/>
    <w:rsid w:val="00F519EA"/>
    <w:rsid w:val="00F52372"/>
    <w:rsid w:val="00F53246"/>
    <w:rsid w:val="00F536A5"/>
    <w:rsid w:val="00F6086C"/>
    <w:rsid w:val="00F60EE2"/>
    <w:rsid w:val="00F61B8E"/>
    <w:rsid w:val="00F61FF1"/>
    <w:rsid w:val="00F62F22"/>
    <w:rsid w:val="00F71923"/>
    <w:rsid w:val="00F762EE"/>
    <w:rsid w:val="00F82086"/>
    <w:rsid w:val="00F82245"/>
    <w:rsid w:val="00F86F50"/>
    <w:rsid w:val="00F91375"/>
    <w:rsid w:val="00F9394B"/>
    <w:rsid w:val="00F95451"/>
    <w:rsid w:val="00F96333"/>
    <w:rsid w:val="00FA0155"/>
    <w:rsid w:val="00FA5402"/>
    <w:rsid w:val="00FA6DF5"/>
    <w:rsid w:val="00FB139B"/>
    <w:rsid w:val="00FB4150"/>
    <w:rsid w:val="00FB5640"/>
    <w:rsid w:val="00FB7113"/>
    <w:rsid w:val="00FC16F5"/>
    <w:rsid w:val="00FC29D2"/>
    <w:rsid w:val="00FC3BA4"/>
    <w:rsid w:val="00FC3D13"/>
    <w:rsid w:val="00FC72A4"/>
    <w:rsid w:val="00FD137F"/>
    <w:rsid w:val="00FD1D24"/>
    <w:rsid w:val="00FD2AE3"/>
    <w:rsid w:val="00FD2E8E"/>
    <w:rsid w:val="00FD3D96"/>
    <w:rsid w:val="00FD5136"/>
    <w:rsid w:val="00FE3B5B"/>
    <w:rsid w:val="00FE3C3A"/>
    <w:rsid w:val="00FE4CB1"/>
    <w:rsid w:val="00FF1E66"/>
    <w:rsid w:val="00FF2B93"/>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E1D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paragraph" w:styleId="Heading3">
    <w:name w:val="heading 3"/>
    <w:basedOn w:val="Normal"/>
    <w:next w:val="Normal"/>
    <w:link w:val="Heading3Char"/>
    <w:uiPriority w:val="9"/>
    <w:semiHidden/>
    <w:unhideWhenUsed/>
    <w:qFormat/>
    <w:rsid w:val="00187A8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uiPriority w:val="99"/>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Style 4"/>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apple-converted-space">
    <w:name w:val="apple-converted-space"/>
    <w:rsid w:val="00E07DC5"/>
  </w:style>
  <w:style w:type="character" w:customStyle="1" w:styleId="Heading3Char">
    <w:name w:val="Heading 3 Char"/>
    <w:basedOn w:val="DefaultParagraphFont"/>
    <w:link w:val="Heading3"/>
    <w:uiPriority w:val="9"/>
    <w:semiHidden/>
    <w:rsid w:val="00187A8C"/>
    <w:rPr>
      <w:rFonts w:asciiTheme="majorHAnsi" w:eastAsiaTheme="majorEastAsia" w:hAnsiTheme="majorHAnsi" w:cstheme="majorBidi"/>
      <w:snapToGrid w:val="0"/>
      <w:color w:val="243F60" w:themeColor="accent1" w:themeShade="7F"/>
      <w:sz w:val="24"/>
      <w:szCs w:val="24"/>
    </w:rPr>
  </w:style>
  <w:style w:type="paragraph" w:styleId="Revision">
    <w:name w:val="Revision"/>
    <w:hidden/>
    <w:uiPriority w:val="99"/>
    <w:semiHidden/>
    <w:rsid w:val="00CD1E1D"/>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E79"/>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next w:val="Normal"/>
    <w:link w:val="Heading2Char"/>
    <w:qFormat/>
    <w:rsid w:val="00DE5E79"/>
    <w:pPr>
      <w:keepNext/>
      <w:suppressAutoHyphens/>
      <w:spacing w:before="240" w:line="228" w:lineRule="auto"/>
      <w:jc w:val="center"/>
      <w:outlineLvl w:val="1"/>
    </w:pPr>
    <w:rPr>
      <w:spacing w:val="-2"/>
    </w:rPr>
  </w:style>
  <w:style w:type="paragraph" w:styleId="Heading3">
    <w:name w:val="heading 3"/>
    <w:basedOn w:val="Normal"/>
    <w:next w:val="Normal"/>
    <w:link w:val="Heading3Char"/>
    <w:uiPriority w:val="9"/>
    <w:semiHidden/>
    <w:unhideWhenUsed/>
    <w:qFormat/>
    <w:rsid w:val="00187A8C"/>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5E79"/>
    <w:rPr>
      <w:rFonts w:ascii="Times New Roman" w:eastAsia="Times New Roman" w:hAnsi="Times New Roman" w:cs="Times New Roman"/>
      <w:snapToGrid w:val="0"/>
      <w:spacing w:val="-2"/>
      <w:sz w:val="24"/>
      <w:szCs w:val="20"/>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n,fn Char,f,fn Char Char"/>
    <w:basedOn w:val="Normal"/>
    <w:link w:val="FootnoteTextChar"/>
    <w:rsid w:val="00DE5E79"/>
    <w:pPr>
      <w:widowControl/>
      <w:spacing w:after="120"/>
    </w:pPr>
    <w:rPr>
      <w:sz w:val="20"/>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 Char"/>
    <w:basedOn w:val="DefaultParagraphFont"/>
    <w:link w:val="FootnoteText"/>
    <w:uiPriority w:val="99"/>
    <w:rsid w:val="00DE5E79"/>
    <w:rPr>
      <w:rFonts w:ascii="Times New Roman" w:eastAsia="Times New Roman" w:hAnsi="Times New Roman" w:cs="Times New Roman"/>
      <w:snapToGrid w:val="0"/>
      <w:sz w:val="20"/>
      <w:szCs w:val="20"/>
    </w:rPr>
  </w:style>
  <w:style w:type="character" w:styleId="FootnoteReference">
    <w:name w:val="footnote reference"/>
    <w:aliases w:val="Style 12,(NECG) Footnote Reference,o,fr,Style 3,Appel note de bas de p,Style 124,Style 13,Style 17,FR,Footnote Reference/,Style 6,Style 7,Style 4"/>
    <w:basedOn w:val="DefaultParagraphFont"/>
    <w:rsid w:val="00DE5E79"/>
    <w:rPr>
      <w:rFonts w:ascii="CG Times" w:hAnsi="CG Times"/>
      <w:sz w:val="20"/>
      <w:vertAlign w:val="superscript"/>
    </w:rPr>
  </w:style>
  <w:style w:type="paragraph" w:styleId="Footer">
    <w:name w:val="footer"/>
    <w:basedOn w:val="Normal"/>
    <w:link w:val="FooterChar"/>
    <w:rsid w:val="00DE5E79"/>
    <w:pPr>
      <w:tabs>
        <w:tab w:val="center" w:pos="4320"/>
        <w:tab w:val="right" w:pos="8640"/>
      </w:tabs>
    </w:pPr>
  </w:style>
  <w:style w:type="character" w:customStyle="1" w:styleId="FooterChar">
    <w:name w:val="Footer Char"/>
    <w:basedOn w:val="DefaultParagraphFont"/>
    <w:link w:val="Footer"/>
    <w:rsid w:val="00DE5E79"/>
    <w:rPr>
      <w:rFonts w:ascii="Times New Roman" w:eastAsia="Times New Roman" w:hAnsi="Times New Roman" w:cs="Times New Roman"/>
      <w:snapToGrid w:val="0"/>
      <w:sz w:val="24"/>
      <w:szCs w:val="20"/>
    </w:rPr>
  </w:style>
  <w:style w:type="character" w:styleId="PageNumber">
    <w:name w:val="page number"/>
    <w:basedOn w:val="DefaultParagraphFont"/>
    <w:rsid w:val="00DE5E79"/>
  </w:style>
  <w:style w:type="paragraph" w:styleId="BodyText">
    <w:name w:val="Body Text"/>
    <w:basedOn w:val="Normal"/>
    <w:link w:val="BodyTextChar"/>
    <w:rsid w:val="00DE5E79"/>
    <w:pPr>
      <w:widowControl/>
      <w:jc w:val="both"/>
    </w:pPr>
    <w:rPr>
      <w:snapToGrid/>
    </w:rPr>
  </w:style>
  <w:style w:type="character" w:customStyle="1" w:styleId="BodyTextChar">
    <w:name w:val="Body Text Char"/>
    <w:basedOn w:val="DefaultParagraphFont"/>
    <w:link w:val="BodyText"/>
    <w:rsid w:val="00DE5E79"/>
    <w:rPr>
      <w:rFonts w:ascii="Times New Roman" w:eastAsia="Times New Roman" w:hAnsi="Times New Roman" w:cs="Times New Roman"/>
      <w:sz w:val="24"/>
      <w:szCs w:val="20"/>
    </w:rPr>
  </w:style>
  <w:style w:type="paragraph" w:styleId="BodyText3">
    <w:name w:val="Body Text 3"/>
    <w:basedOn w:val="Normal"/>
    <w:link w:val="BodyText3Char"/>
    <w:rsid w:val="00DE5E79"/>
    <w:pPr>
      <w:spacing w:after="120"/>
    </w:pPr>
    <w:rPr>
      <w:sz w:val="16"/>
      <w:szCs w:val="16"/>
    </w:rPr>
  </w:style>
  <w:style w:type="character" w:customStyle="1" w:styleId="BodyText3Char">
    <w:name w:val="Body Text 3 Char"/>
    <w:basedOn w:val="DefaultParagraphFont"/>
    <w:link w:val="BodyText3"/>
    <w:rsid w:val="00DE5E79"/>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DE5E79"/>
    <w:pPr>
      <w:ind w:left="720"/>
      <w:contextualSpacing/>
    </w:pPr>
  </w:style>
  <w:style w:type="character" w:customStyle="1" w:styleId="documentbody5">
    <w:name w:val="documentbody5"/>
    <w:rsid w:val="00DE5E79"/>
    <w:rPr>
      <w:rFonts w:ascii="Verdana" w:hAnsi="Verdana" w:hint="default"/>
      <w:sz w:val="19"/>
      <w:szCs w:val="19"/>
    </w:rPr>
  </w:style>
  <w:style w:type="character" w:styleId="Hyperlink">
    <w:name w:val="Hyperlink"/>
    <w:basedOn w:val="DefaultParagraphFont"/>
    <w:unhideWhenUsed/>
    <w:rsid w:val="00DE5E79"/>
    <w:rPr>
      <w:color w:val="0000FF" w:themeColor="hyperlink"/>
      <w:u w:val="single"/>
    </w:rPr>
  </w:style>
  <w:style w:type="character" w:styleId="FollowedHyperlink">
    <w:name w:val="FollowedHyperlink"/>
    <w:basedOn w:val="DefaultParagraphFont"/>
    <w:uiPriority w:val="99"/>
    <w:semiHidden/>
    <w:unhideWhenUsed/>
    <w:rsid w:val="00B94BF9"/>
    <w:rPr>
      <w:color w:val="800080" w:themeColor="followedHyperlink"/>
      <w:u w:val="single"/>
    </w:rPr>
  </w:style>
  <w:style w:type="paragraph" w:styleId="Header">
    <w:name w:val="header"/>
    <w:basedOn w:val="Normal"/>
    <w:link w:val="HeaderChar"/>
    <w:uiPriority w:val="99"/>
    <w:unhideWhenUsed/>
    <w:rsid w:val="00FD1D24"/>
    <w:pPr>
      <w:tabs>
        <w:tab w:val="center" w:pos="4680"/>
        <w:tab w:val="right" w:pos="9360"/>
      </w:tabs>
    </w:pPr>
  </w:style>
  <w:style w:type="character" w:customStyle="1" w:styleId="HeaderChar">
    <w:name w:val="Header Char"/>
    <w:basedOn w:val="DefaultParagraphFont"/>
    <w:link w:val="Header"/>
    <w:uiPriority w:val="99"/>
    <w:rsid w:val="00FD1D24"/>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1F4B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B25"/>
    <w:rPr>
      <w:rFonts w:ascii="Segoe UI" w:eastAsia="Times New Roman" w:hAnsi="Segoe UI" w:cs="Segoe UI"/>
      <w:snapToGrid w:val="0"/>
      <w:sz w:val="18"/>
      <w:szCs w:val="18"/>
    </w:rPr>
  </w:style>
  <w:style w:type="character" w:customStyle="1" w:styleId="FootnoteTextChar2">
    <w:name w:val="Footnote Text Char2"/>
    <w:aliases w:val="Footnote Text Char1 Char Char,Footnote Text Char Char1 Char Char,Footnote Text Char2 Char1 Char Char Char,Footnote Text Char Char1 Char Char Char1 Char,Footnote Text Char1 Char Char Char1 Char Char Char,Footnote Text Char1 Char1"/>
    <w:locked/>
    <w:rsid w:val="005A1CF0"/>
    <w:rPr>
      <w:rFonts w:ascii="Times New Roman" w:eastAsia="Times New Roman" w:hAnsi="Times New Roman" w:cs="Times New Roman"/>
      <w:sz w:val="20"/>
      <w:szCs w:val="20"/>
    </w:rPr>
  </w:style>
  <w:style w:type="paragraph" w:customStyle="1" w:styleId="ParaNum">
    <w:name w:val="ParaNum"/>
    <w:basedOn w:val="Normal"/>
    <w:link w:val="ParaNumChar"/>
    <w:rsid w:val="005A1CF0"/>
    <w:pPr>
      <w:numPr>
        <w:numId w:val="4"/>
      </w:numPr>
      <w:spacing w:after="120"/>
    </w:pPr>
    <w:rPr>
      <w:kern w:val="28"/>
      <w:sz w:val="22"/>
    </w:rPr>
  </w:style>
  <w:style w:type="character" w:customStyle="1" w:styleId="ParaNumChar">
    <w:name w:val="ParaNum Char"/>
    <w:link w:val="ParaNum"/>
    <w:locked/>
    <w:rsid w:val="005A1CF0"/>
    <w:rPr>
      <w:rFonts w:ascii="Times New Roman" w:eastAsia="Times New Roman" w:hAnsi="Times New Roman" w:cs="Times New Roman"/>
      <w:snapToGrid w:val="0"/>
      <w:kern w:val="28"/>
      <w:szCs w:val="20"/>
    </w:rPr>
  </w:style>
  <w:style w:type="character" w:customStyle="1" w:styleId="documentbody">
    <w:name w:val="documentbody"/>
    <w:rsid w:val="005A1CF0"/>
    <w:rPr>
      <w:rFonts w:cs="Times New Roman"/>
    </w:rPr>
  </w:style>
  <w:style w:type="character" w:styleId="Emphasis">
    <w:name w:val="Emphasis"/>
    <w:basedOn w:val="DefaultParagraphFont"/>
    <w:uiPriority w:val="20"/>
    <w:qFormat/>
    <w:rsid w:val="005A1CF0"/>
    <w:rPr>
      <w:i/>
      <w:iCs/>
    </w:rPr>
  </w:style>
  <w:style w:type="character" w:customStyle="1" w:styleId="cosearchterm">
    <w:name w:val="co_searchterm"/>
    <w:basedOn w:val="DefaultParagraphFont"/>
    <w:rsid w:val="005A1CF0"/>
  </w:style>
  <w:style w:type="character" w:customStyle="1" w:styleId="FootnoteTextChar5">
    <w:name w:val="Footnote Text Char5"/>
    <w:aliases w:val="Footnote Text Char1 Char1 Char Char,Footnote Text Char Char Char Char Char,Footnote Text Char1 Char Char Char Char Char,Footnote Text Char Char Char Char Char Char Char,Footnote Text Char3 Char Char Char Char Char Char Char Char"/>
    <w:rsid w:val="002073F7"/>
  </w:style>
  <w:style w:type="character" w:styleId="CommentReference">
    <w:name w:val="annotation reference"/>
    <w:basedOn w:val="DefaultParagraphFont"/>
    <w:uiPriority w:val="99"/>
    <w:semiHidden/>
    <w:unhideWhenUsed/>
    <w:rsid w:val="0027253D"/>
    <w:rPr>
      <w:sz w:val="16"/>
      <w:szCs w:val="16"/>
    </w:rPr>
  </w:style>
  <w:style w:type="paragraph" w:styleId="CommentText">
    <w:name w:val="annotation text"/>
    <w:basedOn w:val="Normal"/>
    <w:link w:val="CommentTextChar"/>
    <w:uiPriority w:val="99"/>
    <w:semiHidden/>
    <w:unhideWhenUsed/>
    <w:rsid w:val="0027253D"/>
    <w:rPr>
      <w:sz w:val="20"/>
    </w:rPr>
  </w:style>
  <w:style w:type="character" w:customStyle="1" w:styleId="CommentTextChar">
    <w:name w:val="Comment Text Char"/>
    <w:basedOn w:val="DefaultParagraphFont"/>
    <w:link w:val="CommentText"/>
    <w:uiPriority w:val="99"/>
    <w:semiHidden/>
    <w:rsid w:val="0027253D"/>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7253D"/>
    <w:rPr>
      <w:b/>
      <w:bCs/>
    </w:rPr>
  </w:style>
  <w:style w:type="character" w:customStyle="1" w:styleId="CommentSubjectChar">
    <w:name w:val="Comment Subject Char"/>
    <w:basedOn w:val="CommentTextChar"/>
    <w:link w:val="CommentSubject"/>
    <w:uiPriority w:val="99"/>
    <w:semiHidden/>
    <w:rsid w:val="0027253D"/>
    <w:rPr>
      <w:rFonts w:ascii="Times New Roman" w:eastAsia="Times New Roman" w:hAnsi="Times New Roman" w:cs="Times New Roman"/>
      <w:b/>
      <w:bCs/>
      <w:snapToGrid w:val="0"/>
      <w:sz w:val="20"/>
      <w:szCs w:val="20"/>
    </w:rPr>
  </w:style>
  <w:style w:type="character" w:styleId="PlaceholderText">
    <w:name w:val="Placeholder Text"/>
    <w:basedOn w:val="DefaultParagraphFont"/>
    <w:uiPriority w:val="99"/>
    <w:semiHidden/>
    <w:rsid w:val="00F86F50"/>
    <w:rPr>
      <w:color w:val="808080"/>
    </w:rPr>
  </w:style>
  <w:style w:type="character" w:customStyle="1" w:styleId="Style1">
    <w:name w:val="Style1"/>
    <w:basedOn w:val="DefaultParagraphFont"/>
    <w:uiPriority w:val="1"/>
    <w:rsid w:val="00141F4C"/>
    <w:rPr>
      <w:b/>
    </w:rPr>
  </w:style>
  <w:style w:type="character" w:customStyle="1" w:styleId="apple-converted-space">
    <w:name w:val="apple-converted-space"/>
    <w:rsid w:val="00E07DC5"/>
  </w:style>
  <w:style w:type="character" w:customStyle="1" w:styleId="Heading3Char">
    <w:name w:val="Heading 3 Char"/>
    <w:basedOn w:val="DefaultParagraphFont"/>
    <w:link w:val="Heading3"/>
    <w:uiPriority w:val="9"/>
    <w:semiHidden/>
    <w:rsid w:val="00187A8C"/>
    <w:rPr>
      <w:rFonts w:asciiTheme="majorHAnsi" w:eastAsiaTheme="majorEastAsia" w:hAnsiTheme="majorHAnsi" w:cstheme="majorBidi"/>
      <w:snapToGrid w:val="0"/>
      <w:color w:val="243F60" w:themeColor="accent1" w:themeShade="7F"/>
      <w:sz w:val="24"/>
      <w:szCs w:val="24"/>
    </w:rPr>
  </w:style>
  <w:style w:type="paragraph" w:styleId="Revision">
    <w:name w:val="Revision"/>
    <w:hidden/>
    <w:uiPriority w:val="99"/>
    <w:semiHidden/>
    <w:rsid w:val="00CD1E1D"/>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949331">
      <w:bodyDiv w:val="1"/>
      <w:marLeft w:val="0"/>
      <w:marRight w:val="0"/>
      <w:marTop w:val="0"/>
      <w:marBottom w:val="0"/>
      <w:divBdr>
        <w:top w:val="none" w:sz="0" w:space="0" w:color="auto"/>
        <w:left w:val="none" w:sz="0" w:space="0" w:color="auto"/>
        <w:bottom w:val="none" w:sz="0" w:space="0" w:color="auto"/>
        <w:right w:val="none" w:sz="0" w:space="0" w:color="auto"/>
      </w:divBdr>
    </w:div>
    <w:div w:id="1333292531">
      <w:bodyDiv w:val="1"/>
      <w:marLeft w:val="0"/>
      <w:marRight w:val="0"/>
      <w:marTop w:val="0"/>
      <w:marBottom w:val="0"/>
      <w:divBdr>
        <w:top w:val="none" w:sz="0" w:space="0" w:color="auto"/>
        <w:left w:val="none" w:sz="0" w:space="0" w:color="auto"/>
        <w:bottom w:val="none" w:sz="0" w:space="0" w:color="auto"/>
        <w:right w:val="none" w:sz="0" w:space="0" w:color="auto"/>
      </w:divBdr>
    </w:div>
    <w:div w:id="1516142506">
      <w:bodyDiv w:val="1"/>
      <w:marLeft w:val="0"/>
      <w:marRight w:val="0"/>
      <w:marTop w:val="0"/>
      <w:marBottom w:val="0"/>
      <w:divBdr>
        <w:top w:val="none" w:sz="0" w:space="0" w:color="auto"/>
        <w:left w:val="none" w:sz="0" w:space="0" w:color="auto"/>
        <w:bottom w:val="none" w:sz="0" w:space="0" w:color="auto"/>
        <w:right w:val="none" w:sz="0" w:space="0" w:color="auto"/>
      </w:divBdr>
      <w:divsChild>
        <w:div w:id="1583638594">
          <w:marLeft w:val="0"/>
          <w:marRight w:val="0"/>
          <w:marTop w:val="0"/>
          <w:marBottom w:val="0"/>
          <w:divBdr>
            <w:top w:val="none" w:sz="0" w:space="0" w:color="auto"/>
            <w:left w:val="none" w:sz="0" w:space="0" w:color="auto"/>
            <w:bottom w:val="none" w:sz="0" w:space="0" w:color="auto"/>
            <w:right w:val="none" w:sz="0" w:space="0" w:color="auto"/>
          </w:divBdr>
          <w:divsChild>
            <w:div w:id="16398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DAFB467D374900A25926CB54ABC85E"/>
        <w:category>
          <w:name w:val="General"/>
          <w:gallery w:val="placeholder"/>
        </w:category>
        <w:types>
          <w:type w:val="bbPlcHdr"/>
        </w:types>
        <w:behaviors>
          <w:behavior w:val="content"/>
        </w:behaviors>
        <w:guid w:val="{A5CA55A7-2854-45CB-AE41-112DABE34AC0}"/>
      </w:docPartPr>
      <w:docPartBody>
        <w:p w:rsidR="00574961" w:rsidRDefault="00574961">
          <w:pPr>
            <w:pStyle w:val="84DAFB467D374900A25926CB54ABC85E"/>
          </w:pPr>
          <w:r w:rsidRPr="005343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Calisto MT">
    <w:altName w:val="Cambria Math"/>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61"/>
    <w:rsid w:val="00114672"/>
    <w:rsid w:val="002B59EA"/>
    <w:rsid w:val="004A6950"/>
    <w:rsid w:val="00524ECC"/>
    <w:rsid w:val="00574961"/>
    <w:rsid w:val="00687259"/>
    <w:rsid w:val="007D6B86"/>
    <w:rsid w:val="00C87D88"/>
    <w:rsid w:val="00E66322"/>
    <w:rsid w:val="00FC4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B86"/>
    <w:rPr>
      <w:color w:val="808080"/>
    </w:rPr>
  </w:style>
  <w:style w:type="paragraph" w:customStyle="1" w:styleId="84DAFB467D374900A25926CB54ABC85E">
    <w:name w:val="84DAFB467D374900A25926CB54ABC85E"/>
  </w:style>
  <w:style w:type="paragraph" w:customStyle="1" w:styleId="9FCDC1BC19A7470EB98239CFA6F1E64D">
    <w:name w:val="9FCDC1BC19A7470EB98239CFA6F1E64D"/>
  </w:style>
  <w:style w:type="paragraph" w:customStyle="1" w:styleId="11D475E64DEC41F1BC3BAF967581B4B8">
    <w:name w:val="11D475E64DEC41F1BC3BAF967581B4B8"/>
    <w:rsid w:val="00687259"/>
  </w:style>
  <w:style w:type="paragraph" w:customStyle="1" w:styleId="8E5CE64F17044878B18FCB7B6CBC1EFD">
    <w:name w:val="8E5CE64F17044878B18FCB7B6CBC1EFD"/>
    <w:rsid w:val="00687259"/>
  </w:style>
  <w:style w:type="paragraph" w:customStyle="1" w:styleId="1DD85A2D8FA842468795CD43A387C5F6">
    <w:name w:val="1DD85A2D8FA842468795CD43A387C5F6"/>
    <w:rsid w:val="007D6B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6B86"/>
    <w:rPr>
      <w:color w:val="808080"/>
    </w:rPr>
  </w:style>
  <w:style w:type="paragraph" w:customStyle="1" w:styleId="84DAFB467D374900A25926CB54ABC85E">
    <w:name w:val="84DAFB467D374900A25926CB54ABC85E"/>
  </w:style>
  <w:style w:type="paragraph" w:customStyle="1" w:styleId="9FCDC1BC19A7470EB98239CFA6F1E64D">
    <w:name w:val="9FCDC1BC19A7470EB98239CFA6F1E64D"/>
  </w:style>
  <w:style w:type="paragraph" w:customStyle="1" w:styleId="11D475E64DEC41F1BC3BAF967581B4B8">
    <w:name w:val="11D475E64DEC41F1BC3BAF967581B4B8"/>
    <w:rsid w:val="00687259"/>
  </w:style>
  <w:style w:type="paragraph" w:customStyle="1" w:styleId="8E5CE64F17044878B18FCB7B6CBC1EFD">
    <w:name w:val="8E5CE64F17044878B18FCB7B6CBC1EFD"/>
    <w:rsid w:val="00687259"/>
  </w:style>
  <w:style w:type="paragraph" w:customStyle="1" w:styleId="1DD85A2D8FA842468795CD43A387C5F6">
    <w:name w:val="1DD85A2D8FA842468795CD43A387C5F6"/>
    <w:rsid w:val="007D6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1170</Words>
  <Characters>6626</Characters>
  <Application>Microsoft Office Word</Application>
  <DocSecurity>0</DocSecurity>
  <Lines>153</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2017-09-08T19:06:00Z</cp:lastPrinted>
  <dcterms:created xsi:type="dcterms:W3CDTF">2017-09-11T12:59:00Z</dcterms:created>
  <dcterms:modified xsi:type="dcterms:W3CDTF">2017-09-11T12:59:00Z</dcterms:modified>
  <cp:category> </cp:category>
  <cp:contentStatus> </cp:contentStatus>
</cp:coreProperties>
</file>