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777A5" w14:textId="77777777" w:rsidR="00584892" w:rsidRDefault="00584892">
      <w:bookmarkStart w:id="0" w:name="_GoBack"/>
      <w:bookmarkEnd w:id="0"/>
    </w:p>
    <w:p w14:paraId="65C5B886" w14:textId="77777777" w:rsidR="00584892" w:rsidRDefault="00584892"/>
    <w:p w14:paraId="6D44E6BC" w14:textId="14E3CC35" w:rsidR="00FB6828" w:rsidRPr="004A5EEE" w:rsidRDefault="00FB6828">
      <w:pPr>
        <w:rPr>
          <w:b/>
        </w:rPr>
      </w:pPr>
      <w:r>
        <w:tab/>
      </w:r>
      <w:r>
        <w:tab/>
      </w:r>
      <w:r>
        <w:tab/>
      </w:r>
      <w:r>
        <w:tab/>
      </w:r>
      <w:r>
        <w:tab/>
      </w:r>
      <w:r>
        <w:tab/>
      </w:r>
      <w:r>
        <w:tab/>
      </w:r>
      <w:r>
        <w:tab/>
      </w:r>
      <w:r>
        <w:tab/>
      </w:r>
      <w:r>
        <w:tab/>
      </w:r>
      <w:r>
        <w:tab/>
      </w:r>
      <w:r w:rsidRPr="004A5EEE">
        <w:rPr>
          <w:b/>
        </w:rPr>
        <w:t xml:space="preserve">DA </w:t>
      </w:r>
      <w:r w:rsidR="000E7C17" w:rsidRPr="000E7C17">
        <w:rPr>
          <w:b/>
        </w:rPr>
        <w:t>17-886</w:t>
      </w:r>
    </w:p>
    <w:p w14:paraId="0754B662" w14:textId="77777777" w:rsidR="00584892" w:rsidRPr="004A5EEE" w:rsidRDefault="00584892">
      <w:pPr>
        <w:rPr>
          <w:b/>
          <w:szCs w:val="22"/>
        </w:rPr>
      </w:pPr>
    </w:p>
    <w:p w14:paraId="57E57949" w14:textId="77777777" w:rsidR="00584892" w:rsidRDefault="00584892">
      <w:pPr>
        <w:spacing w:after="120"/>
        <w:jc w:val="center"/>
        <w:rPr>
          <w:sz w:val="36"/>
          <w:szCs w:val="36"/>
        </w:rPr>
      </w:pPr>
      <w:r w:rsidRPr="00135FD5">
        <w:rPr>
          <w:sz w:val="36"/>
          <w:szCs w:val="36"/>
        </w:rPr>
        <w:t>Small Entity Compliance Guide</w:t>
      </w:r>
    </w:p>
    <w:p w14:paraId="196ABB64" w14:textId="77777777" w:rsidR="00584892" w:rsidRPr="004A5EEE" w:rsidRDefault="00584892">
      <w:pPr>
        <w:spacing w:after="120"/>
        <w:jc w:val="center"/>
        <w:rPr>
          <w:sz w:val="20"/>
        </w:rPr>
      </w:pPr>
    </w:p>
    <w:p w14:paraId="2EA3A4F3" w14:textId="77777777" w:rsidR="00B147DD" w:rsidRDefault="00E94E18" w:rsidP="004A5EEE">
      <w:pPr>
        <w:jc w:val="center"/>
        <w:rPr>
          <w:b/>
          <w:szCs w:val="22"/>
        </w:rPr>
      </w:pPr>
      <w:r>
        <w:rPr>
          <w:b/>
          <w:szCs w:val="22"/>
        </w:rPr>
        <w:t xml:space="preserve">Amendment of </w:t>
      </w:r>
      <w:r w:rsidR="00496FB3" w:rsidRPr="00496FB3">
        <w:rPr>
          <w:b/>
          <w:szCs w:val="22"/>
        </w:rPr>
        <w:t xml:space="preserve">the Commission’s Rules </w:t>
      </w:r>
      <w:r w:rsidR="00B95396">
        <w:rPr>
          <w:b/>
          <w:szCs w:val="22"/>
        </w:rPr>
        <w:t>Regard</w:t>
      </w:r>
      <w:r w:rsidR="0059659F">
        <w:rPr>
          <w:b/>
          <w:szCs w:val="22"/>
        </w:rPr>
        <w:t xml:space="preserve">ing </w:t>
      </w:r>
    </w:p>
    <w:p w14:paraId="56FBCBE7" w14:textId="709DAB62" w:rsidR="00496FB3" w:rsidRDefault="00083C69" w:rsidP="00083C69">
      <w:pPr>
        <w:tabs>
          <w:tab w:val="center" w:pos="4680"/>
          <w:tab w:val="right" w:pos="9360"/>
        </w:tabs>
        <w:rPr>
          <w:b/>
          <w:szCs w:val="22"/>
        </w:rPr>
      </w:pPr>
      <w:r>
        <w:rPr>
          <w:b/>
          <w:szCs w:val="22"/>
        </w:rPr>
        <w:tab/>
      </w:r>
      <w:r w:rsidR="0059659F">
        <w:rPr>
          <w:b/>
          <w:szCs w:val="22"/>
        </w:rPr>
        <w:t>Maritime Radio Equipment</w:t>
      </w:r>
      <w:r w:rsidR="00B95396">
        <w:rPr>
          <w:b/>
          <w:szCs w:val="22"/>
        </w:rPr>
        <w:t xml:space="preserve"> </w:t>
      </w:r>
      <w:r w:rsidR="0059659F">
        <w:rPr>
          <w:b/>
          <w:szCs w:val="22"/>
        </w:rPr>
        <w:t xml:space="preserve">and Related Matters </w:t>
      </w:r>
      <w:r>
        <w:rPr>
          <w:b/>
          <w:szCs w:val="22"/>
        </w:rPr>
        <w:tab/>
      </w:r>
    </w:p>
    <w:p w14:paraId="14CA3DA7" w14:textId="77777777" w:rsidR="00584892" w:rsidRPr="000D6AAA" w:rsidRDefault="00496FB3" w:rsidP="00B95396">
      <w:pPr>
        <w:spacing w:after="120"/>
        <w:jc w:val="center"/>
        <w:rPr>
          <w:b/>
          <w:szCs w:val="22"/>
        </w:rPr>
      </w:pPr>
      <w:r w:rsidRPr="00496FB3">
        <w:rPr>
          <w:b/>
          <w:szCs w:val="22"/>
        </w:rPr>
        <w:t xml:space="preserve"> </w:t>
      </w:r>
    </w:p>
    <w:p w14:paraId="2DABF640" w14:textId="77777777" w:rsidR="00584892" w:rsidRPr="004B1666" w:rsidRDefault="00584892" w:rsidP="004A5EEE">
      <w:pPr>
        <w:jc w:val="center"/>
        <w:rPr>
          <w:b/>
          <w:bCs/>
          <w:szCs w:val="22"/>
        </w:rPr>
      </w:pPr>
      <w:r>
        <w:rPr>
          <w:b/>
          <w:bCs/>
          <w:szCs w:val="22"/>
        </w:rPr>
        <w:t>FCC 1</w:t>
      </w:r>
      <w:r w:rsidR="0059659F">
        <w:rPr>
          <w:b/>
          <w:bCs/>
          <w:szCs w:val="22"/>
        </w:rPr>
        <w:t>6</w:t>
      </w:r>
      <w:r>
        <w:rPr>
          <w:b/>
          <w:bCs/>
          <w:szCs w:val="22"/>
        </w:rPr>
        <w:t>-</w:t>
      </w:r>
      <w:r w:rsidR="0059659F">
        <w:rPr>
          <w:b/>
          <w:bCs/>
          <w:szCs w:val="22"/>
        </w:rPr>
        <w:t>119</w:t>
      </w:r>
    </w:p>
    <w:p w14:paraId="3912D323" w14:textId="77777777" w:rsidR="00584892" w:rsidRDefault="003467DE" w:rsidP="00E351E1">
      <w:pPr>
        <w:jc w:val="center"/>
        <w:rPr>
          <w:b/>
          <w:spacing w:val="-2"/>
          <w:szCs w:val="22"/>
        </w:rPr>
      </w:pPr>
      <w:r>
        <w:rPr>
          <w:b/>
          <w:spacing w:val="-2"/>
          <w:szCs w:val="22"/>
        </w:rPr>
        <w:t>WT</w:t>
      </w:r>
      <w:r w:rsidR="00584892" w:rsidRPr="004B1666">
        <w:rPr>
          <w:b/>
          <w:spacing w:val="-2"/>
          <w:szCs w:val="22"/>
        </w:rPr>
        <w:t xml:space="preserve"> Docket No. </w:t>
      </w:r>
      <w:r w:rsidR="00584892">
        <w:rPr>
          <w:b/>
          <w:spacing w:val="-2"/>
          <w:szCs w:val="22"/>
        </w:rPr>
        <w:t>1</w:t>
      </w:r>
      <w:r>
        <w:rPr>
          <w:b/>
          <w:spacing w:val="-2"/>
          <w:szCs w:val="22"/>
        </w:rPr>
        <w:t>4</w:t>
      </w:r>
      <w:r w:rsidR="00584892" w:rsidRPr="004B1666">
        <w:rPr>
          <w:b/>
          <w:spacing w:val="-2"/>
          <w:szCs w:val="22"/>
        </w:rPr>
        <w:t>-</w:t>
      </w:r>
      <w:r w:rsidR="00B610E7">
        <w:rPr>
          <w:b/>
          <w:spacing w:val="-2"/>
          <w:szCs w:val="22"/>
        </w:rPr>
        <w:t>3</w:t>
      </w:r>
      <w:r>
        <w:rPr>
          <w:b/>
          <w:spacing w:val="-2"/>
          <w:szCs w:val="22"/>
        </w:rPr>
        <w:t>6</w:t>
      </w:r>
    </w:p>
    <w:p w14:paraId="223AB00C" w14:textId="77777777" w:rsidR="00FB6828" w:rsidRDefault="00FB6828" w:rsidP="00E351E1">
      <w:pPr>
        <w:jc w:val="center"/>
        <w:rPr>
          <w:b/>
          <w:spacing w:val="-2"/>
          <w:szCs w:val="22"/>
        </w:rPr>
      </w:pPr>
      <w:r>
        <w:rPr>
          <w:b/>
          <w:spacing w:val="-2"/>
          <w:szCs w:val="22"/>
        </w:rPr>
        <w:t>Released September 1, 2016</w:t>
      </w:r>
    </w:p>
    <w:p w14:paraId="40807707" w14:textId="77777777" w:rsidR="00584892" w:rsidRPr="00F74B2B" w:rsidRDefault="00584892">
      <w:pPr>
        <w:jc w:val="center"/>
        <w:rPr>
          <w:b/>
          <w:szCs w:val="22"/>
        </w:rPr>
      </w:pPr>
    </w:p>
    <w:p w14:paraId="1B632A00" w14:textId="77777777" w:rsidR="00584892" w:rsidRDefault="00584892">
      <w:pPr>
        <w:tabs>
          <w:tab w:val="left" w:pos="360"/>
        </w:tabs>
        <w:ind w:left="1080" w:right="720"/>
        <w:jc w:val="both"/>
        <w:rPr>
          <w:b/>
          <w:szCs w:val="22"/>
        </w:rPr>
      </w:pPr>
      <w:r w:rsidRPr="004B1666">
        <w:rPr>
          <w:b/>
          <w:szCs w:val="22"/>
        </w:rPr>
        <w:t>This Guide is prepared in accordance with the requirements of Section 212 of the Small Business Regulatory Enforcement Fairness Act of 1996.  It is intended to help small entities—small businesses, small organizations (non-profits), and sm</w:t>
      </w:r>
      <w:r>
        <w:rPr>
          <w:b/>
          <w:szCs w:val="22"/>
        </w:rPr>
        <w:t>all governmental jurisdictions—</w:t>
      </w:r>
      <w:r w:rsidRPr="004B1666">
        <w:rPr>
          <w:b/>
          <w:szCs w:val="22"/>
        </w:rPr>
        <w:t xml:space="preserve">comply with the </w:t>
      </w:r>
      <w:r>
        <w:rPr>
          <w:b/>
          <w:szCs w:val="22"/>
        </w:rPr>
        <w:t xml:space="preserve">new rules adopted in the </w:t>
      </w:r>
      <w:r w:rsidRPr="004B1666">
        <w:rPr>
          <w:b/>
          <w:szCs w:val="22"/>
        </w:rPr>
        <w:t>above-referenced FCC rule</w:t>
      </w:r>
      <w:r>
        <w:rPr>
          <w:b/>
          <w:szCs w:val="22"/>
        </w:rPr>
        <w:t>making docket(s)</w:t>
      </w:r>
      <w:r w:rsidRPr="004B1666">
        <w:rPr>
          <w:b/>
          <w:szCs w:val="22"/>
        </w:rPr>
        <w:t>.  This Guide is not intended to replace the rules and</w:t>
      </w:r>
      <w:r>
        <w:rPr>
          <w:b/>
          <w:szCs w:val="22"/>
        </w:rPr>
        <w:t>, therefore,</w:t>
      </w:r>
      <w:r w:rsidRPr="004B1666">
        <w:rPr>
          <w:b/>
          <w:szCs w:val="22"/>
        </w:rPr>
        <w:t xml:space="preserve"> final authority rests solely with the rules.  Although we have attempted to cover all parts of the rules that might be especially important to small entities, the coverage may not be exhaustive.  This Guide may</w:t>
      </w:r>
      <w:r>
        <w:rPr>
          <w:b/>
          <w:szCs w:val="22"/>
        </w:rPr>
        <w:t>, perhaps,</w:t>
      </w:r>
      <w:r w:rsidRPr="004B1666">
        <w:rPr>
          <w:b/>
          <w:szCs w:val="22"/>
        </w:rPr>
        <w:t xml:space="preserve">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14:paraId="464F0F67" w14:textId="77777777" w:rsidR="00584892" w:rsidRDefault="00584892">
      <w:pPr>
        <w:tabs>
          <w:tab w:val="left" w:pos="360"/>
        </w:tabs>
        <w:ind w:left="1080" w:right="720"/>
        <w:jc w:val="both"/>
        <w:rPr>
          <w:b/>
          <w:szCs w:val="22"/>
        </w:rPr>
      </w:pPr>
    </w:p>
    <w:p w14:paraId="620EAE3E" w14:textId="77777777" w:rsidR="00584892" w:rsidRDefault="00584892">
      <w:pPr>
        <w:tabs>
          <w:tab w:val="left" w:pos="360"/>
        </w:tabs>
        <w:ind w:left="1080" w:right="720"/>
        <w:jc w:val="both"/>
        <w:rPr>
          <w:b/>
          <w:szCs w:val="22"/>
        </w:rPr>
      </w:pPr>
      <w:r>
        <w:rPr>
          <w:b/>
          <w:szCs w:val="22"/>
        </w:rPr>
        <w:t xml:space="preserve">In any civil or administrative action against a small entity for a violation of rules, the content of the Small Entity Compliance Guide may be considered as evidence of the reasonableness or appropriateness of proposed fines, penalties or damages. </w:t>
      </w:r>
      <w:r w:rsidRPr="004B1666">
        <w:rPr>
          <w:b/>
          <w:szCs w:val="22"/>
        </w:rPr>
        <w:t xml:space="preserve"> Interested parties are free to file comments regarding this Guide and the appropriateness of its application to a particular situation; the FCC will consider whether the recommendations or interpretations in the Guide are appropriate in that situation. </w:t>
      </w:r>
      <w:r>
        <w:rPr>
          <w:b/>
          <w:szCs w:val="22"/>
        </w:rPr>
        <w:t xml:space="preserve"> </w:t>
      </w:r>
      <w:r w:rsidRPr="004B1666">
        <w:rPr>
          <w:b/>
          <w:szCs w:val="22"/>
        </w:rPr>
        <w:t xml:space="preserve">The FCC may </w:t>
      </w:r>
      <w:r>
        <w:rPr>
          <w:b/>
          <w:szCs w:val="22"/>
        </w:rPr>
        <w:t xml:space="preserve">decide to </w:t>
      </w:r>
      <w:r w:rsidRPr="004B1666">
        <w:rPr>
          <w:b/>
          <w:szCs w:val="22"/>
        </w:rPr>
        <w:t xml:space="preserve">revise this Guide without public notice to </w:t>
      </w:r>
      <w:r>
        <w:rPr>
          <w:b/>
          <w:szCs w:val="22"/>
        </w:rPr>
        <w:t xml:space="preserve">reflect changes in the FCC’s approach to implementing a rule, </w:t>
      </w:r>
      <w:r w:rsidRPr="004B1666">
        <w:rPr>
          <w:b/>
          <w:szCs w:val="22"/>
        </w:rPr>
        <w:t>or</w:t>
      </w:r>
      <w:r>
        <w:rPr>
          <w:b/>
          <w:szCs w:val="22"/>
        </w:rPr>
        <w:t xml:space="preserve"> to clarify or</w:t>
      </w:r>
      <w:r w:rsidRPr="004B1666">
        <w:rPr>
          <w:b/>
          <w:szCs w:val="22"/>
        </w:rPr>
        <w:t xml:space="preserve"> update</w:t>
      </w:r>
      <w:r>
        <w:rPr>
          <w:b/>
          <w:szCs w:val="22"/>
        </w:rPr>
        <w:t xml:space="preserve"> the text of the Guide.  </w:t>
      </w:r>
      <w:r w:rsidRPr="004B1666">
        <w:rPr>
          <w:b/>
          <w:szCs w:val="22"/>
        </w:rPr>
        <w:t>Direct your comments and recommendations, or calls for further assistance, to the FCC’s Consumer Center:</w:t>
      </w:r>
    </w:p>
    <w:p w14:paraId="683F79D5" w14:textId="77777777" w:rsidR="00FB6828" w:rsidRPr="004B1666" w:rsidRDefault="00FB6828">
      <w:pPr>
        <w:tabs>
          <w:tab w:val="left" w:pos="360"/>
        </w:tabs>
        <w:ind w:left="1080" w:right="720"/>
        <w:jc w:val="both"/>
        <w:rPr>
          <w:b/>
          <w:szCs w:val="22"/>
        </w:rPr>
      </w:pPr>
    </w:p>
    <w:p w14:paraId="6631BD23" w14:textId="77777777" w:rsidR="00584892" w:rsidRPr="004B1666" w:rsidRDefault="00584892">
      <w:pPr>
        <w:jc w:val="center"/>
        <w:rPr>
          <w:b/>
          <w:color w:val="000000"/>
          <w:szCs w:val="22"/>
        </w:rPr>
      </w:pPr>
      <w:r w:rsidRPr="004B1666">
        <w:rPr>
          <w:b/>
          <w:color w:val="000000"/>
          <w:szCs w:val="22"/>
        </w:rPr>
        <w:t>1-888-CALL-</w:t>
      </w:r>
      <w:r w:rsidR="001C40D7" w:rsidRPr="004B1666">
        <w:rPr>
          <w:b/>
          <w:color w:val="000000"/>
          <w:szCs w:val="22"/>
        </w:rPr>
        <w:t>FCC (</w:t>
      </w:r>
      <w:r w:rsidRPr="004B1666">
        <w:rPr>
          <w:b/>
          <w:color w:val="000000"/>
          <w:szCs w:val="22"/>
        </w:rPr>
        <w:t>1-888-225-5322)</w:t>
      </w:r>
      <w:r w:rsidR="00A84426" w:rsidRPr="004B1666">
        <w:rPr>
          <w:b/>
          <w:color w:val="000000"/>
          <w:szCs w:val="22"/>
        </w:rPr>
        <w:t> </w:t>
      </w:r>
      <w:r w:rsidRPr="004B1666">
        <w:rPr>
          <w:b/>
          <w:color w:val="000000"/>
          <w:szCs w:val="22"/>
        </w:rPr>
        <w:br/>
        <w:t>TTY: 1-888-TELL-FCC</w:t>
      </w:r>
      <w:r w:rsidR="00A84426" w:rsidRPr="004B1666">
        <w:rPr>
          <w:b/>
          <w:color w:val="000000"/>
          <w:szCs w:val="22"/>
        </w:rPr>
        <w:t> (</w:t>
      </w:r>
      <w:r w:rsidRPr="004B1666">
        <w:rPr>
          <w:b/>
          <w:color w:val="000000"/>
          <w:szCs w:val="22"/>
        </w:rPr>
        <w:t>1-888-835-5322)</w:t>
      </w:r>
      <w:r w:rsidR="00A84426" w:rsidRPr="004B1666">
        <w:rPr>
          <w:b/>
          <w:color w:val="000000"/>
          <w:szCs w:val="22"/>
        </w:rPr>
        <w:t> </w:t>
      </w:r>
      <w:r w:rsidRPr="004B1666">
        <w:rPr>
          <w:b/>
          <w:color w:val="000000"/>
          <w:szCs w:val="22"/>
        </w:rPr>
        <w:br/>
        <w:t xml:space="preserve">Fax: </w:t>
      </w:r>
      <w:r w:rsidR="00FB6828">
        <w:rPr>
          <w:b/>
          <w:color w:val="000000"/>
          <w:szCs w:val="22"/>
        </w:rPr>
        <w:t>1-866</w:t>
      </w:r>
      <w:r w:rsidRPr="004B1666">
        <w:rPr>
          <w:b/>
          <w:color w:val="000000"/>
          <w:szCs w:val="22"/>
        </w:rPr>
        <w:t>-418-0232</w:t>
      </w:r>
    </w:p>
    <w:p w14:paraId="1D31E2F9" w14:textId="77777777" w:rsidR="00D8530F" w:rsidRDefault="0057536A" w:rsidP="00510897">
      <w:pPr>
        <w:pStyle w:val="TOC4"/>
      </w:pPr>
      <w:bookmarkStart w:id="1" w:name="TOChere"/>
      <w:r>
        <w:t xml:space="preserve">                </w:t>
      </w:r>
      <w:r w:rsidR="002F53DC">
        <w:t xml:space="preserve">                           </w:t>
      </w:r>
    </w:p>
    <w:p w14:paraId="1DDD3C95" w14:textId="77777777" w:rsidR="00D8530F" w:rsidRDefault="00D8530F" w:rsidP="00510897">
      <w:pPr>
        <w:pStyle w:val="TOC4"/>
      </w:pPr>
    </w:p>
    <w:p w14:paraId="4B69D69A" w14:textId="77777777" w:rsidR="00D8530F" w:rsidRDefault="00D8530F" w:rsidP="00510897">
      <w:pPr>
        <w:pStyle w:val="TOC4"/>
      </w:pPr>
    </w:p>
    <w:p w14:paraId="365AADCF" w14:textId="77777777" w:rsidR="00D8530F" w:rsidRDefault="00D8530F" w:rsidP="00510897">
      <w:pPr>
        <w:pStyle w:val="TOC4"/>
      </w:pPr>
    </w:p>
    <w:p w14:paraId="4FCAAC33" w14:textId="77777777" w:rsidR="00D8530F" w:rsidRDefault="00D8530F" w:rsidP="00510897">
      <w:pPr>
        <w:pStyle w:val="TOC4"/>
      </w:pPr>
    </w:p>
    <w:p w14:paraId="2D3CFDBD" w14:textId="77777777" w:rsidR="00584892" w:rsidRPr="00510897" w:rsidRDefault="00584892" w:rsidP="00510897">
      <w:pPr>
        <w:pStyle w:val="TOC4"/>
      </w:pPr>
      <w:r w:rsidRPr="00510897">
        <w:t>T</w:t>
      </w:r>
      <w:r w:rsidR="00462844" w:rsidRPr="00510897">
        <w:t>ABLE OF CONTENTS</w:t>
      </w:r>
    </w:p>
    <w:bookmarkEnd w:id="1"/>
    <w:p w14:paraId="17DF1401" w14:textId="77777777" w:rsidR="00C35DFF" w:rsidRPr="004B1666" w:rsidRDefault="00C35DFF">
      <w:pPr>
        <w:jc w:val="both"/>
        <w:rPr>
          <w:szCs w:val="22"/>
        </w:rPr>
      </w:pPr>
    </w:p>
    <w:p w14:paraId="640F23C2" w14:textId="77777777" w:rsidR="004912AA" w:rsidRDefault="00887E5E" w:rsidP="00771581">
      <w:pPr>
        <w:pStyle w:val="TOC1"/>
        <w:rPr>
          <w:rFonts w:asciiTheme="minorHAnsi" w:eastAsiaTheme="minorEastAsia" w:hAnsiTheme="minorHAnsi" w:cstheme="minorBidi"/>
          <w:caps w:val="0"/>
          <w:snapToGrid/>
          <w:kern w:val="0"/>
          <w:szCs w:val="22"/>
        </w:rPr>
      </w:pPr>
      <w:r>
        <w:rPr>
          <w:rFonts w:ascii="Times New Roman Bold" w:hAnsi="Times New Roman Bold"/>
          <w:b/>
          <w:szCs w:val="22"/>
        </w:rPr>
        <w:fldChar w:fldCharType="begin"/>
      </w:r>
      <w:r>
        <w:rPr>
          <w:szCs w:val="22"/>
        </w:rPr>
        <w:instrText xml:space="preserve"> TOC \o "1-6" \h \z \u </w:instrText>
      </w:r>
      <w:r>
        <w:rPr>
          <w:rFonts w:ascii="Times New Roman Bold" w:hAnsi="Times New Roman Bold"/>
          <w:b/>
          <w:szCs w:val="22"/>
        </w:rPr>
        <w:fldChar w:fldCharType="separate"/>
      </w:r>
    </w:p>
    <w:p w14:paraId="33DBA890" w14:textId="77777777" w:rsidR="0077399E" w:rsidRPr="00C83EBB" w:rsidRDefault="0077399E">
      <w:pPr>
        <w:pStyle w:val="TOC1"/>
        <w:rPr>
          <w:rFonts w:asciiTheme="minorHAnsi" w:eastAsiaTheme="minorEastAsia" w:hAnsiTheme="minorHAnsi" w:cstheme="minorBidi"/>
          <w:caps w:val="0"/>
          <w:snapToGrid/>
          <w:kern w:val="0"/>
          <w:szCs w:val="22"/>
        </w:rPr>
      </w:pPr>
      <w:r w:rsidRPr="00C83EBB">
        <w:rPr>
          <w:rStyle w:val="Hyperlink"/>
          <w:color w:val="auto"/>
        </w:rPr>
        <w:t>I.</w:t>
      </w:r>
      <w:r w:rsidRPr="00C83EBB">
        <w:rPr>
          <w:rFonts w:asciiTheme="minorHAnsi" w:eastAsiaTheme="minorEastAsia" w:hAnsiTheme="minorHAnsi" w:cstheme="minorBidi"/>
          <w:caps w:val="0"/>
          <w:snapToGrid/>
          <w:kern w:val="0"/>
          <w:szCs w:val="22"/>
        </w:rPr>
        <w:tab/>
      </w:r>
      <w:r w:rsidRPr="00C83EBB">
        <w:rPr>
          <w:rStyle w:val="Hyperlink"/>
          <w:color w:val="auto"/>
        </w:rPr>
        <w:t>Objectives of the Proceeding</w:t>
      </w:r>
      <w:r w:rsidRPr="00C83EBB">
        <w:rPr>
          <w:webHidden/>
        </w:rPr>
        <w:tab/>
      </w:r>
      <w:r w:rsidR="00B9388D" w:rsidRPr="00C83EBB">
        <w:rPr>
          <w:webHidden/>
        </w:rPr>
        <w:t>3</w:t>
      </w:r>
    </w:p>
    <w:p w14:paraId="0CDE630C" w14:textId="77777777" w:rsidR="0077399E" w:rsidRPr="00C83EBB" w:rsidRDefault="0077399E">
      <w:pPr>
        <w:pStyle w:val="TOC1"/>
        <w:rPr>
          <w:rFonts w:asciiTheme="minorHAnsi" w:eastAsiaTheme="minorEastAsia" w:hAnsiTheme="minorHAnsi" w:cstheme="minorBidi"/>
          <w:caps w:val="0"/>
          <w:snapToGrid/>
          <w:kern w:val="0"/>
          <w:szCs w:val="22"/>
        </w:rPr>
      </w:pPr>
      <w:r w:rsidRPr="00C83EBB">
        <w:rPr>
          <w:rStyle w:val="Hyperlink"/>
          <w:color w:val="auto"/>
        </w:rPr>
        <w:t>II.</w:t>
      </w:r>
      <w:r w:rsidRPr="00C83EBB">
        <w:rPr>
          <w:rFonts w:asciiTheme="minorHAnsi" w:eastAsiaTheme="minorEastAsia" w:hAnsiTheme="minorHAnsi" w:cstheme="minorBidi"/>
          <w:caps w:val="0"/>
          <w:snapToGrid/>
          <w:kern w:val="0"/>
          <w:szCs w:val="22"/>
        </w:rPr>
        <w:tab/>
      </w:r>
      <w:r w:rsidRPr="00C83EBB">
        <w:rPr>
          <w:rStyle w:val="Hyperlink"/>
          <w:color w:val="auto"/>
        </w:rPr>
        <w:t>compliance requirements</w:t>
      </w:r>
      <w:r w:rsidRPr="00C83EBB">
        <w:rPr>
          <w:webHidden/>
        </w:rPr>
        <w:tab/>
      </w:r>
      <w:r w:rsidR="00B9388D" w:rsidRPr="00C83EBB">
        <w:rPr>
          <w:webHidden/>
        </w:rPr>
        <w:t>3</w:t>
      </w:r>
    </w:p>
    <w:p w14:paraId="4A8A88D1" w14:textId="77777777" w:rsidR="0077399E" w:rsidRPr="00C83EBB" w:rsidRDefault="0077399E">
      <w:pPr>
        <w:pStyle w:val="TOC2"/>
        <w:rPr>
          <w:rFonts w:asciiTheme="minorHAnsi" w:eastAsiaTheme="minorEastAsia" w:hAnsiTheme="minorHAnsi" w:cstheme="minorBidi"/>
          <w:snapToGrid/>
          <w:kern w:val="0"/>
          <w:szCs w:val="22"/>
        </w:rPr>
      </w:pPr>
      <w:r w:rsidRPr="00C83EBB">
        <w:rPr>
          <w:rStyle w:val="Hyperlink"/>
          <w:color w:val="auto"/>
        </w:rPr>
        <w:t>A.</w:t>
      </w:r>
      <w:r w:rsidRPr="00C83EBB">
        <w:rPr>
          <w:rFonts w:asciiTheme="minorHAnsi" w:eastAsiaTheme="minorEastAsia" w:hAnsiTheme="minorHAnsi" w:cstheme="minorBidi"/>
          <w:snapToGrid/>
          <w:kern w:val="0"/>
          <w:szCs w:val="22"/>
        </w:rPr>
        <w:tab/>
      </w:r>
      <w:r w:rsidRPr="00C83EBB">
        <w:rPr>
          <w:rStyle w:val="Hyperlink"/>
          <w:color w:val="auto"/>
        </w:rPr>
        <w:t>Emergency Position Indicating Radio Beacons (EPIRBs)</w:t>
      </w:r>
      <w:r w:rsidRPr="00C83EBB">
        <w:rPr>
          <w:webHidden/>
        </w:rPr>
        <w:tab/>
      </w:r>
      <w:r w:rsidR="00B9388D" w:rsidRPr="00C83EBB">
        <w:rPr>
          <w:webHidden/>
        </w:rPr>
        <w:t>4</w:t>
      </w:r>
    </w:p>
    <w:p w14:paraId="3FAFA260" w14:textId="77777777" w:rsidR="0077399E" w:rsidRPr="00C83EBB" w:rsidRDefault="0077399E">
      <w:pPr>
        <w:pStyle w:val="TOC2"/>
        <w:rPr>
          <w:rFonts w:asciiTheme="minorHAnsi" w:eastAsiaTheme="minorEastAsia" w:hAnsiTheme="minorHAnsi" w:cstheme="minorBidi"/>
          <w:snapToGrid/>
          <w:kern w:val="0"/>
          <w:szCs w:val="22"/>
        </w:rPr>
      </w:pPr>
      <w:r w:rsidRPr="00C83EBB">
        <w:rPr>
          <w:rStyle w:val="Hyperlink"/>
          <w:color w:val="auto"/>
        </w:rPr>
        <w:t>B.</w:t>
      </w:r>
      <w:r w:rsidRPr="00C83EBB">
        <w:rPr>
          <w:rFonts w:asciiTheme="minorHAnsi" w:eastAsiaTheme="minorEastAsia" w:hAnsiTheme="minorHAnsi" w:cstheme="minorBidi"/>
          <w:snapToGrid/>
          <w:kern w:val="0"/>
          <w:szCs w:val="22"/>
        </w:rPr>
        <w:tab/>
      </w:r>
      <w:r w:rsidRPr="00C83EBB">
        <w:rPr>
          <w:rStyle w:val="Hyperlink"/>
          <w:color w:val="auto"/>
        </w:rPr>
        <w:t>Personal Locator Beacons (PLBs)</w:t>
      </w:r>
      <w:r w:rsidRPr="00C83EBB">
        <w:rPr>
          <w:webHidden/>
        </w:rPr>
        <w:tab/>
      </w:r>
      <w:r w:rsidR="00B9388D" w:rsidRPr="00C83EBB">
        <w:rPr>
          <w:webHidden/>
        </w:rPr>
        <w:t>4</w:t>
      </w:r>
    </w:p>
    <w:p w14:paraId="4FF51EA8" w14:textId="77777777" w:rsidR="0077399E" w:rsidRPr="00C83EBB" w:rsidRDefault="0077399E">
      <w:pPr>
        <w:pStyle w:val="TOC2"/>
        <w:rPr>
          <w:rFonts w:asciiTheme="minorHAnsi" w:eastAsiaTheme="minorEastAsia" w:hAnsiTheme="minorHAnsi" w:cstheme="minorBidi"/>
          <w:snapToGrid/>
          <w:kern w:val="0"/>
          <w:szCs w:val="22"/>
        </w:rPr>
      </w:pPr>
      <w:r w:rsidRPr="00C83EBB">
        <w:rPr>
          <w:rStyle w:val="Hyperlink"/>
          <w:color w:val="auto"/>
        </w:rPr>
        <w:t>C.</w:t>
      </w:r>
      <w:r w:rsidRPr="00C83EBB">
        <w:rPr>
          <w:rFonts w:asciiTheme="minorHAnsi" w:eastAsiaTheme="minorEastAsia" w:hAnsiTheme="minorHAnsi" w:cstheme="minorBidi"/>
          <w:snapToGrid/>
          <w:kern w:val="0"/>
          <w:szCs w:val="22"/>
        </w:rPr>
        <w:tab/>
      </w:r>
      <w:r w:rsidRPr="00C83EBB">
        <w:rPr>
          <w:rStyle w:val="Hyperlink"/>
          <w:color w:val="auto"/>
        </w:rPr>
        <w:t>Satellite Emergency Notification Devices (SENDs)</w:t>
      </w:r>
      <w:r w:rsidRPr="00C83EBB">
        <w:rPr>
          <w:webHidden/>
        </w:rPr>
        <w:tab/>
      </w:r>
      <w:r w:rsidR="00B9388D" w:rsidRPr="00C83EBB">
        <w:rPr>
          <w:webHidden/>
        </w:rPr>
        <w:t>5</w:t>
      </w:r>
    </w:p>
    <w:p w14:paraId="09A5EE73" w14:textId="77777777" w:rsidR="0077399E" w:rsidRPr="00C83EBB" w:rsidRDefault="0077399E">
      <w:pPr>
        <w:pStyle w:val="TOC2"/>
        <w:rPr>
          <w:rFonts w:asciiTheme="minorHAnsi" w:eastAsiaTheme="minorEastAsia" w:hAnsiTheme="minorHAnsi" w:cstheme="minorBidi"/>
          <w:snapToGrid/>
          <w:kern w:val="0"/>
          <w:szCs w:val="22"/>
        </w:rPr>
      </w:pPr>
      <w:r w:rsidRPr="00C83EBB">
        <w:rPr>
          <w:rStyle w:val="Hyperlink"/>
          <w:color w:val="auto"/>
        </w:rPr>
        <w:t>D.</w:t>
      </w:r>
      <w:r w:rsidRPr="00C83EBB">
        <w:rPr>
          <w:rFonts w:asciiTheme="minorHAnsi" w:eastAsiaTheme="minorEastAsia" w:hAnsiTheme="minorHAnsi" w:cstheme="minorBidi"/>
          <w:snapToGrid/>
          <w:kern w:val="0"/>
          <w:szCs w:val="22"/>
        </w:rPr>
        <w:tab/>
      </w:r>
      <w:r w:rsidRPr="00C83EBB">
        <w:rPr>
          <w:rStyle w:val="Hyperlink"/>
          <w:color w:val="auto"/>
        </w:rPr>
        <w:t>Maritime Survivor Locating Devices (MSLDs)</w:t>
      </w:r>
      <w:r w:rsidRPr="00C83EBB">
        <w:rPr>
          <w:webHidden/>
        </w:rPr>
        <w:tab/>
      </w:r>
      <w:r w:rsidR="00B9388D" w:rsidRPr="00C83EBB">
        <w:rPr>
          <w:webHidden/>
        </w:rPr>
        <w:t>5</w:t>
      </w:r>
    </w:p>
    <w:p w14:paraId="3DB955F8" w14:textId="77777777" w:rsidR="0077399E" w:rsidRPr="00C83EBB" w:rsidRDefault="0077399E">
      <w:pPr>
        <w:pStyle w:val="TOC2"/>
        <w:rPr>
          <w:rFonts w:asciiTheme="minorHAnsi" w:eastAsiaTheme="minorEastAsia" w:hAnsiTheme="minorHAnsi" w:cstheme="minorBidi"/>
          <w:snapToGrid/>
          <w:kern w:val="0"/>
          <w:szCs w:val="22"/>
        </w:rPr>
      </w:pPr>
      <w:r w:rsidRPr="00C83EBB">
        <w:rPr>
          <w:rStyle w:val="Hyperlink"/>
          <w:color w:val="auto"/>
        </w:rPr>
        <w:t>E.</w:t>
      </w:r>
      <w:r w:rsidRPr="00C83EBB">
        <w:rPr>
          <w:rFonts w:asciiTheme="minorHAnsi" w:eastAsiaTheme="minorEastAsia" w:hAnsiTheme="minorHAnsi" w:cstheme="minorBidi"/>
          <w:snapToGrid/>
          <w:kern w:val="0"/>
          <w:szCs w:val="22"/>
        </w:rPr>
        <w:tab/>
      </w:r>
      <w:r w:rsidRPr="00C83EBB">
        <w:rPr>
          <w:rStyle w:val="Hyperlink"/>
          <w:color w:val="auto"/>
        </w:rPr>
        <w:t>Automatic Identification System Search and Rescue Transmitters (AIS-SARTs)</w:t>
      </w:r>
      <w:r w:rsidRPr="00C83EBB">
        <w:rPr>
          <w:webHidden/>
        </w:rPr>
        <w:tab/>
      </w:r>
      <w:r w:rsidR="00D37A44" w:rsidRPr="00C83EBB">
        <w:rPr>
          <w:webHidden/>
        </w:rPr>
        <w:t>6</w:t>
      </w:r>
    </w:p>
    <w:p w14:paraId="0A23DAAC" w14:textId="77777777" w:rsidR="0077399E" w:rsidRPr="00C83EBB" w:rsidRDefault="0077399E">
      <w:pPr>
        <w:pStyle w:val="TOC2"/>
        <w:rPr>
          <w:rFonts w:asciiTheme="minorHAnsi" w:eastAsiaTheme="minorEastAsia" w:hAnsiTheme="minorHAnsi" w:cstheme="minorBidi"/>
          <w:snapToGrid/>
          <w:kern w:val="0"/>
          <w:szCs w:val="22"/>
        </w:rPr>
      </w:pPr>
      <w:r w:rsidRPr="00C83EBB">
        <w:rPr>
          <w:rStyle w:val="Hyperlink"/>
          <w:color w:val="auto"/>
        </w:rPr>
        <w:t>F.</w:t>
      </w:r>
      <w:r w:rsidRPr="00C83EBB">
        <w:rPr>
          <w:rFonts w:asciiTheme="minorHAnsi" w:eastAsiaTheme="minorEastAsia" w:hAnsiTheme="minorHAnsi" w:cstheme="minorBidi"/>
          <w:snapToGrid/>
          <w:kern w:val="0"/>
          <w:szCs w:val="22"/>
        </w:rPr>
        <w:tab/>
      </w:r>
      <w:r w:rsidRPr="00C83EBB">
        <w:rPr>
          <w:rStyle w:val="Hyperlink"/>
          <w:color w:val="auto"/>
        </w:rPr>
        <w:t>Ship Radar</w:t>
      </w:r>
      <w:r w:rsidRPr="00C83EBB">
        <w:rPr>
          <w:webHidden/>
        </w:rPr>
        <w:tab/>
      </w:r>
      <w:r w:rsidR="00B9388D" w:rsidRPr="00C83EBB">
        <w:rPr>
          <w:webHidden/>
        </w:rPr>
        <w:t>6</w:t>
      </w:r>
    </w:p>
    <w:p w14:paraId="1C88A837" w14:textId="77777777" w:rsidR="0077399E" w:rsidRPr="00C83EBB" w:rsidRDefault="0077399E">
      <w:pPr>
        <w:pStyle w:val="TOC2"/>
        <w:rPr>
          <w:rFonts w:asciiTheme="minorHAnsi" w:eastAsiaTheme="minorEastAsia" w:hAnsiTheme="minorHAnsi" w:cstheme="minorBidi"/>
          <w:snapToGrid/>
          <w:kern w:val="0"/>
          <w:szCs w:val="22"/>
        </w:rPr>
      </w:pPr>
      <w:r w:rsidRPr="00C83EBB">
        <w:rPr>
          <w:rStyle w:val="Hyperlink"/>
          <w:color w:val="auto"/>
        </w:rPr>
        <w:t>G.</w:t>
      </w:r>
      <w:r w:rsidRPr="00C83EBB">
        <w:rPr>
          <w:rFonts w:asciiTheme="minorHAnsi" w:eastAsiaTheme="minorEastAsia" w:hAnsiTheme="minorHAnsi" w:cstheme="minorBidi"/>
          <w:snapToGrid/>
          <w:kern w:val="0"/>
          <w:szCs w:val="22"/>
        </w:rPr>
        <w:tab/>
      </w:r>
      <w:r w:rsidRPr="00C83EBB">
        <w:rPr>
          <w:rStyle w:val="Hyperlink"/>
          <w:color w:val="auto"/>
        </w:rPr>
        <w:t>Portable Marine VHF Radios on Shore</w:t>
      </w:r>
      <w:r w:rsidRPr="00C83EBB">
        <w:rPr>
          <w:webHidden/>
        </w:rPr>
        <w:tab/>
      </w:r>
      <w:r w:rsidR="00B9388D" w:rsidRPr="00C83EBB">
        <w:rPr>
          <w:webHidden/>
        </w:rPr>
        <w:t>6</w:t>
      </w:r>
    </w:p>
    <w:p w14:paraId="41AA1481" w14:textId="77777777" w:rsidR="0077399E" w:rsidRPr="00C83EBB" w:rsidRDefault="0077399E">
      <w:pPr>
        <w:pStyle w:val="TOC2"/>
        <w:rPr>
          <w:rFonts w:asciiTheme="minorHAnsi" w:eastAsiaTheme="minorEastAsia" w:hAnsiTheme="minorHAnsi" w:cstheme="minorBidi"/>
          <w:snapToGrid/>
          <w:kern w:val="0"/>
          <w:szCs w:val="22"/>
        </w:rPr>
      </w:pPr>
      <w:r w:rsidRPr="00C83EBB">
        <w:rPr>
          <w:rStyle w:val="Hyperlink"/>
          <w:color w:val="auto"/>
        </w:rPr>
        <w:t>H.</w:t>
      </w:r>
      <w:r w:rsidRPr="00C83EBB">
        <w:rPr>
          <w:rFonts w:asciiTheme="minorHAnsi" w:eastAsiaTheme="minorEastAsia" w:hAnsiTheme="minorHAnsi" w:cstheme="minorBidi"/>
          <w:snapToGrid/>
          <w:kern w:val="0"/>
          <w:szCs w:val="22"/>
        </w:rPr>
        <w:tab/>
      </w:r>
      <w:r w:rsidRPr="00C83EBB">
        <w:rPr>
          <w:rStyle w:val="Hyperlink"/>
          <w:color w:val="auto"/>
        </w:rPr>
        <w:t>VHF Digital Small Message Services (VDSMS)</w:t>
      </w:r>
      <w:r w:rsidRPr="00C83EBB">
        <w:rPr>
          <w:webHidden/>
        </w:rPr>
        <w:tab/>
      </w:r>
      <w:r w:rsidR="00B9388D" w:rsidRPr="00C83EBB">
        <w:rPr>
          <w:webHidden/>
        </w:rPr>
        <w:t>6</w:t>
      </w:r>
    </w:p>
    <w:p w14:paraId="34E1807D" w14:textId="77777777" w:rsidR="0077399E" w:rsidRPr="00C83EBB" w:rsidRDefault="0077399E">
      <w:pPr>
        <w:pStyle w:val="TOC2"/>
        <w:rPr>
          <w:rFonts w:asciiTheme="minorHAnsi" w:eastAsiaTheme="minorEastAsia" w:hAnsiTheme="minorHAnsi" w:cstheme="minorBidi"/>
          <w:snapToGrid/>
          <w:kern w:val="0"/>
          <w:szCs w:val="22"/>
        </w:rPr>
      </w:pPr>
      <w:r w:rsidRPr="00C83EBB">
        <w:rPr>
          <w:rStyle w:val="Hyperlink"/>
          <w:color w:val="auto"/>
        </w:rPr>
        <w:t>I.</w:t>
      </w:r>
      <w:r w:rsidRPr="00C83EBB">
        <w:rPr>
          <w:rFonts w:asciiTheme="minorHAnsi" w:eastAsiaTheme="minorEastAsia" w:hAnsiTheme="minorHAnsi" w:cstheme="minorBidi"/>
          <w:snapToGrid/>
          <w:kern w:val="0"/>
          <w:szCs w:val="22"/>
        </w:rPr>
        <w:tab/>
      </w:r>
      <w:r w:rsidRPr="00C83EBB">
        <w:rPr>
          <w:rStyle w:val="Hyperlink"/>
          <w:color w:val="auto"/>
        </w:rPr>
        <w:t>Prohibition of Applications to Assign or Transfer Control of Ship Licenses</w:t>
      </w:r>
      <w:r w:rsidRPr="00C83EBB">
        <w:rPr>
          <w:webHidden/>
        </w:rPr>
        <w:tab/>
      </w:r>
      <w:r w:rsidR="00D37A44" w:rsidRPr="00C83EBB">
        <w:rPr>
          <w:webHidden/>
        </w:rPr>
        <w:t>7</w:t>
      </w:r>
    </w:p>
    <w:p w14:paraId="4A0B1D44" w14:textId="77777777" w:rsidR="0077399E" w:rsidRPr="00C83EBB" w:rsidRDefault="0077399E">
      <w:pPr>
        <w:pStyle w:val="TOC2"/>
        <w:rPr>
          <w:rFonts w:asciiTheme="minorHAnsi" w:eastAsiaTheme="minorEastAsia" w:hAnsiTheme="minorHAnsi" w:cstheme="minorBidi"/>
          <w:snapToGrid/>
          <w:kern w:val="0"/>
          <w:szCs w:val="22"/>
        </w:rPr>
      </w:pPr>
      <w:r w:rsidRPr="00C83EBB">
        <w:rPr>
          <w:rStyle w:val="Hyperlink"/>
          <w:color w:val="auto"/>
        </w:rPr>
        <w:t>J.</w:t>
      </w:r>
      <w:r w:rsidRPr="00C83EBB">
        <w:rPr>
          <w:rFonts w:asciiTheme="minorHAnsi" w:eastAsiaTheme="minorEastAsia" w:hAnsiTheme="minorHAnsi" w:cstheme="minorBidi"/>
          <w:snapToGrid/>
          <w:kern w:val="0"/>
          <w:szCs w:val="22"/>
        </w:rPr>
        <w:tab/>
      </w:r>
      <w:r w:rsidRPr="00C83EBB">
        <w:rPr>
          <w:rStyle w:val="Hyperlink"/>
          <w:color w:val="auto"/>
        </w:rPr>
        <w:t>Editorial Corrections</w:t>
      </w:r>
      <w:r w:rsidRPr="00C83EBB">
        <w:rPr>
          <w:webHidden/>
        </w:rPr>
        <w:tab/>
      </w:r>
      <w:r w:rsidR="00B9388D" w:rsidRPr="00C83EBB">
        <w:rPr>
          <w:webHidden/>
        </w:rPr>
        <w:t>7</w:t>
      </w:r>
    </w:p>
    <w:p w14:paraId="276E9C16" w14:textId="77777777" w:rsidR="0077399E" w:rsidRPr="00C83EBB" w:rsidRDefault="0077399E">
      <w:pPr>
        <w:pStyle w:val="TOC1"/>
        <w:rPr>
          <w:rFonts w:asciiTheme="minorHAnsi" w:eastAsiaTheme="minorEastAsia" w:hAnsiTheme="minorHAnsi" w:cstheme="minorBidi"/>
          <w:caps w:val="0"/>
          <w:snapToGrid/>
          <w:kern w:val="0"/>
          <w:szCs w:val="22"/>
        </w:rPr>
      </w:pPr>
      <w:r w:rsidRPr="00C83EBB">
        <w:rPr>
          <w:rStyle w:val="Hyperlink"/>
          <w:color w:val="auto"/>
        </w:rPr>
        <w:t>III.</w:t>
      </w:r>
      <w:r w:rsidRPr="00C83EBB">
        <w:rPr>
          <w:rFonts w:asciiTheme="minorHAnsi" w:eastAsiaTheme="minorEastAsia" w:hAnsiTheme="minorHAnsi" w:cstheme="minorBidi"/>
          <w:caps w:val="0"/>
          <w:snapToGrid/>
          <w:kern w:val="0"/>
          <w:szCs w:val="22"/>
        </w:rPr>
        <w:tab/>
      </w:r>
      <w:r w:rsidRPr="00C83EBB">
        <w:rPr>
          <w:rStyle w:val="Hyperlink"/>
          <w:color w:val="auto"/>
        </w:rPr>
        <w:t>Recordkeeping Requirements</w:t>
      </w:r>
      <w:r w:rsidRPr="00C83EBB">
        <w:rPr>
          <w:webHidden/>
        </w:rPr>
        <w:tab/>
      </w:r>
      <w:r w:rsidR="00B9388D" w:rsidRPr="00C83EBB">
        <w:rPr>
          <w:webHidden/>
        </w:rPr>
        <w:t>7</w:t>
      </w:r>
    </w:p>
    <w:p w14:paraId="5966BE6C" w14:textId="77777777" w:rsidR="0077399E" w:rsidRPr="00C83EBB" w:rsidRDefault="0077399E">
      <w:pPr>
        <w:pStyle w:val="TOC1"/>
        <w:rPr>
          <w:rFonts w:asciiTheme="minorHAnsi" w:eastAsiaTheme="minorEastAsia" w:hAnsiTheme="minorHAnsi" w:cstheme="minorBidi"/>
          <w:caps w:val="0"/>
          <w:snapToGrid/>
          <w:kern w:val="0"/>
          <w:szCs w:val="22"/>
        </w:rPr>
      </w:pPr>
      <w:r w:rsidRPr="00C83EBB">
        <w:rPr>
          <w:rStyle w:val="Hyperlink"/>
          <w:color w:val="auto"/>
        </w:rPr>
        <w:t>IV.</w:t>
      </w:r>
      <w:r w:rsidRPr="00C83EBB">
        <w:rPr>
          <w:rFonts w:asciiTheme="minorHAnsi" w:eastAsiaTheme="minorEastAsia" w:hAnsiTheme="minorHAnsi" w:cstheme="minorBidi"/>
          <w:caps w:val="0"/>
          <w:snapToGrid/>
          <w:kern w:val="0"/>
          <w:szCs w:val="22"/>
        </w:rPr>
        <w:tab/>
      </w:r>
      <w:r w:rsidR="0019111F" w:rsidRPr="00C83EBB">
        <w:rPr>
          <w:rStyle w:val="Hyperlink"/>
          <w:color w:val="auto"/>
        </w:rPr>
        <w:t xml:space="preserve">INTERNET </w:t>
      </w:r>
      <w:r w:rsidRPr="00C83EBB">
        <w:rPr>
          <w:rStyle w:val="Hyperlink"/>
          <w:color w:val="auto"/>
        </w:rPr>
        <w:t>link</w:t>
      </w:r>
      <w:r w:rsidR="00AF5C1F">
        <w:rPr>
          <w:rStyle w:val="Hyperlink"/>
          <w:color w:val="auto"/>
        </w:rPr>
        <w:t>S</w:t>
      </w:r>
      <w:r w:rsidRPr="00C83EBB">
        <w:rPr>
          <w:webHidden/>
        </w:rPr>
        <w:tab/>
      </w:r>
      <w:r w:rsidR="00B9388D" w:rsidRPr="00C83EBB">
        <w:rPr>
          <w:webHidden/>
        </w:rPr>
        <w:t>7</w:t>
      </w:r>
    </w:p>
    <w:p w14:paraId="55A42B8C" w14:textId="77777777" w:rsidR="00584892" w:rsidRDefault="00887E5E">
      <w:pPr>
        <w:jc w:val="both"/>
        <w:rPr>
          <w:szCs w:val="22"/>
        </w:rPr>
      </w:pPr>
      <w:r>
        <w:rPr>
          <w:szCs w:val="22"/>
        </w:rPr>
        <w:fldChar w:fldCharType="end"/>
      </w:r>
    </w:p>
    <w:p w14:paraId="16276C6F" w14:textId="77777777" w:rsidR="000767EF" w:rsidRDefault="000767EF">
      <w:pPr>
        <w:jc w:val="both"/>
        <w:rPr>
          <w:szCs w:val="22"/>
        </w:rPr>
      </w:pPr>
    </w:p>
    <w:p w14:paraId="0177983F" w14:textId="77777777" w:rsidR="000767EF" w:rsidRDefault="000767EF">
      <w:pPr>
        <w:jc w:val="both"/>
        <w:rPr>
          <w:szCs w:val="22"/>
        </w:rPr>
      </w:pPr>
    </w:p>
    <w:p w14:paraId="64186C05" w14:textId="77777777" w:rsidR="000767EF" w:rsidRDefault="000767EF">
      <w:pPr>
        <w:jc w:val="both"/>
        <w:rPr>
          <w:szCs w:val="22"/>
        </w:rPr>
      </w:pPr>
    </w:p>
    <w:p w14:paraId="17F4F26F" w14:textId="77777777" w:rsidR="000767EF" w:rsidRDefault="000767EF">
      <w:pPr>
        <w:jc w:val="both"/>
        <w:rPr>
          <w:szCs w:val="22"/>
        </w:rPr>
      </w:pPr>
    </w:p>
    <w:p w14:paraId="2B053982" w14:textId="77777777" w:rsidR="000767EF" w:rsidRDefault="000767EF">
      <w:pPr>
        <w:jc w:val="both"/>
        <w:rPr>
          <w:szCs w:val="22"/>
        </w:rPr>
      </w:pPr>
    </w:p>
    <w:p w14:paraId="027BF803" w14:textId="77777777" w:rsidR="000767EF" w:rsidRDefault="000767EF">
      <w:pPr>
        <w:jc w:val="both"/>
        <w:rPr>
          <w:szCs w:val="22"/>
        </w:rPr>
      </w:pPr>
    </w:p>
    <w:p w14:paraId="68E63F03" w14:textId="77777777" w:rsidR="000767EF" w:rsidRDefault="000767EF">
      <w:pPr>
        <w:jc w:val="both"/>
        <w:rPr>
          <w:szCs w:val="22"/>
        </w:rPr>
      </w:pPr>
    </w:p>
    <w:p w14:paraId="640C5192" w14:textId="77777777" w:rsidR="00867974" w:rsidRDefault="00771581">
      <w:pPr>
        <w:widowControl/>
        <w:rPr>
          <w:szCs w:val="22"/>
        </w:rPr>
      </w:pPr>
      <w:r>
        <w:rPr>
          <w:szCs w:val="22"/>
        </w:rPr>
        <w:br w:type="page"/>
      </w:r>
    </w:p>
    <w:p w14:paraId="47A24C11" w14:textId="77777777" w:rsidR="00584892" w:rsidRPr="001E4E01" w:rsidRDefault="00584892" w:rsidP="00AD762B">
      <w:pPr>
        <w:pStyle w:val="Heading1"/>
      </w:pPr>
      <w:bookmarkStart w:id="2" w:name="_Toc103419948"/>
      <w:bookmarkStart w:id="3" w:name="_Toc103420572"/>
      <w:bookmarkStart w:id="4" w:name="_Toc103420714"/>
      <w:bookmarkStart w:id="5" w:name="_Toc103420758"/>
      <w:bookmarkStart w:id="6" w:name="_Toc103420818"/>
      <w:bookmarkStart w:id="7" w:name="_Toc103420865"/>
      <w:bookmarkStart w:id="8" w:name="_Toc103420953"/>
      <w:bookmarkStart w:id="9" w:name="_Toc103421292"/>
      <w:bookmarkStart w:id="10" w:name="_Toc103421410"/>
      <w:bookmarkStart w:id="11" w:name="_Toc103421504"/>
      <w:bookmarkStart w:id="12" w:name="_Toc103488261"/>
      <w:bookmarkStart w:id="13" w:name="_Toc125945573"/>
      <w:bookmarkStart w:id="14" w:name="_Toc153861058"/>
      <w:bookmarkStart w:id="15" w:name="_Toc176072634"/>
      <w:bookmarkStart w:id="16" w:name="_Toc176072760"/>
      <w:bookmarkStart w:id="17" w:name="_Toc176072786"/>
      <w:bookmarkStart w:id="18" w:name="_Toc176072810"/>
      <w:bookmarkStart w:id="19" w:name="_Toc179100553"/>
      <w:bookmarkStart w:id="20" w:name="_Toc179100918"/>
      <w:bookmarkStart w:id="21" w:name="_Toc216065688"/>
      <w:bookmarkStart w:id="22" w:name="_Toc326229719"/>
      <w:bookmarkStart w:id="23" w:name="_Toc326658329"/>
      <w:bookmarkStart w:id="24" w:name="_Toc326746785"/>
      <w:bookmarkStart w:id="25" w:name="_Toc326826051"/>
      <w:bookmarkStart w:id="26" w:name="_Toc419722978"/>
      <w:bookmarkStart w:id="27" w:name="_Toc419800653"/>
      <w:bookmarkStart w:id="28" w:name="_Toc419800718"/>
      <w:bookmarkStart w:id="29" w:name="_Toc480811436"/>
      <w:r w:rsidRPr="001E4E01">
        <w:lastRenderedPageBreak/>
        <w:t>Objectives of the Proceeding</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384D15F2" w14:textId="77777777" w:rsidR="005334AC" w:rsidRDefault="00584892" w:rsidP="00222A68">
      <w:pPr>
        <w:ind w:firstLine="720"/>
        <w:jc w:val="both"/>
      </w:pPr>
      <w:r w:rsidRPr="001E4E01">
        <w:rPr>
          <w:szCs w:val="22"/>
        </w:rPr>
        <w:t>In th</w:t>
      </w:r>
      <w:r w:rsidR="00054195">
        <w:rPr>
          <w:szCs w:val="22"/>
        </w:rPr>
        <w:t>e</w:t>
      </w:r>
      <w:r w:rsidRPr="001E4E01">
        <w:rPr>
          <w:szCs w:val="22"/>
        </w:rPr>
        <w:t xml:space="preserve"> </w:t>
      </w:r>
      <w:r w:rsidR="00642669" w:rsidRPr="001E4E01">
        <w:rPr>
          <w:i/>
          <w:szCs w:val="22"/>
        </w:rPr>
        <w:t xml:space="preserve">Report and </w:t>
      </w:r>
      <w:r w:rsidRPr="001E4E01">
        <w:rPr>
          <w:i/>
          <w:szCs w:val="22"/>
        </w:rPr>
        <w:t xml:space="preserve">Order </w:t>
      </w:r>
      <w:r w:rsidRPr="001E4E01">
        <w:rPr>
          <w:szCs w:val="22"/>
        </w:rPr>
        <w:t>in</w:t>
      </w:r>
      <w:r w:rsidR="00F109D2">
        <w:rPr>
          <w:szCs w:val="22"/>
        </w:rPr>
        <w:t xml:space="preserve"> </w:t>
      </w:r>
      <w:r w:rsidR="00F80E0B">
        <w:rPr>
          <w:szCs w:val="22"/>
        </w:rPr>
        <w:t>WT</w:t>
      </w:r>
      <w:r w:rsidRPr="001E4E01">
        <w:rPr>
          <w:szCs w:val="22"/>
        </w:rPr>
        <w:t xml:space="preserve"> Docket No. </w:t>
      </w:r>
      <w:r w:rsidR="000A51ED" w:rsidRPr="001E4E01">
        <w:rPr>
          <w:szCs w:val="22"/>
        </w:rPr>
        <w:t>1</w:t>
      </w:r>
      <w:r w:rsidR="00F80E0B">
        <w:rPr>
          <w:szCs w:val="22"/>
        </w:rPr>
        <w:t>4</w:t>
      </w:r>
      <w:r w:rsidRPr="001E4E01">
        <w:rPr>
          <w:szCs w:val="22"/>
        </w:rPr>
        <w:t>-</w:t>
      </w:r>
      <w:r w:rsidR="00F109D2">
        <w:rPr>
          <w:szCs w:val="22"/>
        </w:rPr>
        <w:t>3</w:t>
      </w:r>
      <w:r w:rsidR="00F80E0B">
        <w:rPr>
          <w:szCs w:val="22"/>
        </w:rPr>
        <w:t>6</w:t>
      </w:r>
      <w:r w:rsidR="0089649F" w:rsidRPr="001E4E01">
        <w:rPr>
          <w:szCs w:val="22"/>
        </w:rPr>
        <w:t>,</w:t>
      </w:r>
      <w:r w:rsidRPr="001E4E01">
        <w:rPr>
          <w:szCs w:val="22"/>
        </w:rPr>
        <w:t xml:space="preserve"> the Commission </w:t>
      </w:r>
      <w:r w:rsidR="00642669" w:rsidRPr="001E4E01">
        <w:rPr>
          <w:szCs w:val="22"/>
        </w:rPr>
        <w:t>adopted</w:t>
      </w:r>
      <w:r w:rsidR="003D35D9" w:rsidRPr="001E4E01">
        <w:rPr>
          <w:szCs w:val="22"/>
        </w:rPr>
        <w:t xml:space="preserve"> </w:t>
      </w:r>
      <w:r w:rsidR="00F109D2" w:rsidRPr="00072DD2">
        <w:t xml:space="preserve">rules </w:t>
      </w:r>
      <w:r w:rsidR="00F80E0B">
        <w:t xml:space="preserve">which are </w:t>
      </w:r>
      <w:r w:rsidR="00F80E0B" w:rsidRPr="00F80E0B">
        <w:t xml:space="preserve">intended </w:t>
      </w:r>
      <w:r w:rsidR="00F80E0B">
        <w:t xml:space="preserve">to </w:t>
      </w:r>
      <w:r w:rsidR="00F80E0B" w:rsidRPr="00F80E0B">
        <w:t>update the rules and requirements for technologies used to locate and rescue distressed ships and individuals in distress at sea or on land</w:t>
      </w:r>
      <w:r w:rsidR="00666F78">
        <w:t>,</w:t>
      </w:r>
      <w:r w:rsidR="00F80E0B" w:rsidRPr="00F80E0B">
        <w:t xml:space="preserve"> to provide better and more accurate data to rescue personnel.  </w:t>
      </w:r>
    </w:p>
    <w:p w14:paraId="0EEE1CEF" w14:textId="77777777" w:rsidR="0004220D" w:rsidRDefault="0004220D" w:rsidP="00222A68">
      <w:pPr>
        <w:ind w:firstLine="720"/>
        <w:jc w:val="both"/>
      </w:pPr>
    </w:p>
    <w:p w14:paraId="5FD8BB9D" w14:textId="77777777" w:rsidR="0004220D" w:rsidRDefault="0047655F" w:rsidP="00222A68">
      <w:pPr>
        <w:ind w:firstLine="720"/>
        <w:jc w:val="both"/>
      </w:pPr>
      <w:r w:rsidRPr="0047655F">
        <w:t xml:space="preserve">The </w:t>
      </w:r>
      <w:r w:rsidRPr="0047655F">
        <w:rPr>
          <w:i/>
        </w:rPr>
        <w:t>Report and Order</w:t>
      </w:r>
      <w:r w:rsidRPr="0047655F">
        <w:t xml:space="preserve"> permit</w:t>
      </w:r>
      <w:r w:rsidR="006565D6">
        <w:t>s</w:t>
      </w:r>
      <w:r w:rsidRPr="0047655F">
        <w:t xml:space="preserve"> the maritime community to make use of the most advanced and reliable communications technologies available for the alerting of search and rescue authorities when a vessel is in distress.  </w:t>
      </w:r>
      <w:r>
        <w:t>Also, these</w:t>
      </w:r>
      <w:r w:rsidRPr="0047655F">
        <w:t xml:space="preserve"> decisions further the Commission’s goal of ensuring that the spectrum allocated for maritime communications is used effectively and efficiently.  </w:t>
      </w:r>
      <w:r w:rsidR="00C62FB1" w:rsidRPr="00C62FB1">
        <w:t xml:space="preserve"> </w:t>
      </w:r>
      <w:r w:rsidR="00C62FB1">
        <w:t xml:space="preserve">The final rules adopted in the </w:t>
      </w:r>
      <w:r w:rsidR="00C62FB1">
        <w:rPr>
          <w:i/>
        </w:rPr>
        <w:t xml:space="preserve">Report and Order </w:t>
      </w:r>
      <w:r w:rsidR="00C62FB1">
        <w:t>became effective in early 2017.</w:t>
      </w:r>
      <w:r w:rsidR="00604958">
        <w:rPr>
          <w:rStyle w:val="FootnoteReference"/>
        </w:rPr>
        <w:footnoteReference w:id="1"/>
      </w:r>
    </w:p>
    <w:p w14:paraId="18A2667D" w14:textId="77777777" w:rsidR="00012758" w:rsidRDefault="00012758" w:rsidP="00222A68">
      <w:pPr>
        <w:ind w:firstLine="720"/>
        <w:jc w:val="both"/>
      </w:pPr>
    </w:p>
    <w:p w14:paraId="2942770B" w14:textId="77777777" w:rsidR="00584892" w:rsidRPr="001E4E01" w:rsidRDefault="00584892" w:rsidP="00AD762B">
      <w:pPr>
        <w:pStyle w:val="Heading1"/>
      </w:pPr>
      <w:bookmarkStart w:id="30" w:name="_Toc153861059"/>
      <w:bookmarkStart w:id="31" w:name="_Toc176072635"/>
      <w:bookmarkStart w:id="32" w:name="_Toc176072761"/>
      <w:bookmarkStart w:id="33" w:name="_Toc176072787"/>
      <w:bookmarkStart w:id="34" w:name="_Toc176072811"/>
      <w:bookmarkStart w:id="35" w:name="_Toc179100554"/>
      <w:bookmarkStart w:id="36" w:name="_Toc179100919"/>
      <w:bookmarkStart w:id="37" w:name="_Toc216065689"/>
      <w:bookmarkStart w:id="38" w:name="_Toc326229720"/>
      <w:bookmarkStart w:id="39" w:name="_Toc326658330"/>
      <w:bookmarkStart w:id="40" w:name="_Toc326746786"/>
      <w:bookmarkStart w:id="41" w:name="_Toc326826052"/>
      <w:bookmarkStart w:id="42" w:name="_Toc419722979"/>
      <w:bookmarkStart w:id="43" w:name="_Toc419800654"/>
      <w:bookmarkStart w:id="44" w:name="_Toc419800719"/>
      <w:bookmarkStart w:id="45" w:name="_Toc480811437"/>
      <w:r w:rsidRPr="001E4E01">
        <w:t>compliance requirements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1E4E01">
        <w:t xml:space="preserve"> </w:t>
      </w:r>
    </w:p>
    <w:p w14:paraId="75DDAC39" w14:textId="34359DBB" w:rsidR="00274B11" w:rsidRDefault="00584892" w:rsidP="00274B11">
      <w:pPr>
        <w:ind w:firstLine="720"/>
        <w:jc w:val="both"/>
      </w:pPr>
      <w:r w:rsidRPr="001E4E01">
        <w:t xml:space="preserve">In the </w:t>
      </w:r>
      <w:r w:rsidR="00A242BF" w:rsidRPr="001E4E01">
        <w:rPr>
          <w:i/>
        </w:rPr>
        <w:t>Report and</w:t>
      </w:r>
      <w:r w:rsidR="00A242BF" w:rsidRPr="001E4E01">
        <w:t xml:space="preserve"> </w:t>
      </w:r>
      <w:r w:rsidRPr="001E4E01">
        <w:rPr>
          <w:i/>
        </w:rPr>
        <w:t>Order</w:t>
      </w:r>
      <w:r w:rsidRPr="001E4E01">
        <w:t xml:space="preserve"> the Commission </w:t>
      </w:r>
      <w:r w:rsidR="00274B11">
        <w:t xml:space="preserve">addressed </w:t>
      </w:r>
      <w:r w:rsidR="00D808B8">
        <w:t>several</w:t>
      </w:r>
      <w:r w:rsidR="00274B11">
        <w:t xml:space="preserve"> issues pertaining to the Maritime Radio Services and updated the rules and requirements </w:t>
      </w:r>
      <w:r w:rsidR="00274B11" w:rsidRPr="00274B11">
        <w:t>in order to better protect lives and property at sea, as well as support improved day-to-day operations</w:t>
      </w:r>
      <w:r w:rsidR="006565D6">
        <w:t>, including:</w:t>
      </w:r>
      <w:r w:rsidR="00274B11" w:rsidRPr="00274B11">
        <w:t xml:space="preserve">  </w:t>
      </w:r>
    </w:p>
    <w:p w14:paraId="5424EEA2" w14:textId="77777777" w:rsidR="000273C2" w:rsidRPr="001E4E01" w:rsidRDefault="000273C2" w:rsidP="00274B11">
      <w:pPr>
        <w:jc w:val="both"/>
      </w:pPr>
    </w:p>
    <w:p w14:paraId="27E3944B" w14:textId="40913CF0" w:rsidR="00274B11" w:rsidRPr="00182DC9" w:rsidRDefault="00122B6D" w:rsidP="00274B11">
      <w:pPr>
        <w:pStyle w:val="ParaNum"/>
        <w:numPr>
          <w:ilvl w:val="0"/>
          <w:numId w:val="44"/>
        </w:numPr>
        <w:jc w:val="both"/>
      </w:pPr>
      <w:r>
        <w:t>R</w:t>
      </w:r>
      <w:r w:rsidR="00274B11" w:rsidRPr="00182DC9">
        <w:t>equir</w:t>
      </w:r>
      <w:r w:rsidR="00054195">
        <w:t>ing</w:t>
      </w:r>
      <w:r w:rsidR="00274B11" w:rsidRPr="00182DC9">
        <w:t xml:space="preserve"> </w:t>
      </w:r>
      <w:r w:rsidR="00C62FB1">
        <w:t>Emergency Position Indicating Radio Beacons (</w:t>
      </w:r>
      <w:r w:rsidR="00274B11" w:rsidRPr="00182DC9">
        <w:t>EPIRBs</w:t>
      </w:r>
      <w:r w:rsidR="00C62FB1">
        <w:t>)</w:t>
      </w:r>
      <w:r w:rsidR="00274B11" w:rsidRPr="00182DC9">
        <w:t xml:space="preserve"> to be capable of broadcasting position data when activated to improve the ability of rescue perso</w:t>
      </w:r>
      <w:r w:rsidR="007A3490">
        <w:t>nnel to locate distressed ships.</w:t>
      </w:r>
    </w:p>
    <w:p w14:paraId="60BCDA1C" w14:textId="43D96704" w:rsidR="00274B11" w:rsidRPr="00182DC9" w:rsidRDefault="00122B6D" w:rsidP="00274B11">
      <w:pPr>
        <w:pStyle w:val="ParaNum"/>
        <w:numPr>
          <w:ilvl w:val="0"/>
          <w:numId w:val="44"/>
        </w:numPr>
        <w:jc w:val="both"/>
      </w:pPr>
      <w:r>
        <w:t>U</w:t>
      </w:r>
      <w:r w:rsidR="00274B11" w:rsidRPr="00182DC9">
        <w:t>pdat</w:t>
      </w:r>
      <w:r w:rsidR="00054195">
        <w:t>ing</w:t>
      </w:r>
      <w:r w:rsidR="00274B11" w:rsidRPr="00182DC9">
        <w:t xml:space="preserve"> the equipment standards for </w:t>
      </w:r>
      <w:r w:rsidR="00C62FB1">
        <w:t>Personal Locator Beacons (</w:t>
      </w:r>
      <w:r w:rsidR="00274B11" w:rsidRPr="00182DC9">
        <w:t>PLBs</w:t>
      </w:r>
      <w:r w:rsidR="00C62FB1">
        <w:t>)</w:t>
      </w:r>
      <w:r w:rsidR="00274B11" w:rsidRPr="00182DC9">
        <w:t xml:space="preserve"> to ensure that PLBs meet the updated functional and technical parameters necessary to meet the distress alerting needs of the </w:t>
      </w:r>
      <w:r w:rsidR="0081134E" w:rsidRPr="00182DC9">
        <w:t>public</w:t>
      </w:r>
      <w:r w:rsidR="007A3490">
        <w:t>.</w:t>
      </w:r>
    </w:p>
    <w:p w14:paraId="48084E58" w14:textId="534E0593" w:rsidR="00274B11" w:rsidRPr="00182DC9" w:rsidRDefault="00122B6D" w:rsidP="00274B11">
      <w:pPr>
        <w:pStyle w:val="ParaNum"/>
        <w:numPr>
          <w:ilvl w:val="0"/>
          <w:numId w:val="44"/>
        </w:numPr>
        <w:jc w:val="both"/>
      </w:pPr>
      <w:r>
        <w:t>R</w:t>
      </w:r>
      <w:r w:rsidR="00274B11" w:rsidRPr="00182DC9">
        <w:t>equir</w:t>
      </w:r>
      <w:r w:rsidR="00C62FB1">
        <w:t>ing</w:t>
      </w:r>
      <w:r w:rsidR="00274B11" w:rsidRPr="00182DC9">
        <w:t xml:space="preserve"> that devices marketed for use in the United States as </w:t>
      </w:r>
      <w:r w:rsidR="00C62FB1">
        <w:t>Satellite Emergency Notification Devices (</w:t>
      </w:r>
      <w:r w:rsidR="00274B11" w:rsidRPr="00182DC9">
        <w:t>SENDs</w:t>
      </w:r>
      <w:r w:rsidR="00C62FB1">
        <w:t>)</w:t>
      </w:r>
      <w:r w:rsidR="00274B11" w:rsidRPr="00182DC9">
        <w:t xml:space="preserve"> meet the requirements of the </w:t>
      </w:r>
      <w:r w:rsidR="00C62FB1">
        <w:t>Radio Technical Commission for Maritime Services (</w:t>
      </w:r>
      <w:r w:rsidR="009B4524">
        <w:t>RTCM</w:t>
      </w:r>
      <w:r w:rsidR="00C62FB1">
        <w:t>)</w:t>
      </w:r>
      <w:r w:rsidR="00274B11" w:rsidRPr="00182DC9">
        <w:t xml:space="preserve"> SEND standard to promote the reliability of devices used for t</w:t>
      </w:r>
      <w:r w:rsidR="007A3490">
        <w:t>racking in emergency situations.</w:t>
      </w:r>
    </w:p>
    <w:p w14:paraId="01B26E93" w14:textId="1DA5181E" w:rsidR="00274B11" w:rsidRPr="00182DC9" w:rsidRDefault="00122B6D" w:rsidP="00274B11">
      <w:pPr>
        <w:pStyle w:val="ParaNum"/>
        <w:widowControl/>
        <w:numPr>
          <w:ilvl w:val="0"/>
          <w:numId w:val="44"/>
        </w:numPr>
        <w:jc w:val="both"/>
      </w:pPr>
      <w:r>
        <w:t>P</w:t>
      </w:r>
      <w:r w:rsidR="00274B11" w:rsidRPr="00182DC9">
        <w:t>ermit</w:t>
      </w:r>
      <w:r w:rsidR="00D808B8">
        <w:t>ting</w:t>
      </w:r>
      <w:r w:rsidR="00274B11" w:rsidRPr="00182DC9">
        <w:t xml:space="preserve"> equipment certification and use of </w:t>
      </w:r>
      <w:r w:rsidR="00C62FB1">
        <w:t>Maritime Survivor Locating Devices (</w:t>
      </w:r>
      <w:r w:rsidR="00274B11" w:rsidRPr="00182DC9">
        <w:t>MSLDs</w:t>
      </w:r>
      <w:r w:rsidR="00C62FB1">
        <w:t>)</w:t>
      </w:r>
      <w:r w:rsidR="00274B11" w:rsidRPr="00182DC9">
        <w:t xml:space="preserve"> that comply with RTCM MSLD stand</w:t>
      </w:r>
      <w:r w:rsidR="007A3490">
        <w:t>ards to enhance maritime safety.</w:t>
      </w:r>
      <w:r w:rsidR="00274B11" w:rsidRPr="00182DC9">
        <w:t xml:space="preserve"> </w:t>
      </w:r>
    </w:p>
    <w:p w14:paraId="3548A065" w14:textId="3A9FE14F" w:rsidR="00274B11" w:rsidRPr="00182DC9" w:rsidRDefault="00122B6D" w:rsidP="00274B11">
      <w:pPr>
        <w:pStyle w:val="ParaNum"/>
        <w:numPr>
          <w:ilvl w:val="0"/>
          <w:numId w:val="44"/>
        </w:numPr>
        <w:jc w:val="both"/>
      </w:pPr>
      <w:r>
        <w:t>P</w:t>
      </w:r>
      <w:r w:rsidR="00D808B8">
        <w:t>roviding</w:t>
      </w:r>
      <w:r w:rsidR="00274B11" w:rsidRPr="00182DC9">
        <w:t xml:space="preserve"> for equipment certification and use of </w:t>
      </w:r>
      <w:r w:rsidR="00C62FB1">
        <w:t>Automatic Identification System Search and Rescue Transmitters (</w:t>
      </w:r>
      <w:r w:rsidR="00274B11" w:rsidRPr="00182DC9">
        <w:t>AIS-SARTs</w:t>
      </w:r>
      <w:r w:rsidR="00C62FB1">
        <w:t>)</w:t>
      </w:r>
      <w:r w:rsidR="00274B11" w:rsidRPr="00182DC9">
        <w:t xml:space="preserve"> that comply with international standards, which will contribute t</w:t>
      </w:r>
      <w:r w:rsidR="007A3490">
        <w:t>o maritime safety.</w:t>
      </w:r>
      <w:r w:rsidR="00274B11" w:rsidRPr="00182DC9">
        <w:t xml:space="preserve"> </w:t>
      </w:r>
    </w:p>
    <w:p w14:paraId="3E3E15DD" w14:textId="6E0DB0D7" w:rsidR="00274B11" w:rsidRPr="00182DC9" w:rsidRDefault="00122B6D" w:rsidP="00274B11">
      <w:pPr>
        <w:pStyle w:val="ParaNum"/>
        <w:numPr>
          <w:ilvl w:val="0"/>
          <w:numId w:val="44"/>
        </w:numPr>
        <w:jc w:val="both"/>
      </w:pPr>
      <w:r>
        <w:t>C</w:t>
      </w:r>
      <w:r w:rsidR="00274B11" w:rsidRPr="00182DC9">
        <w:t>larify</w:t>
      </w:r>
      <w:r w:rsidR="00D808B8">
        <w:t>ing</w:t>
      </w:r>
      <w:r w:rsidR="00274B11" w:rsidRPr="00182DC9">
        <w:t xml:space="preserve"> the Commission’s </w:t>
      </w:r>
      <w:r w:rsidR="007E4D62">
        <w:t>r</w:t>
      </w:r>
      <w:r w:rsidR="00274B11" w:rsidRPr="00182DC9">
        <w:t xml:space="preserve">ules regarding ship radar equipment </w:t>
      </w:r>
      <w:r w:rsidR="00274B11" w:rsidRPr="00182DC9">
        <w:rPr>
          <w:spacing w:val="-2"/>
          <w:szCs w:val="22"/>
        </w:rPr>
        <w:t>to eliminate references to an obsolete standard</w:t>
      </w:r>
      <w:r w:rsidR="007A3490">
        <w:t>.</w:t>
      </w:r>
    </w:p>
    <w:p w14:paraId="6ED9A197" w14:textId="7BB3025A" w:rsidR="00274B11" w:rsidRPr="00182DC9" w:rsidRDefault="00122B6D" w:rsidP="00274B11">
      <w:pPr>
        <w:pStyle w:val="ParaNum"/>
        <w:numPr>
          <w:ilvl w:val="0"/>
          <w:numId w:val="44"/>
        </w:numPr>
        <w:jc w:val="both"/>
      </w:pPr>
      <w:r>
        <w:t>P</w:t>
      </w:r>
      <w:r w:rsidR="00274B11" w:rsidRPr="00182DC9">
        <w:t>ermit</w:t>
      </w:r>
      <w:r w:rsidR="00D808B8">
        <w:t>ting</w:t>
      </w:r>
      <w:r w:rsidR="00274B11" w:rsidRPr="00182DC9">
        <w:t xml:space="preserve"> limited use of portable marine </w:t>
      </w:r>
      <w:r w:rsidR="00C62FB1">
        <w:t>very high frequency (</w:t>
      </w:r>
      <w:r w:rsidR="00274B11" w:rsidRPr="00182DC9">
        <w:t>VHF</w:t>
      </w:r>
      <w:r w:rsidR="00C62FB1">
        <w:t>)</w:t>
      </w:r>
      <w:r w:rsidR="00274B11" w:rsidRPr="00182DC9">
        <w:t xml:space="preserve"> radio transmitters by persons on shore in areas adjacent to the water for communications relating to the operational and business needs of the associated vessel </w:t>
      </w:r>
      <w:r w:rsidR="00274B11" w:rsidRPr="00182DC9">
        <w:rPr>
          <w:spacing w:val="-2"/>
          <w:szCs w:val="22"/>
        </w:rPr>
        <w:t>to provide flexibility in the use of marine radio equipment in a manner that furthers maritime safety</w:t>
      </w:r>
      <w:r w:rsidR="007A3490">
        <w:rPr>
          <w:spacing w:val="-2"/>
          <w:szCs w:val="22"/>
        </w:rPr>
        <w:t>.</w:t>
      </w:r>
      <w:r w:rsidR="00274B11" w:rsidRPr="00182DC9">
        <w:t xml:space="preserve"> </w:t>
      </w:r>
    </w:p>
    <w:p w14:paraId="2E1903AF" w14:textId="171D8897" w:rsidR="00274B11" w:rsidRPr="00182DC9" w:rsidRDefault="00122B6D" w:rsidP="00274B11">
      <w:pPr>
        <w:pStyle w:val="ParaNum"/>
        <w:numPr>
          <w:ilvl w:val="0"/>
          <w:numId w:val="44"/>
        </w:numPr>
        <w:jc w:val="both"/>
      </w:pPr>
      <w:r>
        <w:t>P</w:t>
      </w:r>
      <w:r w:rsidR="00274B11" w:rsidRPr="00182DC9">
        <w:t>ermit</w:t>
      </w:r>
      <w:r w:rsidR="00D808B8">
        <w:t>ting</w:t>
      </w:r>
      <w:r w:rsidR="00274B11" w:rsidRPr="00182DC9">
        <w:t xml:space="preserve"> </w:t>
      </w:r>
      <w:r w:rsidR="001C5743">
        <w:t>VHF digital small message service (</w:t>
      </w:r>
      <w:r w:rsidR="00274B11" w:rsidRPr="00182DC9">
        <w:t>VDSMS</w:t>
      </w:r>
      <w:r w:rsidR="001C5743">
        <w:t>)</w:t>
      </w:r>
      <w:r w:rsidR="00274B11" w:rsidRPr="00182DC9">
        <w:t xml:space="preserve"> on certain maritime VHF channels, </w:t>
      </w:r>
      <w:r w:rsidR="00274B11" w:rsidRPr="00182DC9">
        <w:rPr>
          <w:spacing w:val="-2"/>
          <w:szCs w:val="22"/>
        </w:rPr>
        <w:t>in order to promote flexibility and efficiency in the use of marine radio equipment in a manner that furthers maritime safety</w:t>
      </w:r>
      <w:r w:rsidR="007A3490">
        <w:t>.</w:t>
      </w:r>
      <w:r w:rsidR="00274B11" w:rsidRPr="00182DC9">
        <w:t xml:space="preserve"> </w:t>
      </w:r>
    </w:p>
    <w:p w14:paraId="10AF24B9" w14:textId="56659D66" w:rsidR="00274B11" w:rsidRPr="00182DC9" w:rsidRDefault="00122B6D" w:rsidP="00274B11">
      <w:pPr>
        <w:pStyle w:val="ParaNum"/>
        <w:numPr>
          <w:ilvl w:val="0"/>
          <w:numId w:val="44"/>
        </w:numPr>
        <w:jc w:val="both"/>
      </w:pPr>
      <w:r>
        <w:t>A</w:t>
      </w:r>
      <w:r w:rsidR="00274B11" w:rsidRPr="00182DC9">
        <w:t>llow</w:t>
      </w:r>
      <w:r w:rsidR="00D808B8">
        <w:t>ing</w:t>
      </w:r>
      <w:r w:rsidR="00274B11" w:rsidRPr="00182DC9">
        <w:t xml:space="preserve"> assignment or transfer of control of ship station licenses,</w:t>
      </w:r>
      <w:r w:rsidR="00041EBD">
        <w:t xml:space="preserve"> </w:t>
      </w:r>
      <w:r w:rsidR="00274B11" w:rsidRPr="00182DC9">
        <w:t>removing a regulatory hurdle to sec</w:t>
      </w:r>
      <w:r w:rsidR="007A3490">
        <w:t>ondary market transactions.</w:t>
      </w:r>
    </w:p>
    <w:p w14:paraId="2A208003" w14:textId="172088D5" w:rsidR="00274B11" w:rsidRDefault="00122B6D" w:rsidP="00274B11">
      <w:pPr>
        <w:pStyle w:val="ParaNum"/>
        <w:numPr>
          <w:ilvl w:val="0"/>
          <w:numId w:val="44"/>
        </w:numPr>
        <w:jc w:val="both"/>
      </w:pPr>
      <w:r>
        <w:t>M</w:t>
      </w:r>
      <w:r w:rsidR="00D808B8">
        <w:t>aking</w:t>
      </w:r>
      <w:r w:rsidR="00274B11" w:rsidRPr="00182DC9">
        <w:t xml:space="preserve"> certain editorial changes to correct certain erroneous cross-references and deletions and other typographical errors in the Part 80 rules.</w:t>
      </w:r>
    </w:p>
    <w:p w14:paraId="3BDBAC69" w14:textId="77777777" w:rsidR="00765459" w:rsidRDefault="00765459" w:rsidP="00604958">
      <w:pPr>
        <w:pStyle w:val="ParaNum"/>
        <w:numPr>
          <w:ilvl w:val="0"/>
          <w:numId w:val="0"/>
        </w:numPr>
        <w:ind w:firstLine="720"/>
        <w:jc w:val="both"/>
      </w:pPr>
    </w:p>
    <w:p w14:paraId="75721042" w14:textId="77777777" w:rsidR="00947D8F" w:rsidRDefault="00947D8F" w:rsidP="00BA2096">
      <w:pPr>
        <w:pStyle w:val="Heading2"/>
      </w:pPr>
      <w:bookmarkStart w:id="46" w:name="_Toc480811438"/>
      <w:r w:rsidRPr="00182DC9">
        <w:t>Emergency Position Indicating Radio Beacons (EPIRBs)</w:t>
      </w:r>
      <w:r w:rsidR="00F32D65">
        <w:t xml:space="preserve"> (</w:t>
      </w:r>
      <w:r w:rsidR="00A914F6">
        <w:t>47 CFR § 80.1061</w:t>
      </w:r>
      <w:r w:rsidR="00F32D65">
        <w:t>)</w:t>
      </w:r>
      <w:bookmarkEnd w:id="46"/>
    </w:p>
    <w:p w14:paraId="33E6A532" w14:textId="77777777" w:rsidR="006170DB" w:rsidRDefault="007A1306" w:rsidP="0073186C">
      <w:pPr>
        <w:pStyle w:val="ParaNum"/>
        <w:numPr>
          <w:ilvl w:val="0"/>
          <w:numId w:val="0"/>
        </w:numPr>
        <w:ind w:firstLine="720"/>
        <w:jc w:val="both"/>
      </w:pPr>
      <w:r>
        <w:t xml:space="preserve">The Commission </w:t>
      </w:r>
      <w:r w:rsidRPr="007A1306">
        <w:t>revis</w:t>
      </w:r>
      <w:r>
        <w:t>ed</w:t>
      </w:r>
      <w:r w:rsidRPr="007A1306">
        <w:t xml:space="preserve"> Part 80 to incorporate by reference the revised RTCM EPIRB standard</w:t>
      </w:r>
      <w:r w:rsidR="007E4D62">
        <w:t xml:space="preserve">, which requires </w:t>
      </w:r>
      <w:r w:rsidR="00804890">
        <w:t xml:space="preserve">an EPIRB to contain </w:t>
      </w:r>
      <w:r w:rsidR="007E4D62">
        <w:t xml:space="preserve">an internal navigation device </w:t>
      </w:r>
      <w:r w:rsidR="00804890">
        <w:t xml:space="preserve">that will </w:t>
      </w:r>
      <w:r w:rsidR="007E4D62">
        <w:t>provide position data upon activation</w:t>
      </w:r>
      <w:r>
        <w:t xml:space="preserve">.  This </w:t>
      </w:r>
      <w:r w:rsidRPr="00182DC9">
        <w:t>action is in the public interest because better location availability reduces search time and therefore contributes to the success of emergency rescues</w:t>
      </w:r>
      <w:r>
        <w:t>.</w:t>
      </w:r>
      <w:r w:rsidR="003B4C6B">
        <w:t xml:space="preserve">  </w:t>
      </w:r>
      <w:r w:rsidR="00F32D65">
        <w:rPr>
          <w:spacing w:val="-2"/>
        </w:rPr>
        <w:t xml:space="preserve">Pursuant to </w:t>
      </w:r>
      <w:r w:rsidR="00562BC1">
        <w:rPr>
          <w:spacing w:val="-2"/>
        </w:rPr>
        <w:t xml:space="preserve">amended </w:t>
      </w:r>
      <w:r w:rsidR="00F32D65" w:rsidRPr="00182DC9">
        <w:rPr>
          <w:spacing w:val="-2"/>
        </w:rPr>
        <w:t>Section 80.1061 of the rules</w:t>
      </w:r>
      <w:r w:rsidR="00F32D65">
        <w:rPr>
          <w:spacing w:val="-2"/>
        </w:rPr>
        <w:t>:</w:t>
      </w:r>
    </w:p>
    <w:p w14:paraId="325C3453" w14:textId="77777777" w:rsidR="00F32D65" w:rsidRPr="004A5EEE" w:rsidRDefault="00F32D65" w:rsidP="004A5EEE">
      <w:pPr>
        <w:pStyle w:val="ParaNum"/>
        <w:numPr>
          <w:ilvl w:val="0"/>
          <w:numId w:val="46"/>
        </w:numPr>
        <w:ind w:left="1440"/>
        <w:jc w:val="both"/>
      </w:pPr>
      <w:r w:rsidRPr="00182DC9">
        <w:rPr>
          <w:spacing w:val="-2"/>
        </w:rPr>
        <w:t xml:space="preserve">EPIRBs </w:t>
      </w:r>
      <w:r>
        <w:rPr>
          <w:spacing w:val="-2"/>
        </w:rPr>
        <w:t xml:space="preserve">must </w:t>
      </w:r>
      <w:r w:rsidRPr="00182DC9">
        <w:rPr>
          <w:spacing w:val="-2"/>
        </w:rPr>
        <w:t xml:space="preserve">comply with the RTCM Standard </w:t>
      </w:r>
      <w:r>
        <w:rPr>
          <w:spacing w:val="-2"/>
        </w:rPr>
        <w:t>11000.3</w:t>
      </w:r>
      <w:r w:rsidR="00562BC1">
        <w:rPr>
          <w:spacing w:val="-2"/>
        </w:rPr>
        <w:t>.</w:t>
      </w:r>
      <w:r w:rsidRPr="00182DC9">
        <w:rPr>
          <w:spacing w:val="-2"/>
        </w:rPr>
        <w:t xml:space="preserve"> </w:t>
      </w:r>
    </w:p>
    <w:p w14:paraId="165020BB" w14:textId="77777777" w:rsidR="00F32D65" w:rsidRDefault="00F32D65" w:rsidP="004A5EEE">
      <w:pPr>
        <w:pStyle w:val="ParaNum"/>
        <w:numPr>
          <w:ilvl w:val="0"/>
          <w:numId w:val="46"/>
        </w:numPr>
        <w:ind w:left="1440"/>
        <w:jc w:val="both"/>
      </w:pPr>
      <w:r>
        <w:rPr>
          <w:spacing w:val="-2"/>
        </w:rPr>
        <w:t>V</w:t>
      </w:r>
      <w:r w:rsidRPr="00182DC9">
        <w:rPr>
          <w:spacing w:val="-2"/>
        </w:rPr>
        <w:t xml:space="preserve">essels that are required to carry EPIRBs </w:t>
      </w:r>
      <w:r>
        <w:rPr>
          <w:spacing w:val="-2"/>
        </w:rPr>
        <w:t xml:space="preserve">must </w:t>
      </w:r>
      <w:r w:rsidRPr="00182DC9">
        <w:rPr>
          <w:spacing w:val="-2"/>
        </w:rPr>
        <w:t xml:space="preserve">replace their existing </w:t>
      </w:r>
      <w:r>
        <w:t xml:space="preserve">non-compliant </w:t>
      </w:r>
      <w:r w:rsidR="00A84426" w:rsidRPr="00182DC9">
        <w:rPr>
          <w:spacing w:val="-2"/>
        </w:rPr>
        <w:t>radio beacons</w:t>
      </w:r>
      <w:r w:rsidRPr="00182DC9">
        <w:rPr>
          <w:spacing w:val="-2"/>
        </w:rPr>
        <w:t xml:space="preserve"> with EPIRBs that meet the new standard within six years of the effective date of</w:t>
      </w:r>
      <w:r w:rsidRPr="00F32D65">
        <w:t xml:space="preserve"> </w:t>
      </w:r>
      <w:r>
        <w:t>th</w:t>
      </w:r>
      <w:r w:rsidR="0053364F">
        <w:t>e</w:t>
      </w:r>
      <w:r>
        <w:t xml:space="preserve"> </w:t>
      </w:r>
      <w:r w:rsidRPr="00C73BAE">
        <w:rPr>
          <w:i/>
        </w:rPr>
        <w:t>Report and Order</w:t>
      </w:r>
      <w:r>
        <w:t xml:space="preserve">.  </w:t>
      </w:r>
    </w:p>
    <w:p w14:paraId="1B0471D7" w14:textId="77777777" w:rsidR="006170DB" w:rsidRDefault="007E4D62" w:rsidP="004A5EEE">
      <w:pPr>
        <w:pStyle w:val="ParaNum"/>
        <w:numPr>
          <w:ilvl w:val="0"/>
          <w:numId w:val="46"/>
        </w:numPr>
        <w:ind w:left="1440"/>
        <w:jc w:val="both"/>
      </w:pPr>
      <w:r>
        <w:t>The Commission will cease accepting applications for certification of EPIRBs that do not comply with this standard beginning one y</w:t>
      </w:r>
      <w:r w:rsidR="00F7645F">
        <w:t>ear after the effective date of</w:t>
      </w:r>
      <w:r w:rsidR="00F7645F" w:rsidRPr="00182DC9">
        <w:t xml:space="preserve"> the rules adopted</w:t>
      </w:r>
      <w:r w:rsidR="00F7645F">
        <w:t xml:space="preserve"> in th</w:t>
      </w:r>
      <w:r w:rsidR="0053364F">
        <w:t>e</w:t>
      </w:r>
      <w:r w:rsidR="00F7645F">
        <w:t xml:space="preserve"> </w:t>
      </w:r>
      <w:r w:rsidR="00F7645F" w:rsidRPr="00C73BAE">
        <w:rPr>
          <w:i/>
        </w:rPr>
        <w:t>Report and Order</w:t>
      </w:r>
      <w:r>
        <w:t xml:space="preserve">.  </w:t>
      </w:r>
    </w:p>
    <w:p w14:paraId="148FF8A9" w14:textId="77777777" w:rsidR="006170DB" w:rsidRDefault="006170DB" w:rsidP="004A5EEE">
      <w:pPr>
        <w:pStyle w:val="ParaNum"/>
        <w:numPr>
          <w:ilvl w:val="0"/>
          <w:numId w:val="46"/>
        </w:numPr>
        <w:ind w:left="1440"/>
        <w:jc w:val="both"/>
      </w:pPr>
      <w:r>
        <w:t>The c</w:t>
      </w:r>
      <w:r w:rsidR="007E4D62">
        <w:t>ontinued manufacture, importation, and sale of EPIRBs that do not comply with this standard will be prohibited beginning three years after the effective date</w:t>
      </w:r>
      <w:r w:rsidR="00F32D65">
        <w:t xml:space="preserve"> </w:t>
      </w:r>
      <w:r w:rsidR="00F32D65" w:rsidRPr="00182DC9">
        <w:rPr>
          <w:spacing w:val="-2"/>
        </w:rPr>
        <w:t>of</w:t>
      </w:r>
      <w:r w:rsidR="00F32D65" w:rsidRPr="00F32D65">
        <w:t xml:space="preserve"> </w:t>
      </w:r>
      <w:r w:rsidR="00F32D65">
        <w:t>th</w:t>
      </w:r>
      <w:r w:rsidR="0053364F">
        <w:t>e</w:t>
      </w:r>
      <w:r w:rsidR="00F32D65">
        <w:t xml:space="preserve"> </w:t>
      </w:r>
      <w:r w:rsidR="00F32D65" w:rsidRPr="00C73BAE">
        <w:rPr>
          <w:i/>
        </w:rPr>
        <w:t>Report and Order</w:t>
      </w:r>
      <w:r w:rsidR="007E4D62">
        <w:t xml:space="preserve">.  </w:t>
      </w:r>
      <w:r w:rsidR="003B4C6B">
        <w:t xml:space="preserve">  </w:t>
      </w:r>
    </w:p>
    <w:p w14:paraId="72431DAB" w14:textId="77777777" w:rsidR="007A1306" w:rsidRDefault="00F32D65" w:rsidP="004A5EEE">
      <w:pPr>
        <w:pStyle w:val="ParaNum"/>
        <w:numPr>
          <w:ilvl w:val="0"/>
          <w:numId w:val="46"/>
        </w:numPr>
        <w:ind w:left="1440"/>
        <w:jc w:val="both"/>
      </w:pPr>
      <w:r>
        <w:t>T</w:t>
      </w:r>
      <w:r w:rsidR="00F413CF" w:rsidRPr="00182DC9">
        <w:t>he use of prior-generation EPIRBs that operate only on 121.5/243 MHz and do not operate on 406 MHz is prohibited</w:t>
      </w:r>
      <w:r w:rsidR="00F413CF">
        <w:t>.</w:t>
      </w:r>
    </w:p>
    <w:p w14:paraId="13D624C1" w14:textId="1EE3AE40" w:rsidR="007B6807" w:rsidRPr="00182DC9" w:rsidRDefault="007B6807" w:rsidP="00BA2096">
      <w:pPr>
        <w:pStyle w:val="Heading2"/>
      </w:pPr>
      <w:bookmarkStart w:id="47" w:name="_Toc480811439"/>
      <w:r w:rsidRPr="00182DC9">
        <w:t>Personal Locator Beacons (PLBs)</w:t>
      </w:r>
      <w:r w:rsidR="004D5F1E">
        <w:t xml:space="preserve"> (</w:t>
      </w:r>
      <w:r w:rsidR="00A914F6">
        <w:t>47 CFR § 95.1402</w:t>
      </w:r>
      <w:r w:rsidR="004D5F1E">
        <w:t>)</w:t>
      </w:r>
      <w:bookmarkEnd w:id="47"/>
      <w:r w:rsidR="00F1724F">
        <w:rPr>
          <w:rStyle w:val="FootnoteReference"/>
        </w:rPr>
        <w:footnoteReference w:id="2"/>
      </w:r>
    </w:p>
    <w:p w14:paraId="194CCEDE" w14:textId="77777777" w:rsidR="00562BC1" w:rsidRDefault="00D03F28" w:rsidP="0073186C">
      <w:pPr>
        <w:pStyle w:val="ParaNum"/>
        <w:numPr>
          <w:ilvl w:val="0"/>
          <w:numId w:val="0"/>
        </w:numPr>
        <w:ind w:firstLine="720"/>
        <w:jc w:val="both"/>
      </w:pPr>
      <w:r>
        <w:t xml:space="preserve">The Commission </w:t>
      </w:r>
      <w:r w:rsidRPr="00182DC9">
        <w:t>revis</w:t>
      </w:r>
      <w:r>
        <w:t>ed</w:t>
      </w:r>
      <w:r w:rsidRPr="00182DC9">
        <w:t xml:space="preserve"> Part 95 to incorporate by reference the revised RTCM PLB standard</w:t>
      </w:r>
      <w:r w:rsidR="00F7645F">
        <w:t>, which updates various technical requirements and adds test procedures for PLBs with integral Global Navigation Satellite System receivers or internal navigation devices</w:t>
      </w:r>
      <w:r>
        <w:t xml:space="preserve">.  </w:t>
      </w:r>
      <w:r w:rsidR="006565D6">
        <w:t>B</w:t>
      </w:r>
      <w:r w:rsidRPr="00182DC9">
        <w:t>etter location availability minimizes search time and therefore contributes to the success of emergency rescues</w:t>
      </w:r>
      <w:r>
        <w:t>.  C</w:t>
      </w:r>
      <w:r w:rsidRPr="00182DC9">
        <w:t xml:space="preserve">ompliance with the new testing protocol will </w:t>
      </w:r>
      <w:r>
        <w:t xml:space="preserve">not </w:t>
      </w:r>
      <w:r w:rsidRPr="00182DC9">
        <w:t>materially affect PLB prices, so this requirement will impose little or no additional cost on purchasers of PLBs that comply with the new standard</w:t>
      </w:r>
      <w:r>
        <w:t>.</w:t>
      </w:r>
      <w:r w:rsidR="00F7645F">
        <w:t xml:space="preserve">  </w:t>
      </w:r>
      <w:r w:rsidR="00562BC1">
        <w:t xml:space="preserve">Pursuant to </w:t>
      </w:r>
      <w:r w:rsidR="00562BC1" w:rsidRPr="00182DC9">
        <w:rPr>
          <w:spacing w:val="-2"/>
        </w:rPr>
        <w:t>amend</w:t>
      </w:r>
      <w:r w:rsidR="00562BC1">
        <w:rPr>
          <w:spacing w:val="-2"/>
        </w:rPr>
        <w:t>ed</w:t>
      </w:r>
      <w:r w:rsidR="00562BC1" w:rsidRPr="00182DC9">
        <w:rPr>
          <w:spacing w:val="-2"/>
        </w:rPr>
        <w:t xml:space="preserve"> Section 95.1402 of the rules</w:t>
      </w:r>
      <w:r w:rsidR="00562BC1">
        <w:rPr>
          <w:spacing w:val="-2"/>
        </w:rPr>
        <w:t>:</w:t>
      </w:r>
    </w:p>
    <w:p w14:paraId="32A8CA74" w14:textId="4D17298C" w:rsidR="00562BC1" w:rsidRDefault="00562BC1" w:rsidP="004A5EEE">
      <w:pPr>
        <w:pStyle w:val="ParaNum"/>
        <w:numPr>
          <w:ilvl w:val="0"/>
          <w:numId w:val="47"/>
        </w:numPr>
        <w:ind w:left="1440"/>
        <w:jc w:val="both"/>
      </w:pPr>
      <w:r w:rsidRPr="00182DC9">
        <w:rPr>
          <w:spacing w:val="-2"/>
        </w:rPr>
        <w:t xml:space="preserve">PLBs </w:t>
      </w:r>
      <w:r w:rsidR="00B9388D">
        <w:rPr>
          <w:spacing w:val="-2"/>
        </w:rPr>
        <w:t xml:space="preserve">must </w:t>
      </w:r>
      <w:r w:rsidRPr="00182DC9">
        <w:rPr>
          <w:spacing w:val="-2"/>
        </w:rPr>
        <w:t>comply with the RTCM Standard 11010.2</w:t>
      </w:r>
      <w:r w:rsidR="00122B6D">
        <w:rPr>
          <w:spacing w:val="-2"/>
        </w:rPr>
        <w:t>.</w:t>
      </w:r>
      <w:r>
        <w:t xml:space="preserve"> </w:t>
      </w:r>
    </w:p>
    <w:p w14:paraId="106B99A3" w14:textId="77777777" w:rsidR="00DD6654" w:rsidRDefault="00F7645F" w:rsidP="004A5EEE">
      <w:pPr>
        <w:pStyle w:val="ParaNum"/>
        <w:numPr>
          <w:ilvl w:val="0"/>
          <w:numId w:val="47"/>
        </w:numPr>
        <w:ind w:left="1440"/>
        <w:jc w:val="both"/>
      </w:pPr>
      <w:r>
        <w:t>T</w:t>
      </w:r>
      <w:r w:rsidR="00FC2145" w:rsidRPr="00182DC9">
        <w:t xml:space="preserve">he Commission </w:t>
      </w:r>
      <w:r w:rsidR="00C73BAE">
        <w:t>will</w:t>
      </w:r>
      <w:r w:rsidR="00FC2145" w:rsidRPr="00182DC9">
        <w:t xml:space="preserve"> cease accepting applications for certification of non-compliant PLBs beginning one year after the effective date of the rules adopted</w:t>
      </w:r>
      <w:r w:rsidR="00C73BAE">
        <w:t xml:space="preserve"> in th</w:t>
      </w:r>
      <w:r w:rsidR="0053364F">
        <w:t>e</w:t>
      </w:r>
      <w:r w:rsidR="00C73BAE">
        <w:t xml:space="preserve"> </w:t>
      </w:r>
      <w:r w:rsidR="00C73BAE" w:rsidRPr="00C73BAE">
        <w:rPr>
          <w:i/>
        </w:rPr>
        <w:t>Report and Order</w:t>
      </w:r>
      <w:r w:rsidR="00C73BAE">
        <w:t>.</w:t>
      </w:r>
      <w:r w:rsidR="0021019B">
        <w:t xml:space="preserve"> </w:t>
      </w:r>
    </w:p>
    <w:p w14:paraId="0AF1BF5C" w14:textId="77777777" w:rsidR="00EB0AAB" w:rsidRDefault="00DD6654" w:rsidP="004A5EEE">
      <w:pPr>
        <w:pStyle w:val="ParaNum"/>
        <w:numPr>
          <w:ilvl w:val="0"/>
          <w:numId w:val="47"/>
        </w:numPr>
        <w:ind w:left="1440"/>
        <w:jc w:val="both"/>
      </w:pPr>
      <w:r>
        <w:t>T</w:t>
      </w:r>
      <w:r w:rsidR="0021019B" w:rsidRPr="00182DC9">
        <w:t xml:space="preserve">he continued manufacture, importation, and sale of non-compliant PLBs </w:t>
      </w:r>
      <w:r w:rsidR="001E570B">
        <w:t xml:space="preserve">is prohibited </w:t>
      </w:r>
      <w:r w:rsidR="0021019B" w:rsidRPr="00182DC9">
        <w:t>three years after the effective date</w:t>
      </w:r>
      <w:r w:rsidR="001E570B">
        <w:t xml:space="preserve"> </w:t>
      </w:r>
      <w:r w:rsidR="001E570B" w:rsidRPr="00182DC9">
        <w:rPr>
          <w:spacing w:val="-2"/>
        </w:rPr>
        <w:t>of</w:t>
      </w:r>
      <w:r w:rsidR="001E570B" w:rsidRPr="00F32D65">
        <w:t xml:space="preserve"> </w:t>
      </w:r>
      <w:r w:rsidR="001E570B">
        <w:t>th</w:t>
      </w:r>
      <w:r w:rsidR="0053364F">
        <w:t>e</w:t>
      </w:r>
      <w:r w:rsidR="001E570B">
        <w:t xml:space="preserve"> </w:t>
      </w:r>
      <w:r w:rsidR="001E570B" w:rsidRPr="00C73BAE">
        <w:rPr>
          <w:i/>
        </w:rPr>
        <w:t>Report and Order</w:t>
      </w:r>
      <w:r w:rsidR="0021019B">
        <w:t>.</w:t>
      </w:r>
    </w:p>
    <w:p w14:paraId="7746E849" w14:textId="77777777" w:rsidR="00BC764D" w:rsidRDefault="00BC764D" w:rsidP="004A5EEE">
      <w:pPr>
        <w:pStyle w:val="ParaNum"/>
        <w:numPr>
          <w:ilvl w:val="0"/>
          <w:numId w:val="47"/>
        </w:numPr>
        <w:ind w:left="1440"/>
        <w:jc w:val="both"/>
      </w:pPr>
      <w:r>
        <w:t xml:space="preserve">The </w:t>
      </w:r>
      <w:r w:rsidRPr="00182DC9">
        <w:t xml:space="preserve">use of 406 MHz band by PLBs </w:t>
      </w:r>
      <w:r w:rsidR="00EB0AAB">
        <w:t xml:space="preserve">is limited </w:t>
      </w:r>
      <w:r w:rsidRPr="00182DC9">
        <w:t xml:space="preserve">to “distress and safety </w:t>
      </w:r>
      <w:r w:rsidRPr="00E351E1">
        <w:rPr>
          <w:i/>
        </w:rPr>
        <w:t>of life</w:t>
      </w:r>
      <w:r w:rsidRPr="00182DC9">
        <w:t xml:space="preserve"> communications,” instead of “distress and safety communications.”</w:t>
      </w:r>
      <w:r w:rsidR="000D1345">
        <w:t xml:space="preserve"> </w:t>
      </w:r>
      <w:r w:rsidR="000D1345" w:rsidRPr="00182DC9">
        <w:t xml:space="preserve">This clarification </w:t>
      </w:r>
      <w:r w:rsidR="00EB0AAB">
        <w:t xml:space="preserve">makes </w:t>
      </w:r>
      <w:r w:rsidR="000D1345" w:rsidRPr="00182DC9">
        <w:t xml:space="preserve">clear that PLB use should be under emergency conditions and for survival purposes. While non-life threatening emergencies or safety communications are important functions, use of PLBs to alert rescuers should be limited to situations of grave and imminent danger.  </w:t>
      </w:r>
    </w:p>
    <w:p w14:paraId="764A3DBD" w14:textId="77777777" w:rsidR="0073112B" w:rsidRDefault="0073112B" w:rsidP="00BA2096">
      <w:pPr>
        <w:pStyle w:val="Heading2"/>
      </w:pPr>
      <w:bookmarkStart w:id="48" w:name="_Toc480811440"/>
      <w:r w:rsidRPr="00182DC9">
        <w:t>Satellite Emergency Notification Devices (SENDs)</w:t>
      </w:r>
      <w:r w:rsidR="004D5F1E">
        <w:t xml:space="preserve"> (</w:t>
      </w:r>
      <w:r w:rsidR="00A914F6">
        <w:t>47 CFR § 25.301</w:t>
      </w:r>
      <w:r w:rsidR="004D5F1E">
        <w:t>)</w:t>
      </w:r>
      <w:bookmarkEnd w:id="48"/>
    </w:p>
    <w:p w14:paraId="192F7A5E" w14:textId="6542C896" w:rsidR="00452BCF" w:rsidRDefault="00452BCF" w:rsidP="0073186C">
      <w:pPr>
        <w:pStyle w:val="ParaNum"/>
        <w:numPr>
          <w:ilvl w:val="0"/>
          <w:numId w:val="0"/>
        </w:numPr>
        <w:ind w:firstLine="720"/>
        <w:jc w:val="both"/>
      </w:pPr>
      <w:r>
        <w:t>The Commission amended</w:t>
      </w:r>
      <w:r w:rsidRPr="00182DC9">
        <w:t xml:space="preserve"> Part </w:t>
      </w:r>
      <w:r w:rsidR="004E4D86">
        <w:t>2</w:t>
      </w:r>
      <w:r w:rsidRPr="00182DC9">
        <w:t xml:space="preserve">5 to prohibit devices that do not meet </w:t>
      </w:r>
      <w:r w:rsidR="00FC11CF">
        <w:t>the RTCM SEND</w:t>
      </w:r>
      <w:r w:rsidRPr="00182DC9">
        <w:t xml:space="preserve"> standard from being marketed </w:t>
      </w:r>
      <w:r w:rsidR="00FC11CF">
        <w:t xml:space="preserve">or sold </w:t>
      </w:r>
      <w:r w:rsidRPr="00182DC9">
        <w:t xml:space="preserve">as </w:t>
      </w:r>
      <w:r w:rsidR="00FC11CF">
        <w:t>a SEND</w:t>
      </w:r>
      <w:r w:rsidR="004E4D86">
        <w:t xml:space="preserve"> </w:t>
      </w:r>
      <w:r w:rsidR="00FC11CF">
        <w:t>or</w:t>
      </w:r>
      <w:r w:rsidR="004E4D86" w:rsidRPr="004E4D86">
        <w:t xml:space="preserve"> “Satellite Emergency Notification Device</w:t>
      </w:r>
      <w:r w:rsidR="00FC11CF">
        <w:t>.</w:t>
      </w:r>
      <w:r w:rsidR="004E4D86" w:rsidRPr="004E4D86">
        <w:t xml:space="preserve">”  </w:t>
      </w:r>
      <w:r w:rsidR="00FC11CF">
        <w:t xml:space="preserve">Users rely on devices that provide a means for individuals in remote areas to alert others of an </w:t>
      </w:r>
      <w:r w:rsidR="0081134E">
        <w:t>emergency</w:t>
      </w:r>
      <w:r w:rsidR="00FC11CF">
        <w:t xml:space="preserve"> and to aid rescue personnel to locate those in distress, and they expect those devices to perform in a manner similar to PLBs (which are required to meet the relevant RTCM standard).</w:t>
      </w:r>
      <w:r w:rsidR="00652F4F">
        <w:t xml:space="preserve">  Pursuant to </w:t>
      </w:r>
      <w:r w:rsidR="00652F4F" w:rsidRPr="00182DC9">
        <w:rPr>
          <w:spacing w:val="-2"/>
        </w:rPr>
        <w:t>Section 25.301 of the rules</w:t>
      </w:r>
      <w:r w:rsidR="00652F4F">
        <w:rPr>
          <w:spacing w:val="-2"/>
        </w:rPr>
        <w:t>:</w:t>
      </w:r>
    </w:p>
    <w:p w14:paraId="4D76219E" w14:textId="77777777" w:rsidR="00652F4F" w:rsidRPr="004A5EEE" w:rsidRDefault="00652F4F" w:rsidP="004A5EEE">
      <w:pPr>
        <w:pStyle w:val="ParaNum"/>
        <w:numPr>
          <w:ilvl w:val="0"/>
          <w:numId w:val="48"/>
        </w:numPr>
        <w:ind w:left="1440"/>
        <w:jc w:val="both"/>
      </w:pPr>
      <w:r>
        <w:rPr>
          <w:spacing w:val="-2"/>
        </w:rPr>
        <w:t>T</w:t>
      </w:r>
      <w:r w:rsidRPr="00182DC9">
        <w:rPr>
          <w:spacing w:val="-2"/>
        </w:rPr>
        <w:t>he term SEND refers only to a device that meets</w:t>
      </w:r>
      <w:r>
        <w:rPr>
          <w:spacing w:val="-2"/>
        </w:rPr>
        <w:t xml:space="preserve"> </w:t>
      </w:r>
      <w:r w:rsidRPr="00182DC9">
        <w:rPr>
          <w:spacing w:val="-2"/>
        </w:rPr>
        <w:t>the requirements set forth in the RTCM SEND Standard 12800.0</w:t>
      </w:r>
      <w:r>
        <w:rPr>
          <w:spacing w:val="-2"/>
        </w:rPr>
        <w:t>.</w:t>
      </w:r>
      <w:r w:rsidRPr="00182DC9">
        <w:rPr>
          <w:spacing w:val="-2"/>
        </w:rPr>
        <w:t xml:space="preserve"> </w:t>
      </w:r>
    </w:p>
    <w:p w14:paraId="47F49073" w14:textId="77777777" w:rsidR="00652F4F" w:rsidRDefault="00652F4F" w:rsidP="004A5EEE">
      <w:pPr>
        <w:pStyle w:val="ParaNum"/>
        <w:numPr>
          <w:ilvl w:val="0"/>
          <w:numId w:val="48"/>
        </w:numPr>
        <w:ind w:left="1440"/>
        <w:jc w:val="both"/>
      </w:pPr>
      <w:r>
        <w:rPr>
          <w:spacing w:val="-2"/>
        </w:rPr>
        <w:t xml:space="preserve">It is </w:t>
      </w:r>
      <w:r w:rsidRPr="00182DC9">
        <w:rPr>
          <w:spacing w:val="-2"/>
        </w:rPr>
        <w:t>unlawful to market for use in the United States a non-compliant device as a SEND</w:t>
      </w:r>
      <w:r>
        <w:rPr>
          <w:spacing w:val="-2"/>
        </w:rPr>
        <w:t>.</w:t>
      </w:r>
    </w:p>
    <w:p w14:paraId="0C5674C1" w14:textId="46483EC8" w:rsidR="00980748" w:rsidRPr="00182DC9" w:rsidRDefault="00980748" w:rsidP="00BA2096">
      <w:pPr>
        <w:pStyle w:val="Heading2"/>
      </w:pPr>
      <w:bookmarkStart w:id="49" w:name="_Toc480811441"/>
      <w:r w:rsidRPr="00182DC9">
        <w:t>Maritime Survivor Locating Devices (MSLDs)</w:t>
      </w:r>
      <w:r w:rsidR="005F580C">
        <w:t xml:space="preserve"> (</w:t>
      </w:r>
      <w:r w:rsidR="00A914F6">
        <w:t>47 CFR § 95.1403</w:t>
      </w:r>
      <w:r w:rsidR="005F580C">
        <w:t>)</w:t>
      </w:r>
      <w:bookmarkEnd w:id="49"/>
      <w:r w:rsidR="00F1724F">
        <w:rPr>
          <w:rStyle w:val="FootnoteReference"/>
        </w:rPr>
        <w:footnoteReference w:id="3"/>
      </w:r>
    </w:p>
    <w:p w14:paraId="6BC9D5F2" w14:textId="77777777" w:rsidR="00F813C3" w:rsidRDefault="00315CEB" w:rsidP="0073186C">
      <w:pPr>
        <w:pStyle w:val="ParaNum"/>
        <w:numPr>
          <w:ilvl w:val="0"/>
          <w:numId w:val="0"/>
        </w:numPr>
        <w:ind w:firstLine="720"/>
        <w:jc w:val="both"/>
      </w:pPr>
      <w:r>
        <w:t xml:space="preserve">The Commission amended Part 95 </w:t>
      </w:r>
      <w:r w:rsidR="00F813C3">
        <w:t xml:space="preserve">to incorporate </w:t>
      </w:r>
      <w:r>
        <w:t xml:space="preserve">by </w:t>
      </w:r>
      <w:r w:rsidRPr="00182DC9">
        <w:t>reference RTCM’s MSLD standard to allow certification and use of devices meeting th</w:t>
      </w:r>
      <w:r w:rsidR="00966DC3">
        <w:t>at</w:t>
      </w:r>
      <w:r w:rsidRPr="00182DC9">
        <w:t xml:space="preserve"> standard</w:t>
      </w:r>
      <w:r w:rsidR="00966DC3">
        <w:t>.</w:t>
      </w:r>
      <w:r w:rsidR="008E420D">
        <w:t xml:space="preserve">  A</w:t>
      </w:r>
      <w:r w:rsidR="008E420D" w:rsidRPr="00182DC9">
        <w:t>llowing for certification and use of MSLDs will enhance safety for individuals on or near the water by providing for earlier alerting and rescues that are both more rapid and effective and less costly</w:t>
      </w:r>
      <w:r w:rsidR="008E420D">
        <w:t>.</w:t>
      </w:r>
      <w:r w:rsidR="00784C59">
        <w:t xml:space="preserve">  </w:t>
      </w:r>
      <w:r w:rsidR="00F813C3">
        <w:t xml:space="preserve">Pursuant to </w:t>
      </w:r>
      <w:r w:rsidR="00F813C3" w:rsidRPr="00182DC9">
        <w:rPr>
          <w:spacing w:val="-2"/>
        </w:rPr>
        <w:t>Section 95.1043 of the rules</w:t>
      </w:r>
      <w:r w:rsidR="00F813C3">
        <w:rPr>
          <w:spacing w:val="-2"/>
        </w:rPr>
        <w:t xml:space="preserve">: </w:t>
      </w:r>
    </w:p>
    <w:p w14:paraId="392189D8" w14:textId="77777777" w:rsidR="00F813C3" w:rsidRPr="004A5EEE" w:rsidRDefault="00F813C3" w:rsidP="004A5EEE">
      <w:pPr>
        <w:pStyle w:val="ParaNum"/>
        <w:numPr>
          <w:ilvl w:val="0"/>
          <w:numId w:val="49"/>
        </w:numPr>
        <w:ind w:left="1440"/>
        <w:jc w:val="both"/>
      </w:pPr>
      <w:r w:rsidRPr="00182DC9">
        <w:rPr>
          <w:spacing w:val="-2"/>
        </w:rPr>
        <w:t xml:space="preserve">MSLDs </w:t>
      </w:r>
      <w:r>
        <w:rPr>
          <w:spacing w:val="-2"/>
        </w:rPr>
        <w:t xml:space="preserve">must </w:t>
      </w:r>
      <w:r w:rsidRPr="00182DC9">
        <w:rPr>
          <w:spacing w:val="-2"/>
        </w:rPr>
        <w:t>comply with the RTCM Standard 11901.1</w:t>
      </w:r>
      <w:r>
        <w:rPr>
          <w:spacing w:val="-2"/>
        </w:rPr>
        <w:t>.</w:t>
      </w:r>
    </w:p>
    <w:p w14:paraId="56B1F0B8" w14:textId="77777777" w:rsidR="00BD7245" w:rsidRDefault="00BD7245" w:rsidP="004A5EEE">
      <w:pPr>
        <w:pStyle w:val="ParaNum"/>
        <w:numPr>
          <w:ilvl w:val="0"/>
          <w:numId w:val="49"/>
        </w:numPr>
        <w:ind w:left="1440"/>
        <w:jc w:val="both"/>
      </w:pPr>
      <w:r>
        <w:rPr>
          <w:spacing w:val="-2"/>
        </w:rPr>
        <w:t>No device may be marketed or sold in the United States as a</w:t>
      </w:r>
      <w:r w:rsidR="00666F78">
        <w:rPr>
          <w:spacing w:val="-2"/>
        </w:rPr>
        <w:t>n</w:t>
      </w:r>
      <w:r>
        <w:rPr>
          <w:spacing w:val="-2"/>
        </w:rPr>
        <w:t xml:space="preserve"> MSLD unless it complies with the requirements of RCTM 11901. </w:t>
      </w:r>
    </w:p>
    <w:p w14:paraId="036CA71A" w14:textId="77777777" w:rsidR="00F813C3" w:rsidRDefault="00EB3ACB" w:rsidP="004A5EEE">
      <w:pPr>
        <w:pStyle w:val="ParaNum"/>
        <w:numPr>
          <w:ilvl w:val="0"/>
          <w:numId w:val="49"/>
        </w:numPr>
        <w:ind w:left="1440"/>
        <w:jc w:val="both"/>
      </w:pPr>
      <w:r>
        <w:t>C</w:t>
      </w:r>
      <w:r w:rsidR="00784C59">
        <w:t xml:space="preserve">oordination </w:t>
      </w:r>
      <w:r>
        <w:t xml:space="preserve">of applications for equipment authorization </w:t>
      </w:r>
      <w:r w:rsidR="00784C59" w:rsidRPr="00182DC9">
        <w:t xml:space="preserve">with the Coast Guard </w:t>
      </w:r>
      <w:r w:rsidR="00A914F6">
        <w:t>is</w:t>
      </w:r>
      <w:r w:rsidR="00F813C3">
        <w:t xml:space="preserve"> required </w:t>
      </w:r>
      <w:r w:rsidR="00784C59" w:rsidRPr="00182DC9">
        <w:t>to assure that MSLDs meet the RTCM MSLD standard</w:t>
      </w:r>
      <w:r w:rsidR="00784C59">
        <w:t>.</w:t>
      </w:r>
      <w:r w:rsidR="0039097D">
        <w:t xml:space="preserve">  The </w:t>
      </w:r>
      <w:r w:rsidR="0039097D" w:rsidRPr="00182DC9">
        <w:t xml:space="preserve">certification of MSLDs that include a function intended to send a distress message directly to the Coast Guard or any other </w:t>
      </w:r>
      <w:r>
        <w:t>search and rescue</w:t>
      </w:r>
      <w:r w:rsidR="0039097D" w:rsidRPr="00182DC9">
        <w:t xml:space="preserve"> organization will not be permitted unless that function is endorsed by the Coast Guard in its pre-certification review</w:t>
      </w:r>
      <w:r w:rsidR="0039097D">
        <w:t xml:space="preserve">.  </w:t>
      </w:r>
    </w:p>
    <w:p w14:paraId="7A534544" w14:textId="77777777" w:rsidR="002C1E17" w:rsidRDefault="00BD7245" w:rsidP="004A5EEE">
      <w:pPr>
        <w:pStyle w:val="ParaNum"/>
        <w:numPr>
          <w:ilvl w:val="0"/>
          <w:numId w:val="49"/>
        </w:numPr>
        <w:ind w:left="1440"/>
        <w:jc w:val="both"/>
      </w:pPr>
      <w:r>
        <w:t>T</w:t>
      </w:r>
      <w:r w:rsidR="00703DB9" w:rsidRPr="00182DC9">
        <w:t xml:space="preserve">he continued manufacture, importation, and sale of non-compliant devices </w:t>
      </w:r>
      <w:r>
        <w:t xml:space="preserve">is prohibited </w:t>
      </w:r>
      <w:r w:rsidR="00703DB9" w:rsidRPr="00182DC9">
        <w:t>as of one year after the effective date of the rules adopted in</w:t>
      </w:r>
      <w:r w:rsidR="00703DB9">
        <w:t xml:space="preserve"> th</w:t>
      </w:r>
      <w:r w:rsidR="0053364F">
        <w:t>e</w:t>
      </w:r>
      <w:r w:rsidR="00703DB9">
        <w:t xml:space="preserve"> </w:t>
      </w:r>
      <w:r w:rsidR="00703DB9" w:rsidRPr="00703DB9">
        <w:rPr>
          <w:i/>
        </w:rPr>
        <w:t>Report and Order</w:t>
      </w:r>
      <w:r>
        <w:t xml:space="preserve">. </w:t>
      </w:r>
      <w:r w:rsidRPr="00182DC9">
        <w:t xml:space="preserve"> </w:t>
      </w:r>
    </w:p>
    <w:p w14:paraId="64618F33" w14:textId="47890521" w:rsidR="00771581" w:rsidRDefault="002C1E17" w:rsidP="00510897">
      <w:pPr>
        <w:pStyle w:val="ParaNum"/>
        <w:widowControl/>
        <w:numPr>
          <w:ilvl w:val="0"/>
          <w:numId w:val="49"/>
        </w:numPr>
        <w:ind w:left="1440"/>
        <w:jc w:val="both"/>
      </w:pPr>
      <w:r>
        <w:t>D</w:t>
      </w:r>
      <w:r w:rsidR="00BD7245" w:rsidRPr="00182DC9">
        <w:t xml:space="preserve">evices that were approved by waiver but do not comply with the </w:t>
      </w:r>
      <w:r w:rsidRPr="00510897">
        <w:rPr>
          <w:spacing w:val="-2"/>
        </w:rPr>
        <w:t>RCTM 11901</w:t>
      </w:r>
      <w:r w:rsidR="00BD7245" w:rsidRPr="00182DC9">
        <w:t>standard,</w:t>
      </w:r>
      <w:r w:rsidR="00703DB9" w:rsidRPr="00182DC9">
        <w:t xml:space="preserve"> </w:t>
      </w:r>
      <w:r>
        <w:t>may continue to be used</w:t>
      </w:r>
      <w:r w:rsidR="00703DB9">
        <w:t>.</w:t>
      </w:r>
    </w:p>
    <w:p w14:paraId="0DBF92DD" w14:textId="22FE35CD" w:rsidR="00D2110E" w:rsidRPr="00182DC9" w:rsidRDefault="00D2110E" w:rsidP="00BA2096">
      <w:pPr>
        <w:pStyle w:val="Heading2"/>
      </w:pPr>
      <w:bookmarkStart w:id="50" w:name="_Toc480811442"/>
      <w:r w:rsidRPr="00182DC9">
        <w:t>Automatic Identification System Search and Rescue Transmitters (AIS-SARTs)</w:t>
      </w:r>
      <w:r w:rsidR="005F580C">
        <w:t xml:space="preserve"> (</w:t>
      </w:r>
      <w:r w:rsidR="00A914F6">
        <w:t>47 CFR § 80.233</w:t>
      </w:r>
      <w:r w:rsidR="005F580C">
        <w:t>)</w:t>
      </w:r>
      <w:bookmarkEnd w:id="50"/>
    </w:p>
    <w:p w14:paraId="0971DB04" w14:textId="77777777" w:rsidR="00E541CC" w:rsidRDefault="00EB0184" w:rsidP="0073186C">
      <w:pPr>
        <w:pStyle w:val="ParaNum"/>
        <w:numPr>
          <w:ilvl w:val="0"/>
          <w:numId w:val="0"/>
        </w:numPr>
        <w:ind w:firstLine="720"/>
        <w:jc w:val="both"/>
      </w:pPr>
      <w:r w:rsidRPr="00182DC9">
        <w:t>AIS-SARTs represent an important tool for improving maritime safety and have gained international acceptance</w:t>
      </w:r>
      <w:r>
        <w:t xml:space="preserve">, </w:t>
      </w:r>
      <w:r w:rsidR="0053364F">
        <w:t xml:space="preserve">so </w:t>
      </w:r>
      <w:r>
        <w:t xml:space="preserve">the Commission </w:t>
      </w:r>
      <w:r w:rsidRPr="00182DC9">
        <w:t>revise</w:t>
      </w:r>
      <w:r>
        <w:t>d</w:t>
      </w:r>
      <w:r w:rsidRPr="00182DC9">
        <w:t xml:space="preserve"> Part 80 to incorporate by reference the I</w:t>
      </w:r>
      <w:r w:rsidR="00EB3ACB">
        <w:t xml:space="preserve">nternational </w:t>
      </w:r>
      <w:r w:rsidRPr="00182DC9">
        <w:t>M</w:t>
      </w:r>
      <w:r w:rsidR="00EB3ACB">
        <w:t xml:space="preserve">aritime </w:t>
      </w:r>
      <w:r w:rsidRPr="00182DC9">
        <w:t>O</w:t>
      </w:r>
      <w:r w:rsidR="00EB3ACB">
        <w:t>rganization</w:t>
      </w:r>
      <w:r w:rsidR="00E00057">
        <w:t xml:space="preserve"> (IMO)</w:t>
      </w:r>
      <w:r w:rsidRPr="00182DC9">
        <w:t xml:space="preserve"> and I</w:t>
      </w:r>
      <w:r w:rsidR="00EB3ACB">
        <w:t xml:space="preserve">nternational </w:t>
      </w:r>
      <w:r w:rsidRPr="00182DC9">
        <w:t>E</w:t>
      </w:r>
      <w:r w:rsidR="00EB3ACB">
        <w:t xml:space="preserve">lectrotechnical </w:t>
      </w:r>
      <w:r w:rsidRPr="00182DC9">
        <w:t>C</w:t>
      </w:r>
      <w:r w:rsidR="00EB3ACB">
        <w:t>ommission</w:t>
      </w:r>
      <w:r w:rsidRPr="00182DC9">
        <w:t xml:space="preserve"> </w:t>
      </w:r>
      <w:r w:rsidR="00EB3ACB">
        <w:t xml:space="preserve">(IEC) </w:t>
      </w:r>
      <w:r w:rsidRPr="00182DC9">
        <w:t xml:space="preserve">standards for AIS-SARTs.  </w:t>
      </w:r>
      <w:r w:rsidR="00131BA4">
        <w:t xml:space="preserve">Pursuant to </w:t>
      </w:r>
      <w:r w:rsidR="00131BA4" w:rsidRPr="00182DC9">
        <w:rPr>
          <w:spacing w:val="-2"/>
        </w:rPr>
        <w:t>amend</w:t>
      </w:r>
      <w:r w:rsidR="00131BA4">
        <w:rPr>
          <w:spacing w:val="-2"/>
        </w:rPr>
        <w:t>ed</w:t>
      </w:r>
      <w:r w:rsidR="00131BA4" w:rsidRPr="00182DC9">
        <w:rPr>
          <w:spacing w:val="-2"/>
        </w:rPr>
        <w:t xml:space="preserve"> Section 80.233 of the rules</w:t>
      </w:r>
      <w:r w:rsidR="00131BA4">
        <w:rPr>
          <w:spacing w:val="-2"/>
        </w:rPr>
        <w:t xml:space="preserve">: </w:t>
      </w:r>
    </w:p>
    <w:p w14:paraId="6FEBDACD" w14:textId="77777777" w:rsidR="00131BA4" w:rsidRDefault="00131BA4" w:rsidP="004A5EEE">
      <w:pPr>
        <w:pStyle w:val="ParaNum"/>
        <w:numPr>
          <w:ilvl w:val="0"/>
          <w:numId w:val="50"/>
        </w:numPr>
        <w:ind w:left="1440"/>
        <w:jc w:val="both"/>
      </w:pPr>
      <w:r w:rsidRPr="00182DC9">
        <w:rPr>
          <w:spacing w:val="-2"/>
        </w:rPr>
        <w:t xml:space="preserve">AIS-SARTs </w:t>
      </w:r>
      <w:r>
        <w:rPr>
          <w:spacing w:val="-2"/>
        </w:rPr>
        <w:t xml:space="preserve">must </w:t>
      </w:r>
      <w:r w:rsidRPr="00182DC9">
        <w:rPr>
          <w:spacing w:val="-2"/>
        </w:rPr>
        <w:t xml:space="preserve">comply with the IEC Standard 61097-14 Ed. 1.0 (2010-02) and IMO Resolution </w:t>
      </w:r>
      <w:r w:rsidR="00A84426" w:rsidRPr="00182DC9">
        <w:rPr>
          <w:spacing w:val="-2"/>
        </w:rPr>
        <w:t>MSC.246 (</w:t>
      </w:r>
      <w:r w:rsidRPr="00182DC9">
        <w:rPr>
          <w:spacing w:val="-2"/>
        </w:rPr>
        <w:t>83)</w:t>
      </w:r>
      <w:r>
        <w:rPr>
          <w:spacing w:val="-2"/>
        </w:rPr>
        <w:t>.</w:t>
      </w:r>
    </w:p>
    <w:p w14:paraId="4635ED13" w14:textId="77777777" w:rsidR="00A914F6" w:rsidRDefault="00EB0184" w:rsidP="004A5EEE">
      <w:pPr>
        <w:pStyle w:val="ParaNum"/>
        <w:numPr>
          <w:ilvl w:val="0"/>
          <w:numId w:val="50"/>
        </w:numPr>
        <w:ind w:left="1440"/>
        <w:jc w:val="both"/>
      </w:pPr>
      <w:r w:rsidRPr="00182DC9">
        <w:t xml:space="preserve">AIS-SART equipment certification applications </w:t>
      </w:r>
      <w:r w:rsidR="00131BA4">
        <w:t>must be</w:t>
      </w:r>
      <w:r w:rsidRPr="00182DC9">
        <w:t xml:space="preserve"> coordinated with the Coast Guard, as is required for other AIS equipment</w:t>
      </w:r>
      <w:r w:rsidR="00A914F6">
        <w:t xml:space="preserve">.  </w:t>
      </w:r>
    </w:p>
    <w:p w14:paraId="1DD4BC75" w14:textId="77777777" w:rsidR="0065463E" w:rsidRDefault="00A914F6" w:rsidP="004A5EEE">
      <w:pPr>
        <w:pStyle w:val="ParaNum"/>
        <w:numPr>
          <w:ilvl w:val="0"/>
          <w:numId w:val="50"/>
        </w:numPr>
        <w:ind w:left="1440"/>
        <w:jc w:val="both"/>
      </w:pPr>
      <w:r>
        <w:t>The Commission</w:t>
      </w:r>
      <w:r w:rsidR="00BC23E3">
        <w:t xml:space="preserve"> will </w:t>
      </w:r>
      <w:r w:rsidR="00BC23E3" w:rsidRPr="00182DC9">
        <w:t>use the term “search and rescue locating devices” when referring to both traditional SARTs and AIS-SARTs</w:t>
      </w:r>
      <w:r w:rsidR="00EB0184">
        <w:t>.</w:t>
      </w:r>
    </w:p>
    <w:p w14:paraId="054EA415" w14:textId="77777777" w:rsidR="00B07FBD" w:rsidRPr="00182DC9" w:rsidRDefault="00B07FBD" w:rsidP="00BA2096">
      <w:pPr>
        <w:pStyle w:val="Heading2"/>
      </w:pPr>
      <w:bookmarkStart w:id="51" w:name="_Toc480811443"/>
      <w:r w:rsidRPr="00182DC9">
        <w:t>Ship Radar</w:t>
      </w:r>
      <w:r w:rsidR="005F580C">
        <w:t xml:space="preserve"> (</w:t>
      </w:r>
      <w:r w:rsidR="00A914F6">
        <w:t>47 CFR § 80.273</w:t>
      </w:r>
      <w:r w:rsidR="005F580C">
        <w:t>)</w:t>
      </w:r>
      <w:bookmarkEnd w:id="51"/>
    </w:p>
    <w:p w14:paraId="34F9695C" w14:textId="77777777" w:rsidR="00B02A94" w:rsidRDefault="00903CE3" w:rsidP="0073186C">
      <w:pPr>
        <w:pStyle w:val="ParaNum"/>
        <w:numPr>
          <w:ilvl w:val="0"/>
          <w:numId w:val="0"/>
        </w:numPr>
        <w:ind w:firstLine="720"/>
        <w:jc w:val="both"/>
      </w:pPr>
      <w:r>
        <w:t xml:space="preserve">The Commission amended </w:t>
      </w:r>
      <w:r w:rsidRPr="00182DC9">
        <w:t xml:space="preserve">Part 80 </w:t>
      </w:r>
      <w:r>
        <w:t>by</w:t>
      </w:r>
      <w:r w:rsidRPr="00182DC9">
        <w:t xml:space="preserve"> remov</w:t>
      </w:r>
      <w:r>
        <w:t>ing</w:t>
      </w:r>
      <w:r w:rsidRPr="00182DC9">
        <w:t xml:space="preserve"> the incorporation by reference of IEC 62252 because manufacturers have not designed or built radar sets to this standard, and IEC has withdrawn the standard</w:t>
      </w:r>
      <w:r>
        <w:t xml:space="preserve">.  </w:t>
      </w:r>
      <w:r w:rsidR="00B02A94">
        <w:t>Pursuant to amended Section</w:t>
      </w:r>
      <w:r w:rsidR="00A914F6">
        <w:t xml:space="preserve"> 80.273</w:t>
      </w:r>
      <w:r w:rsidR="002277BF">
        <w:t xml:space="preserve"> </w:t>
      </w:r>
      <w:r w:rsidR="00B02A94">
        <w:t>of the rules:</w:t>
      </w:r>
    </w:p>
    <w:p w14:paraId="5F4BBCF2" w14:textId="77777777" w:rsidR="00B02A94" w:rsidRDefault="00903CE3" w:rsidP="004A5EEE">
      <w:pPr>
        <w:pStyle w:val="ParaNum"/>
        <w:numPr>
          <w:ilvl w:val="0"/>
          <w:numId w:val="54"/>
        </w:numPr>
        <w:jc w:val="both"/>
      </w:pPr>
      <w:r w:rsidRPr="00182DC9">
        <w:t>Voluntary vessels are permitted to carry radar equipment intended for use solely on voluntary vessels, without reference to any particular standard</w:t>
      </w:r>
      <w:r>
        <w:t>.</w:t>
      </w:r>
      <w:r w:rsidR="004E3DBA">
        <w:t xml:space="preserve"> </w:t>
      </w:r>
    </w:p>
    <w:p w14:paraId="779C7789" w14:textId="77777777" w:rsidR="00C453B0" w:rsidRDefault="00B02A94" w:rsidP="004A5EEE">
      <w:pPr>
        <w:pStyle w:val="ParaNum"/>
        <w:numPr>
          <w:ilvl w:val="0"/>
          <w:numId w:val="54"/>
        </w:numPr>
        <w:jc w:val="both"/>
      </w:pPr>
      <w:r>
        <w:t>R</w:t>
      </w:r>
      <w:r w:rsidR="004E3DBA" w:rsidRPr="00182DC9">
        <w:t xml:space="preserve">adar installations on compulsory vessels must meet </w:t>
      </w:r>
      <w:r w:rsidR="0032286B">
        <w:t>the latest IEC 62388 standard.</w:t>
      </w:r>
      <w:r>
        <w:t xml:space="preserve"> </w:t>
      </w:r>
    </w:p>
    <w:p w14:paraId="48A2CAFD" w14:textId="77777777" w:rsidR="00ED7379" w:rsidRPr="00182DC9" w:rsidRDefault="00ED7379" w:rsidP="00BA2096">
      <w:pPr>
        <w:pStyle w:val="Heading2"/>
      </w:pPr>
      <w:bookmarkStart w:id="52" w:name="_Toc480811444"/>
      <w:r w:rsidRPr="00182DC9">
        <w:t>Portable Marine VHF Radios on Shore</w:t>
      </w:r>
      <w:r w:rsidR="005F580C">
        <w:t xml:space="preserve"> (</w:t>
      </w:r>
      <w:r w:rsidR="00A914F6">
        <w:t>47 CFR § 80.115</w:t>
      </w:r>
      <w:r w:rsidR="005F580C">
        <w:t>)</w:t>
      </w:r>
      <w:bookmarkEnd w:id="52"/>
    </w:p>
    <w:p w14:paraId="28522E71" w14:textId="77777777" w:rsidR="00616B56" w:rsidRDefault="00653CC1" w:rsidP="0073186C">
      <w:pPr>
        <w:pStyle w:val="ParaNum"/>
        <w:numPr>
          <w:ilvl w:val="0"/>
          <w:numId w:val="0"/>
        </w:numPr>
        <w:ind w:firstLine="720"/>
        <w:jc w:val="both"/>
      </w:pPr>
      <w:r>
        <w:t xml:space="preserve">The Commission </w:t>
      </w:r>
      <w:r w:rsidRPr="00182DC9">
        <w:t>allow</w:t>
      </w:r>
      <w:r w:rsidR="00AE2A88">
        <w:t>ed</w:t>
      </w:r>
      <w:r w:rsidRPr="00182DC9">
        <w:t xml:space="preserve"> the use of portable VHF radios ashore, so long as it is limited to enhancing the usefulness of marine VHF radios without negatively affecting maritime communications.</w:t>
      </w:r>
      <w:r w:rsidR="00616B56">
        <w:t xml:space="preserve">  Pursuant to amended Section</w:t>
      </w:r>
      <w:r w:rsidR="00A914F6">
        <w:t xml:space="preserve"> 80.115</w:t>
      </w:r>
      <w:r w:rsidR="00616B56">
        <w:rPr>
          <w:b/>
        </w:rPr>
        <w:t xml:space="preserve"> </w:t>
      </w:r>
      <w:r w:rsidR="00616B56">
        <w:t>of the rules:</w:t>
      </w:r>
      <w:r w:rsidRPr="00182DC9">
        <w:t xml:space="preserve">  </w:t>
      </w:r>
    </w:p>
    <w:p w14:paraId="73CC796B" w14:textId="77777777" w:rsidR="00616B56" w:rsidRDefault="00616B56" w:rsidP="004A5EEE">
      <w:pPr>
        <w:pStyle w:val="ParaNum"/>
        <w:numPr>
          <w:ilvl w:val="0"/>
          <w:numId w:val="51"/>
        </w:numPr>
        <w:ind w:left="1440"/>
        <w:jc w:val="both"/>
      </w:pPr>
      <w:r>
        <w:t>U</w:t>
      </w:r>
      <w:r w:rsidR="00653CC1" w:rsidRPr="00182DC9">
        <w:t xml:space="preserve">se of portable marine VHF radios </w:t>
      </w:r>
      <w:r>
        <w:t xml:space="preserve">is permitted </w:t>
      </w:r>
      <w:r w:rsidR="00653CC1" w:rsidRPr="00182DC9">
        <w:t>only in areas adjacent to the water, such as docks and beaches</w:t>
      </w:r>
      <w:r w:rsidR="00CB6C00">
        <w:t xml:space="preserve">. </w:t>
      </w:r>
    </w:p>
    <w:p w14:paraId="065AEBF2" w14:textId="77777777" w:rsidR="00616B56" w:rsidRDefault="00CB6C00" w:rsidP="004A5EEE">
      <w:pPr>
        <w:pStyle w:val="ParaNum"/>
        <w:numPr>
          <w:ilvl w:val="0"/>
          <w:numId w:val="51"/>
        </w:numPr>
        <w:ind w:left="1440"/>
        <w:jc w:val="both"/>
      </w:pPr>
      <w:r>
        <w:t>C</w:t>
      </w:r>
      <w:r w:rsidR="003D357B" w:rsidRPr="00182DC9">
        <w:t xml:space="preserve">onsistent with </w:t>
      </w:r>
      <w:r w:rsidR="003D357B">
        <w:t>the Commission’s</w:t>
      </w:r>
      <w:r w:rsidR="003D357B" w:rsidRPr="00182DC9">
        <w:t xml:space="preserve"> requirements for offshore use, onshore communications using such radios must relate to the operational and business needs of the associated vessel</w:t>
      </w:r>
      <w:r w:rsidR="003D357B">
        <w:t xml:space="preserve">, </w:t>
      </w:r>
      <w:r w:rsidR="003D357B" w:rsidRPr="00182DC9">
        <w:t>and must be limited to the minimum practicable transmission time</w:t>
      </w:r>
      <w:r w:rsidR="00653CC1">
        <w:t>.</w:t>
      </w:r>
      <w:r w:rsidR="00255C55">
        <w:t xml:space="preserve">  </w:t>
      </w:r>
    </w:p>
    <w:p w14:paraId="691A4FF2" w14:textId="77777777" w:rsidR="00E4084B" w:rsidRDefault="00616B56" w:rsidP="004A5EEE">
      <w:pPr>
        <w:pStyle w:val="ParaNum"/>
        <w:numPr>
          <w:ilvl w:val="0"/>
          <w:numId w:val="0"/>
        </w:numPr>
        <w:ind w:firstLine="720"/>
        <w:jc w:val="both"/>
      </w:pPr>
      <w:r>
        <w:t>T</w:t>
      </w:r>
      <w:r w:rsidR="00F24127">
        <w:t xml:space="preserve">he </w:t>
      </w:r>
      <w:r w:rsidR="00F24127" w:rsidRPr="00F24127">
        <w:t>Commission’s Enforcement Bureau will continue to investigate complaints against operators who improperly use marine VHF radios, particularly any violation that concerns unauthorized transmissions on 156.800 MHz (VHF Channel 16).</w:t>
      </w:r>
    </w:p>
    <w:p w14:paraId="3179D720" w14:textId="77777777" w:rsidR="00F306B6" w:rsidRPr="00182DC9" w:rsidRDefault="00F306B6" w:rsidP="00BA2096">
      <w:pPr>
        <w:pStyle w:val="Heading2"/>
      </w:pPr>
      <w:bookmarkStart w:id="53" w:name="_Toc480811445"/>
      <w:r w:rsidRPr="00182DC9">
        <w:t>VHF Digital Small Message Services (VDSMS)</w:t>
      </w:r>
      <w:r w:rsidR="005F580C">
        <w:t xml:space="preserve"> (</w:t>
      </w:r>
      <w:r w:rsidR="00A914F6">
        <w:t>47 CFR § 80.364</w:t>
      </w:r>
      <w:r w:rsidR="005F580C">
        <w:t>)</w:t>
      </w:r>
      <w:bookmarkEnd w:id="53"/>
    </w:p>
    <w:p w14:paraId="2A3EA2CB" w14:textId="77777777" w:rsidR="00215B05" w:rsidRDefault="00F306B6" w:rsidP="00E351E1">
      <w:pPr>
        <w:pStyle w:val="FootnoteText"/>
        <w:ind w:firstLine="720"/>
        <w:jc w:val="both"/>
        <w:rPr>
          <w:sz w:val="22"/>
          <w:szCs w:val="22"/>
        </w:rPr>
      </w:pPr>
      <w:r w:rsidRPr="00EF5EF1">
        <w:rPr>
          <w:sz w:val="22"/>
          <w:szCs w:val="22"/>
        </w:rPr>
        <w:t>The Commission amended Part 80 to incorporate by reference the RTCM VDSMS standard</w:t>
      </w:r>
      <w:r w:rsidR="00A0053E" w:rsidRPr="00EF5EF1">
        <w:rPr>
          <w:sz w:val="22"/>
          <w:szCs w:val="22"/>
        </w:rPr>
        <w:t xml:space="preserve"> in order to permit transmission of short data messages on VHF maritime private communications frequencies which would advance the Commission’s goal of </w:t>
      </w:r>
      <w:r w:rsidR="00A0053E" w:rsidRPr="00EF5EF1">
        <w:rPr>
          <w:spacing w:val="-2"/>
          <w:sz w:val="22"/>
          <w:szCs w:val="22"/>
        </w:rPr>
        <w:t>promoting flexibility and efficiency in the use of marine radio equipment in a manner that would further maritime safety</w:t>
      </w:r>
      <w:r w:rsidRPr="00EF5EF1">
        <w:rPr>
          <w:sz w:val="22"/>
          <w:szCs w:val="22"/>
        </w:rPr>
        <w:t>.</w:t>
      </w:r>
      <w:r w:rsidR="00215B05">
        <w:rPr>
          <w:sz w:val="22"/>
          <w:szCs w:val="22"/>
        </w:rPr>
        <w:t xml:space="preserve">  </w:t>
      </w:r>
      <w:r w:rsidR="00215B05" w:rsidRPr="004A5EEE">
        <w:rPr>
          <w:sz w:val="22"/>
          <w:szCs w:val="22"/>
        </w:rPr>
        <w:t>Pursuant to Section 80</w:t>
      </w:r>
      <w:r w:rsidR="00A914F6">
        <w:rPr>
          <w:sz w:val="22"/>
          <w:szCs w:val="22"/>
        </w:rPr>
        <w:t>.364</w:t>
      </w:r>
      <w:r w:rsidR="00215B05" w:rsidRPr="004A5EEE">
        <w:rPr>
          <w:sz w:val="22"/>
          <w:szCs w:val="22"/>
        </w:rPr>
        <w:t xml:space="preserve"> of the rules:</w:t>
      </w:r>
      <w:r w:rsidR="003B6B1B" w:rsidRPr="00EF5EF1">
        <w:rPr>
          <w:sz w:val="22"/>
          <w:szCs w:val="22"/>
        </w:rPr>
        <w:t xml:space="preserve">  </w:t>
      </w:r>
    </w:p>
    <w:p w14:paraId="3FF81A1E" w14:textId="77777777" w:rsidR="00215B05" w:rsidRDefault="003B6B1B" w:rsidP="004A5EEE">
      <w:pPr>
        <w:pStyle w:val="FootnoteText"/>
        <w:numPr>
          <w:ilvl w:val="0"/>
          <w:numId w:val="52"/>
        </w:numPr>
        <w:jc w:val="both"/>
        <w:rPr>
          <w:sz w:val="22"/>
          <w:szCs w:val="22"/>
        </w:rPr>
      </w:pPr>
      <w:r w:rsidRPr="00EF5EF1">
        <w:rPr>
          <w:sz w:val="22"/>
          <w:szCs w:val="22"/>
        </w:rPr>
        <w:t xml:space="preserve">VDSMS </w:t>
      </w:r>
      <w:r w:rsidR="00A914F6">
        <w:rPr>
          <w:sz w:val="22"/>
          <w:szCs w:val="22"/>
        </w:rPr>
        <w:t xml:space="preserve">is </w:t>
      </w:r>
      <w:r w:rsidRPr="00EF5EF1">
        <w:rPr>
          <w:sz w:val="22"/>
          <w:szCs w:val="22"/>
        </w:rPr>
        <w:t xml:space="preserve">not permitted on or adjacent to marine safety and security channels </w:t>
      </w:r>
      <w:r w:rsidR="00CB6C00">
        <w:rPr>
          <w:sz w:val="22"/>
          <w:szCs w:val="22"/>
        </w:rPr>
        <w:t xml:space="preserve">(including port operations channels) </w:t>
      </w:r>
      <w:r w:rsidRPr="00EF5EF1">
        <w:rPr>
          <w:sz w:val="22"/>
          <w:szCs w:val="22"/>
        </w:rPr>
        <w:t xml:space="preserve">and other channels excluded under Appendix 18 of the ITU Radio Regulations.  </w:t>
      </w:r>
    </w:p>
    <w:p w14:paraId="2C0EB89B" w14:textId="77777777" w:rsidR="00A00259" w:rsidRPr="00EF5EF1" w:rsidRDefault="00453F0E" w:rsidP="004A5EEE">
      <w:pPr>
        <w:pStyle w:val="FootnoteText"/>
        <w:numPr>
          <w:ilvl w:val="0"/>
          <w:numId w:val="52"/>
        </w:numPr>
        <w:jc w:val="both"/>
        <w:rPr>
          <w:sz w:val="22"/>
          <w:szCs w:val="22"/>
        </w:rPr>
      </w:pPr>
      <w:r w:rsidRPr="00EF5EF1">
        <w:rPr>
          <w:sz w:val="22"/>
          <w:szCs w:val="22"/>
        </w:rPr>
        <w:t>VDSMS operation on the non-excluded VHF frequencies is subject to existing eligibility requirements</w:t>
      </w:r>
      <w:r w:rsidR="00A00259" w:rsidRPr="00EF5EF1">
        <w:rPr>
          <w:sz w:val="22"/>
          <w:szCs w:val="22"/>
        </w:rPr>
        <w:t xml:space="preserve"> (</w:t>
      </w:r>
      <w:r w:rsidR="00A00259" w:rsidRPr="00EF5EF1">
        <w:rPr>
          <w:i/>
          <w:sz w:val="22"/>
          <w:szCs w:val="22"/>
        </w:rPr>
        <w:t>See</w:t>
      </w:r>
      <w:r w:rsidR="00A00259" w:rsidRPr="00EF5EF1">
        <w:rPr>
          <w:sz w:val="22"/>
          <w:szCs w:val="22"/>
        </w:rPr>
        <w:t xml:space="preserve"> 47 C.F.R. § 80.373(f)).</w:t>
      </w:r>
    </w:p>
    <w:p w14:paraId="4BCCE5A1" w14:textId="77777777" w:rsidR="00303EFA" w:rsidRDefault="00F57705" w:rsidP="00BA2096">
      <w:pPr>
        <w:pStyle w:val="Heading2"/>
      </w:pPr>
      <w:bookmarkStart w:id="54" w:name="_Toc186598682"/>
      <w:bookmarkStart w:id="55" w:name="_Toc186607588"/>
      <w:bookmarkStart w:id="56" w:name="_Toc187638727"/>
      <w:bookmarkStart w:id="57" w:name="_Toc187726936"/>
      <w:bookmarkStart w:id="58" w:name="_Toc188342626"/>
      <w:bookmarkStart w:id="59" w:name="_Toc188942471"/>
      <w:bookmarkStart w:id="60" w:name="_Toc189539793"/>
      <w:bookmarkStart w:id="61" w:name="_Toc191365715"/>
      <w:bookmarkStart w:id="62" w:name="_Toc206302623"/>
      <w:bookmarkStart w:id="63" w:name="_Toc206321243"/>
      <w:bookmarkStart w:id="64" w:name="_Toc256079788"/>
      <w:bookmarkStart w:id="65" w:name="_Toc480811446"/>
      <w:r>
        <w:t>Remov</w:t>
      </w:r>
      <w:r w:rsidR="008B12FB">
        <w:t>al of</w:t>
      </w:r>
      <w:r>
        <w:t xml:space="preserve"> </w:t>
      </w:r>
      <w:r w:rsidR="00303EFA" w:rsidRPr="00182DC9">
        <w:t xml:space="preserve">Prohibition </w:t>
      </w:r>
      <w:r w:rsidR="008B12FB">
        <w:t xml:space="preserve">against </w:t>
      </w:r>
      <w:r w:rsidR="00BA2096">
        <w:t xml:space="preserve">the </w:t>
      </w:r>
      <w:r w:rsidR="00303EFA" w:rsidRPr="00182DC9">
        <w:t>Assign</w:t>
      </w:r>
      <w:r w:rsidR="008B12FB">
        <w:t>ment</w:t>
      </w:r>
      <w:r w:rsidR="00303EFA" w:rsidRPr="00182DC9">
        <w:t xml:space="preserve"> or Transfer </w:t>
      </w:r>
      <w:r w:rsidR="008B12FB">
        <w:t xml:space="preserve">of </w:t>
      </w:r>
      <w:r w:rsidR="00303EFA" w:rsidRPr="00182DC9">
        <w:t>Control of Ship Licenses</w:t>
      </w:r>
      <w:bookmarkEnd w:id="54"/>
      <w:bookmarkEnd w:id="55"/>
      <w:bookmarkEnd w:id="56"/>
      <w:bookmarkEnd w:id="57"/>
      <w:bookmarkEnd w:id="58"/>
      <w:bookmarkEnd w:id="59"/>
      <w:bookmarkEnd w:id="60"/>
      <w:bookmarkEnd w:id="61"/>
      <w:bookmarkEnd w:id="62"/>
      <w:bookmarkEnd w:id="63"/>
      <w:bookmarkEnd w:id="64"/>
      <w:r w:rsidR="005F580C">
        <w:t xml:space="preserve"> (</w:t>
      </w:r>
      <w:r w:rsidR="00A914F6">
        <w:t>47 CFR § 1.948</w:t>
      </w:r>
      <w:r w:rsidR="005F580C">
        <w:t>)</w:t>
      </w:r>
      <w:bookmarkEnd w:id="65"/>
    </w:p>
    <w:p w14:paraId="0E922ABB" w14:textId="77777777" w:rsidR="0016243C" w:rsidRDefault="00303EFA" w:rsidP="0073186C">
      <w:pPr>
        <w:pStyle w:val="ParaNum"/>
        <w:numPr>
          <w:ilvl w:val="0"/>
          <w:numId w:val="0"/>
        </w:numPr>
        <w:ind w:firstLine="720"/>
        <w:jc w:val="both"/>
      </w:pPr>
      <w:r>
        <w:t xml:space="preserve">The Commission </w:t>
      </w:r>
      <w:r w:rsidR="00BA2096">
        <w:t>eliminat</w:t>
      </w:r>
      <w:r w:rsidR="00AE2A88">
        <w:t>ed</w:t>
      </w:r>
      <w:r w:rsidR="00BA2096">
        <w:t xml:space="preserve"> the prohibition in Section 1.948 of the rules against </w:t>
      </w:r>
      <w:r>
        <w:t xml:space="preserve">the assignment and transfer of </w:t>
      </w:r>
      <w:r w:rsidRPr="00303EFA">
        <w:t xml:space="preserve">control of ship station licenses.  Permitting </w:t>
      </w:r>
      <w:r w:rsidR="00BA2096">
        <w:t xml:space="preserve">such </w:t>
      </w:r>
      <w:r w:rsidRPr="00303EFA">
        <w:t>assignment</w:t>
      </w:r>
      <w:r w:rsidR="00BA2096">
        <w:t>s</w:t>
      </w:r>
      <w:r w:rsidRPr="00303EFA">
        <w:t xml:space="preserve"> and transfer</w:t>
      </w:r>
      <w:r w:rsidR="00BA2096">
        <w:t>s</w:t>
      </w:r>
      <w:r w:rsidRPr="00303EFA">
        <w:t xml:space="preserve"> of control w</w:t>
      </w:r>
      <w:r w:rsidR="00AE2A88">
        <w:t>ill</w:t>
      </w:r>
      <w:r w:rsidRPr="00303EFA">
        <w:t xml:space="preserve"> be more administratively efficient than </w:t>
      </w:r>
      <w:r w:rsidR="008B12FB">
        <w:t>requiring all prospective licensees to secure new licenses</w:t>
      </w:r>
      <w:r w:rsidR="00BA2096">
        <w:t>,</w:t>
      </w:r>
      <w:r w:rsidRPr="00303EFA">
        <w:t xml:space="preserve"> and </w:t>
      </w:r>
      <w:r w:rsidR="008B12FB">
        <w:t xml:space="preserve">affording such licensees this flexibility </w:t>
      </w:r>
      <w:r w:rsidRPr="00303EFA">
        <w:t>w</w:t>
      </w:r>
      <w:r w:rsidR="00AE2A88">
        <w:t>ill</w:t>
      </w:r>
      <w:r w:rsidRPr="00303EFA">
        <w:t xml:space="preserve"> reduce </w:t>
      </w:r>
      <w:r w:rsidR="008B12FB">
        <w:t xml:space="preserve">their </w:t>
      </w:r>
      <w:r w:rsidRPr="00303EFA">
        <w:t>transaction costs</w:t>
      </w:r>
      <w:r>
        <w:t>.</w:t>
      </w:r>
      <w:r w:rsidR="006E225E">
        <w:t xml:space="preserve"> </w:t>
      </w:r>
      <w:r w:rsidR="00BC4515">
        <w:t xml:space="preserve"> </w:t>
      </w:r>
      <w:r w:rsidR="00BA2096">
        <w:t xml:space="preserve">Under the </w:t>
      </w:r>
      <w:r w:rsidR="00F57705">
        <w:t>amended Section 1.948:</w:t>
      </w:r>
    </w:p>
    <w:p w14:paraId="187E083A" w14:textId="77777777" w:rsidR="0016243C" w:rsidRDefault="00BA2096" w:rsidP="004A5EEE">
      <w:pPr>
        <w:pStyle w:val="ParaNum"/>
        <w:numPr>
          <w:ilvl w:val="0"/>
          <w:numId w:val="53"/>
        </w:numPr>
        <w:jc w:val="both"/>
      </w:pPr>
      <w:r>
        <w:t xml:space="preserve">Subsection (b)(5) no longer </w:t>
      </w:r>
      <w:r w:rsidR="006E225E" w:rsidRPr="00182DC9">
        <w:t>prohibit</w:t>
      </w:r>
      <w:r>
        <w:t xml:space="preserve">s the </w:t>
      </w:r>
      <w:r w:rsidR="006E225E" w:rsidRPr="00182DC9">
        <w:t>assign</w:t>
      </w:r>
      <w:r>
        <w:t>ment</w:t>
      </w:r>
      <w:r w:rsidR="006E225E" w:rsidRPr="00182DC9">
        <w:t xml:space="preserve"> or transfer control of </w:t>
      </w:r>
      <w:r>
        <w:t xml:space="preserve">a </w:t>
      </w:r>
      <w:r w:rsidR="006E225E" w:rsidRPr="00182DC9">
        <w:t xml:space="preserve">ship station license.  </w:t>
      </w:r>
    </w:p>
    <w:p w14:paraId="360E46B4" w14:textId="77777777" w:rsidR="00303EFA" w:rsidRDefault="006E225E" w:rsidP="004A5EEE">
      <w:pPr>
        <w:pStyle w:val="ParaNum"/>
        <w:numPr>
          <w:ilvl w:val="0"/>
          <w:numId w:val="53"/>
        </w:numPr>
        <w:jc w:val="both"/>
      </w:pPr>
      <w:r w:rsidRPr="00182DC9">
        <w:t xml:space="preserve">Ship station licensees and potential licensees </w:t>
      </w:r>
      <w:r w:rsidR="0016243C">
        <w:t>must</w:t>
      </w:r>
      <w:r w:rsidRPr="00182DC9">
        <w:t xml:space="preserve"> obtain Commission approval for an assignment or transfer of control of a ship station license</w:t>
      </w:r>
      <w:r w:rsidR="0016243C">
        <w:t>.  Failure to attain approval</w:t>
      </w:r>
      <w:r w:rsidRPr="00182DC9">
        <w:t xml:space="preserve"> may result in enforcement action being taken against the entities involved</w:t>
      </w:r>
      <w:r>
        <w:t>.</w:t>
      </w:r>
    </w:p>
    <w:p w14:paraId="5CBB329E" w14:textId="77777777" w:rsidR="00FE6396" w:rsidRPr="00182DC9" w:rsidRDefault="00FE6396" w:rsidP="00BA2096">
      <w:pPr>
        <w:pStyle w:val="Heading2"/>
      </w:pPr>
      <w:bookmarkStart w:id="66" w:name="_Toc480811447"/>
      <w:r w:rsidRPr="00182DC9">
        <w:t>Editorial Corrections</w:t>
      </w:r>
      <w:r w:rsidR="005F580C">
        <w:t xml:space="preserve"> (</w:t>
      </w:r>
      <w:r w:rsidR="008E5266">
        <w:t>47 CFR §§ 80.7, 80.157, 80.159, 80.203, 80.1005</w:t>
      </w:r>
      <w:r w:rsidR="005F580C">
        <w:t>)</w:t>
      </w:r>
      <w:bookmarkEnd w:id="66"/>
    </w:p>
    <w:p w14:paraId="1491BF54" w14:textId="77777777" w:rsidR="00FE6396" w:rsidRPr="00303EFA" w:rsidRDefault="00930391" w:rsidP="00303EFA">
      <w:pPr>
        <w:pStyle w:val="ParaNum"/>
        <w:numPr>
          <w:ilvl w:val="0"/>
          <w:numId w:val="0"/>
        </w:numPr>
        <w:ind w:firstLine="720"/>
        <w:jc w:val="both"/>
      </w:pPr>
      <w:r>
        <w:t xml:space="preserve">The </w:t>
      </w:r>
      <w:r w:rsidR="00BA3795">
        <w:t>C</w:t>
      </w:r>
      <w:r>
        <w:t xml:space="preserve">ommission </w:t>
      </w:r>
      <w:r w:rsidRPr="00182DC9">
        <w:t>correct</w:t>
      </w:r>
      <w:r>
        <w:t>ed</w:t>
      </w:r>
      <w:r w:rsidRPr="00182DC9">
        <w:t xml:space="preserve"> certain Part 80 rules </w:t>
      </w:r>
      <w:r>
        <w:t xml:space="preserve">by </w:t>
      </w:r>
      <w:r w:rsidRPr="00182DC9">
        <w:t>chang</w:t>
      </w:r>
      <w:r>
        <w:t>ing</w:t>
      </w:r>
      <w:r w:rsidRPr="00182DC9">
        <w:t xml:space="preserve"> erroneous references to Title II of the Communications Act to refer to Title III, restore</w:t>
      </w:r>
      <w:r>
        <w:t>d</w:t>
      </w:r>
      <w:r w:rsidRPr="00182DC9">
        <w:t xml:space="preserve"> subparagraphs that were inadvertently deleted, and correct</w:t>
      </w:r>
      <w:r>
        <w:t>ed</w:t>
      </w:r>
      <w:r w:rsidRPr="00182DC9">
        <w:t xml:space="preserve"> typographical errors</w:t>
      </w:r>
      <w:r>
        <w:t>.</w:t>
      </w:r>
    </w:p>
    <w:p w14:paraId="3665AA85" w14:textId="77777777" w:rsidR="00584892" w:rsidRPr="001E4E01" w:rsidRDefault="00584892" w:rsidP="009003C9">
      <w:pPr>
        <w:pStyle w:val="Heading1"/>
      </w:pPr>
      <w:bookmarkStart w:id="67" w:name="_Toc103419990"/>
      <w:bookmarkStart w:id="68" w:name="_Toc103420614"/>
      <w:bookmarkStart w:id="69" w:name="_Toc103420756"/>
      <w:bookmarkStart w:id="70" w:name="_Toc103420800"/>
      <w:bookmarkStart w:id="71" w:name="_Toc103420860"/>
      <w:bookmarkStart w:id="72" w:name="_Toc103420907"/>
      <w:bookmarkStart w:id="73" w:name="_Toc103420995"/>
      <w:bookmarkStart w:id="74" w:name="_Toc103421334"/>
      <w:bookmarkStart w:id="75" w:name="_Toc103421422"/>
      <w:bookmarkStart w:id="76" w:name="_Toc103421546"/>
      <w:bookmarkStart w:id="77" w:name="_Toc103488303"/>
      <w:bookmarkStart w:id="78" w:name="_Toc125945586"/>
      <w:bookmarkStart w:id="79" w:name="_Toc176072636"/>
      <w:bookmarkStart w:id="80" w:name="_Toc176072762"/>
      <w:bookmarkStart w:id="81" w:name="_Toc176072788"/>
      <w:bookmarkStart w:id="82" w:name="_Toc176072812"/>
      <w:bookmarkStart w:id="83" w:name="_Toc179100598"/>
      <w:bookmarkStart w:id="84" w:name="_Toc179100963"/>
      <w:bookmarkStart w:id="85" w:name="_Toc216065693"/>
      <w:bookmarkStart w:id="86" w:name="_Toc326229723"/>
      <w:bookmarkStart w:id="87" w:name="_Toc326658333"/>
      <w:bookmarkStart w:id="88" w:name="_Toc326746789"/>
      <w:bookmarkStart w:id="89" w:name="_Toc326826055"/>
      <w:bookmarkStart w:id="90" w:name="_Toc419723026"/>
      <w:bookmarkStart w:id="91" w:name="_Toc419800683"/>
      <w:bookmarkStart w:id="92" w:name="_Toc419800748"/>
      <w:bookmarkStart w:id="93" w:name="_Toc480811448"/>
      <w:r w:rsidRPr="001E4E01">
        <w:t>Recordkeeping Requirements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754B8236" w14:textId="77777777" w:rsidR="007549A5" w:rsidRPr="00182DC9" w:rsidRDefault="008E5266" w:rsidP="004A5EEE">
      <w:pPr>
        <w:pStyle w:val="ParaNumCharChar"/>
        <w:tabs>
          <w:tab w:val="clear" w:pos="1080"/>
          <w:tab w:val="clear" w:pos="1440"/>
          <w:tab w:val="left" w:pos="720"/>
        </w:tabs>
        <w:rPr>
          <w:spacing w:val="-2"/>
        </w:rPr>
      </w:pPr>
      <w:r>
        <w:t xml:space="preserve">The </w:t>
      </w:r>
      <w:r>
        <w:rPr>
          <w:i/>
        </w:rPr>
        <w:t xml:space="preserve">Report and Order </w:t>
      </w:r>
      <w:r>
        <w:t xml:space="preserve">contains new information collection requirements.  Specifically, the Commission established requirements for the certification of MSLDs and AIS-SARTs.  These rules require that applicants for certification submit specified information, including copies of test reports and test data, to the United States Coast Guard prior to filing their applications with the Commission, and that they include with their applications to the Commission copies of letters from the United States Coast Guard stating that the device in question satisfies all of the requirements of the pertinent standard.  </w:t>
      </w:r>
    </w:p>
    <w:p w14:paraId="6CCF3FE9" w14:textId="77777777" w:rsidR="00584892" w:rsidRPr="001E4E01" w:rsidRDefault="00765459" w:rsidP="009E2184">
      <w:pPr>
        <w:pStyle w:val="Heading1"/>
        <w:spacing w:after="220"/>
        <w:jc w:val="both"/>
        <w:rPr>
          <w:rFonts w:ascii="Times New Roman" w:hAnsi="Times New Roman"/>
          <w:szCs w:val="22"/>
        </w:rPr>
      </w:pPr>
      <w:bookmarkStart w:id="94" w:name="_Toc176072637"/>
      <w:bookmarkStart w:id="95" w:name="_Toc176072763"/>
      <w:bookmarkStart w:id="96" w:name="_Toc176072789"/>
      <w:bookmarkStart w:id="97" w:name="_Toc176072813"/>
      <w:bookmarkStart w:id="98" w:name="_Toc179100599"/>
      <w:bookmarkStart w:id="99" w:name="_Toc179100964"/>
      <w:bookmarkStart w:id="100" w:name="_Toc216065694"/>
      <w:bookmarkStart w:id="101" w:name="_Toc326229724"/>
      <w:bookmarkStart w:id="102" w:name="_Toc326658334"/>
      <w:bookmarkStart w:id="103" w:name="_Toc326746790"/>
      <w:bookmarkStart w:id="104" w:name="_Toc326826056"/>
      <w:bookmarkStart w:id="105" w:name="_Toc419723027"/>
      <w:bookmarkStart w:id="106" w:name="_Toc419800684"/>
      <w:bookmarkStart w:id="107" w:name="_Toc419800749"/>
      <w:bookmarkStart w:id="108" w:name="_Toc480811449"/>
      <w:r>
        <w:rPr>
          <w:rFonts w:ascii="Times New Roman" w:hAnsi="Times New Roman"/>
          <w:szCs w:val="22"/>
        </w:rPr>
        <w:t xml:space="preserve">INTERNET </w:t>
      </w:r>
      <w:r w:rsidR="00584892" w:rsidRPr="001E4E01">
        <w:rPr>
          <w:rFonts w:ascii="Times New Roman" w:hAnsi="Times New Roman"/>
          <w:szCs w:val="22"/>
        </w:rPr>
        <w:t>link</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Fonts w:ascii="Times New Roman" w:hAnsi="Times New Roman"/>
          <w:szCs w:val="22"/>
        </w:rPr>
        <w:t>S</w:t>
      </w:r>
      <w:bookmarkEnd w:id="108"/>
    </w:p>
    <w:p w14:paraId="65D3B5DE" w14:textId="3620A352" w:rsidR="00E633E5" w:rsidRPr="004A5EEE" w:rsidRDefault="00765459" w:rsidP="004A5EEE">
      <w:pPr>
        <w:rPr>
          <w:b/>
          <w:color w:val="0000FF"/>
          <w:szCs w:val="22"/>
          <w:u w:val="single"/>
        </w:rPr>
      </w:pPr>
      <w:r>
        <w:t>A copy of t</w:t>
      </w:r>
      <w:r w:rsidR="00584892" w:rsidRPr="001E4E01">
        <w:t>he</w:t>
      </w:r>
      <w:r w:rsidR="00584892" w:rsidRPr="001E4E01">
        <w:rPr>
          <w:i/>
        </w:rPr>
        <w:t xml:space="preserve"> </w:t>
      </w:r>
      <w:r w:rsidR="004F59C5">
        <w:rPr>
          <w:i/>
        </w:rPr>
        <w:t xml:space="preserve">Report and </w:t>
      </w:r>
      <w:r w:rsidR="00584892" w:rsidRPr="001E4E01">
        <w:rPr>
          <w:i/>
        </w:rPr>
        <w:t>Order</w:t>
      </w:r>
      <w:r w:rsidR="00584892" w:rsidRPr="001E4E01">
        <w:t>, FCC 1</w:t>
      </w:r>
      <w:r w:rsidR="005B0D0C">
        <w:t>6</w:t>
      </w:r>
      <w:r w:rsidR="00584892" w:rsidRPr="001E4E01">
        <w:t>-</w:t>
      </w:r>
      <w:r w:rsidR="005B0D0C">
        <w:t>119</w:t>
      </w:r>
      <w:r w:rsidR="00584892" w:rsidRPr="001E4E01">
        <w:t xml:space="preserve">, </w:t>
      </w:r>
      <w:r w:rsidR="00792A75">
        <w:t>WT</w:t>
      </w:r>
      <w:r w:rsidR="0078386B">
        <w:t xml:space="preserve"> </w:t>
      </w:r>
      <w:r w:rsidR="00792A75">
        <w:t>Docket No. 14-36</w:t>
      </w:r>
      <w:r>
        <w:t xml:space="preserve"> is available at:</w:t>
      </w:r>
      <w:r w:rsidR="00217783" w:rsidRPr="00217783">
        <w:t xml:space="preserve"> </w:t>
      </w:r>
      <w:hyperlink r:id="rId8" w:history="1">
        <w:r w:rsidR="00217783" w:rsidRPr="00F0506F">
          <w:rPr>
            <w:rStyle w:val="Hyperlink"/>
          </w:rPr>
          <w:t>https://apps.fcc.gov/edocs_public/attachmatch/FCC-16-119A1.pdf</w:t>
        </w:r>
      </w:hyperlink>
      <w:r w:rsidR="00217783">
        <w:t xml:space="preserve">. </w:t>
      </w:r>
    </w:p>
    <w:p w14:paraId="05F4F8F8" w14:textId="77777777" w:rsidR="00B84519" w:rsidRDefault="00B84519" w:rsidP="00B84519">
      <w:pPr>
        <w:jc w:val="both"/>
      </w:pPr>
    </w:p>
    <w:p w14:paraId="21FFE41D" w14:textId="77777777" w:rsidR="00D37A44" w:rsidRPr="00C83EBB" w:rsidRDefault="00D37A44" w:rsidP="00B84519">
      <w:pPr>
        <w:jc w:val="both"/>
        <w:rPr>
          <w:szCs w:val="22"/>
        </w:rPr>
      </w:pPr>
      <w:r w:rsidRPr="00C83EBB">
        <w:rPr>
          <w:szCs w:val="22"/>
        </w:rPr>
        <w:t xml:space="preserve">A copy of the Federal Register Summary of the </w:t>
      </w:r>
      <w:r w:rsidRPr="00C83EBB">
        <w:rPr>
          <w:i/>
          <w:szCs w:val="22"/>
        </w:rPr>
        <w:t>Report and Order</w:t>
      </w:r>
      <w:r w:rsidRPr="00C83EBB">
        <w:rPr>
          <w:szCs w:val="22"/>
        </w:rPr>
        <w:t xml:space="preserve"> is available at: </w:t>
      </w:r>
    </w:p>
    <w:p w14:paraId="70DEF1D7" w14:textId="616203F2" w:rsidR="00D37A44" w:rsidRPr="00C83EBB" w:rsidRDefault="0062404B" w:rsidP="00B84519">
      <w:pPr>
        <w:jc w:val="both"/>
        <w:rPr>
          <w:color w:val="FF0000"/>
          <w:szCs w:val="22"/>
        </w:rPr>
      </w:pPr>
      <w:hyperlink r:id="rId9" w:history="1">
        <w:r w:rsidR="00D37A44" w:rsidRPr="00C83EBB">
          <w:rPr>
            <w:rStyle w:val="Hyperlink"/>
            <w:szCs w:val="22"/>
          </w:rPr>
          <w:t>https://www.gpo.gov/fdsys/pkg/FR-2016-12-15/pdf/2016-29612.pdf</w:t>
        </w:r>
      </w:hyperlink>
      <w:r w:rsidR="00217783" w:rsidRPr="00217783">
        <w:rPr>
          <w:rStyle w:val="Hyperlink"/>
          <w:color w:val="auto"/>
          <w:szCs w:val="22"/>
          <w:u w:val="none"/>
        </w:rPr>
        <w:t>.</w:t>
      </w:r>
    </w:p>
    <w:p w14:paraId="33F0C5FC" w14:textId="77777777" w:rsidR="00B84519" w:rsidRPr="00C83EBB" w:rsidRDefault="00B84519" w:rsidP="00B84519">
      <w:pPr>
        <w:jc w:val="both"/>
        <w:rPr>
          <w:szCs w:val="22"/>
        </w:rPr>
      </w:pPr>
      <w:r w:rsidRPr="00C83EBB">
        <w:rPr>
          <w:color w:val="FF0000"/>
          <w:szCs w:val="22"/>
        </w:rPr>
        <w:tab/>
      </w:r>
    </w:p>
    <w:p w14:paraId="36E81835" w14:textId="77777777" w:rsidR="00B84519" w:rsidRPr="005B0D0C" w:rsidRDefault="00B84519" w:rsidP="00B84519">
      <w:pPr>
        <w:ind w:firstLine="720"/>
        <w:jc w:val="both"/>
        <w:rPr>
          <w:color w:val="FF0000"/>
        </w:rPr>
      </w:pPr>
    </w:p>
    <w:p w14:paraId="00F583EC" w14:textId="77777777" w:rsidR="00584892" w:rsidRDefault="00584892" w:rsidP="009E2184">
      <w:pPr>
        <w:jc w:val="both"/>
        <w:rPr>
          <w:b/>
          <w:szCs w:val="22"/>
        </w:rPr>
      </w:pPr>
    </w:p>
    <w:sectPr w:rsidR="00584892">
      <w:headerReference w:type="even" r:id="rId10"/>
      <w:headerReference w:type="default" r:id="rId11"/>
      <w:footerReference w:type="even" r:id="rId12"/>
      <w:footerReference w:type="default" r:id="rId13"/>
      <w:headerReference w:type="first" r:id="rId14"/>
      <w:footerReference w:type="first" r:id="rId15"/>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D630C" w14:textId="77777777" w:rsidR="004D458C" w:rsidRDefault="004D458C">
      <w:r>
        <w:separator/>
      </w:r>
    </w:p>
    <w:p w14:paraId="275D8BD1" w14:textId="77777777" w:rsidR="004D458C" w:rsidRDefault="004D458C"/>
    <w:p w14:paraId="4AC99D34" w14:textId="77777777" w:rsidR="004D458C" w:rsidRDefault="004D458C"/>
  </w:endnote>
  <w:endnote w:type="continuationSeparator" w:id="0">
    <w:p w14:paraId="35B1768E" w14:textId="77777777" w:rsidR="004D458C" w:rsidRDefault="004D458C">
      <w:r>
        <w:continuationSeparator/>
      </w:r>
    </w:p>
    <w:p w14:paraId="741DFCBA" w14:textId="77777777" w:rsidR="004D458C" w:rsidRDefault="004D458C"/>
    <w:p w14:paraId="3D754EED" w14:textId="77777777" w:rsidR="004D458C" w:rsidRDefault="004D4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ECCC0" w14:textId="77777777" w:rsidR="00A46E08" w:rsidRDefault="00A46E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B1D31D" w14:textId="77777777" w:rsidR="00A46E08" w:rsidRDefault="00A46E08">
    <w:pPr>
      <w:pStyle w:val="Footer"/>
    </w:pPr>
  </w:p>
  <w:p w14:paraId="6FFCF8FE" w14:textId="77777777" w:rsidR="00A46E08" w:rsidRDefault="00A46E08"/>
  <w:p w14:paraId="56E9130C" w14:textId="77777777" w:rsidR="00A46E08" w:rsidRDefault="00A46E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5F9CF" w14:textId="5245A7F8" w:rsidR="00A46E08" w:rsidRDefault="00A46E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404B">
      <w:rPr>
        <w:rStyle w:val="PageNumber"/>
        <w:noProof/>
      </w:rPr>
      <w:t>2</w:t>
    </w:r>
    <w:r>
      <w:rPr>
        <w:rStyle w:val="PageNumber"/>
      </w:rPr>
      <w:fldChar w:fldCharType="end"/>
    </w:r>
  </w:p>
  <w:p w14:paraId="03ED25E3" w14:textId="77777777" w:rsidR="00A46E08" w:rsidRDefault="00A46E08">
    <w:pPr>
      <w:pStyle w:val="Footer"/>
    </w:pPr>
  </w:p>
  <w:p w14:paraId="3BD324F8" w14:textId="77777777" w:rsidR="00A46E08" w:rsidRDefault="00A46E08"/>
  <w:p w14:paraId="2E3E1E14" w14:textId="77777777" w:rsidR="00A46E08" w:rsidRDefault="00A46E0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0E32B" w14:textId="77777777" w:rsidR="00370A58" w:rsidRDefault="00370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4C272" w14:textId="77777777" w:rsidR="004D458C" w:rsidRDefault="004D458C">
      <w:r>
        <w:separator/>
      </w:r>
    </w:p>
    <w:p w14:paraId="135467FB" w14:textId="77777777" w:rsidR="004D458C" w:rsidRDefault="004D458C"/>
    <w:p w14:paraId="2825D67C" w14:textId="77777777" w:rsidR="004D458C" w:rsidRDefault="004D458C"/>
  </w:footnote>
  <w:footnote w:type="continuationSeparator" w:id="0">
    <w:p w14:paraId="3D8FBE6C" w14:textId="77777777" w:rsidR="004D458C" w:rsidRDefault="004D458C">
      <w:r>
        <w:continuationSeparator/>
      </w:r>
    </w:p>
    <w:p w14:paraId="4E89167E" w14:textId="77777777" w:rsidR="004D458C" w:rsidRDefault="004D458C"/>
    <w:p w14:paraId="7C30B0C4" w14:textId="77777777" w:rsidR="004D458C" w:rsidRDefault="004D458C"/>
  </w:footnote>
  <w:footnote w:id="1">
    <w:p w14:paraId="0C81020F" w14:textId="6E96AB10" w:rsidR="00604958" w:rsidRDefault="00604958">
      <w:pPr>
        <w:pStyle w:val="FootnoteText"/>
      </w:pPr>
      <w:r>
        <w:rPr>
          <w:rStyle w:val="FootnoteReference"/>
        </w:rPr>
        <w:footnoteRef/>
      </w:r>
      <w:r>
        <w:t xml:space="preserve"> After the </w:t>
      </w:r>
      <w:r>
        <w:rPr>
          <w:i/>
          <w:iCs/>
        </w:rPr>
        <w:t>Report and Order</w:t>
      </w:r>
      <w:r>
        <w:t xml:space="preserve"> was released, the Commission reorganized and renumbered the Part 95 rules.  </w:t>
      </w:r>
      <w:r>
        <w:rPr>
          <w:i/>
          <w:iCs/>
        </w:rPr>
        <w:t>See Review of the Commission’s Part 95 Personal Radio Services Rules; Petition for Rulemaking of Garmin International, Inc.; Petition for Rulemaking of Omnitronics, L.L.C.</w:t>
      </w:r>
      <w:r>
        <w:t xml:space="preserve">, Report and Order, 32 FCC Rcd 4295 (2017).  </w:t>
      </w:r>
      <w:r w:rsidR="00886B45">
        <w:t>The Part 95 reorganization and renumbering impacted Sections 95.1402 and 95.1403 discussed in the Guide.  Consequently, t</w:t>
      </w:r>
      <w:r>
        <w:t>he final rules in Section 95.1402 are now contained in Sections 95.2987-95.2993; and the final rules in Section 95.1403 are now contained in Sections 95.2903, 95.2963, 95.2987-95.2991.</w:t>
      </w:r>
    </w:p>
  </w:footnote>
  <w:footnote w:id="2">
    <w:p w14:paraId="1FA0A1B2" w14:textId="63261032" w:rsidR="00F1724F" w:rsidRDefault="00F1724F">
      <w:pPr>
        <w:pStyle w:val="FootnoteText"/>
      </w:pPr>
      <w:r>
        <w:rPr>
          <w:rStyle w:val="FootnoteReference"/>
        </w:rPr>
        <w:footnoteRef/>
      </w:r>
      <w:r>
        <w:t xml:space="preserve"> The provisions of Section 95.1402 discussed below are now contained in Sections 95.2987-95.2993.</w:t>
      </w:r>
    </w:p>
  </w:footnote>
  <w:footnote w:id="3">
    <w:p w14:paraId="5C9D58B8" w14:textId="1240157E" w:rsidR="00F1724F" w:rsidRDefault="00F1724F">
      <w:pPr>
        <w:pStyle w:val="FootnoteText"/>
      </w:pPr>
      <w:r>
        <w:rPr>
          <w:rStyle w:val="FootnoteReference"/>
        </w:rPr>
        <w:footnoteRef/>
      </w:r>
      <w:r>
        <w:t xml:space="preserve"> The provisions of Section 95.1403 discussed below are now contained in Sections 95.2903, 95.2963, 95.2987-95.2991.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CCF62" w14:textId="77777777" w:rsidR="00A46E08" w:rsidRDefault="00A46E08"/>
  <w:p w14:paraId="2EECDA7D" w14:textId="77777777" w:rsidR="00A46E08" w:rsidRDefault="00A46E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F96C3" w14:textId="77777777" w:rsidR="00370A58" w:rsidRDefault="00370A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FB58F" w14:textId="77777777" w:rsidR="00A46E08" w:rsidRDefault="0062404B" w:rsidP="00E84FF9">
    <w:pPr>
      <w:pStyle w:val="Header"/>
    </w:pPr>
    <w:r>
      <w:pict w14:anchorId="3EBA4F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1.8pt;margin-top:0;width:64.85pt;height:64.85pt;z-index:251657728;visibility:visible;mso-wrap-edited:f" o:allowincell="f" filled="t" fillcolor="#3cc">
          <v:imagedata r:id="rId1" o:title="" gain="69719f"/>
        </v:shape>
        <o:OLEObject Type="Embed" ProgID="Word.Picture.8" ShapeID="_x0000_s2049" DrawAspect="Content" ObjectID="_1566821018" r:id="rId2"/>
      </w:pict>
    </w:r>
  </w:p>
  <w:p w14:paraId="3C851BE5" w14:textId="77777777" w:rsidR="00867974" w:rsidRDefault="00867974">
    <w:pPr>
      <w:jc w:val="center"/>
      <w:rPr>
        <w:rFonts w:ascii="CG Times (W1)" w:hAnsi="CG Times (W1)"/>
        <w:sz w:val="28"/>
      </w:rPr>
    </w:pPr>
    <w:r>
      <w:rPr>
        <w:rFonts w:ascii="CG Times (W1)" w:hAnsi="CG Times (W1)"/>
        <w:sz w:val="28"/>
      </w:rPr>
      <w:t>Federal Communications Commission</w:t>
    </w:r>
  </w:p>
  <w:p w14:paraId="598BFE13" w14:textId="77777777" w:rsidR="00A46E08" w:rsidRDefault="00867974">
    <w:pPr>
      <w:jc w:val="center"/>
      <w:rPr>
        <w:rFonts w:ascii="CG Times (W1)" w:hAnsi="CG Times (W1)"/>
        <w:sz w:val="28"/>
      </w:rPr>
    </w:pPr>
    <w:r>
      <w:rPr>
        <w:rFonts w:ascii="CG Times (W1)" w:hAnsi="CG Times (W1)"/>
        <w:sz w:val="28"/>
      </w:rPr>
      <w:t>W</w:t>
    </w:r>
    <w:r w:rsidR="00A46E08">
      <w:rPr>
        <w:rFonts w:ascii="CG Times (W1)" w:hAnsi="CG Times (W1)"/>
        <w:sz w:val="28"/>
      </w:rPr>
      <w:t>ashington, D.C. 20554</w:t>
    </w:r>
  </w:p>
  <w:p w14:paraId="6A9F0F98" w14:textId="77777777" w:rsidR="005D7688" w:rsidRDefault="005D7688">
    <w:pPr>
      <w:jc w:val="center"/>
      <w:rPr>
        <w:rFonts w:ascii="CG Times (W1)" w:hAnsi="CG Times (W1)"/>
        <w:sz w:val="28"/>
      </w:rPr>
    </w:pPr>
  </w:p>
  <w:p w14:paraId="73261B40" w14:textId="238D58F8" w:rsidR="005D7688" w:rsidRPr="005D7688" w:rsidRDefault="00604958">
    <w:pPr>
      <w:jc w:val="center"/>
      <w:rPr>
        <w:sz w:val="24"/>
        <w:szCs w:val="24"/>
      </w:rPr>
    </w:pPr>
    <w:r>
      <w:rPr>
        <w:rFonts w:ascii="CG Times (W1)" w:hAnsi="CG Times (W1)"/>
        <w:sz w:val="24"/>
        <w:szCs w:val="24"/>
      </w:rPr>
      <w:t xml:space="preserve">September </w:t>
    </w:r>
    <w:r w:rsidR="00DA4F8A">
      <w:rPr>
        <w:rFonts w:ascii="CG Times (W1)" w:hAnsi="CG Times (W1)"/>
        <w:sz w:val="24"/>
        <w:szCs w:val="24"/>
      </w:rPr>
      <w:t>13</w:t>
    </w:r>
    <w:r w:rsidR="005D7688" w:rsidRPr="005D7688">
      <w:rPr>
        <w:rFonts w:ascii="CG Times (W1)" w:hAnsi="CG Times (W1)"/>
        <w:sz w:val="24"/>
        <w:szCs w:val="24"/>
      </w:rPr>
      <w:t>, 2017</w:t>
    </w:r>
  </w:p>
  <w:p w14:paraId="17F048B5" w14:textId="77777777" w:rsidR="00A46E08" w:rsidRPr="00BA054F" w:rsidRDefault="00A46E08" w:rsidP="00E84F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5853FE"/>
    <w:lvl w:ilvl="0">
      <w:start w:val="1"/>
      <w:numFmt w:val="decimal"/>
      <w:lvlText w:val="%1."/>
      <w:lvlJc w:val="left"/>
      <w:pPr>
        <w:tabs>
          <w:tab w:val="num" w:pos="1800"/>
        </w:tabs>
        <w:ind w:left="1800" w:hanging="360"/>
      </w:pPr>
    </w:lvl>
  </w:abstractNum>
  <w:abstractNum w:abstractNumId="1">
    <w:nsid w:val="FFFFFF7D"/>
    <w:multiLevelType w:val="singleLevel"/>
    <w:tmpl w:val="56E0262C"/>
    <w:lvl w:ilvl="0">
      <w:start w:val="1"/>
      <w:numFmt w:val="decimal"/>
      <w:lvlText w:val="%1."/>
      <w:lvlJc w:val="left"/>
      <w:pPr>
        <w:tabs>
          <w:tab w:val="num" w:pos="1440"/>
        </w:tabs>
        <w:ind w:left="1440" w:hanging="360"/>
      </w:pPr>
    </w:lvl>
  </w:abstractNum>
  <w:abstractNum w:abstractNumId="2">
    <w:nsid w:val="FFFFFF7E"/>
    <w:multiLevelType w:val="singleLevel"/>
    <w:tmpl w:val="FCE461E0"/>
    <w:lvl w:ilvl="0">
      <w:start w:val="1"/>
      <w:numFmt w:val="decimal"/>
      <w:lvlText w:val="%1."/>
      <w:lvlJc w:val="left"/>
      <w:pPr>
        <w:tabs>
          <w:tab w:val="num" w:pos="1080"/>
        </w:tabs>
        <w:ind w:left="1080" w:hanging="360"/>
      </w:pPr>
    </w:lvl>
  </w:abstractNum>
  <w:abstractNum w:abstractNumId="3">
    <w:nsid w:val="FFFFFF7F"/>
    <w:multiLevelType w:val="singleLevel"/>
    <w:tmpl w:val="E862986E"/>
    <w:lvl w:ilvl="0">
      <w:start w:val="1"/>
      <w:numFmt w:val="decimal"/>
      <w:lvlText w:val="%1."/>
      <w:lvlJc w:val="left"/>
      <w:pPr>
        <w:tabs>
          <w:tab w:val="num" w:pos="720"/>
        </w:tabs>
        <w:ind w:left="720" w:hanging="360"/>
      </w:pPr>
    </w:lvl>
  </w:abstractNum>
  <w:abstractNum w:abstractNumId="4">
    <w:nsid w:val="FFFFFF80"/>
    <w:multiLevelType w:val="singleLevel"/>
    <w:tmpl w:val="8E1EB1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1282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EA678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2C14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A483F88"/>
    <w:lvl w:ilvl="0">
      <w:start w:val="1"/>
      <w:numFmt w:val="decimal"/>
      <w:lvlText w:val="%1."/>
      <w:lvlJc w:val="left"/>
      <w:pPr>
        <w:tabs>
          <w:tab w:val="num" w:pos="360"/>
        </w:tabs>
        <w:ind w:left="360" w:hanging="360"/>
      </w:pPr>
    </w:lvl>
  </w:abstractNum>
  <w:abstractNum w:abstractNumId="9">
    <w:nsid w:val="FFFFFF89"/>
    <w:multiLevelType w:val="singleLevel"/>
    <w:tmpl w:val="A304558E"/>
    <w:lvl w:ilvl="0">
      <w:start w:val="1"/>
      <w:numFmt w:val="bullet"/>
      <w:lvlText w:val=""/>
      <w:lvlJc w:val="left"/>
      <w:pPr>
        <w:tabs>
          <w:tab w:val="num" w:pos="360"/>
        </w:tabs>
        <w:ind w:left="360" w:hanging="360"/>
      </w:pPr>
      <w:rPr>
        <w:rFonts w:ascii="Symbol" w:hAnsi="Symbol" w:hint="default"/>
      </w:rPr>
    </w:lvl>
  </w:abstractNum>
  <w:abstractNum w:abstractNumId="10">
    <w:nsid w:val="01511F61"/>
    <w:multiLevelType w:val="hybridMultilevel"/>
    <w:tmpl w:val="029EB75A"/>
    <w:lvl w:ilvl="0" w:tplc="68701664">
      <w:start w:val="1"/>
      <w:numFmt w:val="bullet"/>
      <w:pStyle w:val="StyleParaNum11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0A993CD9"/>
    <w:multiLevelType w:val="hybridMultilevel"/>
    <w:tmpl w:val="33DCFF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25D3CE0"/>
    <w:multiLevelType w:val="hybridMultilevel"/>
    <w:tmpl w:val="2806EAD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19F0458B"/>
    <w:multiLevelType w:val="hybridMultilevel"/>
    <w:tmpl w:val="36C21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6">
    <w:nsid w:val="248246F3"/>
    <w:multiLevelType w:val="singleLevel"/>
    <w:tmpl w:val="B1F45678"/>
    <w:lvl w:ilvl="0">
      <w:start w:val="1"/>
      <w:numFmt w:val="decimal"/>
      <w:lvlText w:val="%1."/>
      <w:lvlJc w:val="left"/>
      <w:pPr>
        <w:tabs>
          <w:tab w:val="num" w:pos="1080"/>
        </w:tabs>
        <w:ind w:left="0" w:firstLine="720"/>
      </w:pPr>
    </w:lvl>
  </w:abstractNum>
  <w:abstractNum w:abstractNumId="17">
    <w:nsid w:val="25933164"/>
    <w:multiLevelType w:val="hybridMultilevel"/>
    <w:tmpl w:val="E98C4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6705A78"/>
    <w:multiLevelType w:val="hybridMultilevel"/>
    <w:tmpl w:val="E8CC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0">
    <w:nsid w:val="35802FDE"/>
    <w:multiLevelType w:val="hybridMultilevel"/>
    <w:tmpl w:val="D094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150EDD"/>
    <w:multiLevelType w:val="hybridMultilevel"/>
    <w:tmpl w:val="F2AE882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3E353A4A"/>
    <w:multiLevelType w:val="hybridMultilevel"/>
    <w:tmpl w:val="EBD299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6EE5EA8"/>
    <w:multiLevelType w:val="hybridMultilevel"/>
    <w:tmpl w:val="DA9896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7CC2B5F"/>
    <w:multiLevelType w:val="hybridMultilevel"/>
    <w:tmpl w:val="FBC42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50145327"/>
    <w:multiLevelType w:val="hybridMultilevel"/>
    <w:tmpl w:val="95A41A5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0186DF5"/>
    <w:multiLevelType w:val="hybridMultilevel"/>
    <w:tmpl w:val="2C68E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068636C"/>
    <w:multiLevelType w:val="hybridMultilevel"/>
    <w:tmpl w:val="F46E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C62A42"/>
    <w:multiLevelType w:val="hybridMultilevel"/>
    <w:tmpl w:val="88AA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2328F7"/>
    <w:multiLevelType w:val="hybridMultilevel"/>
    <w:tmpl w:val="4EBE65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FE651DC"/>
    <w:multiLevelType w:val="hybridMultilevel"/>
    <w:tmpl w:val="78BE8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3">
    <w:nsid w:val="61500B80"/>
    <w:multiLevelType w:val="hybridMultilevel"/>
    <w:tmpl w:val="519E8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2B50A49"/>
    <w:multiLevelType w:val="hybridMultilevel"/>
    <w:tmpl w:val="8B1648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9360EF7"/>
    <w:multiLevelType w:val="hybridMultilevel"/>
    <w:tmpl w:val="78668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B5A2C9E"/>
    <w:multiLevelType w:val="hybridMultilevel"/>
    <w:tmpl w:val="B69CF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5B3D99"/>
    <w:multiLevelType w:val="hybridMultilevel"/>
    <w:tmpl w:val="DB201994"/>
    <w:lvl w:ilvl="0" w:tplc="2892AE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D4D6A6F"/>
    <w:multiLevelType w:val="hybridMultilevel"/>
    <w:tmpl w:val="C2DC07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36821D5"/>
    <w:multiLevelType w:val="hybridMultilevel"/>
    <w:tmpl w:val="1EECAD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3DD42AB"/>
    <w:multiLevelType w:val="hybridMultilevel"/>
    <w:tmpl w:val="B73CE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4E5413F"/>
    <w:multiLevelType w:val="hybridMultilevel"/>
    <w:tmpl w:val="A4000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8522EC4"/>
    <w:multiLevelType w:val="hybridMultilevel"/>
    <w:tmpl w:val="BE568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32"/>
  </w:num>
  <w:num w:numId="3">
    <w:abstractNumId w:val="10"/>
  </w:num>
  <w:num w:numId="4">
    <w:abstractNumId w:val="30"/>
  </w:num>
  <w:num w:numId="5">
    <w:abstractNumId w:val="33"/>
  </w:num>
  <w:num w:numId="6">
    <w:abstractNumId w:val="19"/>
  </w:num>
  <w:num w:numId="7">
    <w:abstractNumId w:val="40"/>
  </w:num>
  <w:num w:numId="8">
    <w:abstractNumId w:val="19"/>
    <w:lvlOverride w:ilvl="0">
      <w:startOverride w:val="1"/>
    </w:lvlOverride>
    <w:lvlOverride w:ilvl="1">
      <w:startOverride w:val="1"/>
    </w:lvlOverride>
    <w:lvlOverride w:ilvl="2">
      <w:startOverride w:val="1"/>
    </w:lvlOverride>
    <w:lvlOverride w:ilvl="3">
      <w:startOverride w:val="3"/>
    </w:lvlOverride>
  </w:num>
  <w:num w:numId="9">
    <w:abstractNumId w:val="41"/>
  </w:num>
  <w:num w:numId="10">
    <w:abstractNumId w:val="19"/>
  </w:num>
  <w:num w:numId="11">
    <w:abstractNumId w:val="19"/>
  </w:num>
  <w:num w:numId="12">
    <w:abstractNumId w:val="24"/>
  </w:num>
  <w:num w:numId="13">
    <w:abstractNumId w:val="14"/>
  </w:num>
  <w:num w:numId="14">
    <w:abstractNumId w:val="21"/>
  </w:num>
  <w:num w:numId="15">
    <w:abstractNumId w:val="37"/>
  </w:num>
  <w:num w:numId="16">
    <w:abstractNumId w:val="26"/>
  </w:num>
  <w:num w:numId="17">
    <w:abstractNumId w:val="29"/>
  </w:num>
  <w:num w:numId="18">
    <w:abstractNumId w:val="19"/>
  </w:num>
  <w:num w:numId="19">
    <w:abstractNumId w:val="19"/>
  </w:num>
  <w:num w:numId="20">
    <w:abstractNumId w:val="13"/>
  </w:num>
  <w:num w:numId="21">
    <w:abstractNumId w:val="12"/>
  </w:num>
  <w:num w:numId="22">
    <w:abstractNumId w:val="15"/>
  </w:num>
  <w:num w:numId="23">
    <w:abstractNumId w:val="25"/>
  </w:num>
  <w:num w:numId="24">
    <w:abstractNumId w:val="16"/>
  </w:num>
  <w:num w:numId="25">
    <w:abstractNumId w:val="11"/>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9"/>
  </w:num>
  <w:num w:numId="37">
    <w:abstractNumId w:val="19"/>
  </w:num>
  <w:num w:numId="38">
    <w:abstractNumId w:val="19"/>
  </w:num>
  <w:num w:numId="39">
    <w:abstractNumId w:val="19"/>
  </w:num>
  <w:num w:numId="40">
    <w:abstractNumId w:val="36"/>
  </w:num>
  <w:num w:numId="41">
    <w:abstractNumId w:val="18"/>
  </w:num>
  <w:num w:numId="42">
    <w:abstractNumId w:val="20"/>
  </w:num>
  <w:num w:numId="43">
    <w:abstractNumId w:val="35"/>
  </w:num>
  <w:num w:numId="44">
    <w:abstractNumId w:val="42"/>
  </w:num>
  <w:num w:numId="45">
    <w:abstractNumId w:val="19"/>
  </w:num>
  <w:num w:numId="46">
    <w:abstractNumId w:val="28"/>
  </w:num>
  <w:num w:numId="47">
    <w:abstractNumId w:val="23"/>
  </w:num>
  <w:num w:numId="48">
    <w:abstractNumId w:val="38"/>
  </w:num>
  <w:num w:numId="49">
    <w:abstractNumId w:val="22"/>
  </w:num>
  <w:num w:numId="50">
    <w:abstractNumId w:val="39"/>
  </w:num>
  <w:num w:numId="51">
    <w:abstractNumId w:val="34"/>
  </w:num>
  <w:num w:numId="52">
    <w:abstractNumId w:val="17"/>
  </w:num>
  <w:num w:numId="53">
    <w:abstractNumId w:val="31"/>
  </w:num>
  <w:num w:numId="54">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allowincell="f" fillcolor="#3cc" stroke="f">
      <v:fill color="#3cc"/>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8F"/>
    <w:rsid w:val="00001C3C"/>
    <w:rsid w:val="00002D3E"/>
    <w:rsid w:val="00003198"/>
    <w:rsid w:val="000040D6"/>
    <w:rsid w:val="00012758"/>
    <w:rsid w:val="00013E57"/>
    <w:rsid w:val="000144DE"/>
    <w:rsid w:val="00014AFD"/>
    <w:rsid w:val="0001759E"/>
    <w:rsid w:val="000218B1"/>
    <w:rsid w:val="0002481F"/>
    <w:rsid w:val="000254C9"/>
    <w:rsid w:val="00025F97"/>
    <w:rsid w:val="00026893"/>
    <w:rsid w:val="000272B8"/>
    <w:rsid w:val="000273C2"/>
    <w:rsid w:val="00030A2C"/>
    <w:rsid w:val="000314BA"/>
    <w:rsid w:val="0003246A"/>
    <w:rsid w:val="0004199F"/>
    <w:rsid w:val="00041EBD"/>
    <w:rsid w:val="0004220D"/>
    <w:rsid w:val="0004540B"/>
    <w:rsid w:val="00045548"/>
    <w:rsid w:val="000455EE"/>
    <w:rsid w:val="00046ED8"/>
    <w:rsid w:val="000477C8"/>
    <w:rsid w:val="00050072"/>
    <w:rsid w:val="00051B00"/>
    <w:rsid w:val="00051CE1"/>
    <w:rsid w:val="0005323A"/>
    <w:rsid w:val="00053BF1"/>
    <w:rsid w:val="00054195"/>
    <w:rsid w:val="0005423F"/>
    <w:rsid w:val="00064601"/>
    <w:rsid w:val="00064DD0"/>
    <w:rsid w:val="0006518E"/>
    <w:rsid w:val="00065D01"/>
    <w:rsid w:val="000667EF"/>
    <w:rsid w:val="00066B48"/>
    <w:rsid w:val="00067683"/>
    <w:rsid w:val="00070E11"/>
    <w:rsid w:val="00071E09"/>
    <w:rsid w:val="000726B3"/>
    <w:rsid w:val="00073EB6"/>
    <w:rsid w:val="00075A29"/>
    <w:rsid w:val="000767EF"/>
    <w:rsid w:val="0008131D"/>
    <w:rsid w:val="0008131F"/>
    <w:rsid w:val="000823FC"/>
    <w:rsid w:val="00083C69"/>
    <w:rsid w:val="00083EF1"/>
    <w:rsid w:val="000845C0"/>
    <w:rsid w:val="0008729B"/>
    <w:rsid w:val="00090888"/>
    <w:rsid w:val="00090BC8"/>
    <w:rsid w:val="000918C1"/>
    <w:rsid w:val="0009511A"/>
    <w:rsid w:val="00097874"/>
    <w:rsid w:val="000A18B5"/>
    <w:rsid w:val="000A2E8B"/>
    <w:rsid w:val="000A31F6"/>
    <w:rsid w:val="000A46F2"/>
    <w:rsid w:val="000A51ED"/>
    <w:rsid w:val="000A6BBD"/>
    <w:rsid w:val="000B3690"/>
    <w:rsid w:val="000B5BB6"/>
    <w:rsid w:val="000B7B25"/>
    <w:rsid w:val="000C038F"/>
    <w:rsid w:val="000C0704"/>
    <w:rsid w:val="000C1390"/>
    <w:rsid w:val="000C638B"/>
    <w:rsid w:val="000C6B79"/>
    <w:rsid w:val="000D1345"/>
    <w:rsid w:val="000D1F6D"/>
    <w:rsid w:val="000E1C37"/>
    <w:rsid w:val="000E226B"/>
    <w:rsid w:val="000E3D4C"/>
    <w:rsid w:val="000E422A"/>
    <w:rsid w:val="000E6148"/>
    <w:rsid w:val="000E7C17"/>
    <w:rsid w:val="000F17D4"/>
    <w:rsid w:val="000F1EB2"/>
    <w:rsid w:val="000F3D1D"/>
    <w:rsid w:val="000F4E2C"/>
    <w:rsid w:val="000F4EF7"/>
    <w:rsid w:val="00101090"/>
    <w:rsid w:val="00101704"/>
    <w:rsid w:val="00101A68"/>
    <w:rsid w:val="00101F7B"/>
    <w:rsid w:val="00103CAF"/>
    <w:rsid w:val="001055EA"/>
    <w:rsid w:val="00107410"/>
    <w:rsid w:val="00115EEE"/>
    <w:rsid w:val="001179E0"/>
    <w:rsid w:val="00122B29"/>
    <w:rsid w:val="00122B6D"/>
    <w:rsid w:val="001233CD"/>
    <w:rsid w:val="0013073A"/>
    <w:rsid w:val="00131BA4"/>
    <w:rsid w:val="00131BB0"/>
    <w:rsid w:val="0013325B"/>
    <w:rsid w:val="0014041F"/>
    <w:rsid w:val="00142B41"/>
    <w:rsid w:val="001467D5"/>
    <w:rsid w:val="0014735B"/>
    <w:rsid w:val="001477BE"/>
    <w:rsid w:val="001533CF"/>
    <w:rsid w:val="0015455C"/>
    <w:rsid w:val="00154A85"/>
    <w:rsid w:val="001558FB"/>
    <w:rsid w:val="0015702A"/>
    <w:rsid w:val="00157203"/>
    <w:rsid w:val="00157484"/>
    <w:rsid w:val="00157C77"/>
    <w:rsid w:val="00161FCB"/>
    <w:rsid w:val="0016243C"/>
    <w:rsid w:val="001649EB"/>
    <w:rsid w:val="00164BD9"/>
    <w:rsid w:val="0016688F"/>
    <w:rsid w:val="00166D6C"/>
    <w:rsid w:val="00167EAA"/>
    <w:rsid w:val="001735DB"/>
    <w:rsid w:val="001766FE"/>
    <w:rsid w:val="00177274"/>
    <w:rsid w:val="00180076"/>
    <w:rsid w:val="00181D29"/>
    <w:rsid w:val="00183191"/>
    <w:rsid w:val="00184D2B"/>
    <w:rsid w:val="00186D18"/>
    <w:rsid w:val="00187CB8"/>
    <w:rsid w:val="0019111F"/>
    <w:rsid w:val="00192BF7"/>
    <w:rsid w:val="00193840"/>
    <w:rsid w:val="00195C13"/>
    <w:rsid w:val="00195C22"/>
    <w:rsid w:val="001A0353"/>
    <w:rsid w:val="001A0962"/>
    <w:rsid w:val="001A2C92"/>
    <w:rsid w:val="001A4D82"/>
    <w:rsid w:val="001A54AE"/>
    <w:rsid w:val="001A59B6"/>
    <w:rsid w:val="001A71EB"/>
    <w:rsid w:val="001B0402"/>
    <w:rsid w:val="001B1EA4"/>
    <w:rsid w:val="001B27CA"/>
    <w:rsid w:val="001B2E2E"/>
    <w:rsid w:val="001B3EEE"/>
    <w:rsid w:val="001B48C6"/>
    <w:rsid w:val="001B5119"/>
    <w:rsid w:val="001B6124"/>
    <w:rsid w:val="001B6AE4"/>
    <w:rsid w:val="001C0468"/>
    <w:rsid w:val="001C0A96"/>
    <w:rsid w:val="001C20E1"/>
    <w:rsid w:val="001C40D7"/>
    <w:rsid w:val="001C5743"/>
    <w:rsid w:val="001C7787"/>
    <w:rsid w:val="001C77DD"/>
    <w:rsid w:val="001D1BC4"/>
    <w:rsid w:val="001D2AF4"/>
    <w:rsid w:val="001D48E4"/>
    <w:rsid w:val="001D6122"/>
    <w:rsid w:val="001D675E"/>
    <w:rsid w:val="001D7A15"/>
    <w:rsid w:val="001D7A62"/>
    <w:rsid w:val="001E076D"/>
    <w:rsid w:val="001E0C4A"/>
    <w:rsid w:val="001E1F79"/>
    <w:rsid w:val="001E2DCF"/>
    <w:rsid w:val="001E3339"/>
    <w:rsid w:val="001E364B"/>
    <w:rsid w:val="001E4E01"/>
    <w:rsid w:val="001E570B"/>
    <w:rsid w:val="001E71A9"/>
    <w:rsid w:val="001F0056"/>
    <w:rsid w:val="001F0A3E"/>
    <w:rsid w:val="001F0A84"/>
    <w:rsid w:val="001F124F"/>
    <w:rsid w:val="001F1B8E"/>
    <w:rsid w:val="001F64DD"/>
    <w:rsid w:val="001F661E"/>
    <w:rsid w:val="001F67CA"/>
    <w:rsid w:val="001F6BAD"/>
    <w:rsid w:val="001F6F87"/>
    <w:rsid w:val="00202C66"/>
    <w:rsid w:val="00207B56"/>
    <w:rsid w:val="0021019B"/>
    <w:rsid w:val="00211C8D"/>
    <w:rsid w:val="002133F9"/>
    <w:rsid w:val="00213D8C"/>
    <w:rsid w:val="00214E03"/>
    <w:rsid w:val="002153B2"/>
    <w:rsid w:val="00215B05"/>
    <w:rsid w:val="00217783"/>
    <w:rsid w:val="002179BB"/>
    <w:rsid w:val="00220DC4"/>
    <w:rsid w:val="00222A68"/>
    <w:rsid w:val="00222F1E"/>
    <w:rsid w:val="00223546"/>
    <w:rsid w:val="00223738"/>
    <w:rsid w:val="00223D60"/>
    <w:rsid w:val="00224940"/>
    <w:rsid w:val="002253F1"/>
    <w:rsid w:val="002254C6"/>
    <w:rsid w:val="002261EF"/>
    <w:rsid w:val="002277BF"/>
    <w:rsid w:val="00233935"/>
    <w:rsid w:val="002343D8"/>
    <w:rsid w:val="00235751"/>
    <w:rsid w:val="00235922"/>
    <w:rsid w:val="00235F96"/>
    <w:rsid w:val="0023683B"/>
    <w:rsid w:val="00237BC3"/>
    <w:rsid w:val="00243085"/>
    <w:rsid w:val="002430B6"/>
    <w:rsid w:val="0024454D"/>
    <w:rsid w:val="00250F94"/>
    <w:rsid w:val="002517DE"/>
    <w:rsid w:val="00251D10"/>
    <w:rsid w:val="00251ED5"/>
    <w:rsid w:val="00252166"/>
    <w:rsid w:val="00252A34"/>
    <w:rsid w:val="00254025"/>
    <w:rsid w:val="00255C55"/>
    <w:rsid w:val="002560AA"/>
    <w:rsid w:val="002606EC"/>
    <w:rsid w:val="00261CAE"/>
    <w:rsid w:val="002628D1"/>
    <w:rsid w:val="0026582E"/>
    <w:rsid w:val="00266E9B"/>
    <w:rsid w:val="00267CBA"/>
    <w:rsid w:val="00274B11"/>
    <w:rsid w:val="00275593"/>
    <w:rsid w:val="002808E1"/>
    <w:rsid w:val="002811CA"/>
    <w:rsid w:val="00281F59"/>
    <w:rsid w:val="0028361F"/>
    <w:rsid w:val="0028476C"/>
    <w:rsid w:val="002854E8"/>
    <w:rsid w:val="002856EF"/>
    <w:rsid w:val="00285E3A"/>
    <w:rsid w:val="00285F63"/>
    <w:rsid w:val="00286AB2"/>
    <w:rsid w:val="00287CE8"/>
    <w:rsid w:val="0029177D"/>
    <w:rsid w:val="00292861"/>
    <w:rsid w:val="00293119"/>
    <w:rsid w:val="00293445"/>
    <w:rsid w:val="002964FF"/>
    <w:rsid w:val="00296694"/>
    <w:rsid w:val="00297799"/>
    <w:rsid w:val="002A1EA4"/>
    <w:rsid w:val="002A52C0"/>
    <w:rsid w:val="002A624E"/>
    <w:rsid w:val="002A639E"/>
    <w:rsid w:val="002B02E0"/>
    <w:rsid w:val="002B14B3"/>
    <w:rsid w:val="002B207B"/>
    <w:rsid w:val="002B26D5"/>
    <w:rsid w:val="002B3FDB"/>
    <w:rsid w:val="002B4126"/>
    <w:rsid w:val="002B4334"/>
    <w:rsid w:val="002B5768"/>
    <w:rsid w:val="002B595C"/>
    <w:rsid w:val="002B5A4A"/>
    <w:rsid w:val="002B72F0"/>
    <w:rsid w:val="002C0684"/>
    <w:rsid w:val="002C1E17"/>
    <w:rsid w:val="002C2BBD"/>
    <w:rsid w:val="002C31C5"/>
    <w:rsid w:val="002C5484"/>
    <w:rsid w:val="002D0328"/>
    <w:rsid w:val="002D05AC"/>
    <w:rsid w:val="002D0B43"/>
    <w:rsid w:val="002D0CAE"/>
    <w:rsid w:val="002D4965"/>
    <w:rsid w:val="002D5112"/>
    <w:rsid w:val="002D75E5"/>
    <w:rsid w:val="002E0C1B"/>
    <w:rsid w:val="002E0DA9"/>
    <w:rsid w:val="002E3FD0"/>
    <w:rsid w:val="002E53B5"/>
    <w:rsid w:val="002F153D"/>
    <w:rsid w:val="002F198C"/>
    <w:rsid w:val="002F2A7F"/>
    <w:rsid w:val="002F53DC"/>
    <w:rsid w:val="002F55D2"/>
    <w:rsid w:val="002F60D0"/>
    <w:rsid w:val="00300562"/>
    <w:rsid w:val="00303EFA"/>
    <w:rsid w:val="00306ACF"/>
    <w:rsid w:val="00307688"/>
    <w:rsid w:val="00307F7C"/>
    <w:rsid w:val="0031000F"/>
    <w:rsid w:val="00313608"/>
    <w:rsid w:val="00314BFA"/>
    <w:rsid w:val="0031592C"/>
    <w:rsid w:val="00315CEB"/>
    <w:rsid w:val="00316E52"/>
    <w:rsid w:val="00320400"/>
    <w:rsid w:val="0032286B"/>
    <w:rsid w:val="00324D76"/>
    <w:rsid w:val="0032629F"/>
    <w:rsid w:val="0032695A"/>
    <w:rsid w:val="00327F3C"/>
    <w:rsid w:val="00330743"/>
    <w:rsid w:val="003318E0"/>
    <w:rsid w:val="00331B77"/>
    <w:rsid w:val="00333ED3"/>
    <w:rsid w:val="00334352"/>
    <w:rsid w:val="00334495"/>
    <w:rsid w:val="0033509F"/>
    <w:rsid w:val="0033605C"/>
    <w:rsid w:val="0034071F"/>
    <w:rsid w:val="00340A10"/>
    <w:rsid w:val="00343655"/>
    <w:rsid w:val="00343B4C"/>
    <w:rsid w:val="00345BBA"/>
    <w:rsid w:val="003467DE"/>
    <w:rsid w:val="00346CA6"/>
    <w:rsid w:val="00346F60"/>
    <w:rsid w:val="00350B99"/>
    <w:rsid w:val="00352E77"/>
    <w:rsid w:val="00353B19"/>
    <w:rsid w:val="003555D8"/>
    <w:rsid w:val="003566B5"/>
    <w:rsid w:val="003601FB"/>
    <w:rsid w:val="003623FD"/>
    <w:rsid w:val="00363324"/>
    <w:rsid w:val="00363AA0"/>
    <w:rsid w:val="003647BF"/>
    <w:rsid w:val="00364DFE"/>
    <w:rsid w:val="00366902"/>
    <w:rsid w:val="00367DA5"/>
    <w:rsid w:val="0037027D"/>
    <w:rsid w:val="0037033F"/>
    <w:rsid w:val="00370A58"/>
    <w:rsid w:val="003720CF"/>
    <w:rsid w:val="003723F5"/>
    <w:rsid w:val="003760B9"/>
    <w:rsid w:val="00380296"/>
    <w:rsid w:val="0038074E"/>
    <w:rsid w:val="00384012"/>
    <w:rsid w:val="0039097D"/>
    <w:rsid w:val="00393E3D"/>
    <w:rsid w:val="00394519"/>
    <w:rsid w:val="00394BCB"/>
    <w:rsid w:val="00395ABF"/>
    <w:rsid w:val="00395B49"/>
    <w:rsid w:val="003961B1"/>
    <w:rsid w:val="00396A1B"/>
    <w:rsid w:val="003A12B3"/>
    <w:rsid w:val="003A174E"/>
    <w:rsid w:val="003A1BC2"/>
    <w:rsid w:val="003A2580"/>
    <w:rsid w:val="003A25D4"/>
    <w:rsid w:val="003A3B56"/>
    <w:rsid w:val="003B0D71"/>
    <w:rsid w:val="003B0EFD"/>
    <w:rsid w:val="003B159D"/>
    <w:rsid w:val="003B38AE"/>
    <w:rsid w:val="003B39EF"/>
    <w:rsid w:val="003B4C6B"/>
    <w:rsid w:val="003B629B"/>
    <w:rsid w:val="003B6B1B"/>
    <w:rsid w:val="003B6CB5"/>
    <w:rsid w:val="003B7FA1"/>
    <w:rsid w:val="003C1D33"/>
    <w:rsid w:val="003C1E72"/>
    <w:rsid w:val="003C28A6"/>
    <w:rsid w:val="003C2B5A"/>
    <w:rsid w:val="003C2BA1"/>
    <w:rsid w:val="003C4793"/>
    <w:rsid w:val="003C4815"/>
    <w:rsid w:val="003C5046"/>
    <w:rsid w:val="003C76FD"/>
    <w:rsid w:val="003D23BF"/>
    <w:rsid w:val="003D355E"/>
    <w:rsid w:val="003D357B"/>
    <w:rsid w:val="003D35D9"/>
    <w:rsid w:val="003D44C1"/>
    <w:rsid w:val="003D508D"/>
    <w:rsid w:val="003D53F6"/>
    <w:rsid w:val="003D5738"/>
    <w:rsid w:val="003E0449"/>
    <w:rsid w:val="003E1C23"/>
    <w:rsid w:val="003E1FB6"/>
    <w:rsid w:val="003E24BF"/>
    <w:rsid w:val="003E4035"/>
    <w:rsid w:val="003E667B"/>
    <w:rsid w:val="003E7765"/>
    <w:rsid w:val="003F2E33"/>
    <w:rsid w:val="003F3ACF"/>
    <w:rsid w:val="003F44B6"/>
    <w:rsid w:val="003F4A6C"/>
    <w:rsid w:val="003F5201"/>
    <w:rsid w:val="003F55A0"/>
    <w:rsid w:val="003F5C2E"/>
    <w:rsid w:val="00401505"/>
    <w:rsid w:val="00405D8D"/>
    <w:rsid w:val="00414693"/>
    <w:rsid w:val="0041471B"/>
    <w:rsid w:val="00415EDA"/>
    <w:rsid w:val="00417628"/>
    <w:rsid w:val="00420C9E"/>
    <w:rsid w:val="00421177"/>
    <w:rsid w:val="0042136E"/>
    <w:rsid w:val="00421F67"/>
    <w:rsid w:val="0042406A"/>
    <w:rsid w:val="00427390"/>
    <w:rsid w:val="00427D4F"/>
    <w:rsid w:val="00427E41"/>
    <w:rsid w:val="004335E9"/>
    <w:rsid w:val="00433790"/>
    <w:rsid w:val="00441049"/>
    <w:rsid w:val="00442757"/>
    <w:rsid w:val="0044377A"/>
    <w:rsid w:val="0044606E"/>
    <w:rsid w:val="00446BB5"/>
    <w:rsid w:val="00451B12"/>
    <w:rsid w:val="00452BCF"/>
    <w:rsid w:val="0045360C"/>
    <w:rsid w:val="004536B9"/>
    <w:rsid w:val="00453F0E"/>
    <w:rsid w:val="00455994"/>
    <w:rsid w:val="00455B83"/>
    <w:rsid w:val="00456D69"/>
    <w:rsid w:val="004578E0"/>
    <w:rsid w:val="00457C45"/>
    <w:rsid w:val="004607B3"/>
    <w:rsid w:val="00461B2F"/>
    <w:rsid w:val="00462844"/>
    <w:rsid w:val="00464401"/>
    <w:rsid w:val="004663DF"/>
    <w:rsid w:val="0046662B"/>
    <w:rsid w:val="00470ACC"/>
    <w:rsid w:val="00474456"/>
    <w:rsid w:val="0047655F"/>
    <w:rsid w:val="004768D2"/>
    <w:rsid w:val="00477220"/>
    <w:rsid w:val="00481169"/>
    <w:rsid w:val="00481F07"/>
    <w:rsid w:val="004855D0"/>
    <w:rsid w:val="0048580A"/>
    <w:rsid w:val="00487D69"/>
    <w:rsid w:val="004901B6"/>
    <w:rsid w:val="00490BE1"/>
    <w:rsid w:val="004912AA"/>
    <w:rsid w:val="004918AD"/>
    <w:rsid w:val="00492EC9"/>
    <w:rsid w:val="0049306B"/>
    <w:rsid w:val="004950CE"/>
    <w:rsid w:val="00496FB3"/>
    <w:rsid w:val="004A017A"/>
    <w:rsid w:val="004A054B"/>
    <w:rsid w:val="004A068C"/>
    <w:rsid w:val="004A318F"/>
    <w:rsid w:val="004A5EEE"/>
    <w:rsid w:val="004A6062"/>
    <w:rsid w:val="004A6117"/>
    <w:rsid w:val="004A6629"/>
    <w:rsid w:val="004A735A"/>
    <w:rsid w:val="004B1558"/>
    <w:rsid w:val="004B233A"/>
    <w:rsid w:val="004B264E"/>
    <w:rsid w:val="004B6C55"/>
    <w:rsid w:val="004B758D"/>
    <w:rsid w:val="004C274D"/>
    <w:rsid w:val="004C2E7C"/>
    <w:rsid w:val="004C474F"/>
    <w:rsid w:val="004C4D77"/>
    <w:rsid w:val="004D00EF"/>
    <w:rsid w:val="004D3352"/>
    <w:rsid w:val="004D458C"/>
    <w:rsid w:val="004D5F1E"/>
    <w:rsid w:val="004D6607"/>
    <w:rsid w:val="004E0B7A"/>
    <w:rsid w:val="004E3B22"/>
    <w:rsid w:val="004E3DBA"/>
    <w:rsid w:val="004E4162"/>
    <w:rsid w:val="004E43FA"/>
    <w:rsid w:val="004E4D86"/>
    <w:rsid w:val="004E50F1"/>
    <w:rsid w:val="004E76CC"/>
    <w:rsid w:val="004E7C56"/>
    <w:rsid w:val="004F2B24"/>
    <w:rsid w:val="004F2F73"/>
    <w:rsid w:val="004F5471"/>
    <w:rsid w:val="004F588C"/>
    <w:rsid w:val="004F5895"/>
    <w:rsid w:val="004F59C5"/>
    <w:rsid w:val="004F7788"/>
    <w:rsid w:val="005004DE"/>
    <w:rsid w:val="00505FAA"/>
    <w:rsid w:val="00510897"/>
    <w:rsid w:val="00514195"/>
    <w:rsid w:val="005165CC"/>
    <w:rsid w:val="00516D35"/>
    <w:rsid w:val="00517B62"/>
    <w:rsid w:val="0052108C"/>
    <w:rsid w:val="005212B0"/>
    <w:rsid w:val="00521FFF"/>
    <w:rsid w:val="005221E1"/>
    <w:rsid w:val="00523C72"/>
    <w:rsid w:val="005275A0"/>
    <w:rsid w:val="00527707"/>
    <w:rsid w:val="00527A8C"/>
    <w:rsid w:val="00532916"/>
    <w:rsid w:val="005334AC"/>
    <w:rsid w:val="00533590"/>
    <w:rsid w:val="0053364F"/>
    <w:rsid w:val="00534E88"/>
    <w:rsid w:val="00537103"/>
    <w:rsid w:val="00541575"/>
    <w:rsid w:val="005416C7"/>
    <w:rsid w:val="0054301C"/>
    <w:rsid w:val="00545DC5"/>
    <w:rsid w:val="00546BE1"/>
    <w:rsid w:val="005478BB"/>
    <w:rsid w:val="005478D5"/>
    <w:rsid w:val="00551AD6"/>
    <w:rsid w:val="00554785"/>
    <w:rsid w:val="005553CF"/>
    <w:rsid w:val="0055580B"/>
    <w:rsid w:val="0056248F"/>
    <w:rsid w:val="00562BC1"/>
    <w:rsid w:val="00562DA2"/>
    <w:rsid w:val="00562F09"/>
    <w:rsid w:val="00565D50"/>
    <w:rsid w:val="0056687B"/>
    <w:rsid w:val="005677FB"/>
    <w:rsid w:val="00572E49"/>
    <w:rsid w:val="0057331F"/>
    <w:rsid w:val="0057536A"/>
    <w:rsid w:val="00576595"/>
    <w:rsid w:val="00577603"/>
    <w:rsid w:val="005814C7"/>
    <w:rsid w:val="0058282E"/>
    <w:rsid w:val="00584892"/>
    <w:rsid w:val="00585535"/>
    <w:rsid w:val="00585AE2"/>
    <w:rsid w:val="0059117A"/>
    <w:rsid w:val="0059162E"/>
    <w:rsid w:val="00591EE6"/>
    <w:rsid w:val="00595950"/>
    <w:rsid w:val="005961FE"/>
    <w:rsid w:val="00596467"/>
    <w:rsid w:val="005964AA"/>
    <w:rsid w:val="0059659F"/>
    <w:rsid w:val="00597C9D"/>
    <w:rsid w:val="005A055B"/>
    <w:rsid w:val="005A2639"/>
    <w:rsid w:val="005A28E0"/>
    <w:rsid w:val="005A4363"/>
    <w:rsid w:val="005A65DC"/>
    <w:rsid w:val="005A6EC3"/>
    <w:rsid w:val="005B0053"/>
    <w:rsid w:val="005B0D0C"/>
    <w:rsid w:val="005B2A96"/>
    <w:rsid w:val="005B2BF3"/>
    <w:rsid w:val="005B3554"/>
    <w:rsid w:val="005B3A77"/>
    <w:rsid w:val="005B528D"/>
    <w:rsid w:val="005C50E3"/>
    <w:rsid w:val="005C5D73"/>
    <w:rsid w:val="005C7448"/>
    <w:rsid w:val="005C7ACF"/>
    <w:rsid w:val="005C7EA7"/>
    <w:rsid w:val="005D25CD"/>
    <w:rsid w:val="005D29EB"/>
    <w:rsid w:val="005D2B42"/>
    <w:rsid w:val="005D3232"/>
    <w:rsid w:val="005D36FA"/>
    <w:rsid w:val="005D380C"/>
    <w:rsid w:val="005D3DBB"/>
    <w:rsid w:val="005D4844"/>
    <w:rsid w:val="005D6A37"/>
    <w:rsid w:val="005D7688"/>
    <w:rsid w:val="005E2C65"/>
    <w:rsid w:val="005E32E4"/>
    <w:rsid w:val="005E507E"/>
    <w:rsid w:val="005E5604"/>
    <w:rsid w:val="005E6226"/>
    <w:rsid w:val="005E6583"/>
    <w:rsid w:val="005F1840"/>
    <w:rsid w:val="005F580C"/>
    <w:rsid w:val="005F70C6"/>
    <w:rsid w:val="005F7C11"/>
    <w:rsid w:val="00601C22"/>
    <w:rsid w:val="00601C87"/>
    <w:rsid w:val="0060241E"/>
    <w:rsid w:val="00604958"/>
    <w:rsid w:val="00606167"/>
    <w:rsid w:val="00606442"/>
    <w:rsid w:val="00610873"/>
    <w:rsid w:val="00610FEE"/>
    <w:rsid w:val="0061123F"/>
    <w:rsid w:val="00612F67"/>
    <w:rsid w:val="0061371C"/>
    <w:rsid w:val="00616B56"/>
    <w:rsid w:val="006170DB"/>
    <w:rsid w:val="00620576"/>
    <w:rsid w:val="006206C4"/>
    <w:rsid w:val="00622587"/>
    <w:rsid w:val="00622979"/>
    <w:rsid w:val="0062404B"/>
    <w:rsid w:val="00624465"/>
    <w:rsid w:val="00624D26"/>
    <w:rsid w:val="00630042"/>
    <w:rsid w:val="00632BCE"/>
    <w:rsid w:val="0063433B"/>
    <w:rsid w:val="00636162"/>
    <w:rsid w:val="0063693F"/>
    <w:rsid w:val="00637022"/>
    <w:rsid w:val="00640727"/>
    <w:rsid w:val="00642669"/>
    <w:rsid w:val="00642AF4"/>
    <w:rsid w:val="00650A80"/>
    <w:rsid w:val="00652294"/>
    <w:rsid w:val="00652F4F"/>
    <w:rsid w:val="006537F1"/>
    <w:rsid w:val="00653CC1"/>
    <w:rsid w:val="0065463E"/>
    <w:rsid w:val="006552B0"/>
    <w:rsid w:val="006565D6"/>
    <w:rsid w:val="0066316F"/>
    <w:rsid w:val="006634AF"/>
    <w:rsid w:val="00664ED4"/>
    <w:rsid w:val="00665124"/>
    <w:rsid w:val="006657E9"/>
    <w:rsid w:val="006664E0"/>
    <w:rsid w:val="00666F78"/>
    <w:rsid w:val="0066701D"/>
    <w:rsid w:val="00667062"/>
    <w:rsid w:val="0066752D"/>
    <w:rsid w:val="00667700"/>
    <w:rsid w:val="00673B17"/>
    <w:rsid w:val="00675FC8"/>
    <w:rsid w:val="00676EF0"/>
    <w:rsid w:val="0068034E"/>
    <w:rsid w:val="00684E53"/>
    <w:rsid w:val="00685FEC"/>
    <w:rsid w:val="006867D5"/>
    <w:rsid w:val="00692C9B"/>
    <w:rsid w:val="00694A8A"/>
    <w:rsid w:val="0069533D"/>
    <w:rsid w:val="00695389"/>
    <w:rsid w:val="006960ED"/>
    <w:rsid w:val="0069710A"/>
    <w:rsid w:val="00697DF8"/>
    <w:rsid w:val="006A07DC"/>
    <w:rsid w:val="006A454E"/>
    <w:rsid w:val="006A55EF"/>
    <w:rsid w:val="006A5778"/>
    <w:rsid w:val="006A6BD7"/>
    <w:rsid w:val="006A73C6"/>
    <w:rsid w:val="006B2058"/>
    <w:rsid w:val="006B2701"/>
    <w:rsid w:val="006B341A"/>
    <w:rsid w:val="006B54D9"/>
    <w:rsid w:val="006B6213"/>
    <w:rsid w:val="006C0E63"/>
    <w:rsid w:val="006C392B"/>
    <w:rsid w:val="006D0354"/>
    <w:rsid w:val="006D1A14"/>
    <w:rsid w:val="006D273D"/>
    <w:rsid w:val="006D2F94"/>
    <w:rsid w:val="006D4A8C"/>
    <w:rsid w:val="006D4F25"/>
    <w:rsid w:val="006E0FC0"/>
    <w:rsid w:val="006E1154"/>
    <w:rsid w:val="006E1654"/>
    <w:rsid w:val="006E18AD"/>
    <w:rsid w:val="006E225E"/>
    <w:rsid w:val="006E366B"/>
    <w:rsid w:val="006E3F77"/>
    <w:rsid w:val="006E5A15"/>
    <w:rsid w:val="006F3F40"/>
    <w:rsid w:val="006F59FB"/>
    <w:rsid w:val="006F5F33"/>
    <w:rsid w:val="006F770C"/>
    <w:rsid w:val="0070128F"/>
    <w:rsid w:val="00703035"/>
    <w:rsid w:val="007034BB"/>
    <w:rsid w:val="00703A45"/>
    <w:rsid w:val="00703DB9"/>
    <w:rsid w:val="0070622D"/>
    <w:rsid w:val="0070653A"/>
    <w:rsid w:val="007071F4"/>
    <w:rsid w:val="00707C3F"/>
    <w:rsid w:val="0071055B"/>
    <w:rsid w:val="007148EA"/>
    <w:rsid w:val="00714A5F"/>
    <w:rsid w:val="007166DD"/>
    <w:rsid w:val="00717446"/>
    <w:rsid w:val="00720868"/>
    <w:rsid w:val="00720C2F"/>
    <w:rsid w:val="007232ED"/>
    <w:rsid w:val="00730FC8"/>
    <w:rsid w:val="0073112B"/>
    <w:rsid w:val="0073186C"/>
    <w:rsid w:val="0073204F"/>
    <w:rsid w:val="00732E80"/>
    <w:rsid w:val="007331F6"/>
    <w:rsid w:val="00733869"/>
    <w:rsid w:val="00733C7A"/>
    <w:rsid w:val="0073410C"/>
    <w:rsid w:val="00734B20"/>
    <w:rsid w:val="00734D16"/>
    <w:rsid w:val="0073542B"/>
    <w:rsid w:val="007354D5"/>
    <w:rsid w:val="007370ED"/>
    <w:rsid w:val="00737D60"/>
    <w:rsid w:val="007430A2"/>
    <w:rsid w:val="0074750C"/>
    <w:rsid w:val="0075240E"/>
    <w:rsid w:val="007549A5"/>
    <w:rsid w:val="0075510F"/>
    <w:rsid w:val="00755599"/>
    <w:rsid w:val="00755665"/>
    <w:rsid w:val="00760A9D"/>
    <w:rsid w:val="00764262"/>
    <w:rsid w:val="00764523"/>
    <w:rsid w:val="00765459"/>
    <w:rsid w:val="007673BE"/>
    <w:rsid w:val="00767F4E"/>
    <w:rsid w:val="007713FC"/>
    <w:rsid w:val="00771581"/>
    <w:rsid w:val="007735F4"/>
    <w:rsid w:val="0077399E"/>
    <w:rsid w:val="00774176"/>
    <w:rsid w:val="00774A74"/>
    <w:rsid w:val="00776FB1"/>
    <w:rsid w:val="00777D3C"/>
    <w:rsid w:val="007804DD"/>
    <w:rsid w:val="00781D44"/>
    <w:rsid w:val="00782927"/>
    <w:rsid w:val="0078386B"/>
    <w:rsid w:val="00784883"/>
    <w:rsid w:val="00784C59"/>
    <w:rsid w:val="00784E98"/>
    <w:rsid w:val="00785962"/>
    <w:rsid w:val="007864EE"/>
    <w:rsid w:val="00787DD0"/>
    <w:rsid w:val="00787FA4"/>
    <w:rsid w:val="00792A75"/>
    <w:rsid w:val="00795472"/>
    <w:rsid w:val="00796DE7"/>
    <w:rsid w:val="00796E88"/>
    <w:rsid w:val="007973E4"/>
    <w:rsid w:val="007A0C59"/>
    <w:rsid w:val="007A1306"/>
    <w:rsid w:val="007A1C0C"/>
    <w:rsid w:val="007A2A77"/>
    <w:rsid w:val="007A2B87"/>
    <w:rsid w:val="007A3490"/>
    <w:rsid w:val="007A3E9A"/>
    <w:rsid w:val="007A4D36"/>
    <w:rsid w:val="007A57DF"/>
    <w:rsid w:val="007A5F65"/>
    <w:rsid w:val="007A64E1"/>
    <w:rsid w:val="007A6BF6"/>
    <w:rsid w:val="007A6EF7"/>
    <w:rsid w:val="007A73FD"/>
    <w:rsid w:val="007B05FB"/>
    <w:rsid w:val="007B0A1D"/>
    <w:rsid w:val="007B0BB5"/>
    <w:rsid w:val="007B12FB"/>
    <w:rsid w:val="007B1C31"/>
    <w:rsid w:val="007B3B74"/>
    <w:rsid w:val="007B4839"/>
    <w:rsid w:val="007B5107"/>
    <w:rsid w:val="007B59BC"/>
    <w:rsid w:val="007B6807"/>
    <w:rsid w:val="007B6AE4"/>
    <w:rsid w:val="007C0EF1"/>
    <w:rsid w:val="007C1BF2"/>
    <w:rsid w:val="007C2F67"/>
    <w:rsid w:val="007C610F"/>
    <w:rsid w:val="007C741B"/>
    <w:rsid w:val="007C7AB6"/>
    <w:rsid w:val="007D0DF1"/>
    <w:rsid w:val="007D1187"/>
    <w:rsid w:val="007D236E"/>
    <w:rsid w:val="007D23D7"/>
    <w:rsid w:val="007D4A50"/>
    <w:rsid w:val="007D6B31"/>
    <w:rsid w:val="007D6D40"/>
    <w:rsid w:val="007D7E4B"/>
    <w:rsid w:val="007E2697"/>
    <w:rsid w:val="007E331F"/>
    <w:rsid w:val="007E4D62"/>
    <w:rsid w:val="007E5D88"/>
    <w:rsid w:val="007E6B59"/>
    <w:rsid w:val="007E71FD"/>
    <w:rsid w:val="007E76BC"/>
    <w:rsid w:val="007F1F0E"/>
    <w:rsid w:val="007F4231"/>
    <w:rsid w:val="007F4BF7"/>
    <w:rsid w:val="007F5803"/>
    <w:rsid w:val="00802371"/>
    <w:rsid w:val="008047B1"/>
    <w:rsid w:val="00804890"/>
    <w:rsid w:val="00804B7D"/>
    <w:rsid w:val="00805888"/>
    <w:rsid w:val="008062A3"/>
    <w:rsid w:val="00807030"/>
    <w:rsid w:val="0081134E"/>
    <w:rsid w:val="0081665B"/>
    <w:rsid w:val="008175EC"/>
    <w:rsid w:val="00820341"/>
    <w:rsid w:val="008210BE"/>
    <w:rsid w:val="008231EA"/>
    <w:rsid w:val="00823750"/>
    <w:rsid w:val="0082468D"/>
    <w:rsid w:val="008247CA"/>
    <w:rsid w:val="0082493B"/>
    <w:rsid w:val="00833157"/>
    <w:rsid w:val="008344F1"/>
    <w:rsid w:val="0083496F"/>
    <w:rsid w:val="00835BA6"/>
    <w:rsid w:val="00836030"/>
    <w:rsid w:val="00837C34"/>
    <w:rsid w:val="00841231"/>
    <w:rsid w:val="0084237C"/>
    <w:rsid w:val="00844028"/>
    <w:rsid w:val="0084525E"/>
    <w:rsid w:val="00845BF7"/>
    <w:rsid w:val="00845FA2"/>
    <w:rsid w:val="00850C74"/>
    <w:rsid w:val="00850F22"/>
    <w:rsid w:val="008540D8"/>
    <w:rsid w:val="0085481A"/>
    <w:rsid w:val="0085608B"/>
    <w:rsid w:val="0086010D"/>
    <w:rsid w:val="008602B5"/>
    <w:rsid w:val="00860892"/>
    <w:rsid w:val="00860D13"/>
    <w:rsid w:val="0086183D"/>
    <w:rsid w:val="00862F17"/>
    <w:rsid w:val="00867702"/>
    <w:rsid w:val="00867974"/>
    <w:rsid w:val="00867B20"/>
    <w:rsid w:val="00870C8D"/>
    <w:rsid w:val="008714B2"/>
    <w:rsid w:val="00871CB7"/>
    <w:rsid w:val="00873665"/>
    <w:rsid w:val="00873750"/>
    <w:rsid w:val="008756BA"/>
    <w:rsid w:val="00875F41"/>
    <w:rsid w:val="00876317"/>
    <w:rsid w:val="00877564"/>
    <w:rsid w:val="00881EEB"/>
    <w:rsid w:val="008827EE"/>
    <w:rsid w:val="00882DED"/>
    <w:rsid w:val="00884AF9"/>
    <w:rsid w:val="00885B9E"/>
    <w:rsid w:val="00886B45"/>
    <w:rsid w:val="00887B51"/>
    <w:rsid w:val="00887E5E"/>
    <w:rsid w:val="00887F90"/>
    <w:rsid w:val="00890170"/>
    <w:rsid w:val="00890E5C"/>
    <w:rsid w:val="00892C67"/>
    <w:rsid w:val="00892F67"/>
    <w:rsid w:val="00892F68"/>
    <w:rsid w:val="00892FDF"/>
    <w:rsid w:val="00894F5D"/>
    <w:rsid w:val="0089649F"/>
    <w:rsid w:val="008A0BCE"/>
    <w:rsid w:val="008A189C"/>
    <w:rsid w:val="008A1D90"/>
    <w:rsid w:val="008A2546"/>
    <w:rsid w:val="008A26BC"/>
    <w:rsid w:val="008A4B1C"/>
    <w:rsid w:val="008A5D99"/>
    <w:rsid w:val="008A6C94"/>
    <w:rsid w:val="008A7972"/>
    <w:rsid w:val="008B12FB"/>
    <w:rsid w:val="008B2034"/>
    <w:rsid w:val="008B258F"/>
    <w:rsid w:val="008B3282"/>
    <w:rsid w:val="008B69CA"/>
    <w:rsid w:val="008C0924"/>
    <w:rsid w:val="008C2AB1"/>
    <w:rsid w:val="008C31FD"/>
    <w:rsid w:val="008C34B6"/>
    <w:rsid w:val="008C4234"/>
    <w:rsid w:val="008C4C70"/>
    <w:rsid w:val="008C5271"/>
    <w:rsid w:val="008C6C92"/>
    <w:rsid w:val="008C705C"/>
    <w:rsid w:val="008C7DD0"/>
    <w:rsid w:val="008D0824"/>
    <w:rsid w:val="008D1F45"/>
    <w:rsid w:val="008D3B69"/>
    <w:rsid w:val="008D587C"/>
    <w:rsid w:val="008D5A87"/>
    <w:rsid w:val="008D7ACD"/>
    <w:rsid w:val="008E001C"/>
    <w:rsid w:val="008E2C3A"/>
    <w:rsid w:val="008E420D"/>
    <w:rsid w:val="008E4C16"/>
    <w:rsid w:val="008E5266"/>
    <w:rsid w:val="008E6C25"/>
    <w:rsid w:val="008E7A20"/>
    <w:rsid w:val="008F1787"/>
    <w:rsid w:val="008F2524"/>
    <w:rsid w:val="008F4AA1"/>
    <w:rsid w:val="008F5B55"/>
    <w:rsid w:val="008F6083"/>
    <w:rsid w:val="008F6A3A"/>
    <w:rsid w:val="009003C9"/>
    <w:rsid w:val="009021BF"/>
    <w:rsid w:val="00902515"/>
    <w:rsid w:val="00902A2D"/>
    <w:rsid w:val="0090365E"/>
    <w:rsid w:val="00903CE3"/>
    <w:rsid w:val="00903E45"/>
    <w:rsid w:val="0090409A"/>
    <w:rsid w:val="0090475F"/>
    <w:rsid w:val="009067E8"/>
    <w:rsid w:val="00907C8D"/>
    <w:rsid w:val="009112E9"/>
    <w:rsid w:val="00911BDA"/>
    <w:rsid w:val="009137BB"/>
    <w:rsid w:val="009166B0"/>
    <w:rsid w:val="0092503D"/>
    <w:rsid w:val="00925F55"/>
    <w:rsid w:val="00930391"/>
    <w:rsid w:val="00931341"/>
    <w:rsid w:val="00931DA0"/>
    <w:rsid w:val="00932F13"/>
    <w:rsid w:val="0093349E"/>
    <w:rsid w:val="00933C8B"/>
    <w:rsid w:val="0093495C"/>
    <w:rsid w:val="00937820"/>
    <w:rsid w:val="00941BC3"/>
    <w:rsid w:val="009422B4"/>
    <w:rsid w:val="00942FD2"/>
    <w:rsid w:val="009437CA"/>
    <w:rsid w:val="00945C5A"/>
    <w:rsid w:val="00946C74"/>
    <w:rsid w:val="00946E44"/>
    <w:rsid w:val="00947990"/>
    <w:rsid w:val="00947D8F"/>
    <w:rsid w:val="00951D97"/>
    <w:rsid w:val="0095238E"/>
    <w:rsid w:val="00953D7C"/>
    <w:rsid w:val="00955AE6"/>
    <w:rsid w:val="00955D88"/>
    <w:rsid w:val="00961FD3"/>
    <w:rsid w:val="00964752"/>
    <w:rsid w:val="00965229"/>
    <w:rsid w:val="00966A71"/>
    <w:rsid w:val="00966DC3"/>
    <w:rsid w:val="009759A6"/>
    <w:rsid w:val="009779DD"/>
    <w:rsid w:val="00980748"/>
    <w:rsid w:val="0098116C"/>
    <w:rsid w:val="00981C58"/>
    <w:rsid w:val="00984BCC"/>
    <w:rsid w:val="009854CD"/>
    <w:rsid w:val="00990E38"/>
    <w:rsid w:val="009948EC"/>
    <w:rsid w:val="00996DF6"/>
    <w:rsid w:val="009A1900"/>
    <w:rsid w:val="009A1B23"/>
    <w:rsid w:val="009A4F20"/>
    <w:rsid w:val="009A633E"/>
    <w:rsid w:val="009A792D"/>
    <w:rsid w:val="009B0866"/>
    <w:rsid w:val="009B0D32"/>
    <w:rsid w:val="009B1AF0"/>
    <w:rsid w:val="009B4524"/>
    <w:rsid w:val="009B464F"/>
    <w:rsid w:val="009B6206"/>
    <w:rsid w:val="009C2AB3"/>
    <w:rsid w:val="009C4A44"/>
    <w:rsid w:val="009D447A"/>
    <w:rsid w:val="009D4755"/>
    <w:rsid w:val="009D5C46"/>
    <w:rsid w:val="009D5CC8"/>
    <w:rsid w:val="009D7437"/>
    <w:rsid w:val="009E1464"/>
    <w:rsid w:val="009E2184"/>
    <w:rsid w:val="009E2416"/>
    <w:rsid w:val="009E32B3"/>
    <w:rsid w:val="009E4536"/>
    <w:rsid w:val="009F0142"/>
    <w:rsid w:val="009F0AB8"/>
    <w:rsid w:val="009F0F2A"/>
    <w:rsid w:val="009F2F5C"/>
    <w:rsid w:val="009F3301"/>
    <w:rsid w:val="009F4B83"/>
    <w:rsid w:val="009F5DE7"/>
    <w:rsid w:val="009F6AEF"/>
    <w:rsid w:val="009F7C6D"/>
    <w:rsid w:val="00A00259"/>
    <w:rsid w:val="00A0053E"/>
    <w:rsid w:val="00A07601"/>
    <w:rsid w:val="00A10475"/>
    <w:rsid w:val="00A106D8"/>
    <w:rsid w:val="00A1362D"/>
    <w:rsid w:val="00A14ACD"/>
    <w:rsid w:val="00A14D41"/>
    <w:rsid w:val="00A1514F"/>
    <w:rsid w:val="00A155D4"/>
    <w:rsid w:val="00A158A7"/>
    <w:rsid w:val="00A15D14"/>
    <w:rsid w:val="00A163A0"/>
    <w:rsid w:val="00A1668E"/>
    <w:rsid w:val="00A16EB4"/>
    <w:rsid w:val="00A176E0"/>
    <w:rsid w:val="00A206A2"/>
    <w:rsid w:val="00A231C9"/>
    <w:rsid w:val="00A242BF"/>
    <w:rsid w:val="00A2451E"/>
    <w:rsid w:val="00A24A55"/>
    <w:rsid w:val="00A24CF5"/>
    <w:rsid w:val="00A24FC9"/>
    <w:rsid w:val="00A25760"/>
    <w:rsid w:val="00A26AC1"/>
    <w:rsid w:val="00A27C81"/>
    <w:rsid w:val="00A33086"/>
    <w:rsid w:val="00A37A15"/>
    <w:rsid w:val="00A40508"/>
    <w:rsid w:val="00A4059B"/>
    <w:rsid w:val="00A4172F"/>
    <w:rsid w:val="00A435DB"/>
    <w:rsid w:val="00A45DC0"/>
    <w:rsid w:val="00A46E08"/>
    <w:rsid w:val="00A50E9C"/>
    <w:rsid w:val="00A53309"/>
    <w:rsid w:val="00A54340"/>
    <w:rsid w:val="00A552C5"/>
    <w:rsid w:val="00A57B9C"/>
    <w:rsid w:val="00A61281"/>
    <w:rsid w:val="00A61DB0"/>
    <w:rsid w:val="00A61F97"/>
    <w:rsid w:val="00A62B7D"/>
    <w:rsid w:val="00A634D4"/>
    <w:rsid w:val="00A63EFF"/>
    <w:rsid w:val="00A660C5"/>
    <w:rsid w:val="00A6642E"/>
    <w:rsid w:val="00A66ED1"/>
    <w:rsid w:val="00A676C2"/>
    <w:rsid w:val="00A700D9"/>
    <w:rsid w:val="00A723CF"/>
    <w:rsid w:val="00A73122"/>
    <w:rsid w:val="00A736E3"/>
    <w:rsid w:val="00A74443"/>
    <w:rsid w:val="00A7668B"/>
    <w:rsid w:val="00A81444"/>
    <w:rsid w:val="00A81E3E"/>
    <w:rsid w:val="00A8231A"/>
    <w:rsid w:val="00A82A0D"/>
    <w:rsid w:val="00A84426"/>
    <w:rsid w:val="00A90132"/>
    <w:rsid w:val="00A914F6"/>
    <w:rsid w:val="00A91685"/>
    <w:rsid w:val="00A917D4"/>
    <w:rsid w:val="00A92CE0"/>
    <w:rsid w:val="00A9302F"/>
    <w:rsid w:val="00A93D68"/>
    <w:rsid w:val="00A9420E"/>
    <w:rsid w:val="00A94C73"/>
    <w:rsid w:val="00A95103"/>
    <w:rsid w:val="00A954C3"/>
    <w:rsid w:val="00A96BA8"/>
    <w:rsid w:val="00A9761C"/>
    <w:rsid w:val="00A97FC1"/>
    <w:rsid w:val="00AA0D10"/>
    <w:rsid w:val="00AA2527"/>
    <w:rsid w:val="00AA34ED"/>
    <w:rsid w:val="00AA40B7"/>
    <w:rsid w:val="00AA5668"/>
    <w:rsid w:val="00AA5CDE"/>
    <w:rsid w:val="00AB176A"/>
    <w:rsid w:val="00AB1C9E"/>
    <w:rsid w:val="00AB2854"/>
    <w:rsid w:val="00AB35C9"/>
    <w:rsid w:val="00AB5A3C"/>
    <w:rsid w:val="00AB5B25"/>
    <w:rsid w:val="00AB72FA"/>
    <w:rsid w:val="00AB7DF7"/>
    <w:rsid w:val="00AC0E74"/>
    <w:rsid w:val="00AC2AD4"/>
    <w:rsid w:val="00AC4360"/>
    <w:rsid w:val="00AC740B"/>
    <w:rsid w:val="00AD4999"/>
    <w:rsid w:val="00AD5B83"/>
    <w:rsid w:val="00AD5D98"/>
    <w:rsid w:val="00AD6537"/>
    <w:rsid w:val="00AD68D4"/>
    <w:rsid w:val="00AD762B"/>
    <w:rsid w:val="00AE1C63"/>
    <w:rsid w:val="00AE1CA4"/>
    <w:rsid w:val="00AE2A88"/>
    <w:rsid w:val="00AE4348"/>
    <w:rsid w:val="00AE497E"/>
    <w:rsid w:val="00AE63E5"/>
    <w:rsid w:val="00AE70EC"/>
    <w:rsid w:val="00AE771F"/>
    <w:rsid w:val="00AE7A83"/>
    <w:rsid w:val="00AE7C58"/>
    <w:rsid w:val="00AF4840"/>
    <w:rsid w:val="00AF5AAE"/>
    <w:rsid w:val="00AF5C1F"/>
    <w:rsid w:val="00AF6014"/>
    <w:rsid w:val="00AF7727"/>
    <w:rsid w:val="00AF7EAE"/>
    <w:rsid w:val="00B01396"/>
    <w:rsid w:val="00B0186C"/>
    <w:rsid w:val="00B02510"/>
    <w:rsid w:val="00B02A94"/>
    <w:rsid w:val="00B05D18"/>
    <w:rsid w:val="00B05FB2"/>
    <w:rsid w:val="00B07FBD"/>
    <w:rsid w:val="00B1017F"/>
    <w:rsid w:val="00B10A54"/>
    <w:rsid w:val="00B125BA"/>
    <w:rsid w:val="00B14769"/>
    <w:rsid w:val="00B147A3"/>
    <w:rsid w:val="00B147DD"/>
    <w:rsid w:val="00B14856"/>
    <w:rsid w:val="00B2116A"/>
    <w:rsid w:val="00B215BE"/>
    <w:rsid w:val="00B21D8C"/>
    <w:rsid w:val="00B23EF0"/>
    <w:rsid w:val="00B26604"/>
    <w:rsid w:val="00B27B0A"/>
    <w:rsid w:val="00B27B8C"/>
    <w:rsid w:val="00B31225"/>
    <w:rsid w:val="00B31FFE"/>
    <w:rsid w:val="00B33600"/>
    <w:rsid w:val="00B33C10"/>
    <w:rsid w:val="00B36BF1"/>
    <w:rsid w:val="00B40AB5"/>
    <w:rsid w:val="00B43151"/>
    <w:rsid w:val="00B44D49"/>
    <w:rsid w:val="00B45BA4"/>
    <w:rsid w:val="00B46156"/>
    <w:rsid w:val="00B47687"/>
    <w:rsid w:val="00B51218"/>
    <w:rsid w:val="00B52B05"/>
    <w:rsid w:val="00B610E7"/>
    <w:rsid w:val="00B6158E"/>
    <w:rsid w:val="00B62D6E"/>
    <w:rsid w:val="00B64809"/>
    <w:rsid w:val="00B67501"/>
    <w:rsid w:val="00B709E2"/>
    <w:rsid w:val="00B71553"/>
    <w:rsid w:val="00B73A1F"/>
    <w:rsid w:val="00B74BB8"/>
    <w:rsid w:val="00B75F03"/>
    <w:rsid w:val="00B77221"/>
    <w:rsid w:val="00B77859"/>
    <w:rsid w:val="00B808B7"/>
    <w:rsid w:val="00B81BDA"/>
    <w:rsid w:val="00B81FF0"/>
    <w:rsid w:val="00B82832"/>
    <w:rsid w:val="00B82866"/>
    <w:rsid w:val="00B8382E"/>
    <w:rsid w:val="00B84519"/>
    <w:rsid w:val="00B87475"/>
    <w:rsid w:val="00B90BB1"/>
    <w:rsid w:val="00B92145"/>
    <w:rsid w:val="00B92F8D"/>
    <w:rsid w:val="00B935D5"/>
    <w:rsid w:val="00B9388D"/>
    <w:rsid w:val="00B95396"/>
    <w:rsid w:val="00B95B39"/>
    <w:rsid w:val="00BA08CA"/>
    <w:rsid w:val="00BA1C75"/>
    <w:rsid w:val="00BA2096"/>
    <w:rsid w:val="00BA3795"/>
    <w:rsid w:val="00BA3E1A"/>
    <w:rsid w:val="00BA6216"/>
    <w:rsid w:val="00BA660E"/>
    <w:rsid w:val="00BA75E6"/>
    <w:rsid w:val="00BB0786"/>
    <w:rsid w:val="00BB0BB3"/>
    <w:rsid w:val="00BB22EE"/>
    <w:rsid w:val="00BB458C"/>
    <w:rsid w:val="00BB655B"/>
    <w:rsid w:val="00BB6EA7"/>
    <w:rsid w:val="00BB73FF"/>
    <w:rsid w:val="00BC00A0"/>
    <w:rsid w:val="00BC23E3"/>
    <w:rsid w:val="00BC2743"/>
    <w:rsid w:val="00BC4515"/>
    <w:rsid w:val="00BC5C6D"/>
    <w:rsid w:val="00BC6116"/>
    <w:rsid w:val="00BC764D"/>
    <w:rsid w:val="00BD0480"/>
    <w:rsid w:val="00BD2CE3"/>
    <w:rsid w:val="00BD677B"/>
    <w:rsid w:val="00BD7245"/>
    <w:rsid w:val="00BD76FE"/>
    <w:rsid w:val="00BD7DAA"/>
    <w:rsid w:val="00BE04BF"/>
    <w:rsid w:val="00BE055D"/>
    <w:rsid w:val="00BE2429"/>
    <w:rsid w:val="00BE543A"/>
    <w:rsid w:val="00BE6563"/>
    <w:rsid w:val="00BE69DC"/>
    <w:rsid w:val="00BE78BA"/>
    <w:rsid w:val="00BF1BDD"/>
    <w:rsid w:val="00BF36EB"/>
    <w:rsid w:val="00BF397A"/>
    <w:rsid w:val="00BF6938"/>
    <w:rsid w:val="00C0417C"/>
    <w:rsid w:val="00C043AD"/>
    <w:rsid w:val="00C04A8C"/>
    <w:rsid w:val="00C05288"/>
    <w:rsid w:val="00C064CF"/>
    <w:rsid w:val="00C07386"/>
    <w:rsid w:val="00C10C59"/>
    <w:rsid w:val="00C116C7"/>
    <w:rsid w:val="00C116D6"/>
    <w:rsid w:val="00C14718"/>
    <w:rsid w:val="00C21CDE"/>
    <w:rsid w:val="00C23065"/>
    <w:rsid w:val="00C2380C"/>
    <w:rsid w:val="00C24E3E"/>
    <w:rsid w:val="00C26241"/>
    <w:rsid w:val="00C3305D"/>
    <w:rsid w:val="00C3339C"/>
    <w:rsid w:val="00C35DFF"/>
    <w:rsid w:val="00C42228"/>
    <w:rsid w:val="00C435B4"/>
    <w:rsid w:val="00C453B0"/>
    <w:rsid w:val="00C46FA1"/>
    <w:rsid w:val="00C47942"/>
    <w:rsid w:val="00C5136C"/>
    <w:rsid w:val="00C51A4B"/>
    <w:rsid w:val="00C52E64"/>
    <w:rsid w:val="00C62FB1"/>
    <w:rsid w:val="00C66124"/>
    <w:rsid w:val="00C6642E"/>
    <w:rsid w:val="00C7029A"/>
    <w:rsid w:val="00C72748"/>
    <w:rsid w:val="00C73BAE"/>
    <w:rsid w:val="00C759C3"/>
    <w:rsid w:val="00C83EBB"/>
    <w:rsid w:val="00C84873"/>
    <w:rsid w:val="00C849EB"/>
    <w:rsid w:val="00C85AC4"/>
    <w:rsid w:val="00C91196"/>
    <w:rsid w:val="00C925D0"/>
    <w:rsid w:val="00C92F09"/>
    <w:rsid w:val="00C94903"/>
    <w:rsid w:val="00C94D0A"/>
    <w:rsid w:val="00C950E9"/>
    <w:rsid w:val="00C95CAE"/>
    <w:rsid w:val="00CA0060"/>
    <w:rsid w:val="00CA2244"/>
    <w:rsid w:val="00CB0299"/>
    <w:rsid w:val="00CB18E2"/>
    <w:rsid w:val="00CB5115"/>
    <w:rsid w:val="00CB59BD"/>
    <w:rsid w:val="00CB6306"/>
    <w:rsid w:val="00CB6B3E"/>
    <w:rsid w:val="00CB6C00"/>
    <w:rsid w:val="00CC44EF"/>
    <w:rsid w:val="00CC5FDB"/>
    <w:rsid w:val="00CC6B7E"/>
    <w:rsid w:val="00CD098F"/>
    <w:rsid w:val="00CD10FA"/>
    <w:rsid w:val="00CD26A6"/>
    <w:rsid w:val="00CD52A1"/>
    <w:rsid w:val="00CD7CE6"/>
    <w:rsid w:val="00CE05AE"/>
    <w:rsid w:val="00CE0ABE"/>
    <w:rsid w:val="00CE2751"/>
    <w:rsid w:val="00CE474D"/>
    <w:rsid w:val="00CE57F0"/>
    <w:rsid w:val="00CE6346"/>
    <w:rsid w:val="00CE67CE"/>
    <w:rsid w:val="00CE6AC6"/>
    <w:rsid w:val="00CF09CB"/>
    <w:rsid w:val="00CF0D9F"/>
    <w:rsid w:val="00CF2C5A"/>
    <w:rsid w:val="00CF46D6"/>
    <w:rsid w:val="00CF50BF"/>
    <w:rsid w:val="00D00533"/>
    <w:rsid w:val="00D023AA"/>
    <w:rsid w:val="00D027FA"/>
    <w:rsid w:val="00D02F5B"/>
    <w:rsid w:val="00D03F28"/>
    <w:rsid w:val="00D05B1D"/>
    <w:rsid w:val="00D07935"/>
    <w:rsid w:val="00D101B0"/>
    <w:rsid w:val="00D133AE"/>
    <w:rsid w:val="00D167C3"/>
    <w:rsid w:val="00D16C09"/>
    <w:rsid w:val="00D17439"/>
    <w:rsid w:val="00D2110E"/>
    <w:rsid w:val="00D21632"/>
    <w:rsid w:val="00D223C4"/>
    <w:rsid w:val="00D2373C"/>
    <w:rsid w:val="00D24A35"/>
    <w:rsid w:val="00D31448"/>
    <w:rsid w:val="00D329C5"/>
    <w:rsid w:val="00D32B39"/>
    <w:rsid w:val="00D34634"/>
    <w:rsid w:val="00D348EE"/>
    <w:rsid w:val="00D34F62"/>
    <w:rsid w:val="00D353CF"/>
    <w:rsid w:val="00D37709"/>
    <w:rsid w:val="00D37A44"/>
    <w:rsid w:val="00D41245"/>
    <w:rsid w:val="00D4137C"/>
    <w:rsid w:val="00D41700"/>
    <w:rsid w:val="00D42F4F"/>
    <w:rsid w:val="00D46DAB"/>
    <w:rsid w:val="00D50485"/>
    <w:rsid w:val="00D510E7"/>
    <w:rsid w:val="00D51E13"/>
    <w:rsid w:val="00D53A31"/>
    <w:rsid w:val="00D5597B"/>
    <w:rsid w:val="00D56B06"/>
    <w:rsid w:val="00D5733D"/>
    <w:rsid w:val="00D638CA"/>
    <w:rsid w:val="00D66988"/>
    <w:rsid w:val="00D66E63"/>
    <w:rsid w:val="00D67F84"/>
    <w:rsid w:val="00D704C0"/>
    <w:rsid w:val="00D70784"/>
    <w:rsid w:val="00D714C7"/>
    <w:rsid w:val="00D7264F"/>
    <w:rsid w:val="00D731DD"/>
    <w:rsid w:val="00D742CC"/>
    <w:rsid w:val="00D743DA"/>
    <w:rsid w:val="00D74E48"/>
    <w:rsid w:val="00D77CC7"/>
    <w:rsid w:val="00D808B8"/>
    <w:rsid w:val="00D80A5D"/>
    <w:rsid w:val="00D81C1A"/>
    <w:rsid w:val="00D82592"/>
    <w:rsid w:val="00D83F50"/>
    <w:rsid w:val="00D8530F"/>
    <w:rsid w:val="00D860FF"/>
    <w:rsid w:val="00D877DB"/>
    <w:rsid w:val="00D90EAB"/>
    <w:rsid w:val="00D95647"/>
    <w:rsid w:val="00D96784"/>
    <w:rsid w:val="00D97280"/>
    <w:rsid w:val="00D97A18"/>
    <w:rsid w:val="00DA035C"/>
    <w:rsid w:val="00DA106D"/>
    <w:rsid w:val="00DA3DE2"/>
    <w:rsid w:val="00DA4F8A"/>
    <w:rsid w:val="00DA7130"/>
    <w:rsid w:val="00DB22E1"/>
    <w:rsid w:val="00DB2470"/>
    <w:rsid w:val="00DB2B34"/>
    <w:rsid w:val="00DB6923"/>
    <w:rsid w:val="00DC0AC1"/>
    <w:rsid w:val="00DC0DF2"/>
    <w:rsid w:val="00DC1E24"/>
    <w:rsid w:val="00DC34AE"/>
    <w:rsid w:val="00DC4F37"/>
    <w:rsid w:val="00DC5DE7"/>
    <w:rsid w:val="00DC6CC8"/>
    <w:rsid w:val="00DC6EDA"/>
    <w:rsid w:val="00DC7A31"/>
    <w:rsid w:val="00DD3106"/>
    <w:rsid w:val="00DD3891"/>
    <w:rsid w:val="00DD4208"/>
    <w:rsid w:val="00DD482B"/>
    <w:rsid w:val="00DD6654"/>
    <w:rsid w:val="00DD7FBA"/>
    <w:rsid w:val="00DE1B0B"/>
    <w:rsid w:val="00DE331C"/>
    <w:rsid w:val="00DE35C6"/>
    <w:rsid w:val="00DE4025"/>
    <w:rsid w:val="00DF2562"/>
    <w:rsid w:val="00DF26F9"/>
    <w:rsid w:val="00DF29F7"/>
    <w:rsid w:val="00DF3341"/>
    <w:rsid w:val="00DF478A"/>
    <w:rsid w:val="00DF6DF3"/>
    <w:rsid w:val="00E00057"/>
    <w:rsid w:val="00E024D2"/>
    <w:rsid w:val="00E04423"/>
    <w:rsid w:val="00E04670"/>
    <w:rsid w:val="00E04C74"/>
    <w:rsid w:val="00E05035"/>
    <w:rsid w:val="00E0794E"/>
    <w:rsid w:val="00E114E4"/>
    <w:rsid w:val="00E127D4"/>
    <w:rsid w:val="00E134E1"/>
    <w:rsid w:val="00E143A1"/>
    <w:rsid w:val="00E145C5"/>
    <w:rsid w:val="00E15EBF"/>
    <w:rsid w:val="00E1660E"/>
    <w:rsid w:val="00E16A19"/>
    <w:rsid w:val="00E21644"/>
    <w:rsid w:val="00E22573"/>
    <w:rsid w:val="00E25B76"/>
    <w:rsid w:val="00E351E1"/>
    <w:rsid w:val="00E365F9"/>
    <w:rsid w:val="00E37BDF"/>
    <w:rsid w:val="00E4084B"/>
    <w:rsid w:val="00E40AB6"/>
    <w:rsid w:val="00E411B7"/>
    <w:rsid w:val="00E43A36"/>
    <w:rsid w:val="00E44816"/>
    <w:rsid w:val="00E46278"/>
    <w:rsid w:val="00E541CC"/>
    <w:rsid w:val="00E541EE"/>
    <w:rsid w:val="00E54919"/>
    <w:rsid w:val="00E553BD"/>
    <w:rsid w:val="00E563B4"/>
    <w:rsid w:val="00E5742F"/>
    <w:rsid w:val="00E602FD"/>
    <w:rsid w:val="00E6040F"/>
    <w:rsid w:val="00E633E5"/>
    <w:rsid w:val="00E636F5"/>
    <w:rsid w:val="00E64213"/>
    <w:rsid w:val="00E654B2"/>
    <w:rsid w:val="00E704AB"/>
    <w:rsid w:val="00E727B7"/>
    <w:rsid w:val="00E750DE"/>
    <w:rsid w:val="00E801EF"/>
    <w:rsid w:val="00E80A70"/>
    <w:rsid w:val="00E822C7"/>
    <w:rsid w:val="00E823D4"/>
    <w:rsid w:val="00E84FF9"/>
    <w:rsid w:val="00E850EA"/>
    <w:rsid w:val="00E86621"/>
    <w:rsid w:val="00E86E79"/>
    <w:rsid w:val="00E870F0"/>
    <w:rsid w:val="00E919BE"/>
    <w:rsid w:val="00E9424B"/>
    <w:rsid w:val="00E946C0"/>
    <w:rsid w:val="00E94E18"/>
    <w:rsid w:val="00E96301"/>
    <w:rsid w:val="00E97539"/>
    <w:rsid w:val="00EA2406"/>
    <w:rsid w:val="00EA4601"/>
    <w:rsid w:val="00EA4712"/>
    <w:rsid w:val="00EA4B3B"/>
    <w:rsid w:val="00EA626B"/>
    <w:rsid w:val="00EA777A"/>
    <w:rsid w:val="00EB0184"/>
    <w:rsid w:val="00EB01E5"/>
    <w:rsid w:val="00EB08DC"/>
    <w:rsid w:val="00EB0AAB"/>
    <w:rsid w:val="00EB2FBD"/>
    <w:rsid w:val="00EB3ACB"/>
    <w:rsid w:val="00EB4E1B"/>
    <w:rsid w:val="00EB6FDC"/>
    <w:rsid w:val="00EB726C"/>
    <w:rsid w:val="00EB74C9"/>
    <w:rsid w:val="00EB7F49"/>
    <w:rsid w:val="00EC14E5"/>
    <w:rsid w:val="00EC27B6"/>
    <w:rsid w:val="00EC27C2"/>
    <w:rsid w:val="00EC2EDB"/>
    <w:rsid w:val="00EC4216"/>
    <w:rsid w:val="00EC5472"/>
    <w:rsid w:val="00EC7098"/>
    <w:rsid w:val="00ED0777"/>
    <w:rsid w:val="00ED0CD3"/>
    <w:rsid w:val="00ED21F1"/>
    <w:rsid w:val="00ED7379"/>
    <w:rsid w:val="00EE5585"/>
    <w:rsid w:val="00EE7416"/>
    <w:rsid w:val="00EF034F"/>
    <w:rsid w:val="00EF0E24"/>
    <w:rsid w:val="00EF0FA6"/>
    <w:rsid w:val="00EF338A"/>
    <w:rsid w:val="00EF3569"/>
    <w:rsid w:val="00EF4A28"/>
    <w:rsid w:val="00EF50A7"/>
    <w:rsid w:val="00EF5B8B"/>
    <w:rsid w:val="00EF5EF1"/>
    <w:rsid w:val="00EF6527"/>
    <w:rsid w:val="00F047CE"/>
    <w:rsid w:val="00F04E8F"/>
    <w:rsid w:val="00F07ABB"/>
    <w:rsid w:val="00F07AD0"/>
    <w:rsid w:val="00F109D2"/>
    <w:rsid w:val="00F11C0C"/>
    <w:rsid w:val="00F14C03"/>
    <w:rsid w:val="00F15741"/>
    <w:rsid w:val="00F16190"/>
    <w:rsid w:val="00F1724F"/>
    <w:rsid w:val="00F21532"/>
    <w:rsid w:val="00F24127"/>
    <w:rsid w:val="00F265B9"/>
    <w:rsid w:val="00F26622"/>
    <w:rsid w:val="00F26CCE"/>
    <w:rsid w:val="00F27827"/>
    <w:rsid w:val="00F306B6"/>
    <w:rsid w:val="00F311D8"/>
    <w:rsid w:val="00F31998"/>
    <w:rsid w:val="00F32D65"/>
    <w:rsid w:val="00F350DE"/>
    <w:rsid w:val="00F36A5F"/>
    <w:rsid w:val="00F403B0"/>
    <w:rsid w:val="00F413CF"/>
    <w:rsid w:val="00F41B7E"/>
    <w:rsid w:val="00F41C63"/>
    <w:rsid w:val="00F50865"/>
    <w:rsid w:val="00F51D8E"/>
    <w:rsid w:val="00F54764"/>
    <w:rsid w:val="00F55BCC"/>
    <w:rsid w:val="00F56813"/>
    <w:rsid w:val="00F57705"/>
    <w:rsid w:val="00F662BB"/>
    <w:rsid w:val="00F711B2"/>
    <w:rsid w:val="00F7324B"/>
    <w:rsid w:val="00F7645F"/>
    <w:rsid w:val="00F76DDB"/>
    <w:rsid w:val="00F80240"/>
    <w:rsid w:val="00F8099C"/>
    <w:rsid w:val="00F80E0B"/>
    <w:rsid w:val="00F813C3"/>
    <w:rsid w:val="00F81D16"/>
    <w:rsid w:val="00F834C2"/>
    <w:rsid w:val="00F83B7E"/>
    <w:rsid w:val="00F86CCA"/>
    <w:rsid w:val="00F86D7D"/>
    <w:rsid w:val="00F8782E"/>
    <w:rsid w:val="00F87979"/>
    <w:rsid w:val="00F87A01"/>
    <w:rsid w:val="00F90AEE"/>
    <w:rsid w:val="00F90C8A"/>
    <w:rsid w:val="00F910B2"/>
    <w:rsid w:val="00F91C5E"/>
    <w:rsid w:val="00F93F0C"/>
    <w:rsid w:val="00F9400D"/>
    <w:rsid w:val="00F9405D"/>
    <w:rsid w:val="00F962FC"/>
    <w:rsid w:val="00F96F8C"/>
    <w:rsid w:val="00FA0C0D"/>
    <w:rsid w:val="00FA36E9"/>
    <w:rsid w:val="00FA48D6"/>
    <w:rsid w:val="00FA5D75"/>
    <w:rsid w:val="00FB1D69"/>
    <w:rsid w:val="00FB379D"/>
    <w:rsid w:val="00FB5937"/>
    <w:rsid w:val="00FB6828"/>
    <w:rsid w:val="00FB6A76"/>
    <w:rsid w:val="00FB6EB5"/>
    <w:rsid w:val="00FC0AC9"/>
    <w:rsid w:val="00FC11CF"/>
    <w:rsid w:val="00FC2145"/>
    <w:rsid w:val="00FC25FD"/>
    <w:rsid w:val="00FC2615"/>
    <w:rsid w:val="00FC4BFB"/>
    <w:rsid w:val="00FC4E37"/>
    <w:rsid w:val="00FC7A47"/>
    <w:rsid w:val="00FD094C"/>
    <w:rsid w:val="00FD0C9C"/>
    <w:rsid w:val="00FD1627"/>
    <w:rsid w:val="00FD183C"/>
    <w:rsid w:val="00FD4555"/>
    <w:rsid w:val="00FD52B5"/>
    <w:rsid w:val="00FD61BA"/>
    <w:rsid w:val="00FE0AF8"/>
    <w:rsid w:val="00FE45A7"/>
    <w:rsid w:val="00FE490D"/>
    <w:rsid w:val="00FE6396"/>
    <w:rsid w:val="00FE7CA4"/>
    <w:rsid w:val="00FF000E"/>
    <w:rsid w:val="00FF15EE"/>
    <w:rsid w:val="00FF342F"/>
    <w:rsid w:val="00FF43FD"/>
    <w:rsid w:val="00FF4587"/>
    <w:rsid w:val="00FF48EC"/>
    <w:rsid w:val="00FF48FF"/>
    <w:rsid w:val="00FF5ED6"/>
    <w:rsid w:val="00FF63C1"/>
    <w:rsid w:val="00FF7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allowincell="f" fillcolor="#3cc" stroke="f">
      <v:fill color="#3cc"/>
      <v:stroke on="f"/>
    </o:shapedefaults>
    <o:shapelayout v:ext="edit">
      <o:idmap v:ext="edit" data="1"/>
    </o:shapelayout>
  </w:shapeDefaults>
  <w:decimalSymbol w:val="."/>
  <w:listSeparator w:val=","/>
  <w14:docId w14:val="149F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04B"/>
    <w:pPr>
      <w:widowControl w:val="0"/>
    </w:pPr>
    <w:rPr>
      <w:snapToGrid w:val="0"/>
      <w:kern w:val="28"/>
      <w:sz w:val="22"/>
    </w:rPr>
  </w:style>
  <w:style w:type="paragraph" w:styleId="Heading1">
    <w:name w:val="heading 1"/>
    <w:basedOn w:val="Normal"/>
    <w:next w:val="ParaNum"/>
    <w:qFormat/>
    <w:rsid w:val="0062404B"/>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2404B"/>
    <w:pPr>
      <w:keepNext/>
      <w:numPr>
        <w:ilvl w:val="1"/>
        <w:numId w:val="1"/>
      </w:numPr>
      <w:spacing w:after="120"/>
      <w:outlineLvl w:val="1"/>
    </w:pPr>
    <w:rPr>
      <w:b/>
    </w:rPr>
  </w:style>
  <w:style w:type="paragraph" w:styleId="Heading3">
    <w:name w:val="heading 3"/>
    <w:aliases w:val="Heading 3 Char Char"/>
    <w:basedOn w:val="Normal"/>
    <w:next w:val="ParaNum"/>
    <w:link w:val="Heading3Char"/>
    <w:qFormat/>
    <w:rsid w:val="0062404B"/>
    <w:pPr>
      <w:keepNext/>
      <w:numPr>
        <w:ilvl w:val="2"/>
        <w:numId w:val="1"/>
      </w:numPr>
      <w:tabs>
        <w:tab w:val="left" w:pos="2160"/>
      </w:tabs>
      <w:spacing w:after="120"/>
      <w:outlineLvl w:val="2"/>
    </w:pPr>
    <w:rPr>
      <w:b/>
    </w:rPr>
  </w:style>
  <w:style w:type="paragraph" w:styleId="Heading4">
    <w:name w:val="heading 4"/>
    <w:basedOn w:val="Normal"/>
    <w:next w:val="ParaNum"/>
    <w:qFormat/>
    <w:rsid w:val="0062404B"/>
    <w:pPr>
      <w:keepNext/>
      <w:numPr>
        <w:ilvl w:val="3"/>
        <w:numId w:val="1"/>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62404B"/>
    <w:pPr>
      <w:keepNext/>
      <w:numPr>
        <w:ilvl w:val="4"/>
        <w:numId w:val="1"/>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Heading 6 Char"/>
    <w:basedOn w:val="Normal"/>
    <w:next w:val="ParaNum"/>
    <w:qFormat/>
    <w:rsid w:val="0062404B"/>
    <w:pPr>
      <w:numPr>
        <w:ilvl w:val="5"/>
        <w:numId w:val="1"/>
      </w:numPr>
      <w:tabs>
        <w:tab w:val="left" w:pos="4320"/>
      </w:tabs>
      <w:spacing w:after="120"/>
      <w:outlineLvl w:val="5"/>
    </w:pPr>
    <w:rPr>
      <w:b/>
    </w:rPr>
  </w:style>
  <w:style w:type="paragraph" w:styleId="Heading7">
    <w:name w:val="heading 7"/>
    <w:aliases w:val="Heading 7 Char"/>
    <w:basedOn w:val="Normal"/>
    <w:next w:val="ParaNum"/>
    <w:qFormat/>
    <w:rsid w:val="0062404B"/>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62404B"/>
    <w:pPr>
      <w:numPr>
        <w:ilvl w:val="7"/>
        <w:numId w:val="1"/>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qFormat/>
    <w:rsid w:val="0062404B"/>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240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404B"/>
  </w:style>
  <w:style w:type="paragraph" w:styleId="Header">
    <w:name w:val="header"/>
    <w:basedOn w:val="Normal"/>
    <w:autoRedefine/>
    <w:rsid w:val="0062404B"/>
    <w:pPr>
      <w:tabs>
        <w:tab w:val="center" w:pos="4680"/>
        <w:tab w:val="right" w:pos="9360"/>
      </w:tabs>
    </w:pPr>
    <w:rPr>
      <w:b/>
    </w:rPr>
  </w:style>
  <w:style w:type="paragraph" w:styleId="Footer">
    <w:name w:val="footer"/>
    <w:basedOn w:val="Normal"/>
    <w:rsid w:val="0062404B"/>
    <w:pPr>
      <w:tabs>
        <w:tab w:val="center" w:pos="4320"/>
        <w:tab w:val="right" w:pos="8640"/>
      </w:tabs>
    </w:pPr>
  </w:style>
  <w:style w:type="character" w:styleId="Hyperlink">
    <w:name w:val="Hyperlink"/>
    <w:rsid w:val="0062404B"/>
    <w:rPr>
      <w:color w:val="0000FF"/>
      <w:u w:val="single"/>
    </w:rPr>
  </w:style>
  <w:style w:type="paragraph" w:styleId="TOC1">
    <w:name w:val="toc 1"/>
    <w:basedOn w:val="Normal"/>
    <w:next w:val="Normal"/>
    <w:rsid w:val="0062404B"/>
    <w:pPr>
      <w:tabs>
        <w:tab w:val="left" w:pos="360"/>
        <w:tab w:val="right" w:leader="dot" w:pos="9360"/>
      </w:tabs>
      <w:suppressAutoHyphens/>
      <w:ind w:left="360" w:right="720" w:hanging="360"/>
    </w:pPr>
    <w:rPr>
      <w:caps/>
      <w:noProof/>
    </w:rPr>
  </w:style>
  <w:style w:type="character" w:styleId="PageNumber">
    <w:name w:val="page number"/>
    <w:basedOn w:val="DefaultParagraphFont"/>
    <w:rsid w:val="0062404B"/>
  </w:style>
  <w:style w:type="paragraph" w:customStyle="1" w:styleId="ParaNum">
    <w:name w:val="ParaNum"/>
    <w:basedOn w:val="Normal"/>
    <w:link w:val="ParaNumChar"/>
    <w:rsid w:val="0062404B"/>
    <w:pPr>
      <w:numPr>
        <w:numId w:val="2"/>
      </w:numPr>
      <w:tabs>
        <w:tab w:val="clear" w:pos="1080"/>
        <w:tab w:val="num" w:pos="1440"/>
      </w:tabs>
      <w:spacing w:after="120"/>
    </w:p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62404B"/>
    <w:pPr>
      <w:spacing w:after="120"/>
    </w:pPr>
  </w:style>
  <w:style w:type="paragraph" w:styleId="TOC2">
    <w:name w:val="toc 2"/>
    <w:basedOn w:val="Normal"/>
    <w:next w:val="Normal"/>
    <w:rsid w:val="0062404B"/>
    <w:pPr>
      <w:tabs>
        <w:tab w:val="left" w:pos="720"/>
        <w:tab w:val="right" w:leader="dot" w:pos="9360"/>
      </w:tabs>
      <w:suppressAutoHyphens/>
      <w:ind w:left="720" w:right="720" w:hanging="360"/>
    </w:pPr>
    <w:rPr>
      <w:noProof/>
    </w:rPr>
  </w:style>
  <w:style w:type="paragraph" w:styleId="TOC3">
    <w:name w:val="toc 3"/>
    <w:basedOn w:val="Normal"/>
    <w:next w:val="Normal"/>
    <w:rsid w:val="0062404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2404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2404B"/>
    <w:pPr>
      <w:tabs>
        <w:tab w:val="left" w:pos="1800"/>
        <w:tab w:val="right" w:leader="dot" w:pos="9360"/>
      </w:tabs>
      <w:suppressAutoHyphens/>
      <w:ind w:left="1800" w:right="720" w:hanging="360"/>
    </w:pPr>
    <w:rPr>
      <w:noProof/>
    </w:rPr>
  </w:style>
  <w:style w:type="character" w:customStyle="1" w:styleId="ParaNumChar">
    <w:name w:val="ParaNum Char"/>
    <w:basedOn w:val="DefaultParagraphFont"/>
    <w:link w:val="ParaNum"/>
    <w:rPr>
      <w:snapToGrid w:val="0"/>
      <w:kern w:val="28"/>
      <w:sz w:val="22"/>
    </w:rPr>
  </w:style>
  <w:style w:type="character" w:customStyle="1" w:styleId="documentbody">
    <w:name w:val="documentbody"/>
    <w:basedOn w:val="DefaultParagraphFont"/>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DeltaViewDeletion">
    <w:name w:val="DeltaView Deletion"/>
    <w:rPr>
      <w:strike/>
      <w:color w:val="FF0000"/>
      <w:spacing w:val="0"/>
    </w:rPr>
  </w:style>
  <w:style w:type="character" w:styleId="FootnoteReference">
    <w:name w:val="footnote reference"/>
    <w:aliases w:val="Appel note de bas de p,Style 12,(NECG) Footnote Reference,Style 124,o,fr,Style 3,Style 13,Style 17,FR,Footnote Reference/,Style 6,Style 7,Style 4,Footnote Reference1"/>
    <w:rsid w:val="0062404B"/>
    <w:rPr>
      <w:rFonts w:ascii="Times New Roman" w:hAnsi="Times New Roman"/>
      <w:dstrike w:val="0"/>
      <w:color w:val="auto"/>
      <w:sz w:val="20"/>
      <w:vertAlign w:val="superscript"/>
    </w:rPr>
  </w:style>
  <w:style w:type="paragraph" w:customStyle="1" w:styleId="StyleTOC2Left0">
    <w:name w:val="Style TOC 2 + Left:  0&quot;"/>
    <w:basedOn w:val="TOC2"/>
    <w:autoRedefine/>
    <w:pPr>
      <w:tabs>
        <w:tab w:val="left" w:pos="810"/>
      </w:tabs>
      <w:ind w:left="0" w:firstLine="360"/>
    </w:pPr>
    <w:rPr>
      <w:bCs/>
    </w:rPr>
  </w:style>
  <w:style w:type="paragraph" w:customStyle="1" w:styleId="StyleTOC4Left063Hanging025">
    <w:name w:val="Style TOC 4 + Left:  0.63&quot; Hanging:  0.25&quot;"/>
    <w:basedOn w:val="TOC4"/>
    <w:rPr>
      <w:bCs/>
    </w:rPr>
  </w:style>
  <w:style w:type="character" w:styleId="FollowedHyperlink">
    <w:name w:val="FollowedHyperlink"/>
    <w:basedOn w:val="DefaultParagraphFont"/>
    <w:rPr>
      <w:color w:val="800080"/>
      <w:u w:val="single"/>
    </w:rPr>
  </w:style>
  <w:style w:type="paragraph" w:customStyle="1" w:styleId="ParaNumCharChar">
    <w:name w:val="ParaNum Char Char"/>
    <w:basedOn w:val="Normal"/>
    <w:link w:val="ParaNumCharCharChar1"/>
    <w:pPr>
      <w:tabs>
        <w:tab w:val="num" w:pos="1080"/>
        <w:tab w:val="left" w:pos="1440"/>
      </w:tabs>
      <w:spacing w:after="220"/>
      <w:ind w:firstLine="720"/>
      <w:jc w:val="both"/>
    </w:pPr>
  </w:style>
  <w:style w:type="character" w:customStyle="1" w:styleId="ParaNumCharCharChar1">
    <w:name w:val="ParaNum Char Char Char1"/>
    <w:basedOn w:val="DefaultParagraphFont"/>
    <w:link w:val="ParaNumCharChar"/>
    <w:rPr>
      <w:sz w:val="22"/>
      <w:lang w:val="en-US" w:eastAsia="en-US" w:bidi="ar-SA"/>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rPr>
      <w:rFonts w:ascii="Courier New" w:hAnsi="Courier New" w:cs="Courier New"/>
    </w:rPr>
  </w:style>
  <w:style w:type="paragraph" w:customStyle="1" w:styleId="StyleParaNum11pt">
    <w:name w:val="Style ParaNum + 11 pt"/>
    <w:basedOn w:val="ParaNum"/>
    <w:link w:val="StyleParaNum11ptChar"/>
    <w:autoRedefine/>
    <w:pPr>
      <w:widowControl/>
      <w:numPr>
        <w:numId w:val="3"/>
      </w:numPr>
      <w:tabs>
        <w:tab w:val="left" w:pos="1440"/>
      </w:tabs>
      <w:spacing w:after="240"/>
      <w:jc w:val="both"/>
    </w:pPr>
    <w:rPr>
      <w:snapToGrid/>
      <w:kern w:val="0"/>
      <w:szCs w:val="22"/>
    </w:rPr>
  </w:style>
  <w:style w:type="character" w:customStyle="1" w:styleId="ParaNumChar1">
    <w:name w:val="ParaNum Char1"/>
    <w:basedOn w:val="DefaultParagraphFont"/>
    <w:rPr>
      <w:sz w:val="22"/>
      <w:szCs w:val="22"/>
      <w:lang w:val="en-US" w:eastAsia="en-US" w:bidi="ar-SA"/>
    </w:rPr>
  </w:style>
  <w:style w:type="character" w:customStyle="1" w:styleId="StyleParaNum11ptChar">
    <w:name w:val="Style ParaNum + 11 pt Char"/>
    <w:basedOn w:val="ParaNumChar1"/>
    <w:link w:val="StyleParaNum11pt"/>
    <w:rPr>
      <w:sz w:val="22"/>
      <w:szCs w:val="22"/>
      <w:lang w:val="en-US" w:eastAsia="en-US" w:bidi="ar-SA"/>
    </w:rPr>
  </w:style>
  <w:style w:type="paragraph" w:customStyle="1" w:styleId="StyleHeading211pt">
    <w:name w:val="Style Heading 2 + 11 pt"/>
    <w:basedOn w:val="Heading2"/>
    <w:autoRedefine/>
    <w:pPr>
      <w:widowControl/>
      <w:spacing w:after="220"/>
      <w:ind w:left="0" w:firstLine="0"/>
    </w:pPr>
    <w:rPr>
      <w:bCs/>
      <w:snapToGrid/>
      <w:kern w:val="0"/>
      <w:szCs w:val="24"/>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style>
  <w:style w:type="paragraph" w:styleId="EndnoteText">
    <w:name w:val="endnote text"/>
    <w:basedOn w:val="Normal"/>
    <w:semiHidden/>
    <w:rsid w:val="0062404B"/>
    <w:rPr>
      <w:sz w:val="20"/>
    </w:rPr>
  </w:style>
  <w:style w:type="character" w:styleId="EndnoteReference">
    <w:name w:val="endnote reference"/>
    <w:semiHidden/>
    <w:rsid w:val="0062404B"/>
    <w:rPr>
      <w:vertAlign w:val="superscript"/>
    </w:rPr>
  </w:style>
  <w:style w:type="paragraph" w:styleId="TOC6">
    <w:name w:val="toc 6"/>
    <w:basedOn w:val="Normal"/>
    <w:next w:val="Normal"/>
    <w:autoRedefine/>
    <w:semiHidden/>
    <w:rsid w:val="0062404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2404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2404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2404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2404B"/>
    <w:pPr>
      <w:tabs>
        <w:tab w:val="right" w:pos="9360"/>
      </w:tabs>
      <w:suppressAutoHyphens/>
    </w:pPr>
  </w:style>
  <w:style w:type="character" w:customStyle="1" w:styleId="EquationCaption">
    <w:name w:val="_Equation Caption"/>
    <w:rsid w:val="0062404B"/>
  </w:style>
  <w:style w:type="paragraph" w:styleId="BlockText">
    <w:name w:val="Block Text"/>
    <w:basedOn w:val="Normal"/>
    <w:rsid w:val="0062404B"/>
    <w:pPr>
      <w:spacing w:after="240"/>
      <w:ind w:left="1440" w:right="1440"/>
    </w:pPr>
  </w:style>
  <w:style w:type="paragraph" w:customStyle="1" w:styleId="Paratitle">
    <w:name w:val="Para title"/>
    <w:basedOn w:val="Normal"/>
    <w:rsid w:val="0062404B"/>
    <w:pPr>
      <w:tabs>
        <w:tab w:val="center" w:pos="9270"/>
      </w:tabs>
      <w:spacing w:after="240"/>
    </w:pPr>
    <w:rPr>
      <w:spacing w:val="-2"/>
    </w:rPr>
  </w:style>
  <w:style w:type="paragraph" w:customStyle="1" w:styleId="Bullet">
    <w:name w:val="Bullet"/>
    <w:basedOn w:val="Normal"/>
    <w:rsid w:val="0062404B"/>
    <w:pPr>
      <w:tabs>
        <w:tab w:val="left" w:pos="2160"/>
      </w:tabs>
      <w:spacing w:after="220"/>
      <w:ind w:left="2160" w:hanging="720"/>
    </w:pPr>
  </w:style>
  <w:style w:type="paragraph" w:customStyle="1" w:styleId="TableFormat">
    <w:name w:val="TableFormat"/>
    <w:basedOn w:val="Bullet"/>
    <w:rsid w:val="0062404B"/>
    <w:pPr>
      <w:tabs>
        <w:tab w:val="clear" w:pos="2160"/>
        <w:tab w:val="left" w:pos="5040"/>
      </w:tabs>
      <w:ind w:left="5040" w:hanging="3600"/>
    </w:pPr>
  </w:style>
  <w:style w:type="paragraph" w:customStyle="1" w:styleId="TOCTitle">
    <w:name w:val="TOC Title"/>
    <w:basedOn w:val="Normal"/>
    <w:rsid w:val="0062404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2404B"/>
    <w:pPr>
      <w:jc w:val="center"/>
    </w:pPr>
    <w:rPr>
      <w:rFonts w:ascii="Times New Roman Bold" w:hAnsi="Times New Roman Bold"/>
      <w:b/>
      <w:bCs/>
      <w:caps/>
      <w:szCs w:val="22"/>
    </w:rPr>
  </w:style>
  <w:style w:type="paragraph" w:styleId="DocumentMap">
    <w:name w:val="Document Map"/>
    <w:basedOn w:val="Normal"/>
    <w:semiHidden/>
    <w:pPr>
      <w:shd w:val="clear" w:color="auto" w:fill="000080"/>
    </w:pPr>
    <w:rPr>
      <w:rFonts w:ascii="Tahoma" w:hAnsi="Tahoma" w:cs="Tahoma"/>
      <w:sz w:val="20"/>
    </w:rPr>
  </w:style>
  <w:style w:type="paragraph" w:styleId="ListParagraph">
    <w:name w:val="List Paragraph"/>
    <w:basedOn w:val="Normal"/>
    <w:uiPriority w:val="34"/>
    <w:qFormat/>
    <w:rsid w:val="0042136E"/>
    <w:pPr>
      <w:ind w:left="720"/>
      <w:contextualSpacing/>
    </w:pPr>
  </w:style>
  <w:style w:type="character" w:customStyle="1" w:styleId="Heading2Char">
    <w:name w:val="Heading 2 Char"/>
    <w:link w:val="Heading2"/>
    <w:rsid w:val="00BA2096"/>
    <w:rPr>
      <w:b/>
      <w:snapToGrid w:val="0"/>
      <w:kern w:val="28"/>
      <w:sz w:val="22"/>
    </w:rPr>
  </w:style>
  <w:style w:type="character" w:customStyle="1" w:styleId="Heading3Char">
    <w:name w:val="Heading 3 Char"/>
    <w:aliases w:val="Heading 3 Char Char Char"/>
    <w:link w:val="Heading3"/>
    <w:rsid w:val="002A52C0"/>
    <w:rPr>
      <w:b/>
      <w:snapToGrid w:val="0"/>
      <w:kern w:val="28"/>
      <w:sz w:val="22"/>
    </w:rPr>
  </w:style>
  <w:style w:type="character" w:customStyle="1" w:styleId="BalloonTextChar">
    <w:name w:val="Balloon Text Char"/>
    <w:basedOn w:val="DefaultParagraphFont"/>
    <w:uiPriority w:val="99"/>
    <w:semiHidden/>
    <w:rsid w:val="00C72748"/>
    <w:rPr>
      <w:rFonts w:ascii="Lucida Grande" w:hAnsi="Lucida Grande"/>
      <w:sz w:val="18"/>
      <w:szCs w:val="18"/>
    </w:rPr>
  </w:style>
  <w:style w:type="table" w:customStyle="1" w:styleId="TableGrid2">
    <w:name w:val="Table Grid2"/>
    <w:basedOn w:val="TableNormal"/>
    <w:next w:val="TableGrid"/>
    <w:uiPriority w:val="59"/>
    <w:rsid w:val="008C6C9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8C6C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C35DFF"/>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character" w:styleId="CommentReference">
    <w:name w:val="annotation reference"/>
    <w:basedOn w:val="DefaultParagraphFont"/>
    <w:semiHidden/>
    <w:unhideWhenUsed/>
    <w:rsid w:val="00EF0E24"/>
    <w:rPr>
      <w:sz w:val="16"/>
      <w:szCs w:val="16"/>
    </w:rPr>
  </w:style>
  <w:style w:type="paragraph" w:styleId="CommentText">
    <w:name w:val="annotation text"/>
    <w:basedOn w:val="Normal"/>
    <w:link w:val="CommentTextChar"/>
    <w:semiHidden/>
    <w:unhideWhenUsed/>
    <w:rsid w:val="00EF0E24"/>
    <w:rPr>
      <w:sz w:val="20"/>
    </w:rPr>
  </w:style>
  <w:style w:type="character" w:customStyle="1" w:styleId="CommentTextChar">
    <w:name w:val="Comment Text Char"/>
    <w:basedOn w:val="DefaultParagraphFont"/>
    <w:link w:val="CommentText"/>
    <w:semiHidden/>
    <w:rsid w:val="00EF0E24"/>
    <w:rPr>
      <w:snapToGrid w:val="0"/>
      <w:kern w:val="28"/>
    </w:rPr>
  </w:style>
  <w:style w:type="paragraph" w:styleId="CommentSubject">
    <w:name w:val="annotation subject"/>
    <w:basedOn w:val="CommentText"/>
    <w:next w:val="CommentText"/>
    <w:link w:val="CommentSubjectChar"/>
    <w:semiHidden/>
    <w:unhideWhenUsed/>
    <w:rsid w:val="00EF0E24"/>
    <w:rPr>
      <w:b/>
      <w:bCs/>
    </w:rPr>
  </w:style>
  <w:style w:type="character" w:customStyle="1" w:styleId="CommentSubjectChar">
    <w:name w:val="Comment Subject Char"/>
    <w:basedOn w:val="CommentTextChar"/>
    <w:link w:val="CommentSubject"/>
    <w:semiHidden/>
    <w:rsid w:val="00EF0E24"/>
    <w:rPr>
      <w:b/>
      <w:bCs/>
      <w:snapToGrid w:val="0"/>
      <w:kern w:val="28"/>
    </w:rPr>
  </w:style>
  <w:style w:type="paragraph" w:styleId="Revision">
    <w:name w:val="Revision"/>
    <w:hidden/>
    <w:uiPriority w:val="99"/>
    <w:semiHidden/>
    <w:rsid w:val="00E351E1"/>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04B"/>
    <w:pPr>
      <w:widowControl w:val="0"/>
    </w:pPr>
    <w:rPr>
      <w:snapToGrid w:val="0"/>
      <w:kern w:val="28"/>
      <w:sz w:val="22"/>
    </w:rPr>
  </w:style>
  <w:style w:type="paragraph" w:styleId="Heading1">
    <w:name w:val="heading 1"/>
    <w:basedOn w:val="Normal"/>
    <w:next w:val="ParaNum"/>
    <w:qFormat/>
    <w:rsid w:val="0062404B"/>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2404B"/>
    <w:pPr>
      <w:keepNext/>
      <w:numPr>
        <w:ilvl w:val="1"/>
        <w:numId w:val="1"/>
      </w:numPr>
      <w:spacing w:after="120"/>
      <w:outlineLvl w:val="1"/>
    </w:pPr>
    <w:rPr>
      <w:b/>
    </w:rPr>
  </w:style>
  <w:style w:type="paragraph" w:styleId="Heading3">
    <w:name w:val="heading 3"/>
    <w:aliases w:val="Heading 3 Char Char"/>
    <w:basedOn w:val="Normal"/>
    <w:next w:val="ParaNum"/>
    <w:link w:val="Heading3Char"/>
    <w:qFormat/>
    <w:rsid w:val="0062404B"/>
    <w:pPr>
      <w:keepNext/>
      <w:numPr>
        <w:ilvl w:val="2"/>
        <w:numId w:val="1"/>
      </w:numPr>
      <w:tabs>
        <w:tab w:val="left" w:pos="2160"/>
      </w:tabs>
      <w:spacing w:after="120"/>
      <w:outlineLvl w:val="2"/>
    </w:pPr>
    <w:rPr>
      <w:b/>
    </w:rPr>
  </w:style>
  <w:style w:type="paragraph" w:styleId="Heading4">
    <w:name w:val="heading 4"/>
    <w:basedOn w:val="Normal"/>
    <w:next w:val="ParaNum"/>
    <w:qFormat/>
    <w:rsid w:val="0062404B"/>
    <w:pPr>
      <w:keepNext/>
      <w:numPr>
        <w:ilvl w:val="3"/>
        <w:numId w:val="1"/>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62404B"/>
    <w:pPr>
      <w:keepNext/>
      <w:numPr>
        <w:ilvl w:val="4"/>
        <w:numId w:val="1"/>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Heading 6 Char"/>
    <w:basedOn w:val="Normal"/>
    <w:next w:val="ParaNum"/>
    <w:qFormat/>
    <w:rsid w:val="0062404B"/>
    <w:pPr>
      <w:numPr>
        <w:ilvl w:val="5"/>
        <w:numId w:val="1"/>
      </w:numPr>
      <w:tabs>
        <w:tab w:val="left" w:pos="4320"/>
      </w:tabs>
      <w:spacing w:after="120"/>
      <w:outlineLvl w:val="5"/>
    </w:pPr>
    <w:rPr>
      <w:b/>
    </w:rPr>
  </w:style>
  <w:style w:type="paragraph" w:styleId="Heading7">
    <w:name w:val="heading 7"/>
    <w:aliases w:val="Heading 7 Char"/>
    <w:basedOn w:val="Normal"/>
    <w:next w:val="ParaNum"/>
    <w:qFormat/>
    <w:rsid w:val="0062404B"/>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62404B"/>
    <w:pPr>
      <w:numPr>
        <w:ilvl w:val="7"/>
        <w:numId w:val="1"/>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qFormat/>
    <w:rsid w:val="0062404B"/>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240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404B"/>
  </w:style>
  <w:style w:type="paragraph" w:styleId="Header">
    <w:name w:val="header"/>
    <w:basedOn w:val="Normal"/>
    <w:autoRedefine/>
    <w:rsid w:val="0062404B"/>
    <w:pPr>
      <w:tabs>
        <w:tab w:val="center" w:pos="4680"/>
        <w:tab w:val="right" w:pos="9360"/>
      </w:tabs>
    </w:pPr>
    <w:rPr>
      <w:b/>
    </w:rPr>
  </w:style>
  <w:style w:type="paragraph" w:styleId="Footer">
    <w:name w:val="footer"/>
    <w:basedOn w:val="Normal"/>
    <w:rsid w:val="0062404B"/>
    <w:pPr>
      <w:tabs>
        <w:tab w:val="center" w:pos="4320"/>
        <w:tab w:val="right" w:pos="8640"/>
      </w:tabs>
    </w:pPr>
  </w:style>
  <w:style w:type="character" w:styleId="Hyperlink">
    <w:name w:val="Hyperlink"/>
    <w:rsid w:val="0062404B"/>
    <w:rPr>
      <w:color w:val="0000FF"/>
      <w:u w:val="single"/>
    </w:rPr>
  </w:style>
  <w:style w:type="paragraph" w:styleId="TOC1">
    <w:name w:val="toc 1"/>
    <w:basedOn w:val="Normal"/>
    <w:next w:val="Normal"/>
    <w:rsid w:val="0062404B"/>
    <w:pPr>
      <w:tabs>
        <w:tab w:val="left" w:pos="360"/>
        <w:tab w:val="right" w:leader="dot" w:pos="9360"/>
      </w:tabs>
      <w:suppressAutoHyphens/>
      <w:ind w:left="360" w:right="720" w:hanging="360"/>
    </w:pPr>
    <w:rPr>
      <w:caps/>
      <w:noProof/>
    </w:rPr>
  </w:style>
  <w:style w:type="character" w:styleId="PageNumber">
    <w:name w:val="page number"/>
    <w:basedOn w:val="DefaultParagraphFont"/>
    <w:rsid w:val="0062404B"/>
  </w:style>
  <w:style w:type="paragraph" w:customStyle="1" w:styleId="ParaNum">
    <w:name w:val="ParaNum"/>
    <w:basedOn w:val="Normal"/>
    <w:link w:val="ParaNumChar"/>
    <w:rsid w:val="0062404B"/>
    <w:pPr>
      <w:numPr>
        <w:numId w:val="2"/>
      </w:numPr>
      <w:tabs>
        <w:tab w:val="clear" w:pos="1080"/>
        <w:tab w:val="num" w:pos="1440"/>
      </w:tabs>
      <w:spacing w:after="120"/>
    </w:p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62404B"/>
    <w:pPr>
      <w:spacing w:after="120"/>
    </w:pPr>
  </w:style>
  <w:style w:type="paragraph" w:styleId="TOC2">
    <w:name w:val="toc 2"/>
    <w:basedOn w:val="Normal"/>
    <w:next w:val="Normal"/>
    <w:rsid w:val="0062404B"/>
    <w:pPr>
      <w:tabs>
        <w:tab w:val="left" w:pos="720"/>
        <w:tab w:val="right" w:leader="dot" w:pos="9360"/>
      </w:tabs>
      <w:suppressAutoHyphens/>
      <w:ind w:left="720" w:right="720" w:hanging="360"/>
    </w:pPr>
    <w:rPr>
      <w:noProof/>
    </w:rPr>
  </w:style>
  <w:style w:type="paragraph" w:styleId="TOC3">
    <w:name w:val="toc 3"/>
    <w:basedOn w:val="Normal"/>
    <w:next w:val="Normal"/>
    <w:rsid w:val="0062404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2404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2404B"/>
    <w:pPr>
      <w:tabs>
        <w:tab w:val="left" w:pos="1800"/>
        <w:tab w:val="right" w:leader="dot" w:pos="9360"/>
      </w:tabs>
      <w:suppressAutoHyphens/>
      <w:ind w:left="1800" w:right="720" w:hanging="360"/>
    </w:pPr>
    <w:rPr>
      <w:noProof/>
    </w:rPr>
  </w:style>
  <w:style w:type="character" w:customStyle="1" w:styleId="ParaNumChar">
    <w:name w:val="ParaNum Char"/>
    <w:basedOn w:val="DefaultParagraphFont"/>
    <w:link w:val="ParaNum"/>
    <w:rPr>
      <w:snapToGrid w:val="0"/>
      <w:kern w:val="28"/>
      <w:sz w:val="22"/>
    </w:rPr>
  </w:style>
  <w:style w:type="character" w:customStyle="1" w:styleId="documentbody">
    <w:name w:val="documentbody"/>
    <w:basedOn w:val="DefaultParagraphFont"/>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DeltaViewDeletion">
    <w:name w:val="DeltaView Deletion"/>
    <w:rPr>
      <w:strike/>
      <w:color w:val="FF0000"/>
      <w:spacing w:val="0"/>
    </w:rPr>
  </w:style>
  <w:style w:type="character" w:styleId="FootnoteReference">
    <w:name w:val="footnote reference"/>
    <w:aliases w:val="Appel note de bas de p,Style 12,(NECG) Footnote Reference,Style 124,o,fr,Style 3,Style 13,Style 17,FR,Footnote Reference/,Style 6,Style 7,Style 4,Footnote Reference1"/>
    <w:rsid w:val="0062404B"/>
    <w:rPr>
      <w:rFonts w:ascii="Times New Roman" w:hAnsi="Times New Roman"/>
      <w:dstrike w:val="0"/>
      <w:color w:val="auto"/>
      <w:sz w:val="20"/>
      <w:vertAlign w:val="superscript"/>
    </w:rPr>
  </w:style>
  <w:style w:type="paragraph" w:customStyle="1" w:styleId="StyleTOC2Left0">
    <w:name w:val="Style TOC 2 + Left:  0&quot;"/>
    <w:basedOn w:val="TOC2"/>
    <w:autoRedefine/>
    <w:pPr>
      <w:tabs>
        <w:tab w:val="left" w:pos="810"/>
      </w:tabs>
      <w:ind w:left="0" w:firstLine="360"/>
    </w:pPr>
    <w:rPr>
      <w:bCs/>
    </w:rPr>
  </w:style>
  <w:style w:type="paragraph" w:customStyle="1" w:styleId="StyleTOC4Left063Hanging025">
    <w:name w:val="Style TOC 4 + Left:  0.63&quot; Hanging:  0.25&quot;"/>
    <w:basedOn w:val="TOC4"/>
    <w:rPr>
      <w:bCs/>
    </w:rPr>
  </w:style>
  <w:style w:type="character" w:styleId="FollowedHyperlink">
    <w:name w:val="FollowedHyperlink"/>
    <w:basedOn w:val="DefaultParagraphFont"/>
    <w:rPr>
      <w:color w:val="800080"/>
      <w:u w:val="single"/>
    </w:rPr>
  </w:style>
  <w:style w:type="paragraph" w:customStyle="1" w:styleId="ParaNumCharChar">
    <w:name w:val="ParaNum Char Char"/>
    <w:basedOn w:val="Normal"/>
    <w:link w:val="ParaNumCharCharChar1"/>
    <w:pPr>
      <w:tabs>
        <w:tab w:val="num" w:pos="1080"/>
        <w:tab w:val="left" w:pos="1440"/>
      </w:tabs>
      <w:spacing w:after="220"/>
      <w:ind w:firstLine="720"/>
      <w:jc w:val="both"/>
    </w:pPr>
  </w:style>
  <w:style w:type="character" w:customStyle="1" w:styleId="ParaNumCharCharChar1">
    <w:name w:val="ParaNum Char Char Char1"/>
    <w:basedOn w:val="DefaultParagraphFont"/>
    <w:link w:val="ParaNumCharChar"/>
    <w:rPr>
      <w:sz w:val="22"/>
      <w:lang w:val="en-US" w:eastAsia="en-US" w:bidi="ar-SA"/>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rPr>
      <w:rFonts w:ascii="Courier New" w:hAnsi="Courier New" w:cs="Courier New"/>
    </w:rPr>
  </w:style>
  <w:style w:type="paragraph" w:customStyle="1" w:styleId="StyleParaNum11pt">
    <w:name w:val="Style ParaNum + 11 pt"/>
    <w:basedOn w:val="ParaNum"/>
    <w:link w:val="StyleParaNum11ptChar"/>
    <w:autoRedefine/>
    <w:pPr>
      <w:widowControl/>
      <w:numPr>
        <w:numId w:val="3"/>
      </w:numPr>
      <w:tabs>
        <w:tab w:val="left" w:pos="1440"/>
      </w:tabs>
      <w:spacing w:after="240"/>
      <w:jc w:val="both"/>
    </w:pPr>
    <w:rPr>
      <w:snapToGrid/>
      <w:kern w:val="0"/>
      <w:szCs w:val="22"/>
    </w:rPr>
  </w:style>
  <w:style w:type="character" w:customStyle="1" w:styleId="ParaNumChar1">
    <w:name w:val="ParaNum Char1"/>
    <w:basedOn w:val="DefaultParagraphFont"/>
    <w:rPr>
      <w:sz w:val="22"/>
      <w:szCs w:val="22"/>
      <w:lang w:val="en-US" w:eastAsia="en-US" w:bidi="ar-SA"/>
    </w:rPr>
  </w:style>
  <w:style w:type="character" w:customStyle="1" w:styleId="StyleParaNum11ptChar">
    <w:name w:val="Style ParaNum + 11 pt Char"/>
    <w:basedOn w:val="ParaNumChar1"/>
    <w:link w:val="StyleParaNum11pt"/>
    <w:rPr>
      <w:sz w:val="22"/>
      <w:szCs w:val="22"/>
      <w:lang w:val="en-US" w:eastAsia="en-US" w:bidi="ar-SA"/>
    </w:rPr>
  </w:style>
  <w:style w:type="paragraph" w:customStyle="1" w:styleId="StyleHeading211pt">
    <w:name w:val="Style Heading 2 + 11 pt"/>
    <w:basedOn w:val="Heading2"/>
    <w:autoRedefine/>
    <w:pPr>
      <w:widowControl/>
      <w:spacing w:after="220"/>
      <w:ind w:left="0" w:firstLine="0"/>
    </w:pPr>
    <w:rPr>
      <w:bCs/>
      <w:snapToGrid/>
      <w:kern w:val="0"/>
      <w:szCs w:val="24"/>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style>
  <w:style w:type="paragraph" w:styleId="EndnoteText">
    <w:name w:val="endnote text"/>
    <w:basedOn w:val="Normal"/>
    <w:semiHidden/>
    <w:rsid w:val="0062404B"/>
    <w:rPr>
      <w:sz w:val="20"/>
    </w:rPr>
  </w:style>
  <w:style w:type="character" w:styleId="EndnoteReference">
    <w:name w:val="endnote reference"/>
    <w:semiHidden/>
    <w:rsid w:val="0062404B"/>
    <w:rPr>
      <w:vertAlign w:val="superscript"/>
    </w:rPr>
  </w:style>
  <w:style w:type="paragraph" w:styleId="TOC6">
    <w:name w:val="toc 6"/>
    <w:basedOn w:val="Normal"/>
    <w:next w:val="Normal"/>
    <w:autoRedefine/>
    <w:semiHidden/>
    <w:rsid w:val="0062404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2404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2404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2404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2404B"/>
    <w:pPr>
      <w:tabs>
        <w:tab w:val="right" w:pos="9360"/>
      </w:tabs>
      <w:suppressAutoHyphens/>
    </w:pPr>
  </w:style>
  <w:style w:type="character" w:customStyle="1" w:styleId="EquationCaption">
    <w:name w:val="_Equation Caption"/>
    <w:rsid w:val="0062404B"/>
  </w:style>
  <w:style w:type="paragraph" w:styleId="BlockText">
    <w:name w:val="Block Text"/>
    <w:basedOn w:val="Normal"/>
    <w:rsid w:val="0062404B"/>
    <w:pPr>
      <w:spacing w:after="240"/>
      <w:ind w:left="1440" w:right="1440"/>
    </w:pPr>
  </w:style>
  <w:style w:type="paragraph" w:customStyle="1" w:styleId="Paratitle">
    <w:name w:val="Para title"/>
    <w:basedOn w:val="Normal"/>
    <w:rsid w:val="0062404B"/>
    <w:pPr>
      <w:tabs>
        <w:tab w:val="center" w:pos="9270"/>
      </w:tabs>
      <w:spacing w:after="240"/>
    </w:pPr>
    <w:rPr>
      <w:spacing w:val="-2"/>
    </w:rPr>
  </w:style>
  <w:style w:type="paragraph" w:customStyle="1" w:styleId="Bullet">
    <w:name w:val="Bullet"/>
    <w:basedOn w:val="Normal"/>
    <w:rsid w:val="0062404B"/>
    <w:pPr>
      <w:tabs>
        <w:tab w:val="left" w:pos="2160"/>
      </w:tabs>
      <w:spacing w:after="220"/>
      <w:ind w:left="2160" w:hanging="720"/>
    </w:pPr>
  </w:style>
  <w:style w:type="paragraph" w:customStyle="1" w:styleId="TableFormat">
    <w:name w:val="TableFormat"/>
    <w:basedOn w:val="Bullet"/>
    <w:rsid w:val="0062404B"/>
    <w:pPr>
      <w:tabs>
        <w:tab w:val="clear" w:pos="2160"/>
        <w:tab w:val="left" w:pos="5040"/>
      </w:tabs>
      <w:ind w:left="5040" w:hanging="3600"/>
    </w:pPr>
  </w:style>
  <w:style w:type="paragraph" w:customStyle="1" w:styleId="TOCTitle">
    <w:name w:val="TOC Title"/>
    <w:basedOn w:val="Normal"/>
    <w:rsid w:val="0062404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2404B"/>
    <w:pPr>
      <w:jc w:val="center"/>
    </w:pPr>
    <w:rPr>
      <w:rFonts w:ascii="Times New Roman Bold" w:hAnsi="Times New Roman Bold"/>
      <w:b/>
      <w:bCs/>
      <w:caps/>
      <w:szCs w:val="22"/>
    </w:rPr>
  </w:style>
  <w:style w:type="paragraph" w:styleId="DocumentMap">
    <w:name w:val="Document Map"/>
    <w:basedOn w:val="Normal"/>
    <w:semiHidden/>
    <w:pPr>
      <w:shd w:val="clear" w:color="auto" w:fill="000080"/>
    </w:pPr>
    <w:rPr>
      <w:rFonts w:ascii="Tahoma" w:hAnsi="Tahoma" w:cs="Tahoma"/>
      <w:sz w:val="20"/>
    </w:rPr>
  </w:style>
  <w:style w:type="paragraph" w:styleId="ListParagraph">
    <w:name w:val="List Paragraph"/>
    <w:basedOn w:val="Normal"/>
    <w:uiPriority w:val="34"/>
    <w:qFormat/>
    <w:rsid w:val="0042136E"/>
    <w:pPr>
      <w:ind w:left="720"/>
      <w:contextualSpacing/>
    </w:pPr>
  </w:style>
  <w:style w:type="character" w:customStyle="1" w:styleId="Heading2Char">
    <w:name w:val="Heading 2 Char"/>
    <w:link w:val="Heading2"/>
    <w:rsid w:val="00BA2096"/>
    <w:rPr>
      <w:b/>
      <w:snapToGrid w:val="0"/>
      <w:kern w:val="28"/>
      <w:sz w:val="22"/>
    </w:rPr>
  </w:style>
  <w:style w:type="character" w:customStyle="1" w:styleId="Heading3Char">
    <w:name w:val="Heading 3 Char"/>
    <w:aliases w:val="Heading 3 Char Char Char"/>
    <w:link w:val="Heading3"/>
    <w:rsid w:val="002A52C0"/>
    <w:rPr>
      <w:b/>
      <w:snapToGrid w:val="0"/>
      <w:kern w:val="28"/>
      <w:sz w:val="22"/>
    </w:rPr>
  </w:style>
  <w:style w:type="character" w:customStyle="1" w:styleId="BalloonTextChar">
    <w:name w:val="Balloon Text Char"/>
    <w:basedOn w:val="DefaultParagraphFont"/>
    <w:uiPriority w:val="99"/>
    <w:semiHidden/>
    <w:rsid w:val="00C72748"/>
    <w:rPr>
      <w:rFonts w:ascii="Lucida Grande" w:hAnsi="Lucida Grande"/>
      <w:sz w:val="18"/>
      <w:szCs w:val="18"/>
    </w:rPr>
  </w:style>
  <w:style w:type="table" w:customStyle="1" w:styleId="TableGrid2">
    <w:name w:val="Table Grid2"/>
    <w:basedOn w:val="TableNormal"/>
    <w:next w:val="TableGrid"/>
    <w:uiPriority w:val="59"/>
    <w:rsid w:val="008C6C9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8C6C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C35DFF"/>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character" w:styleId="CommentReference">
    <w:name w:val="annotation reference"/>
    <w:basedOn w:val="DefaultParagraphFont"/>
    <w:semiHidden/>
    <w:unhideWhenUsed/>
    <w:rsid w:val="00EF0E24"/>
    <w:rPr>
      <w:sz w:val="16"/>
      <w:szCs w:val="16"/>
    </w:rPr>
  </w:style>
  <w:style w:type="paragraph" w:styleId="CommentText">
    <w:name w:val="annotation text"/>
    <w:basedOn w:val="Normal"/>
    <w:link w:val="CommentTextChar"/>
    <w:semiHidden/>
    <w:unhideWhenUsed/>
    <w:rsid w:val="00EF0E24"/>
    <w:rPr>
      <w:sz w:val="20"/>
    </w:rPr>
  </w:style>
  <w:style w:type="character" w:customStyle="1" w:styleId="CommentTextChar">
    <w:name w:val="Comment Text Char"/>
    <w:basedOn w:val="DefaultParagraphFont"/>
    <w:link w:val="CommentText"/>
    <w:semiHidden/>
    <w:rsid w:val="00EF0E24"/>
    <w:rPr>
      <w:snapToGrid w:val="0"/>
      <w:kern w:val="28"/>
    </w:rPr>
  </w:style>
  <w:style w:type="paragraph" w:styleId="CommentSubject">
    <w:name w:val="annotation subject"/>
    <w:basedOn w:val="CommentText"/>
    <w:next w:val="CommentText"/>
    <w:link w:val="CommentSubjectChar"/>
    <w:semiHidden/>
    <w:unhideWhenUsed/>
    <w:rsid w:val="00EF0E24"/>
    <w:rPr>
      <w:b/>
      <w:bCs/>
    </w:rPr>
  </w:style>
  <w:style w:type="character" w:customStyle="1" w:styleId="CommentSubjectChar">
    <w:name w:val="Comment Subject Char"/>
    <w:basedOn w:val="CommentTextChar"/>
    <w:link w:val="CommentSubject"/>
    <w:semiHidden/>
    <w:rsid w:val="00EF0E24"/>
    <w:rPr>
      <w:b/>
      <w:bCs/>
      <w:snapToGrid w:val="0"/>
      <w:kern w:val="28"/>
    </w:rPr>
  </w:style>
  <w:style w:type="paragraph" w:styleId="Revision">
    <w:name w:val="Revision"/>
    <w:hidden/>
    <w:uiPriority w:val="99"/>
    <w:semiHidden/>
    <w:rsid w:val="00E351E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4640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9506679">
          <w:marLeft w:val="0"/>
          <w:marRight w:val="0"/>
          <w:marTop w:val="0"/>
          <w:marBottom w:val="0"/>
          <w:divBdr>
            <w:top w:val="none" w:sz="0" w:space="0" w:color="auto"/>
            <w:left w:val="none" w:sz="0" w:space="0" w:color="auto"/>
            <w:bottom w:val="none" w:sz="0" w:space="0" w:color="auto"/>
            <w:right w:val="none" w:sz="0" w:space="0" w:color="auto"/>
          </w:divBdr>
          <w:divsChild>
            <w:div w:id="1347250272">
              <w:marLeft w:val="45"/>
              <w:marRight w:val="45"/>
              <w:marTop w:val="45"/>
              <w:marBottom w:val="45"/>
              <w:divBdr>
                <w:top w:val="none" w:sz="0" w:space="0" w:color="auto"/>
                <w:left w:val="none" w:sz="0" w:space="0" w:color="auto"/>
                <w:bottom w:val="none" w:sz="0" w:space="0" w:color="auto"/>
                <w:right w:val="none" w:sz="0" w:space="0" w:color="auto"/>
              </w:divBdr>
              <w:divsChild>
                <w:div w:id="405760066">
                  <w:marLeft w:val="0"/>
                  <w:marRight w:val="0"/>
                  <w:marTop w:val="0"/>
                  <w:marBottom w:val="0"/>
                  <w:divBdr>
                    <w:top w:val="none" w:sz="0" w:space="0" w:color="auto"/>
                    <w:left w:val="none" w:sz="0" w:space="0" w:color="auto"/>
                    <w:bottom w:val="none" w:sz="0" w:space="0" w:color="auto"/>
                    <w:right w:val="none" w:sz="0" w:space="0" w:color="auto"/>
                  </w:divBdr>
                  <w:divsChild>
                    <w:div w:id="729961785">
                      <w:marLeft w:val="0"/>
                      <w:marRight w:val="0"/>
                      <w:marTop w:val="0"/>
                      <w:marBottom w:val="0"/>
                      <w:divBdr>
                        <w:top w:val="none" w:sz="0" w:space="0" w:color="auto"/>
                        <w:left w:val="none" w:sz="0" w:space="0" w:color="auto"/>
                        <w:bottom w:val="none" w:sz="0" w:space="0" w:color="auto"/>
                        <w:right w:val="none" w:sz="0" w:space="0" w:color="auto"/>
                      </w:divBdr>
                      <w:divsChild>
                        <w:div w:id="218710886">
                          <w:marLeft w:val="0"/>
                          <w:marRight w:val="0"/>
                          <w:marTop w:val="0"/>
                          <w:marBottom w:val="0"/>
                          <w:divBdr>
                            <w:top w:val="none" w:sz="0" w:space="0" w:color="auto"/>
                            <w:left w:val="none" w:sz="0" w:space="0" w:color="auto"/>
                            <w:bottom w:val="none" w:sz="0" w:space="0" w:color="auto"/>
                            <w:right w:val="none" w:sz="0" w:space="0" w:color="auto"/>
                          </w:divBdr>
                          <w:divsChild>
                            <w:div w:id="1260410950">
                              <w:marLeft w:val="0"/>
                              <w:marRight w:val="0"/>
                              <w:marTop w:val="0"/>
                              <w:marBottom w:val="0"/>
                              <w:divBdr>
                                <w:top w:val="none" w:sz="0" w:space="0" w:color="auto"/>
                                <w:left w:val="none" w:sz="0" w:space="0" w:color="auto"/>
                                <w:bottom w:val="none" w:sz="0" w:space="0" w:color="auto"/>
                                <w:right w:val="none" w:sz="0" w:space="0" w:color="auto"/>
                              </w:divBdr>
                            </w:div>
                          </w:divsChild>
                        </w:div>
                        <w:div w:id="671877762">
                          <w:marLeft w:val="0"/>
                          <w:marRight w:val="0"/>
                          <w:marTop w:val="0"/>
                          <w:marBottom w:val="0"/>
                          <w:divBdr>
                            <w:top w:val="none" w:sz="0" w:space="0" w:color="auto"/>
                            <w:left w:val="none" w:sz="0" w:space="0" w:color="auto"/>
                            <w:bottom w:val="none" w:sz="0" w:space="0" w:color="auto"/>
                            <w:right w:val="none" w:sz="0" w:space="0" w:color="auto"/>
                          </w:divBdr>
                          <w:divsChild>
                            <w:div w:id="7968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fcc.gov/edocs_public/attachmatch/FCC-16-119A1.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po.gov/fdsys/pkg/FR-2016-12-15/pdf/2016-29612.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2359</Words>
  <Characters>13290</Characters>
  <Application>Microsoft Office Word</Application>
  <DocSecurity>0</DocSecurity>
  <Lines>256</Lines>
  <Paragraphs>94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15732</CharactersWithSpaces>
  <SharedDoc>false</SharedDoc>
  <HyperlinkBase> </HyperlinkBase>
  <HLinks>
    <vt:vector size="48" baseType="variant">
      <vt:variant>
        <vt:i4>7405570</vt:i4>
      </vt:variant>
      <vt:variant>
        <vt:i4>36</vt:i4>
      </vt:variant>
      <vt:variant>
        <vt:i4>0</vt:i4>
      </vt:variant>
      <vt:variant>
        <vt:i4>5</vt:i4>
      </vt:variant>
      <vt:variant>
        <vt:lpwstr>http://hraunfoss.fcc.gov/edocs_public/attachmatch/FCC-12-114A1.txt</vt:lpwstr>
      </vt:variant>
      <vt:variant>
        <vt:lpwstr/>
      </vt:variant>
      <vt:variant>
        <vt:i4>6750238</vt:i4>
      </vt:variant>
      <vt:variant>
        <vt:i4>33</vt:i4>
      </vt:variant>
      <vt:variant>
        <vt:i4>0</vt:i4>
      </vt:variant>
      <vt:variant>
        <vt:i4>5</vt:i4>
      </vt:variant>
      <vt:variant>
        <vt:lpwstr>http://hraunfoss.fcc.gov/edocs_public/attachmatch/FCC-12-114A1.pdf</vt:lpwstr>
      </vt:variant>
      <vt:variant>
        <vt:lpwstr/>
      </vt:variant>
      <vt:variant>
        <vt:i4>7733269</vt:i4>
      </vt:variant>
      <vt:variant>
        <vt:i4>30</vt:i4>
      </vt:variant>
      <vt:variant>
        <vt:i4>0</vt:i4>
      </vt:variant>
      <vt:variant>
        <vt:i4>5</vt:i4>
      </vt:variant>
      <vt:variant>
        <vt:lpwstr>http://hraunfoss.fcc.gov/edocs_public/attachmatch/FCC-12-114A1.doc</vt:lpwstr>
      </vt:variant>
      <vt:variant>
        <vt:lpwstr/>
      </vt:variant>
      <vt:variant>
        <vt:i4>1572926</vt:i4>
      </vt:variant>
      <vt:variant>
        <vt:i4>23</vt:i4>
      </vt:variant>
      <vt:variant>
        <vt:i4>0</vt:i4>
      </vt:variant>
      <vt:variant>
        <vt:i4>5</vt:i4>
      </vt:variant>
      <vt:variant>
        <vt:lpwstr/>
      </vt:variant>
      <vt:variant>
        <vt:lpwstr>_Toc337632980</vt:lpwstr>
      </vt:variant>
      <vt:variant>
        <vt:i4>1507390</vt:i4>
      </vt:variant>
      <vt:variant>
        <vt:i4>17</vt:i4>
      </vt:variant>
      <vt:variant>
        <vt:i4>0</vt:i4>
      </vt:variant>
      <vt:variant>
        <vt:i4>5</vt:i4>
      </vt:variant>
      <vt:variant>
        <vt:lpwstr/>
      </vt:variant>
      <vt:variant>
        <vt:lpwstr>_Toc337632979</vt:lpwstr>
      </vt:variant>
      <vt:variant>
        <vt:i4>1507390</vt:i4>
      </vt:variant>
      <vt:variant>
        <vt:i4>11</vt:i4>
      </vt:variant>
      <vt:variant>
        <vt:i4>0</vt:i4>
      </vt:variant>
      <vt:variant>
        <vt:i4>5</vt:i4>
      </vt:variant>
      <vt:variant>
        <vt:lpwstr/>
      </vt:variant>
      <vt:variant>
        <vt:lpwstr>_Toc337632978</vt:lpwstr>
      </vt:variant>
      <vt:variant>
        <vt:i4>1507390</vt:i4>
      </vt:variant>
      <vt:variant>
        <vt:i4>5</vt:i4>
      </vt:variant>
      <vt:variant>
        <vt:i4>0</vt:i4>
      </vt:variant>
      <vt:variant>
        <vt:i4>5</vt:i4>
      </vt:variant>
      <vt:variant>
        <vt:lpwstr/>
      </vt:variant>
      <vt:variant>
        <vt:lpwstr>_Toc337632977</vt:lpwstr>
      </vt:variant>
      <vt:variant>
        <vt:i4>7471172</vt:i4>
      </vt:variant>
      <vt:variant>
        <vt:i4>0</vt:i4>
      </vt:variant>
      <vt:variant>
        <vt:i4>0</vt:i4>
      </vt:variant>
      <vt:variant>
        <vt:i4>5</vt:i4>
      </vt:variant>
      <vt:variant>
        <vt:lpwstr>mailto:fccinfo@fcc.gov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2017-04-27T21:44:00Z</cp:lastPrinted>
  <dcterms:created xsi:type="dcterms:W3CDTF">2017-09-13T19:17:00Z</dcterms:created>
  <dcterms:modified xsi:type="dcterms:W3CDTF">2017-09-13T19:17:00Z</dcterms:modified>
  <cp:category> </cp:category>
  <cp:contentStatus> </cp:contentStatus>
</cp:coreProperties>
</file>